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BDFBBA8">
      <w:pPr>
        <w:adjustRightInd/>
        <w:spacing w:line="360" w:lineRule="auto"/>
        <w:jc w:val="center"/>
        <w:rPr>
          <w:rFonts w:hint="eastAsia" w:ascii="仿宋" w:hAnsi="仿宋" w:eastAsia="仿宋" w:cs="仿宋"/>
          <w:b/>
          <w:bCs/>
          <w:color w:val="auto"/>
          <w:sz w:val="56"/>
          <w:szCs w:val="56"/>
          <w:highlight w:val="none"/>
          <w:lang w:eastAsia="zh-CN"/>
        </w:rPr>
      </w:pPr>
      <w:r>
        <w:rPr>
          <w:rFonts w:hint="eastAsia" w:ascii="仿宋" w:hAnsi="仿宋" w:eastAsia="仿宋" w:cs="仿宋"/>
          <w:b/>
          <w:bCs/>
          <w:color w:val="auto"/>
          <w:sz w:val="56"/>
          <w:szCs w:val="56"/>
          <w:highlight w:val="none"/>
          <w:lang w:eastAsia="zh-CN"/>
        </w:rPr>
        <w:t>2025年柯桥区中高风险特种设备安全风险评估项目 （第二次）</w:t>
      </w:r>
    </w:p>
    <w:p w14:paraId="0A77BF79">
      <w:pPr>
        <w:jc w:val="center"/>
        <w:outlineLvl w:val="0"/>
        <w:rPr>
          <w:rFonts w:hint="eastAsia" w:ascii="仿宋" w:hAnsi="仿宋" w:eastAsia="仿宋" w:cs="仿宋"/>
          <w:b/>
          <w:color w:val="auto"/>
          <w:sz w:val="72"/>
          <w:szCs w:val="72"/>
          <w:highlight w:val="none"/>
        </w:rPr>
      </w:pPr>
    </w:p>
    <w:p w14:paraId="13FF80AB">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公</w:t>
      </w:r>
    </w:p>
    <w:p w14:paraId="0B64A653">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开</w:t>
      </w:r>
    </w:p>
    <w:p w14:paraId="193671E9">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招</w:t>
      </w:r>
    </w:p>
    <w:p w14:paraId="5719F65A">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标</w:t>
      </w:r>
    </w:p>
    <w:p w14:paraId="0E2D956E">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文</w:t>
      </w:r>
    </w:p>
    <w:p w14:paraId="5215DABC">
      <w:pPr>
        <w:jc w:val="center"/>
        <w:outlineLvl w:val="0"/>
        <w:rPr>
          <w:rFonts w:hint="eastAsia" w:ascii="仿宋" w:hAnsi="仿宋" w:eastAsia="仿宋" w:cs="仿宋"/>
          <w:color w:val="auto"/>
          <w:sz w:val="44"/>
          <w:highlight w:val="none"/>
        </w:rPr>
      </w:pPr>
      <w:r>
        <w:rPr>
          <w:rFonts w:hint="eastAsia" w:ascii="仿宋" w:hAnsi="仿宋" w:eastAsia="仿宋" w:cs="仿宋"/>
          <w:b/>
          <w:color w:val="auto"/>
          <w:sz w:val="72"/>
          <w:szCs w:val="72"/>
          <w:highlight w:val="none"/>
        </w:rPr>
        <w:t>件</w:t>
      </w:r>
    </w:p>
    <w:p w14:paraId="146FB600">
      <w:pPr>
        <w:adjustRightInd/>
        <w:spacing w:line="360" w:lineRule="auto"/>
        <w:jc w:val="center"/>
        <w:rPr>
          <w:rFonts w:hint="eastAsia" w:ascii="仿宋" w:hAnsi="仿宋" w:eastAsia="仿宋" w:cs="仿宋"/>
          <w:b/>
          <w:color w:val="auto"/>
          <w:sz w:val="44"/>
          <w:szCs w:val="44"/>
          <w:highlight w:val="none"/>
        </w:rPr>
      </w:pPr>
      <w:r>
        <w:rPr>
          <w:rFonts w:hint="eastAsia" w:ascii="仿宋" w:hAnsi="仿宋" w:eastAsia="仿宋" w:cs="仿宋"/>
          <w:b/>
          <w:color w:val="auto"/>
          <w:sz w:val="44"/>
          <w:szCs w:val="44"/>
          <w:highlight w:val="none"/>
        </w:rPr>
        <w:t>（电子招投标）</w:t>
      </w:r>
    </w:p>
    <w:p w14:paraId="35C02C33">
      <w:pPr>
        <w:spacing w:line="360" w:lineRule="auto"/>
        <w:jc w:val="both"/>
        <w:rPr>
          <w:rFonts w:hint="eastAsia" w:ascii="仿宋" w:hAnsi="仿宋" w:eastAsia="仿宋" w:cs="仿宋"/>
          <w:b/>
          <w:color w:val="auto"/>
          <w:sz w:val="44"/>
          <w:szCs w:val="44"/>
          <w:highlight w:val="none"/>
        </w:rPr>
      </w:pPr>
      <w:r>
        <w:rPr>
          <w:rFonts w:hint="eastAsia" w:ascii="仿宋" w:hAnsi="仿宋" w:eastAsia="仿宋" w:cs="仿宋"/>
          <w:b/>
          <w:color w:val="auto"/>
          <w:sz w:val="44"/>
          <w:szCs w:val="44"/>
          <w:highlight w:val="none"/>
        </w:rPr>
        <w:t xml:space="preserve"> </w:t>
      </w:r>
    </w:p>
    <w:p w14:paraId="477B47E3">
      <w:pPr>
        <w:jc w:val="center"/>
        <w:rPr>
          <w:rFonts w:hint="default" w:ascii="仿宋" w:hAnsi="仿宋" w:eastAsia="仿宋" w:cs="仿宋"/>
          <w:b/>
          <w:color w:val="auto"/>
          <w:sz w:val="28"/>
          <w:szCs w:val="28"/>
          <w:highlight w:val="none"/>
          <w:lang w:val="en-US" w:eastAsia="zh-CN"/>
        </w:rPr>
      </w:pPr>
      <w:r>
        <w:rPr>
          <w:rFonts w:hint="eastAsia" w:ascii="仿宋" w:hAnsi="仿宋" w:eastAsia="仿宋" w:cs="仿宋"/>
          <w:b/>
          <w:color w:val="auto"/>
          <w:sz w:val="28"/>
          <w:szCs w:val="28"/>
          <w:highlight w:val="none"/>
        </w:rPr>
        <w:t>招标编号:</w:t>
      </w:r>
      <w:r>
        <w:rPr>
          <w:rFonts w:hint="eastAsia" w:ascii="仿宋" w:hAnsi="仿宋" w:eastAsia="仿宋" w:cs="仿宋"/>
          <w:b/>
          <w:color w:val="auto"/>
          <w:sz w:val="28"/>
          <w:szCs w:val="28"/>
          <w:highlight w:val="none"/>
          <w:lang w:val="en-US" w:eastAsia="zh-CN"/>
        </w:rPr>
        <w:t>[2025]1527-1号</w:t>
      </w:r>
    </w:p>
    <w:tbl>
      <w:tblPr>
        <w:tblStyle w:val="15"/>
        <w:tblW w:w="7801" w:type="dxa"/>
        <w:jc w:val="center"/>
        <w:tblLayout w:type="fixed"/>
        <w:tblCellMar>
          <w:top w:w="0" w:type="dxa"/>
          <w:left w:w="108" w:type="dxa"/>
          <w:bottom w:w="0" w:type="dxa"/>
          <w:right w:w="108" w:type="dxa"/>
        </w:tblCellMar>
      </w:tblPr>
      <w:tblGrid>
        <w:gridCol w:w="2356"/>
        <w:gridCol w:w="5445"/>
      </w:tblGrid>
      <w:tr w14:paraId="0C669141">
        <w:tblPrEx>
          <w:tblCellMar>
            <w:top w:w="0" w:type="dxa"/>
            <w:left w:w="108" w:type="dxa"/>
            <w:bottom w:w="0" w:type="dxa"/>
            <w:right w:w="108" w:type="dxa"/>
          </w:tblCellMar>
        </w:tblPrEx>
        <w:trPr>
          <w:trHeight w:val="443" w:hRule="atLeast"/>
          <w:jc w:val="center"/>
        </w:trPr>
        <w:tc>
          <w:tcPr>
            <w:tcW w:w="2356" w:type="dxa"/>
          </w:tcPr>
          <w:p w14:paraId="179DB09B">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pacing w:val="93"/>
                <w:kern w:val="0"/>
                <w:sz w:val="28"/>
                <w:szCs w:val="28"/>
                <w:highlight w:val="none"/>
              </w:rPr>
              <w:t>采购单</w:t>
            </w:r>
            <w:r>
              <w:rPr>
                <w:rFonts w:hint="eastAsia" w:ascii="仿宋" w:hAnsi="仿宋" w:eastAsia="仿宋" w:cs="仿宋"/>
                <w:color w:val="auto"/>
                <w:spacing w:val="1"/>
                <w:kern w:val="0"/>
                <w:sz w:val="28"/>
                <w:szCs w:val="28"/>
                <w:highlight w:val="none"/>
              </w:rPr>
              <w:t>位</w:t>
            </w:r>
            <w:r>
              <w:rPr>
                <w:rFonts w:hint="eastAsia" w:ascii="仿宋" w:hAnsi="仿宋" w:eastAsia="仿宋" w:cs="仿宋"/>
                <w:color w:val="auto"/>
                <w:sz w:val="28"/>
                <w:szCs w:val="28"/>
                <w:highlight w:val="none"/>
              </w:rPr>
              <w:t>：</w:t>
            </w:r>
          </w:p>
        </w:tc>
        <w:tc>
          <w:tcPr>
            <w:tcW w:w="5445" w:type="dxa"/>
            <w:vAlign w:val="center"/>
          </w:tcPr>
          <w:p w14:paraId="5CB4F21F">
            <w:pPr>
              <w:spacing w:line="320" w:lineRule="exact"/>
              <w:outlineLvl w:val="0"/>
              <w:rPr>
                <w:rFonts w:hint="eastAsia"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lang w:eastAsia="zh-CN"/>
              </w:rPr>
              <w:t>绍兴市柯桥区市场监督管理局</w:t>
            </w:r>
          </w:p>
        </w:tc>
      </w:tr>
      <w:tr w14:paraId="4A343279">
        <w:tblPrEx>
          <w:tblCellMar>
            <w:top w:w="0" w:type="dxa"/>
            <w:left w:w="108" w:type="dxa"/>
            <w:bottom w:w="0" w:type="dxa"/>
            <w:right w:w="108" w:type="dxa"/>
          </w:tblCellMar>
        </w:tblPrEx>
        <w:trPr>
          <w:trHeight w:val="494" w:hRule="atLeast"/>
          <w:jc w:val="center"/>
        </w:trPr>
        <w:tc>
          <w:tcPr>
            <w:tcW w:w="2356" w:type="dxa"/>
          </w:tcPr>
          <w:p w14:paraId="7518A727">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pacing w:val="0"/>
                <w:w w:val="100"/>
                <w:kern w:val="0"/>
                <w:sz w:val="28"/>
                <w:szCs w:val="28"/>
                <w:highlight w:val="none"/>
                <w:fitText w:val="1680" w:id="253525487"/>
              </w:rPr>
              <w:t>采购代理机构</w:t>
            </w:r>
            <w:r>
              <w:rPr>
                <w:rFonts w:hint="eastAsia" w:ascii="仿宋" w:hAnsi="仿宋" w:eastAsia="仿宋" w:cs="仿宋"/>
                <w:color w:val="auto"/>
                <w:sz w:val="28"/>
                <w:szCs w:val="28"/>
                <w:highlight w:val="none"/>
              </w:rPr>
              <w:t>：</w:t>
            </w:r>
          </w:p>
        </w:tc>
        <w:tc>
          <w:tcPr>
            <w:tcW w:w="5445" w:type="dxa"/>
            <w:vAlign w:val="top"/>
          </w:tcPr>
          <w:p w14:paraId="567DCB38">
            <w:pPr>
              <w:spacing w:after="100" w:afterAutospacing="1" w:line="440" w:lineRule="exact"/>
              <w:rPr>
                <w:rFonts w:hint="eastAsia"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lang w:eastAsia="zh-CN"/>
              </w:rPr>
              <w:t>宁波建信工程造价咨询事务所有限公司</w:t>
            </w:r>
          </w:p>
        </w:tc>
      </w:tr>
      <w:tr w14:paraId="1EB3B509">
        <w:tblPrEx>
          <w:tblCellMar>
            <w:top w:w="0" w:type="dxa"/>
            <w:left w:w="108" w:type="dxa"/>
            <w:bottom w:w="0" w:type="dxa"/>
            <w:right w:w="108" w:type="dxa"/>
          </w:tblCellMar>
        </w:tblPrEx>
        <w:trPr>
          <w:trHeight w:val="397" w:hRule="atLeast"/>
          <w:jc w:val="center"/>
        </w:trPr>
        <w:tc>
          <w:tcPr>
            <w:tcW w:w="2356" w:type="dxa"/>
            <w:vAlign w:val="center"/>
          </w:tcPr>
          <w:p w14:paraId="79ADFE94">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pacing w:val="93"/>
                <w:kern w:val="0"/>
                <w:sz w:val="28"/>
                <w:szCs w:val="28"/>
                <w:highlight w:val="none"/>
                <w:fitText w:val="1680" w:id="973413836"/>
              </w:rPr>
              <w:t>监督单</w:t>
            </w:r>
            <w:r>
              <w:rPr>
                <w:rFonts w:hint="eastAsia" w:ascii="仿宋" w:hAnsi="仿宋" w:eastAsia="仿宋" w:cs="仿宋"/>
                <w:color w:val="auto"/>
                <w:spacing w:val="1"/>
                <w:kern w:val="0"/>
                <w:sz w:val="28"/>
                <w:szCs w:val="28"/>
                <w:highlight w:val="none"/>
                <w:fitText w:val="1680" w:id="973413836"/>
              </w:rPr>
              <w:t>位</w:t>
            </w:r>
            <w:r>
              <w:rPr>
                <w:rFonts w:hint="eastAsia" w:ascii="仿宋" w:hAnsi="仿宋" w:eastAsia="仿宋" w:cs="仿宋"/>
                <w:color w:val="auto"/>
                <w:sz w:val="28"/>
                <w:szCs w:val="28"/>
                <w:highlight w:val="none"/>
              </w:rPr>
              <w:t>：</w:t>
            </w:r>
          </w:p>
        </w:tc>
        <w:tc>
          <w:tcPr>
            <w:tcW w:w="5445" w:type="dxa"/>
            <w:vAlign w:val="top"/>
          </w:tcPr>
          <w:p w14:paraId="55B45784">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绍兴市柯桥区财政局</w:t>
            </w:r>
          </w:p>
        </w:tc>
      </w:tr>
      <w:tr w14:paraId="4C74F9D2">
        <w:tblPrEx>
          <w:tblCellMar>
            <w:top w:w="0" w:type="dxa"/>
            <w:left w:w="108" w:type="dxa"/>
            <w:bottom w:w="0" w:type="dxa"/>
            <w:right w:w="108" w:type="dxa"/>
          </w:tblCellMar>
        </w:tblPrEx>
        <w:trPr>
          <w:trHeight w:val="333" w:hRule="atLeast"/>
          <w:jc w:val="center"/>
        </w:trPr>
        <w:tc>
          <w:tcPr>
            <w:tcW w:w="7801" w:type="dxa"/>
            <w:gridSpan w:val="2"/>
          </w:tcPr>
          <w:p w14:paraId="6917B00C">
            <w:pPr>
              <w:spacing w:after="100" w:afterAutospacing="1" w:line="440" w:lineRule="exact"/>
              <w:jc w:val="cente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二○二五年</w:t>
            </w:r>
            <w:r>
              <w:rPr>
                <w:rFonts w:hint="eastAsia" w:ascii="仿宋" w:hAnsi="仿宋" w:eastAsia="仿宋" w:cs="仿宋"/>
                <w:color w:val="auto"/>
                <w:sz w:val="28"/>
                <w:szCs w:val="28"/>
                <w:highlight w:val="none"/>
                <w:lang w:val="en-US" w:eastAsia="zh-CN"/>
              </w:rPr>
              <w:t>七</w:t>
            </w:r>
            <w:r>
              <w:rPr>
                <w:rFonts w:hint="eastAsia" w:ascii="仿宋" w:hAnsi="仿宋" w:eastAsia="仿宋" w:cs="仿宋"/>
                <w:color w:val="auto"/>
                <w:sz w:val="28"/>
                <w:szCs w:val="28"/>
                <w:highlight w:val="none"/>
              </w:rPr>
              <w:t>月</w:t>
            </w:r>
          </w:p>
        </w:tc>
      </w:tr>
    </w:tbl>
    <w:p w14:paraId="20DE44F7">
      <w:pPr>
        <w:pStyle w:val="20"/>
        <w:rPr>
          <w:rFonts w:hint="eastAsia" w:ascii="仿宋" w:hAnsi="仿宋" w:eastAsia="仿宋" w:cs="仿宋"/>
          <w:color w:val="auto"/>
          <w:highlight w:val="none"/>
        </w:rPr>
        <w:sectPr>
          <w:headerReference r:id="rId4" w:type="first"/>
          <w:headerReference r:id="rId3" w:type="default"/>
          <w:footerReference r:id="rId5" w:type="even"/>
          <w:pgSz w:w="11906" w:h="16838"/>
          <w:pgMar w:top="1474" w:right="1814" w:bottom="1474" w:left="1814" w:header="851" w:footer="992" w:gutter="0"/>
          <w:cols w:space="720" w:num="1"/>
          <w:titlePg/>
          <w:docGrid w:linePitch="312" w:charSpace="0"/>
        </w:sectPr>
      </w:pPr>
    </w:p>
    <w:p w14:paraId="36226D5A">
      <w:pPr>
        <w:pStyle w:val="20"/>
        <w:pageBreakBefore w:val="0"/>
        <w:widowControl w:val="0"/>
        <w:kinsoku/>
        <w:wordWrap/>
        <w:overflowPunct/>
        <w:topLinePunct w:val="0"/>
        <w:autoSpaceDE/>
        <w:autoSpaceDN/>
        <w:bidi w:val="0"/>
        <w:spacing w:before="0" w:after="0" w:line="360" w:lineRule="auto"/>
        <w:ind w:left="0" w:firstLine="0" w:firstLineChars="0"/>
        <w:textAlignment w:val="auto"/>
        <w:rPr>
          <w:rFonts w:hint="eastAsia" w:ascii="仿宋" w:hAnsi="仿宋" w:eastAsia="仿宋" w:cs="仿宋"/>
          <w:color w:val="auto"/>
          <w:highlight w:val="none"/>
        </w:rPr>
      </w:pPr>
    </w:p>
    <w:p w14:paraId="544079B0">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b/>
          <w:color w:val="auto"/>
          <w:sz w:val="44"/>
          <w:szCs w:val="44"/>
          <w:highlight w:val="none"/>
        </w:rPr>
      </w:pPr>
      <w:bookmarkStart w:id="0" w:name="_Hlt91233176"/>
      <w:bookmarkEnd w:id="0"/>
      <w:bookmarkStart w:id="1" w:name="_Toc91899869"/>
      <w:r>
        <w:rPr>
          <w:rFonts w:hint="eastAsia" w:ascii="仿宋" w:hAnsi="仿宋" w:eastAsia="仿宋" w:cs="仿宋"/>
          <w:b/>
          <w:color w:val="auto"/>
          <w:sz w:val="44"/>
          <w:szCs w:val="44"/>
          <w:highlight w:val="none"/>
        </w:rPr>
        <w:t>目录</w:t>
      </w:r>
    </w:p>
    <w:p w14:paraId="08B96D6A">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b/>
          <w:color w:val="auto"/>
          <w:sz w:val="44"/>
          <w:szCs w:val="44"/>
          <w:highlight w:val="none"/>
        </w:rPr>
      </w:pPr>
    </w:p>
    <w:p w14:paraId="3AD62E9E">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color w:val="auto"/>
          <w:highlight w:val="none"/>
        </w:rPr>
      </w:pPr>
    </w:p>
    <w:p w14:paraId="145C34DD">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第一部分    招标公告</w:t>
      </w:r>
    </w:p>
    <w:p w14:paraId="0E841278">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 xml:space="preserve">第二部分   </w:t>
      </w:r>
      <w:r>
        <w:rPr>
          <w:rFonts w:hint="eastAsia" w:ascii="仿宋" w:hAnsi="仿宋" w:eastAsia="仿宋" w:cs="仿宋"/>
          <w:b/>
          <w:color w:val="auto"/>
          <w:sz w:val="36"/>
          <w:szCs w:val="36"/>
          <w:highlight w:val="none"/>
          <w:lang w:val="en-US" w:eastAsia="zh-CN"/>
        </w:rPr>
        <w:t xml:space="preserve"> </w:t>
      </w:r>
      <w:r>
        <w:rPr>
          <w:rFonts w:hint="eastAsia" w:ascii="仿宋" w:hAnsi="仿宋" w:eastAsia="仿宋" w:cs="仿宋"/>
          <w:b/>
          <w:color w:val="auto"/>
          <w:sz w:val="36"/>
          <w:szCs w:val="36"/>
          <w:highlight w:val="none"/>
        </w:rPr>
        <w:t>投标须知</w:t>
      </w:r>
    </w:p>
    <w:p w14:paraId="2C73FD9B">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第三部分    招标项目范围及要求</w:t>
      </w:r>
    </w:p>
    <w:p w14:paraId="3AA841A5">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第四部分    合同的主要条款</w:t>
      </w:r>
    </w:p>
    <w:p w14:paraId="6D22B794">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14:paraId="1279BBE2">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第六部分    投标文件及其附件格式</w:t>
      </w:r>
    </w:p>
    <w:p w14:paraId="71339F0A">
      <w:pPr>
        <w:spacing w:line="360" w:lineRule="auto"/>
        <w:ind w:firstLine="549" w:firstLineChars="229"/>
        <w:rPr>
          <w:rFonts w:hint="eastAsia" w:ascii="仿宋" w:hAnsi="仿宋" w:eastAsia="仿宋" w:cs="仿宋"/>
          <w:color w:val="auto"/>
          <w:sz w:val="24"/>
          <w:highlight w:val="none"/>
        </w:rPr>
      </w:pPr>
    </w:p>
    <w:p w14:paraId="21C8C9ED">
      <w:pPr>
        <w:spacing w:line="360" w:lineRule="auto"/>
        <w:ind w:firstLine="549" w:firstLineChars="229"/>
        <w:rPr>
          <w:rFonts w:hint="eastAsia" w:ascii="仿宋" w:hAnsi="仿宋" w:eastAsia="仿宋" w:cs="仿宋"/>
          <w:color w:val="auto"/>
          <w:sz w:val="24"/>
          <w:highlight w:val="none"/>
        </w:rPr>
      </w:pPr>
    </w:p>
    <w:p w14:paraId="625B4674">
      <w:pPr>
        <w:spacing w:line="360" w:lineRule="auto"/>
        <w:ind w:firstLine="549" w:firstLineChars="229"/>
        <w:rPr>
          <w:rFonts w:hint="eastAsia" w:ascii="仿宋" w:hAnsi="仿宋" w:eastAsia="仿宋" w:cs="仿宋"/>
          <w:color w:val="auto"/>
          <w:sz w:val="24"/>
          <w:highlight w:val="none"/>
        </w:rPr>
      </w:pPr>
    </w:p>
    <w:p w14:paraId="67332306">
      <w:pPr>
        <w:spacing w:line="360" w:lineRule="auto"/>
        <w:ind w:firstLine="549" w:firstLineChars="229"/>
        <w:rPr>
          <w:rFonts w:hint="eastAsia" w:ascii="仿宋" w:hAnsi="仿宋" w:eastAsia="仿宋" w:cs="仿宋"/>
          <w:color w:val="auto"/>
          <w:sz w:val="24"/>
          <w:highlight w:val="none"/>
        </w:rPr>
      </w:pPr>
    </w:p>
    <w:p w14:paraId="1F371EC4">
      <w:pPr>
        <w:spacing w:line="360" w:lineRule="auto"/>
        <w:ind w:firstLine="549" w:firstLineChars="229"/>
        <w:rPr>
          <w:rFonts w:hint="eastAsia" w:ascii="仿宋" w:hAnsi="仿宋" w:eastAsia="仿宋" w:cs="仿宋"/>
          <w:color w:val="auto"/>
          <w:sz w:val="24"/>
          <w:highlight w:val="none"/>
        </w:rPr>
      </w:pPr>
    </w:p>
    <w:p w14:paraId="28BB0D1A">
      <w:pPr>
        <w:spacing w:line="360" w:lineRule="auto"/>
        <w:ind w:firstLine="549" w:firstLineChars="229"/>
        <w:rPr>
          <w:rFonts w:hint="eastAsia" w:ascii="仿宋" w:hAnsi="仿宋" w:eastAsia="仿宋" w:cs="仿宋"/>
          <w:color w:val="auto"/>
          <w:sz w:val="24"/>
          <w:highlight w:val="none"/>
        </w:rPr>
      </w:pPr>
    </w:p>
    <w:p w14:paraId="1FDEE859">
      <w:pPr>
        <w:spacing w:line="360" w:lineRule="auto"/>
        <w:ind w:firstLine="549" w:firstLineChars="229"/>
        <w:rPr>
          <w:rFonts w:hint="eastAsia" w:ascii="仿宋" w:hAnsi="仿宋" w:eastAsia="仿宋" w:cs="仿宋"/>
          <w:color w:val="auto"/>
          <w:sz w:val="24"/>
          <w:highlight w:val="none"/>
        </w:rPr>
      </w:pPr>
    </w:p>
    <w:p w14:paraId="775F8677">
      <w:pPr>
        <w:spacing w:line="360" w:lineRule="auto"/>
        <w:ind w:firstLine="549" w:firstLineChars="229"/>
        <w:rPr>
          <w:rFonts w:hint="eastAsia" w:ascii="仿宋" w:hAnsi="仿宋" w:eastAsia="仿宋" w:cs="仿宋"/>
          <w:color w:val="auto"/>
          <w:sz w:val="24"/>
          <w:highlight w:val="none"/>
        </w:rPr>
      </w:pPr>
    </w:p>
    <w:p w14:paraId="29360F2B">
      <w:pPr>
        <w:spacing w:line="360" w:lineRule="auto"/>
        <w:ind w:firstLine="549" w:firstLineChars="229"/>
        <w:rPr>
          <w:rFonts w:hint="eastAsia" w:ascii="仿宋" w:hAnsi="仿宋" w:eastAsia="仿宋" w:cs="仿宋"/>
          <w:color w:val="auto"/>
          <w:sz w:val="24"/>
          <w:highlight w:val="none"/>
        </w:rPr>
      </w:pPr>
    </w:p>
    <w:p w14:paraId="6EA71120">
      <w:pPr>
        <w:spacing w:line="360" w:lineRule="auto"/>
        <w:ind w:firstLine="549" w:firstLineChars="229"/>
        <w:rPr>
          <w:rFonts w:hint="eastAsia" w:ascii="仿宋" w:hAnsi="仿宋" w:eastAsia="仿宋" w:cs="仿宋"/>
          <w:color w:val="auto"/>
          <w:sz w:val="24"/>
          <w:highlight w:val="none"/>
        </w:rPr>
      </w:pPr>
    </w:p>
    <w:p w14:paraId="05323084">
      <w:pPr>
        <w:spacing w:line="360" w:lineRule="auto"/>
        <w:ind w:firstLine="549" w:firstLineChars="229"/>
        <w:rPr>
          <w:rFonts w:hint="eastAsia" w:ascii="仿宋" w:hAnsi="仿宋" w:eastAsia="仿宋" w:cs="仿宋"/>
          <w:color w:val="auto"/>
          <w:sz w:val="24"/>
          <w:highlight w:val="none"/>
        </w:rPr>
      </w:pPr>
    </w:p>
    <w:p w14:paraId="5F521ABF">
      <w:pPr>
        <w:spacing w:line="360" w:lineRule="auto"/>
        <w:rPr>
          <w:rFonts w:hint="eastAsia" w:ascii="仿宋" w:hAnsi="仿宋" w:eastAsia="仿宋" w:cs="仿宋"/>
          <w:color w:val="auto"/>
          <w:sz w:val="24"/>
          <w:highlight w:val="none"/>
        </w:rPr>
      </w:pPr>
    </w:p>
    <w:bookmarkEnd w:id="1"/>
    <w:p w14:paraId="461D1BFB">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highlight w:val="none"/>
        </w:rPr>
      </w:pPr>
      <w:bookmarkStart w:id="2" w:name="第二部分"/>
      <w:bookmarkStart w:id="3" w:name="_Toc91899870"/>
      <w:bookmarkStart w:id="4" w:name="_Toc91899871"/>
    </w:p>
    <w:p w14:paraId="65337C6D">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highlight w:val="none"/>
        </w:rPr>
      </w:pPr>
    </w:p>
    <w:p w14:paraId="1C143470">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highlight w:val="none"/>
        </w:rPr>
        <w:sectPr>
          <w:footerReference r:id="rId6" w:type="default"/>
          <w:pgSz w:w="11906" w:h="16838"/>
          <w:pgMar w:top="1474" w:right="1814" w:bottom="1474" w:left="1814" w:header="851" w:footer="992" w:gutter="0"/>
          <w:pgNumType w:start="1"/>
          <w:cols w:space="720" w:num="1"/>
          <w:docGrid w:linePitch="312" w:charSpace="0"/>
        </w:sectPr>
      </w:pPr>
    </w:p>
    <w:p w14:paraId="0A676196">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第一部分 招标公告</w:t>
      </w:r>
    </w:p>
    <w:p w14:paraId="5B8894A5">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项目概况</w:t>
      </w:r>
      <w:r>
        <w:rPr>
          <w:rFonts w:hint="eastAsia" w:ascii="仿宋" w:hAnsi="仿宋" w:eastAsia="仿宋" w:cs="仿宋"/>
          <w:color w:val="auto"/>
          <w:sz w:val="24"/>
          <w:highlight w:val="none"/>
          <w:lang w:eastAsia="zh-CN"/>
        </w:rPr>
        <w:t>：</w:t>
      </w:r>
    </w:p>
    <w:p w14:paraId="59B18EAA">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u w:val="single"/>
          <w:lang w:val="en-US" w:eastAsia="zh-CN"/>
        </w:rPr>
        <w:t xml:space="preserve"> 2025年柯桥区中高风险特种设备安全风险评估项目 （第二次） </w:t>
      </w:r>
      <w:r>
        <w:rPr>
          <w:rFonts w:hint="eastAsia" w:ascii="仿宋" w:hAnsi="仿宋" w:eastAsia="仿宋" w:cs="仿宋"/>
          <w:color w:val="auto"/>
          <w:sz w:val="24"/>
          <w:highlight w:val="none"/>
        </w:rPr>
        <w:t>招标项目的潜在投标人应在政采云平台（</w:t>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HYPERLINK "https://www.zcygov.cn/）获取（下载）招标文件，并于202%20年%20月%20日%20点%20分00秒" </w:instrText>
      </w:r>
      <w:r>
        <w:rPr>
          <w:rFonts w:hint="eastAsia" w:ascii="仿宋" w:hAnsi="仿宋" w:eastAsia="仿宋" w:cs="仿宋"/>
          <w:color w:val="auto"/>
          <w:highlight w:val="none"/>
        </w:rPr>
        <w:fldChar w:fldCharType="separate"/>
      </w:r>
      <w:r>
        <w:rPr>
          <w:rStyle w:val="19"/>
          <w:rFonts w:hint="eastAsia" w:ascii="仿宋" w:hAnsi="仿宋" w:eastAsia="仿宋" w:cs="仿宋"/>
          <w:snapToGrid/>
          <w:color w:val="auto"/>
          <w:kern w:val="2"/>
          <w:sz w:val="24"/>
          <w:szCs w:val="24"/>
          <w:highlight w:val="none"/>
        </w:rPr>
        <w:t>https://www.zcygov.cn/）获取（下载）招标文件，并于2025年</w:t>
      </w:r>
      <w:r>
        <w:rPr>
          <w:rStyle w:val="19"/>
          <w:rFonts w:hint="eastAsia" w:ascii="仿宋" w:hAnsi="仿宋" w:eastAsia="仿宋" w:cs="仿宋"/>
          <w:snapToGrid/>
          <w:color w:val="auto"/>
          <w:kern w:val="2"/>
          <w:sz w:val="24"/>
          <w:szCs w:val="24"/>
          <w:highlight w:val="none"/>
          <w:lang w:val="en-US" w:eastAsia="zh-CN"/>
        </w:rPr>
        <w:t>7月28日</w:t>
      </w:r>
      <w:r>
        <w:rPr>
          <w:rStyle w:val="19"/>
          <w:rFonts w:hint="eastAsia" w:ascii="仿宋" w:hAnsi="仿宋" w:eastAsia="仿宋" w:cs="仿宋"/>
          <w:snapToGrid/>
          <w:color w:val="auto"/>
          <w:kern w:val="2"/>
          <w:sz w:val="24"/>
          <w:szCs w:val="24"/>
          <w:highlight w:val="none"/>
        </w:rPr>
        <w:t>14点15分</w:t>
      </w:r>
      <w:r>
        <w:rPr>
          <w:rStyle w:val="19"/>
          <w:rFonts w:hint="eastAsia" w:ascii="仿宋" w:hAnsi="仿宋" w:eastAsia="仿宋" w:cs="仿宋"/>
          <w:bCs/>
          <w:snapToGrid/>
          <w:color w:val="auto"/>
          <w:kern w:val="2"/>
          <w:sz w:val="24"/>
          <w:szCs w:val="24"/>
          <w:highlight w:val="none"/>
        </w:rPr>
        <w:t>00秒</w:t>
      </w:r>
      <w:r>
        <w:rPr>
          <w:rStyle w:val="19"/>
          <w:rFonts w:hint="eastAsia" w:ascii="仿宋" w:hAnsi="仿宋" w:eastAsia="仿宋" w:cs="仿宋"/>
          <w:bCs/>
          <w:snapToGrid/>
          <w:color w:val="auto"/>
          <w:kern w:val="2"/>
          <w:sz w:val="24"/>
          <w:szCs w:val="24"/>
          <w:highlight w:val="none"/>
        </w:rPr>
        <w:fldChar w:fldCharType="end"/>
      </w:r>
      <w:r>
        <w:rPr>
          <w:rFonts w:hint="eastAsia" w:ascii="仿宋" w:hAnsi="仿宋" w:eastAsia="仿宋" w:cs="仿宋"/>
          <w:bCs/>
          <w:color w:val="auto"/>
          <w:sz w:val="24"/>
          <w:highlight w:val="none"/>
        </w:rPr>
        <w:t>（北京时间）前</w:t>
      </w:r>
      <w:r>
        <w:rPr>
          <w:rFonts w:hint="eastAsia" w:ascii="仿宋" w:hAnsi="仿宋" w:eastAsia="仿宋" w:cs="仿宋"/>
          <w:color w:val="auto"/>
          <w:sz w:val="24"/>
          <w:highlight w:val="none"/>
        </w:rPr>
        <w:t>递交（上传）投标文件。</w:t>
      </w:r>
    </w:p>
    <w:p w14:paraId="2A773B70">
      <w:pPr>
        <w:pageBreakBefore w:val="0"/>
        <w:widowControl w:val="0"/>
        <w:kinsoku/>
        <w:wordWrap/>
        <w:overflowPunct/>
        <w:topLinePunct w:val="0"/>
        <w:autoSpaceDE/>
        <w:autoSpaceDN/>
        <w:bidi w:val="0"/>
        <w:spacing w:line="360" w:lineRule="auto"/>
        <w:ind w:firstLine="480" w:firstLineChars="200"/>
        <w:textAlignment w:val="auto"/>
        <w:rPr>
          <w:rFonts w:hint="eastAsia" w:ascii="仿宋" w:hAnsi="仿宋" w:eastAsia="仿宋" w:cs="仿宋"/>
          <w:b/>
          <w:color w:val="auto"/>
          <w:sz w:val="24"/>
          <w:highlight w:val="none"/>
        </w:rPr>
      </w:pPr>
      <w:r>
        <w:rPr>
          <w:rFonts w:hint="eastAsia" w:ascii="黑体" w:hAnsi="黑体" w:eastAsia="黑体" w:cs="黑体"/>
          <w:b w:val="0"/>
          <w:bCs/>
          <w:color w:val="auto"/>
          <w:sz w:val="24"/>
          <w:highlight w:val="none"/>
        </w:rPr>
        <w:t xml:space="preserve">一、项目基本情况  </w:t>
      </w:r>
      <w:r>
        <w:rPr>
          <w:rFonts w:hint="eastAsia" w:ascii="仿宋" w:hAnsi="仿宋" w:eastAsia="仿宋" w:cs="仿宋"/>
          <w:b/>
          <w:color w:val="auto"/>
          <w:sz w:val="24"/>
          <w:highlight w:val="none"/>
        </w:rPr>
        <w:t xml:space="preserve">                                          </w:t>
      </w:r>
    </w:p>
    <w:p w14:paraId="7D919109">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sz w:val="24"/>
          <w:highlight w:val="none"/>
          <w:lang w:val="en-US" w:eastAsia="zh-CN"/>
        </w:rPr>
      </w:pPr>
      <w:r>
        <w:rPr>
          <w:rFonts w:hint="eastAsia" w:ascii="仿宋" w:hAnsi="仿宋" w:eastAsia="仿宋" w:cs="仿宋"/>
          <w:b/>
          <w:color w:val="auto"/>
          <w:sz w:val="24"/>
          <w:highlight w:val="none"/>
        </w:rPr>
        <w:t>项目编号：</w:t>
      </w:r>
      <w:r>
        <w:rPr>
          <w:rFonts w:hint="eastAsia" w:ascii="仿宋" w:hAnsi="仿宋" w:eastAsia="仿宋" w:cs="仿宋"/>
          <w:b/>
          <w:color w:val="auto"/>
          <w:sz w:val="24"/>
          <w:highlight w:val="none"/>
          <w:lang w:val="en-US" w:eastAsia="zh-CN"/>
        </w:rPr>
        <w:t>[2025]1527-1号</w:t>
      </w:r>
    </w:p>
    <w:p w14:paraId="328E993C">
      <w:pPr>
        <w:spacing w:line="360" w:lineRule="auto"/>
        <w:ind w:firstLine="482" w:firstLineChars="200"/>
        <w:rPr>
          <w:rFonts w:hint="eastAsia" w:ascii="仿宋" w:hAnsi="仿宋" w:eastAsia="仿宋" w:cs="仿宋"/>
          <w:color w:val="auto"/>
          <w:sz w:val="24"/>
          <w:highlight w:val="none"/>
          <w:lang w:eastAsia="zh-CN"/>
        </w:rPr>
      </w:pPr>
      <w:r>
        <w:rPr>
          <w:rFonts w:hint="eastAsia" w:ascii="仿宋" w:hAnsi="仿宋" w:eastAsia="仿宋" w:cs="仿宋"/>
          <w:b/>
          <w:color w:val="auto"/>
          <w:sz w:val="24"/>
          <w:highlight w:val="none"/>
        </w:rPr>
        <w:t>项目名称：</w:t>
      </w:r>
      <w:r>
        <w:rPr>
          <w:rFonts w:hint="eastAsia" w:ascii="仿宋" w:hAnsi="仿宋" w:eastAsia="仿宋" w:cs="仿宋"/>
          <w:b/>
          <w:bCs/>
          <w:color w:val="auto"/>
          <w:sz w:val="24"/>
          <w:highlight w:val="none"/>
          <w:u w:val="single"/>
        </w:rPr>
        <w:t xml:space="preserve"> </w:t>
      </w:r>
      <w:r>
        <w:rPr>
          <w:rFonts w:hint="eastAsia" w:ascii="仿宋" w:hAnsi="仿宋" w:eastAsia="仿宋" w:cs="仿宋"/>
          <w:b/>
          <w:bCs/>
          <w:color w:val="auto"/>
          <w:sz w:val="24"/>
          <w:highlight w:val="none"/>
          <w:u w:val="single"/>
          <w:lang w:eastAsia="zh-CN"/>
        </w:rPr>
        <w:t>2025年柯桥区中高风险特种设备安全风险评估项目 （第二次）</w:t>
      </w:r>
    </w:p>
    <w:p w14:paraId="01553414">
      <w:pPr>
        <w:spacing w:line="360" w:lineRule="auto"/>
        <w:ind w:firstLine="482" w:firstLineChars="200"/>
        <w:rPr>
          <w:rFonts w:hint="eastAsia" w:ascii="仿宋" w:hAnsi="仿宋" w:eastAsia="仿宋" w:cs="仿宋"/>
          <w:b/>
          <w:color w:val="auto"/>
          <w:sz w:val="24"/>
          <w:highlight w:val="none"/>
          <w:lang w:eastAsia="zh-CN"/>
        </w:rPr>
      </w:pPr>
      <w:r>
        <w:rPr>
          <w:rFonts w:hint="eastAsia" w:ascii="仿宋" w:hAnsi="仿宋" w:eastAsia="仿宋" w:cs="仿宋"/>
          <w:b/>
          <w:color w:val="auto"/>
          <w:sz w:val="24"/>
          <w:highlight w:val="none"/>
        </w:rPr>
        <w:t>预算金额（元）：</w:t>
      </w:r>
      <w:r>
        <w:rPr>
          <w:rFonts w:hint="eastAsia" w:ascii="仿宋" w:hAnsi="仿宋" w:eastAsia="仿宋" w:cs="仿宋"/>
          <w:b/>
          <w:color w:val="auto"/>
          <w:sz w:val="24"/>
          <w:highlight w:val="none"/>
          <w:lang w:eastAsia="zh-CN"/>
        </w:rPr>
        <w:t>500000</w:t>
      </w:r>
    </w:p>
    <w:p w14:paraId="546A7F95">
      <w:pPr>
        <w:spacing w:line="360" w:lineRule="auto"/>
        <w:ind w:firstLine="482" w:firstLineChars="200"/>
        <w:rPr>
          <w:rFonts w:hint="eastAsia" w:ascii="仿宋" w:hAnsi="仿宋" w:eastAsia="仿宋" w:cs="仿宋"/>
          <w:b/>
          <w:color w:val="auto"/>
          <w:sz w:val="24"/>
          <w:highlight w:val="none"/>
          <w:u w:val="single"/>
          <w:lang w:eastAsia="zh-CN"/>
        </w:rPr>
      </w:pPr>
      <w:r>
        <w:rPr>
          <w:rFonts w:hint="eastAsia" w:ascii="仿宋" w:hAnsi="仿宋" w:eastAsia="仿宋" w:cs="仿宋"/>
          <w:b/>
          <w:color w:val="auto"/>
          <w:sz w:val="24"/>
          <w:highlight w:val="none"/>
        </w:rPr>
        <w:t>最高限价（元）：</w:t>
      </w:r>
      <w:r>
        <w:rPr>
          <w:rFonts w:hint="eastAsia" w:ascii="仿宋" w:hAnsi="仿宋" w:eastAsia="仿宋" w:cs="仿宋"/>
          <w:b/>
          <w:color w:val="auto"/>
          <w:sz w:val="24"/>
          <w:highlight w:val="none"/>
          <w:lang w:eastAsia="zh-CN"/>
        </w:rPr>
        <w:t>500000</w:t>
      </w:r>
    </w:p>
    <w:p w14:paraId="2EE6781B">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 xml:space="preserve">采购需求：详见招标文件 </w:t>
      </w:r>
    </w:p>
    <w:p w14:paraId="0A7147D2">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标项一：</w:t>
      </w:r>
    </w:p>
    <w:p w14:paraId="3CCDC8BA">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标项名称：2025年柯桥区中高风险特种设备安全风险评估项目 （第二次）</w:t>
      </w:r>
    </w:p>
    <w:p w14:paraId="7F6B2467">
      <w:pPr>
        <w:pageBreakBefore w:val="0"/>
        <w:widowControl w:val="0"/>
        <w:kinsoku/>
        <w:wordWrap/>
        <w:overflowPunct/>
        <w:topLinePunct w:val="0"/>
        <w:autoSpaceDE/>
        <w:autoSpaceDN/>
        <w:bidi w:val="0"/>
        <w:spacing w:line="360" w:lineRule="auto"/>
        <w:ind w:left="0" w:firstLine="480" w:firstLineChars="200"/>
        <w:textAlignment w:val="auto"/>
        <w:rPr>
          <w:rFonts w:hint="default"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数量：1</w:t>
      </w:r>
    </w:p>
    <w:p w14:paraId="7EB04508">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Cs/>
          <w:color w:val="auto"/>
          <w:sz w:val="24"/>
          <w:highlight w:val="none"/>
          <w:lang w:eastAsia="zh-CN"/>
        </w:rPr>
      </w:pPr>
      <w:r>
        <w:rPr>
          <w:rFonts w:hint="eastAsia" w:ascii="仿宋" w:hAnsi="仿宋" w:eastAsia="仿宋" w:cs="仿宋"/>
          <w:bCs/>
          <w:color w:val="auto"/>
          <w:sz w:val="24"/>
          <w:highlight w:val="none"/>
          <w:lang w:val="en-US" w:eastAsia="zh-CN"/>
        </w:rPr>
        <w:t>预算金额：</w:t>
      </w:r>
      <w:r>
        <w:rPr>
          <w:rFonts w:hint="eastAsia" w:ascii="仿宋" w:hAnsi="仿宋" w:eastAsia="仿宋" w:cs="仿宋"/>
          <w:bCs/>
          <w:color w:val="auto"/>
          <w:sz w:val="24"/>
          <w:highlight w:val="none"/>
          <w:lang w:eastAsia="zh-CN"/>
        </w:rPr>
        <w:t>500000</w:t>
      </w:r>
    </w:p>
    <w:p w14:paraId="74B234EF">
      <w:pPr>
        <w:spacing w:line="360" w:lineRule="auto"/>
        <w:ind w:firstLine="480" w:firstLineChars="200"/>
        <w:rPr>
          <w:rFonts w:hint="eastAsia" w:ascii="仿宋" w:hAnsi="仿宋" w:eastAsia="仿宋" w:cs="仿宋"/>
          <w:b/>
          <w:color w:val="auto"/>
          <w:sz w:val="24"/>
          <w:highlight w:val="none"/>
          <w:u w:val="single"/>
        </w:rPr>
      </w:pPr>
      <w:r>
        <w:rPr>
          <w:rFonts w:hint="eastAsia" w:ascii="仿宋" w:hAnsi="仿宋" w:eastAsia="仿宋" w:cs="仿宋"/>
          <w:bCs/>
          <w:color w:val="auto"/>
          <w:sz w:val="24"/>
          <w:highlight w:val="none"/>
        </w:rPr>
        <w:t>主要内容：</w:t>
      </w:r>
      <w:r>
        <w:rPr>
          <w:rFonts w:hint="eastAsia" w:ascii="仿宋" w:hAnsi="仿宋" w:eastAsia="仿宋" w:cs="仿宋"/>
          <w:bCs/>
          <w:color w:val="auto"/>
          <w:sz w:val="24"/>
          <w:highlight w:val="none"/>
          <w:u w:val="single"/>
        </w:rPr>
        <w:t>对全区</w:t>
      </w:r>
      <w:r>
        <w:rPr>
          <w:rFonts w:hint="eastAsia" w:ascii="仿宋" w:hAnsi="仿宋" w:eastAsia="仿宋" w:cs="仿宋"/>
          <w:bCs/>
          <w:color w:val="auto"/>
          <w:sz w:val="24"/>
          <w:highlight w:val="none"/>
          <w:u w:val="single"/>
          <w:lang w:eastAsia="zh-CN"/>
        </w:rPr>
        <w:t>特种设备</w:t>
      </w:r>
      <w:r>
        <w:rPr>
          <w:rFonts w:hint="eastAsia" w:ascii="仿宋" w:hAnsi="仿宋" w:eastAsia="仿宋" w:cs="仿宋"/>
          <w:bCs/>
          <w:color w:val="auto"/>
          <w:sz w:val="24"/>
          <w:highlight w:val="none"/>
          <w:u w:val="single"/>
        </w:rPr>
        <w:t>风险等级较高的14家化工企业及31家存在中高风险特种设备的企业（快开门式压力容器）进行特种设备安全风险评估</w:t>
      </w:r>
      <w:r>
        <w:rPr>
          <w:rFonts w:hint="default" w:ascii="仿宋" w:hAnsi="仿宋" w:eastAsia="仿宋" w:cs="仿宋"/>
          <w:bCs/>
          <w:color w:val="auto"/>
          <w:sz w:val="24"/>
          <w:highlight w:val="none"/>
          <w:u w:val="single"/>
          <w:lang w:val="en-US"/>
        </w:rPr>
        <w:t>,</w:t>
      </w:r>
      <w:r>
        <w:rPr>
          <w:rFonts w:hint="eastAsia" w:ascii="仿宋" w:hAnsi="仿宋" w:eastAsia="仿宋" w:cs="仿宋"/>
          <w:bCs/>
          <w:color w:val="auto"/>
          <w:sz w:val="24"/>
          <w:highlight w:val="none"/>
          <w:u w:val="single"/>
          <w:lang w:val="en-US" w:eastAsia="zh-CN"/>
        </w:rPr>
        <w:t>此次项目涉及滨海工业区、马鞍街道、柯岩街道、安昌街道、钱清街道、兰亭街道、齐贤街道、柯桥街道、杨汛桥街道等区域</w:t>
      </w:r>
      <w:r>
        <w:rPr>
          <w:rFonts w:hint="eastAsia" w:ascii="仿宋" w:hAnsi="仿宋" w:eastAsia="仿宋" w:cs="仿宋"/>
          <w:bCs/>
          <w:color w:val="auto"/>
          <w:sz w:val="24"/>
          <w:highlight w:val="none"/>
          <w:u w:val="single"/>
        </w:rPr>
        <w:t>。此项目预计1、对799台（套）在用设备，包含480台压力容器，1台锅炉，34条管道，58台叉车，17台电梯，1台起重机械、208台快开门压力容器提供隐患排查技术服务，并指导企业整改。对445台（套）非在用设备，包含409台压力容器，15条管道，17台叉车，2台电梯，2台起重机械进行停用状态核查确认。2、对以上特种设备使用单位提供管理制度、应急演练、人员能力提升等方面的技术帮扶；3、对区市场监管局组织的监察人员现场教学1次以上。因特种设备数量及使用状态实时变动，要求中标方根据企业特种设备实际运行情况执行，项目结束前出具一份风险评估报告。具体详见招标文件采购需求。</w:t>
      </w:r>
    </w:p>
    <w:p w14:paraId="6E8D5FF7">
      <w:pPr>
        <w:spacing w:line="360" w:lineRule="auto"/>
        <w:ind w:firstLine="482" w:firstLineChars="200"/>
        <w:rPr>
          <w:rFonts w:hint="eastAsia" w:ascii="仿宋" w:hAnsi="仿宋" w:eastAsia="仿宋" w:cs="仿宋"/>
          <w:color w:val="auto"/>
          <w:sz w:val="24"/>
          <w:highlight w:val="none"/>
          <w:u w:val="single"/>
        </w:rPr>
      </w:pPr>
      <w:r>
        <w:rPr>
          <w:rFonts w:hint="eastAsia" w:ascii="仿宋" w:hAnsi="仿宋" w:eastAsia="仿宋" w:cs="仿宋"/>
          <w:b/>
          <w:color w:val="auto"/>
          <w:sz w:val="24"/>
          <w:highlight w:val="none"/>
        </w:rPr>
        <w:t>合同履行期限</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详见招标文件。</w:t>
      </w:r>
    </w:p>
    <w:p w14:paraId="2E3A339B">
      <w:pPr>
        <w:spacing w:line="360" w:lineRule="auto"/>
        <w:ind w:firstLine="482" w:firstLineChars="200"/>
        <w:rPr>
          <w:rFonts w:hint="eastAsia" w:ascii="仿宋" w:hAnsi="仿宋" w:eastAsia="仿宋" w:cs="仿宋"/>
          <w:b/>
          <w:color w:val="auto"/>
          <w:highlight w:val="none"/>
        </w:rPr>
      </w:pPr>
      <w:r>
        <w:rPr>
          <w:rFonts w:hint="eastAsia" w:ascii="仿宋" w:hAnsi="仿宋" w:eastAsia="仿宋" w:cs="仿宋"/>
          <w:b/>
          <w:color w:val="auto"/>
          <w:sz w:val="24"/>
          <w:highlight w:val="none"/>
        </w:rPr>
        <w:t>本项目接受联合体投标：</w:t>
      </w:r>
      <w:r>
        <w:rPr>
          <w:rFonts w:hint="eastAsia" w:ascii="仿宋" w:hAnsi="仿宋" w:eastAsia="仿宋" w:cs="仿宋"/>
          <w:b/>
          <w:color w:val="auto"/>
          <w:kern w:val="2"/>
          <w:sz w:val="24"/>
          <w:szCs w:val="24"/>
          <w:highlight w:val="none"/>
          <w:lang w:val="en-US" w:eastAsia="zh-CN" w:bidi="ar-SA"/>
        </w:rPr>
        <w:t>☐</w:t>
      </w:r>
      <w:r>
        <w:rPr>
          <w:rFonts w:hint="eastAsia" w:ascii="仿宋" w:hAnsi="仿宋" w:eastAsia="仿宋" w:cs="仿宋"/>
          <w:b/>
          <w:color w:val="auto"/>
          <w:sz w:val="24"/>
          <w:highlight w:val="none"/>
        </w:rPr>
        <w:t>是，</w:t>
      </w:r>
      <w:r>
        <w:rPr>
          <w:rFonts w:hint="eastAsia" w:ascii="仿宋" w:hAnsi="仿宋" w:eastAsia="仿宋" w:cs="仿宋"/>
          <w:b/>
          <w:color w:val="auto"/>
          <w:sz w:val="24"/>
          <w:highlight w:val="none"/>
        </w:rPr>
        <w:sym w:font="Wingdings 2" w:char="0052"/>
      </w:r>
      <w:r>
        <w:rPr>
          <w:rFonts w:hint="eastAsia" w:ascii="仿宋" w:hAnsi="仿宋" w:eastAsia="仿宋" w:cs="仿宋"/>
          <w:b/>
          <w:color w:val="auto"/>
          <w:sz w:val="24"/>
          <w:highlight w:val="none"/>
        </w:rPr>
        <w:t>否。</w:t>
      </w:r>
    </w:p>
    <w:p w14:paraId="2D366E23">
      <w:pPr>
        <w:pageBreakBefore w:val="0"/>
        <w:widowControl w:val="0"/>
        <w:kinsoku/>
        <w:wordWrap/>
        <w:overflowPunct/>
        <w:topLinePunct w:val="0"/>
        <w:autoSpaceDE/>
        <w:autoSpaceDN/>
        <w:bidi w:val="0"/>
        <w:spacing w:line="360" w:lineRule="auto"/>
        <w:ind w:firstLine="480" w:firstLineChars="200"/>
        <w:textAlignment w:val="auto"/>
        <w:rPr>
          <w:rFonts w:hint="eastAsia" w:ascii="黑体" w:hAnsi="黑体" w:eastAsia="黑体" w:cs="黑体"/>
          <w:b w:val="0"/>
          <w:bCs/>
          <w:color w:val="auto"/>
          <w:sz w:val="24"/>
          <w:highlight w:val="none"/>
        </w:rPr>
      </w:pPr>
      <w:r>
        <w:rPr>
          <w:rFonts w:hint="eastAsia" w:ascii="黑体" w:hAnsi="黑体" w:eastAsia="黑体" w:cs="黑体"/>
          <w:b w:val="0"/>
          <w:bCs/>
          <w:color w:val="auto"/>
          <w:sz w:val="24"/>
          <w:highlight w:val="none"/>
        </w:rPr>
        <w:t>二、申请人的资格要求</w:t>
      </w:r>
    </w:p>
    <w:p w14:paraId="5C33B11A">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1. 满足《中华人民共和国政府采购法》第二十二条规定；未被“信用中国”（www.creditchina.gov.cn)、中国政府采购网（www.ccgp.gov.cn）列入失信被执行人、重大税收违法失信主体、政府采购严重违法失信行为记录名单；</w:t>
      </w:r>
    </w:p>
    <w:p w14:paraId="002423AD">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2.</w:t>
      </w:r>
      <w:r>
        <w:rPr>
          <w:rFonts w:hint="eastAsia" w:ascii="仿宋" w:hAnsi="仿宋" w:eastAsia="仿宋" w:cs="仿宋"/>
          <w:color w:val="auto"/>
          <w:highlight w:val="none"/>
        </w:rPr>
        <w:t xml:space="preserve"> </w:t>
      </w:r>
      <w:r>
        <w:rPr>
          <w:rFonts w:hint="eastAsia" w:ascii="仿宋" w:hAnsi="仿宋" w:eastAsia="仿宋" w:cs="仿宋"/>
          <w:snapToGrid w:val="0"/>
          <w:color w:val="auto"/>
          <w:kern w:val="28"/>
          <w:sz w:val="24"/>
          <w:szCs w:val="20"/>
          <w:highlight w:val="none"/>
        </w:rPr>
        <w:t>以联合体形式投标的，提供联合协议(本项目不接受联合体投标或者投标人不以联合体形式投标的，则不需要提供) ；</w:t>
      </w:r>
    </w:p>
    <w:p w14:paraId="4E8F0FE2">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3.落实政府采购政策需满足的资格要求：</w:t>
      </w:r>
    </w:p>
    <w:p w14:paraId="696C8C56">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sym w:font="Wingdings 2" w:char="0052"/>
      </w:r>
      <w:r>
        <w:rPr>
          <w:rFonts w:hint="eastAsia" w:ascii="仿宋" w:hAnsi="仿宋" w:eastAsia="仿宋" w:cs="仿宋"/>
          <w:color w:val="auto"/>
          <w:sz w:val="24"/>
          <w:highlight w:val="none"/>
        </w:rPr>
        <w:t>无</w:t>
      </w:r>
      <w:r>
        <w:rPr>
          <w:rFonts w:hint="eastAsia" w:ascii="仿宋" w:hAnsi="仿宋" w:eastAsia="仿宋" w:cs="仿宋"/>
          <w:snapToGrid w:val="0"/>
          <w:color w:val="auto"/>
          <w:kern w:val="28"/>
          <w:sz w:val="24"/>
          <w:szCs w:val="20"/>
          <w:highlight w:val="none"/>
        </w:rPr>
        <w:t>；</w:t>
      </w:r>
    </w:p>
    <w:p w14:paraId="2A2A2894">
      <w:pPr>
        <w:spacing w:line="360" w:lineRule="auto"/>
        <w:ind w:firstLine="480" w:firstLineChars="200"/>
        <w:rPr>
          <w:rFonts w:hint="eastAsia" w:ascii="仿宋" w:hAnsi="仿宋" w:eastAsia="仿宋" w:cs="仿宋"/>
          <w:color w:val="auto"/>
          <w:sz w:val="24"/>
          <w:highlight w:val="none"/>
        </w:rPr>
      </w:pPr>
      <w:r>
        <w:rPr>
          <w:rFonts w:hint="eastAsia" w:ascii="MS Gothic" w:hAnsi="MS Gothic" w:eastAsia="仿宋" w:cs="仿宋"/>
          <w:color w:val="auto"/>
          <w:kern w:val="0"/>
          <w:sz w:val="24"/>
          <w:szCs w:val="24"/>
          <w:highlight w:val="none"/>
          <w:lang w:val="en-US" w:eastAsia="zh-CN" w:bidi="ar-SA"/>
        </w:rPr>
        <w:t>☐</w:t>
      </w:r>
      <w:r>
        <w:rPr>
          <w:rFonts w:hint="eastAsia" w:ascii="仿宋" w:hAnsi="仿宋" w:eastAsia="仿宋" w:cs="仿宋"/>
          <w:color w:val="auto"/>
          <w:kern w:val="0"/>
          <w:sz w:val="24"/>
          <w:highlight w:val="none"/>
        </w:rPr>
        <w:t>专</w:t>
      </w:r>
      <w:r>
        <w:rPr>
          <w:rFonts w:hint="eastAsia" w:ascii="仿宋" w:hAnsi="仿宋" w:eastAsia="仿宋" w:cs="仿宋"/>
          <w:color w:val="auto"/>
          <w:sz w:val="24"/>
          <w:highlight w:val="none"/>
        </w:rPr>
        <w:t>门面向中小企业</w:t>
      </w:r>
    </w:p>
    <w:p w14:paraId="4D84D5CB">
      <w:pPr>
        <w:keepNext w:val="0"/>
        <w:keepLines w:val="0"/>
        <w:pageBreakBefore w:val="0"/>
        <w:widowControl w:val="0"/>
        <w:kinsoku/>
        <w:wordWrap/>
        <w:overflowPunct/>
        <w:topLinePunct w:val="0"/>
        <w:autoSpaceDE/>
        <w:autoSpaceDN/>
        <w:bidi w:val="0"/>
        <w:adjustRightInd w:val="0"/>
        <w:snapToGrid/>
        <w:spacing w:line="360" w:lineRule="auto"/>
        <w:ind w:left="0" w:firstLine="960" w:firstLineChars="400"/>
        <w:textAlignment w:val="auto"/>
        <w:rPr>
          <w:rFonts w:hint="eastAsia" w:ascii="MS Gothic" w:hAnsi="MS Gothic" w:eastAsia="仿宋" w:cs="仿宋"/>
          <w:color w:val="auto"/>
          <w:kern w:val="0"/>
          <w:sz w:val="24"/>
          <w:szCs w:val="24"/>
          <w:highlight w:val="none"/>
          <w:lang w:val="en-US" w:eastAsia="zh-CN" w:bidi="ar-SA"/>
        </w:rPr>
      </w:pPr>
      <w:r>
        <w:rPr>
          <w:rFonts w:hint="eastAsia" w:ascii="MS Gothic" w:hAnsi="MS Gothic" w:eastAsia="仿宋" w:cs="仿宋"/>
          <w:color w:val="auto"/>
          <w:kern w:val="0"/>
          <w:sz w:val="24"/>
          <w:szCs w:val="24"/>
          <w:highlight w:val="none"/>
          <w:lang w:val="en-US" w:eastAsia="zh-CN" w:bidi="ar-SA"/>
        </w:rPr>
        <w:t>☐</w:t>
      </w:r>
      <w:r>
        <w:rPr>
          <w:rFonts w:hint="eastAsia" w:ascii="仿宋" w:hAnsi="仿宋" w:eastAsia="仿宋" w:cs="仿宋"/>
          <w:color w:val="auto"/>
          <w:sz w:val="24"/>
          <w:highlight w:val="none"/>
        </w:rPr>
        <w:t>服务全部由符合政策要求的中小企业承接，提供中小企业声明函；</w:t>
      </w:r>
    </w:p>
    <w:p w14:paraId="3BED00C8">
      <w:pPr>
        <w:keepNext w:val="0"/>
        <w:keepLines w:val="0"/>
        <w:pageBreakBefore w:val="0"/>
        <w:widowControl w:val="0"/>
        <w:kinsoku/>
        <w:wordWrap/>
        <w:overflowPunct/>
        <w:topLinePunct w:val="0"/>
        <w:autoSpaceDE/>
        <w:autoSpaceDN/>
        <w:bidi w:val="0"/>
        <w:adjustRightInd w:val="0"/>
        <w:snapToGrid/>
        <w:spacing w:line="360" w:lineRule="auto"/>
        <w:ind w:left="0" w:firstLine="960" w:firstLineChars="400"/>
        <w:textAlignment w:val="auto"/>
        <w:rPr>
          <w:rFonts w:hint="eastAsia" w:ascii="仿宋" w:hAnsi="仿宋" w:eastAsia="仿宋" w:cs="仿宋"/>
          <w:color w:val="auto"/>
          <w:highlight w:val="none"/>
        </w:rPr>
      </w:pPr>
      <w:r>
        <w:rPr>
          <w:rFonts w:hint="eastAsia" w:ascii="MS Gothic" w:hAnsi="MS Gothic" w:eastAsia="仿宋" w:cs="仿宋"/>
          <w:color w:val="auto"/>
          <w:kern w:val="0"/>
          <w:sz w:val="24"/>
          <w:szCs w:val="24"/>
          <w:highlight w:val="none"/>
          <w:lang w:val="en-US" w:eastAsia="zh-CN" w:bidi="ar-SA"/>
        </w:rPr>
        <w:t>☐</w:t>
      </w:r>
      <w:r>
        <w:rPr>
          <w:rFonts w:hint="eastAsia" w:ascii="仿宋" w:hAnsi="仿宋" w:eastAsia="仿宋" w:cs="仿宋"/>
          <w:color w:val="auto"/>
          <w:sz w:val="24"/>
          <w:highlight w:val="none"/>
        </w:rPr>
        <w:t>服务全部由符合政策要求的小微企业承接，提供中小企业声明函；</w:t>
      </w:r>
    </w:p>
    <w:p w14:paraId="4A0C94C7">
      <w:pPr>
        <w:keepNext w:val="0"/>
        <w:keepLines w:val="0"/>
        <w:pageBreakBefore w:val="0"/>
        <w:widowControl w:val="0"/>
        <w:kinsoku/>
        <w:wordWrap/>
        <w:overflowPunct/>
        <w:topLinePunct w:val="0"/>
        <w:autoSpaceDE/>
        <w:autoSpaceDN/>
        <w:bidi w:val="0"/>
        <w:adjustRightInd w:val="0"/>
        <w:snapToGrid/>
        <w:spacing w:line="360" w:lineRule="auto"/>
        <w:ind w:left="0" w:firstLine="960" w:firstLineChars="4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要求以联合体形式参加，提供联合协议和中小企业声明函，联合协议中中小企业合同金额应当达到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%，其中小微企业合同金额应当达到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spacing w:val="8"/>
          <w:kern w:val="0"/>
          <w:sz w:val="24"/>
          <w:highlight w:val="none"/>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color w:val="auto"/>
          <w:sz w:val="24"/>
          <w:highlight w:val="none"/>
        </w:rPr>
        <w:t>；</w:t>
      </w:r>
    </w:p>
    <w:p w14:paraId="1A3BBFD4">
      <w:pPr>
        <w:keepNext w:val="0"/>
        <w:keepLines w:val="0"/>
        <w:pageBreakBefore w:val="0"/>
        <w:widowControl w:val="0"/>
        <w:kinsoku/>
        <w:wordWrap/>
        <w:overflowPunct/>
        <w:topLinePunct w:val="0"/>
        <w:autoSpaceDE/>
        <w:autoSpaceDN/>
        <w:bidi w:val="0"/>
        <w:adjustRightInd w:val="0"/>
        <w:snapToGrid/>
        <w:spacing w:line="360" w:lineRule="auto"/>
        <w:ind w:left="0" w:firstLine="960" w:firstLineChars="4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要求合同分包，提供分包意向协议和中小企业声明函，分包意向协议中中小企业合同金额应当达到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，其中小微企业合同金额应当达到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w:t>
      </w:r>
      <w:r>
        <w:rPr>
          <w:rFonts w:hint="eastAsia" w:ascii="仿宋" w:hAnsi="仿宋" w:eastAsia="仿宋" w:cs="仿宋"/>
          <w:color w:val="auto"/>
          <w:spacing w:val="8"/>
          <w:kern w:val="0"/>
          <w:sz w:val="24"/>
          <w:highlight w:val="none"/>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color w:val="auto"/>
          <w:sz w:val="24"/>
          <w:highlight w:val="none"/>
        </w:rPr>
        <w:t>；</w:t>
      </w:r>
    </w:p>
    <w:p w14:paraId="3EA24383">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4.本项目的特定资格要求：</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供应商应具备特种设备甲类检验机构资质（A1级、A2级或B1级）</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w:t>
      </w:r>
    </w:p>
    <w:p w14:paraId="7E11F25E">
      <w:pPr>
        <w:pageBreakBefore w:val="0"/>
        <w:widowControl w:val="0"/>
        <w:kinsoku/>
        <w:wordWrap/>
        <w:overflowPunct/>
        <w:topLinePunct w:val="0"/>
        <w:autoSpaceDE/>
        <w:autoSpaceDN/>
        <w:bidi w:val="0"/>
        <w:snapToGrid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75A8EBFB">
      <w:pPr>
        <w:pageBreakBefore w:val="0"/>
        <w:widowControl w:val="0"/>
        <w:kinsoku/>
        <w:wordWrap/>
        <w:overflowPunct/>
        <w:topLinePunct w:val="0"/>
        <w:autoSpaceDE/>
        <w:autoSpaceDN/>
        <w:bidi w:val="0"/>
        <w:spacing w:line="360" w:lineRule="auto"/>
        <w:ind w:firstLine="480" w:firstLineChars="200"/>
        <w:textAlignment w:val="auto"/>
        <w:rPr>
          <w:rFonts w:hint="eastAsia" w:ascii="黑体" w:hAnsi="黑体" w:eastAsia="黑体" w:cs="黑体"/>
          <w:b w:val="0"/>
          <w:bCs/>
          <w:color w:val="auto"/>
          <w:sz w:val="24"/>
          <w:highlight w:val="none"/>
        </w:rPr>
      </w:pPr>
      <w:r>
        <w:rPr>
          <w:rFonts w:hint="eastAsia" w:ascii="黑体" w:hAnsi="黑体" w:eastAsia="黑体" w:cs="黑体"/>
          <w:b w:val="0"/>
          <w:bCs/>
          <w:color w:val="auto"/>
          <w:sz w:val="24"/>
          <w:highlight w:val="none"/>
        </w:rPr>
        <w:t xml:space="preserve">三、获取招标文件 </w:t>
      </w:r>
    </w:p>
    <w:p w14:paraId="1C837E18">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时间：</w:t>
      </w:r>
      <w:r>
        <w:rPr>
          <w:rFonts w:hint="eastAsia" w:ascii="仿宋" w:hAnsi="仿宋" w:eastAsia="仿宋" w:cs="仿宋"/>
          <w:color w:val="auto"/>
          <w:sz w:val="24"/>
          <w:highlight w:val="none"/>
        </w:rPr>
        <w:t>/至</w:t>
      </w:r>
      <w:r>
        <w:rPr>
          <w:rFonts w:hint="eastAsia" w:ascii="仿宋" w:hAnsi="仿宋" w:eastAsia="仿宋"/>
          <w:bCs/>
          <w:color w:val="auto"/>
          <w:sz w:val="24"/>
          <w:szCs w:val="28"/>
          <w:highlight w:val="none"/>
          <w:u w:val="single"/>
        </w:rPr>
        <w:t>2025年</w:t>
      </w:r>
      <w:r>
        <w:rPr>
          <w:rFonts w:hint="eastAsia" w:ascii="仿宋" w:hAnsi="仿宋" w:eastAsia="仿宋"/>
          <w:bCs/>
          <w:color w:val="auto"/>
          <w:sz w:val="24"/>
          <w:szCs w:val="28"/>
          <w:highlight w:val="none"/>
          <w:u w:val="single"/>
          <w:lang w:val="en-US" w:eastAsia="zh-CN"/>
        </w:rPr>
        <w:t>7月28日</w:t>
      </w:r>
      <w:r>
        <w:rPr>
          <w:rFonts w:hint="eastAsia" w:ascii="仿宋" w:hAnsi="仿宋" w:eastAsia="仿宋" w:cs="仿宋"/>
          <w:color w:val="auto"/>
          <w:sz w:val="24"/>
          <w:highlight w:val="none"/>
        </w:rPr>
        <w:t>，每天上午00:00至12:00 ，下午12:00至23:59（北京时间，线上获取法定节假日均可，线下获取文件法定节假日除外）</w:t>
      </w:r>
    </w:p>
    <w:p w14:paraId="2DD337BF">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地点（网址）：</w:t>
      </w:r>
      <w:r>
        <w:rPr>
          <w:rFonts w:hint="eastAsia" w:ascii="仿宋" w:hAnsi="仿宋" w:eastAsia="仿宋" w:cs="仿宋"/>
          <w:color w:val="auto"/>
          <w:sz w:val="24"/>
          <w:highlight w:val="none"/>
        </w:rPr>
        <w:t xml:space="preserve">政采云平台（https://www.zcygov.cn/） </w:t>
      </w:r>
    </w:p>
    <w:p w14:paraId="4184B494">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方式：</w:t>
      </w:r>
      <w:r>
        <w:rPr>
          <w:rFonts w:hint="eastAsia" w:ascii="仿宋" w:hAnsi="仿宋" w:eastAsia="仿宋" w:cs="仿宋"/>
          <w:color w:val="auto"/>
          <w:sz w:val="24"/>
          <w:highlight w:val="none"/>
        </w:rPr>
        <w:t xml:space="preserve">供应商登录政采云平台https://www.zcygov.cn/在线申请获取采购文件（进入“项目采购”应用，在获取采购文件菜单中选择项目，申请获取采购文件）。 </w:t>
      </w:r>
    </w:p>
    <w:p w14:paraId="62B99F3A">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售价（元）：</w:t>
      </w:r>
      <w:r>
        <w:rPr>
          <w:rFonts w:hint="eastAsia" w:ascii="仿宋" w:hAnsi="仿宋" w:eastAsia="仿宋" w:cs="仿宋"/>
          <w:color w:val="auto"/>
          <w:sz w:val="24"/>
          <w:highlight w:val="none"/>
        </w:rPr>
        <w:t xml:space="preserve">0 </w:t>
      </w:r>
      <w:r>
        <w:rPr>
          <w:rFonts w:hint="eastAsia" w:ascii="仿宋" w:hAnsi="仿宋" w:eastAsia="仿宋" w:cs="仿宋"/>
          <w:color w:val="auto"/>
          <w:sz w:val="24"/>
          <w:highlight w:val="none"/>
        </w:rPr>
        <w:tab/>
      </w:r>
    </w:p>
    <w:p w14:paraId="37D00302">
      <w:pPr>
        <w:pageBreakBefore w:val="0"/>
        <w:widowControl w:val="0"/>
        <w:kinsoku/>
        <w:wordWrap/>
        <w:overflowPunct/>
        <w:topLinePunct w:val="0"/>
        <w:autoSpaceDE/>
        <w:autoSpaceDN/>
        <w:bidi w:val="0"/>
        <w:spacing w:line="360" w:lineRule="auto"/>
        <w:ind w:firstLine="480" w:firstLineChars="200"/>
        <w:textAlignment w:val="auto"/>
        <w:rPr>
          <w:rFonts w:hint="eastAsia" w:ascii="黑体" w:hAnsi="黑体" w:eastAsia="黑体" w:cs="黑体"/>
          <w:b w:val="0"/>
          <w:bCs/>
          <w:color w:val="auto"/>
          <w:sz w:val="24"/>
          <w:highlight w:val="none"/>
        </w:rPr>
      </w:pPr>
      <w:r>
        <w:rPr>
          <w:rFonts w:hint="eastAsia" w:ascii="黑体" w:hAnsi="黑体" w:eastAsia="黑体" w:cs="黑体"/>
          <w:b w:val="0"/>
          <w:bCs/>
          <w:color w:val="auto"/>
          <w:sz w:val="24"/>
          <w:highlight w:val="none"/>
        </w:rPr>
        <w:t>四、提交投标文件截止时间、开标时间和地点</w:t>
      </w:r>
    </w:p>
    <w:p w14:paraId="687D99CC">
      <w:pPr>
        <w:spacing w:line="360" w:lineRule="auto"/>
        <w:ind w:firstLine="482" w:firstLineChars="200"/>
        <w:rPr>
          <w:rFonts w:hint="eastAsia" w:ascii="仿宋" w:hAnsi="仿宋" w:eastAsia="仿宋" w:cs="仿宋"/>
          <w:color w:val="auto"/>
          <w:sz w:val="24"/>
          <w:highlight w:val="none"/>
        </w:rPr>
      </w:pPr>
      <w:r>
        <w:rPr>
          <w:rFonts w:hint="eastAsia" w:ascii="仿宋" w:hAnsi="仿宋" w:eastAsia="仿宋" w:cs="仿宋"/>
          <w:b/>
          <w:color w:val="auto"/>
          <w:sz w:val="24"/>
          <w:highlight w:val="none"/>
        </w:rPr>
        <w:t>提交投标文件截止时间：</w:t>
      </w:r>
      <w:r>
        <w:rPr>
          <w:rFonts w:hint="eastAsia" w:ascii="仿宋" w:hAnsi="仿宋" w:eastAsia="仿宋"/>
          <w:bCs/>
          <w:color w:val="auto"/>
          <w:sz w:val="24"/>
          <w:szCs w:val="28"/>
          <w:highlight w:val="none"/>
          <w:u w:val="single"/>
        </w:rPr>
        <w:t>2025年</w:t>
      </w:r>
      <w:r>
        <w:rPr>
          <w:rFonts w:hint="eastAsia" w:ascii="仿宋" w:hAnsi="仿宋" w:eastAsia="仿宋"/>
          <w:bCs/>
          <w:color w:val="auto"/>
          <w:sz w:val="24"/>
          <w:szCs w:val="28"/>
          <w:highlight w:val="none"/>
          <w:u w:val="single"/>
          <w:lang w:val="en-US" w:eastAsia="zh-CN"/>
        </w:rPr>
        <w:t>7月28日</w:t>
      </w:r>
      <w:r>
        <w:rPr>
          <w:rFonts w:hint="eastAsia" w:ascii="仿宋" w:hAnsi="仿宋" w:eastAsia="仿宋"/>
          <w:bCs/>
          <w:color w:val="auto"/>
          <w:sz w:val="24"/>
          <w:szCs w:val="28"/>
          <w:highlight w:val="none"/>
          <w:u w:val="single"/>
        </w:rPr>
        <w:t>14点15分</w:t>
      </w:r>
      <w:r>
        <w:rPr>
          <w:rFonts w:hint="eastAsia" w:ascii="仿宋" w:hAnsi="仿宋" w:eastAsia="仿宋" w:cs="仿宋"/>
          <w:color w:val="auto"/>
          <w:sz w:val="24"/>
          <w:highlight w:val="none"/>
          <w:u w:val="single"/>
        </w:rPr>
        <w:t>00秒</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highlight w:val="none"/>
        </w:rPr>
        <w:t>（北京时间）</w:t>
      </w:r>
    </w:p>
    <w:p w14:paraId="1A534BCC">
      <w:pPr>
        <w:spacing w:line="360" w:lineRule="auto"/>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投标地点（网址）：</w:t>
      </w:r>
      <w:r>
        <w:rPr>
          <w:rFonts w:hint="eastAsia" w:ascii="仿宋" w:hAnsi="仿宋" w:eastAsia="仿宋" w:cs="仿宋"/>
          <w:color w:val="auto"/>
          <w:sz w:val="24"/>
          <w:highlight w:val="none"/>
        </w:rPr>
        <w:t xml:space="preserve">政采云平台（https://www.zcygov.cn/） </w:t>
      </w:r>
    </w:p>
    <w:p w14:paraId="035769D5">
      <w:pPr>
        <w:spacing w:line="360" w:lineRule="auto"/>
        <w:ind w:firstLine="482" w:firstLineChars="200"/>
        <w:rPr>
          <w:rFonts w:hint="eastAsia" w:ascii="仿宋" w:hAnsi="仿宋" w:eastAsia="仿宋" w:cs="仿宋"/>
          <w:bCs/>
          <w:color w:val="auto"/>
          <w:sz w:val="24"/>
          <w:highlight w:val="none"/>
          <w:u w:val="single"/>
        </w:rPr>
      </w:pPr>
      <w:r>
        <w:rPr>
          <w:rFonts w:hint="eastAsia" w:ascii="仿宋" w:hAnsi="仿宋" w:eastAsia="仿宋" w:cs="仿宋"/>
          <w:b/>
          <w:color w:val="auto"/>
          <w:sz w:val="24"/>
          <w:highlight w:val="none"/>
        </w:rPr>
        <w:t>开标时间：</w:t>
      </w:r>
      <w:r>
        <w:rPr>
          <w:rFonts w:hint="eastAsia" w:ascii="仿宋" w:hAnsi="仿宋" w:eastAsia="仿宋"/>
          <w:bCs/>
          <w:color w:val="auto"/>
          <w:sz w:val="24"/>
          <w:szCs w:val="28"/>
          <w:highlight w:val="none"/>
          <w:u w:val="single"/>
        </w:rPr>
        <w:t>2025年</w:t>
      </w:r>
      <w:r>
        <w:rPr>
          <w:rFonts w:hint="eastAsia" w:ascii="仿宋" w:hAnsi="仿宋" w:eastAsia="仿宋"/>
          <w:bCs/>
          <w:color w:val="auto"/>
          <w:sz w:val="24"/>
          <w:szCs w:val="28"/>
          <w:highlight w:val="none"/>
          <w:u w:val="single"/>
          <w:lang w:val="en-US" w:eastAsia="zh-CN"/>
        </w:rPr>
        <w:t>7月28日</w:t>
      </w:r>
      <w:r>
        <w:rPr>
          <w:rFonts w:hint="eastAsia" w:ascii="仿宋" w:hAnsi="仿宋" w:eastAsia="仿宋"/>
          <w:bCs/>
          <w:color w:val="auto"/>
          <w:sz w:val="24"/>
          <w:szCs w:val="28"/>
          <w:highlight w:val="none"/>
          <w:u w:val="single"/>
        </w:rPr>
        <w:t>14点15分</w:t>
      </w:r>
      <w:r>
        <w:rPr>
          <w:rFonts w:hint="eastAsia" w:ascii="仿宋" w:hAnsi="仿宋" w:eastAsia="仿宋" w:cs="仿宋"/>
          <w:color w:val="auto"/>
          <w:sz w:val="24"/>
          <w:highlight w:val="none"/>
          <w:u w:val="single"/>
        </w:rPr>
        <w:t>00秒</w:t>
      </w:r>
      <w:r>
        <w:rPr>
          <w:rFonts w:hint="eastAsia" w:ascii="仿宋" w:hAnsi="仿宋" w:eastAsia="仿宋" w:cs="仿宋"/>
          <w:bCs/>
          <w:color w:val="auto"/>
          <w:sz w:val="24"/>
          <w:highlight w:val="none"/>
          <w:u w:val="single"/>
        </w:rPr>
        <w:t xml:space="preserve">  </w:t>
      </w:r>
    </w:p>
    <w:p w14:paraId="668300E7">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olor w:val="auto"/>
          <w:sz w:val="24"/>
          <w:szCs w:val="28"/>
          <w:highlight w:val="none"/>
        </w:rPr>
        <w:t>开标地点（网址）：</w:t>
      </w:r>
      <w:r>
        <w:rPr>
          <w:rFonts w:hint="eastAsia" w:ascii="仿宋" w:hAnsi="仿宋" w:eastAsia="仿宋"/>
          <w:color w:val="auto"/>
          <w:sz w:val="24"/>
          <w:szCs w:val="28"/>
          <w:highlight w:val="none"/>
          <w:lang w:eastAsia="zh-CN"/>
        </w:rPr>
        <w:t>绍兴市柯桥区市场监督管理局4楼416会议室通过政府采购云平台（https://www.zcygov.cn）在线开标。</w:t>
      </w:r>
    </w:p>
    <w:p w14:paraId="2A2B8AC7">
      <w:pPr>
        <w:pageBreakBefore w:val="0"/>
        <w:widowControl w:val="0"/>
        <w:kinsoku/>
        <w:wordWrap/>
        <w:overflowPunct/>
        <w:topLinePunct w:val="0"/>
        <w:autoSpaceDE/>
        <w:autoSpaceDN/>
        <w:bidi w:val="0"/>
        <w:spacing w:line="360" w:lineRule="auto"/>
        <w:ind w:firstLine="480" w:firstLineChars="200"/>
        <w:textAlignment w:val="auto"/>
        <w:rPr>
          <w:rFonts w:hint="eastAsia" w:ascii="黑体" w:hAnsi="黑体" w:eastAsia="黑体" w:cs="黑体"/>
          <w:b w:val="0"/>
          <w:bCs/>
          <w:color w:val="auto"/>
          <w:sz w:val="24"/>
          <w:highlight w:val="none"/>
        </w:rPr>
      </w:pPr>
      <w:r>
        <w:rPr>
          <w:rFonts w:hint="eastAsia" w:ascii="黑体" w:hAnsi="黑体" w:eastAsia="黑体" w:cs="黑体"/>
          <w:b w:val="0"/>
          <w:bCs/>
          <w:color w:val="auto"/>
          <w:sz w:val="24"/>
          <w:highlight w:val="none"/>
        </w:rPr>
        <w:t xml:space="preserve">五、公告期限 </w:t>
      </w:r>
    </w:p>
    <w:p w14:paraId="25D11FD5">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自本公告发布之日起5个工作日。</w:t>
      </w:r>
    </w:p>
    <w:p w14:paraId="69F33CDA">
      <w:pPr>
        <w:pageBreakBefore w:val="0"/>
        <w:widowControl w:val="0"/>
        <w:kinsoku/>
        <w:wordWrap/>
        <w:overflowPunct/>
        <w:topLinePunct w:val="0"/>
        <w:autoSpaceDE/>
        <w:autoSpaceDN/>
        <w:bidi w:val="0"/>
        <w:spacing w:line="360" w:lineRule="auto"/>
        <w:ind w:firstLine="480" w:firstLineChars="200"/>
        <w:textAlignment w:val="auto"/>
        <w:rPr>
          <w:rFonts w:hint="eastAsia" w:ascii="黑体" w:hAnsi="黑体" w:eastAsia="黑体" w:cs="黑体"/>
          <w:b w:val="0"/>
          <w:bCs/>
          <w:color w:val="auto"/>
          <w:sz w:val="24"/>
          <w:highlight w:val="none"/>
        </w:rPr>
      </w:pPr>
      <w:r>
        <w:rPr>
          <w:rFonts w:hint="eastAsia" w:ascii="黑体" w:hAnsi="黑体" w:eastAsia="黑体" w:cs="黑体"/>
          <w:b w:val="0"/>
          <w:bCs/>
          <w:color w:val="auto"/>
          <w:sz w:val="24"/>
          <w:highlight w:val="none"/>
        </w:rPr>
        <w:t>六、其他补充事宜</w:t>
      </w:r>
    </w:p>
    <w:p w14:paraId="4D123AEE">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1.《浙江省财政厅关于进一步发挥政府采购政策功能全力推动经济稳进提质的通知》 （浙财采监〔2022</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3号）、《浙江省财政厅关于进一步促进政府采购公平竞争打造最优营商环境的通知》（浙财采监〔2021</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22号））、《浙江省财政厅关于进一步加大政府采购支持中小企业力度助力扎实稳住经济的通知》 （浙财采监〔2022</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8号）已分别于2022年1月29日、2022年2月1日和2022年7月1日开始实施，此前有关规定与上述文件内容不一致的，按上述文件要求执行</w:t>
      </w:r>
      <w:r>
        <w:rPr>
          <w:rFonts w:hint="default" w:ascii="仿宋" w:hAnsi="仿宋" w:eastAsia="仿宋" w:cs="仿宋"/>
          <w:color w:val="auto"/>
          <w:sz w:val="24"/>
          <w:highlight w:val="none"/>
          <w:lang w:val="en"/>
        </w:rPr>
        <w:t>(</w:t>
      </w:r>
      <w:r>
        <w:rPr>
          <w:rFonts w:hint="eastAsia" w:ascii="仿宋" w:hAnsi="仿宋" w:eastAsia="仿宋" w:cs="仿宋"/>
          <w:color w:val="auto"/>
          <w:sz w:val="24"/>
          <w:highlight w:val="none"/>
          <w:lang w:val="en" w:eastAsia="zh-CN"/>
        </w:rPr>
        <w:t>政策落实根据财政部门要求更新）</w:t>
      </w:r>
      <w:r>
        <w:rPr>
          <w:rFonts w:hint="eastAsia" w:ascii="仿宋" w:hAnsi="仿宋" w:eastAsia="仿宋" w:cs="仿宋"/>
          <w:color w:val="auto"/>
          <w:sz w:val="24"/>
          <w:highlight w:val="none"/>
        </w:rPr>
        <w:t>。</w:t>
      </w:r>
    </w:p>
    <w:p w14:paraId="18E711C6">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2.根据《浙江省财政厅关于进一步促进政府采购公平竞争打造最优营商环境的通知》（浙财采监〔2021</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w:t>
      </w:r>
      <w:r>
        <w:rPr>
          <w:rFonts w:hint="eastAsia" w:ascii="仿宋" w:hAnsi="仿宋" w:eastAsia="仿宋" w:cs="仿宋"/>
          <w:color w:val="auto"/>
          <w:sz w:val="24"/>
          <w:highlight w:val="none"/>
          <w:lang w:eastAsia="zh-CN"/>
        </w:rPr>
        <w:t>政务</w:t>
      </w:r>
      <w:r>
        <w:rPr>
          <w:rFonts w:hint="eastAsia" w:ascii="仿宋" w:hAnsi="仿宋" w:eastAsia="仿宋" w:cs="仿宋"/>
          <w:color w:val="auto"/>
          <w:sz w:val="24"/>
          <w:highlight w:val="none"/>
        </w:rPr>
        <w:t>服务网-政府采购投诉处理-在线办理。</w:t>
      </w:r>
    </w:p>
    <w:p w14:paraId="10C3BEC3">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03D55A10">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⑨投标文件的解密：投标人按照平台提示和招标文件的规定在半小时内完成在线解密。通过“政府采购云平台”上传递交的投标文件无法按时解密的，视为投标文件撤回；⑩具体操作指南：详见政采云平台“服务中心-帮助文档-项目采购-操作流程-电子招投标-政府采购项目电子交易管理操作指南-供应商”。（3）招标文件公告期限与招标公告的公告期限一致。</w:t>
      </w:r>
    </w:p>
    <w:p w14:paraId="78A0074A">
      <w:pPr>
        <w:pageBreakBefore w:val="0"/>
        <w:widowControl w:val="0"/>
        <w:kinsoku/>
        <w:wordWrap/>
        <w:overflowPunct/>
        <w:topLinePunct w:val="0"/>
        <w:autoSpaceDE/>
        <w:autoSpaceDN/>
        <w:bidi w:val="0"/>
        <w:spacing w:line="360" w:lineRule="auto"/>
        <w:ind w:firstLine="480" w:firstLineChars="200"/>
        <w:textAlignment w:val="auto"/>
        <w:rPr>
          <w:rFonts w:hint="eastAsia" w:ascii="黑体" w:hAnsi="黑体" w:eastAsia="黑体" w:cs="黑体"/>
          <w:b w:val="0"/>
          <w:bCs/>
          <w:color w:val="auto"/>
          <w:sz w:val="24"/>
          <w:highlight w:val="none"/>
        </w:rPr>
      </w:pPr>
      <w:r>
        <w:rPr>
          <w:rFonts w:hint="eastAsia" w:ascii="黑体" w:hAnsi="黑体" w:eastAsia="黑体" w:cs="黑体"/>
          <w:b w:val="0"/>
          <w:bCs/>
          <w:color w:val="auto"/>
          <w:sz w:val="24"/>
          <w:highlight w:val="none"/>
        </w:rPr>
        <w:t>七、对本次采购提出询问、质疑、投诉，请按以下方式联系</w:t>
      </w:r>
    </w:p>
    <w:p w14:paraId="5FB8101A">
      <w:pPr>
        <w:pStyle w:val="4"/>
        <w:ind w:left="0" w:firstLine="482" w:firstLineChars="200"/>
        <w:rPr>
          <w:rFonts w:hint="eastAsia" w:ascii="仿宋" w:eastAsia="仿宋" w:cs="仿宋"/>
          <w:color w:val="auto"/>
          <w:sz w:val="24"/>
          <w:szCs w:val="24"/>
          <w:highlight w:val="none"/>
        </w:rPr>
      </w:pPr>
      <w:bookmarkStart w:id="5" w:name="_Toc35393637"/>
      <w:bookmarkStart w:id="6" w:name="_Toc28359096"/>
      <w:bookmarkStart w:id="7" w:name="_Toc28359019"/>
      <w:bookmarkStart w:id="8" w:name="_Toc35393806"/>
      <w:r>
        <w:rPr>
          <w:rFonts w:hint="eastAsia" w:ascii="仿宋" w:eastAsia="仿宋" w:cs="仿宋"/>
          <w:color w:val="auto"/>
          <w:sz w:val="24"/>
          <w:szCs w:val="24"/>
          <w:highlight w:val="none"/>
        </w:rPr>
        <w:t>1.采购人信息：</w:t>
      </w:r>
    </w:p>
    <w:p w14:paraId="6957BB95">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名    称： 绍兴市柯桥区市场监督管理局 </w:t>
      </w:r>
    </w:p>
    <w:p w14:paraId="2E23608B">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地    址：绍兴市柯桥区瓜渚东路68号</w:t>
      </w:r>
    </w:p>
    <w:p w14:paraId="1D14F6EE">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传    真：/</w:t>
      </w:r>
    </w:p>
    <w:p w14:paraId="598D6C5A">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项目联系人（询问）：倪敏华 </w:t>
      </w:r>
    </w:p>
    <w:p w14:paraId="48F83B56">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项目联系方式（询问）：0575-85672782</w:t>
      </w:r>
    </w:p>
    <w:p w14:paraId="23D4528F">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质疑联系人：赵建刚 </w:t>
      </w:r>
    </w:p>
    <w:p w14:paraId="34723CBA">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质疑联系方式：0575-81189661</w:t>
      </w:r>
    </w:p>
    <w:p w14:paraId="1CEF5951">
      <w:pPr>
        <w:pStyle w:val="4"/>
        <w:ind w:left="0" w:firstLine="482" w:firstLineChars="200"/>
        <w:rPr>
          <w:rFonts w:hint="eastAsia" w:ascii="仿宋" w:eastAsia="仿宋" w:cs="仿宋"/>
          <w:color w:val="auto"/>
          <w:sz w:val="24"/>
          <w:highlight w:val="none"/>
        </w:rPr>
      </w:pPr>
      <w:r>
        <w:rPr>
          <w:rFonts w:hint="eastAsia" w:ascii="仿宋" w:eastAsia="仿宋" w:cs="仿宋"/>
          <w:color w:val="auto"/>
          <w:sz w:val="24"/>
          <w:szCs w:val="24"/>
          <w:highlight w:val="none"/>
        </w:rPr>
        <w:t>2.采购代理机构信息：</w:t>
      </w:r>
    </w:p>
    <w:p w14:paraId="5B83E2D7">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名称：宁波建信工程造价咨询事务所有限公司</w:t>
      </w:r>
    </w:p>
    <w:p w14:paraId="00F806E8">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地址：绍兴市柯桥区中国轻纺城国贸中心中区1幢1266号</w:t>
      </w:r>
    </w:p>
    <w:p w14:paraId="715D24EB">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项目联系人（询问）：张耀</w:t>
      </w:r>
    </w:p>
    <w:p w14:paraId="03ECE5D7">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项目联系方式（询问）：13157558810</w:t>
      </w:r>
    </w:p>
    <w:p w14:paraId="20DA7C96">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质疑联系人：汪琴琴</w:t>
      </w:r>
    </w:p>
    <w:p w14:paraId="70197187">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
          <w:bCs/>
          <w:color w:val="auto"/>
          <w:sz w:val="24"/>
          <w:highlight w:val="none"/>
        </w:rPr>
      </w:pPr>
      <w:r>
        <w:rPr>
          <w:rFonts w:hint="eastAsia" w:ascii="仿宋" w:hAnsi="仿宋" w:eastAsia="仿宋" w:cs="仿宋"/>
          <w:color w:val="auto"/>
          <w:sz w:val="24"/>
          <w:highlight w:val="none"/>
        </w:rPr>
        <w:t>质疑联系方式：13957555339</w:t>
      </w:r>
      <w:bookmarkEnd w:id="5"/>
      <w:bookmarkEnd w:id="6"/>
      <w:bookmarkEnd w:id="7"/>
      <w:bookmarkEnd w:id="8"/>
      <w:bookmarkStart w:id="9" w:name="_Toc35393808"/>
      <w:bookmarkStart w:id="10" w:name="_Toc28359021"/>
      <w:bookmarkStart w:id="11" w:name="_Toc35393639"/>
      <w:bookmarkStart w:id="12" w:name="_Toc28359098"/>
    </w:p>
    <w:p w14:paraId="10FAA286">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bCs/>
          <w:color w:val="auto"/>
          <w:sz w:val="24"/>
          <w:highlight w:val="none"/>
        </w:rPr>
        <w:t>3.</w:t>
      </w:r>
      <w:r>
        <w:rPr>
          <w:rFonts w:hint="eastAsia" w:ascii="仿宋" w:hAnsi="仿宋" w:eastAsia="仿宋" w:cs="仿宋"/>
          <w:b/>
          <w:color w:val="auto"/>
          <w:sz w:val="24"/>
          <w:highlight w:val="none"/>
        </w:rPr>
        <w:t xml:space="preserve"> 同级政府采购监督管理部门：            </w:t>
      </w:r>
    </w:p>
    <w:bookmarkEnd w:id="9"/>
    <w:bookmarkEnd w:id="10"/>
    <w:bookmarkEnd w:id="11"/>
    <w:bookmarkEnd w:id="12"/>
    <w:p w14:paraId="21CC30CE">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名    称：</w:t>
      </w:r>
      <w:r>
        <w:rPr>
          <w:rFonts w:hint="eastAsia" w:ascii="仿宋" w:hAnsi="仿宋" w:eastAsia="仿宋" w:cs="仿宋"/>
          <w:color w:val="auto"/>
          <w:sz w:val="24"/>
          <w:highlight w:val="none"/>
          <w:lang w:eastAsia="zh-CN"/>
        </w:rPr>
        <w:t>绍兴市柯桥区财政局</w:t>
      </w:r>
    </w:p>
    <w:p w14:paraId="782B219C">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lang w:eastAsia="zh-CN"/>
        </w:rPr>
        <w:t>绍兴市柯桥区育才路财税大楼</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 xml:space="preserve"> </w:t>
      </w:r>
    </w:p>
    <w:p w14:paraId="2F27C74E">
      <w:pPr>
        <w:pageBreakBefore w:val="0"/>
        <w:widowControl w:val="0"/>
        <w:kinsoku/>
        <w:wordWrap/>
        <w:overflowPunct/>
        <w:topLinePunct w:val="0"/>
        <w:autoSpaceDE/>
        <w:autoSpaceDN/>
        <w:bidi w:val="0"/>
        <w:spacing w:line="360" w:lineRule="auto"/>
        <w:ind w:left="0" w:firstLine="480" w:firstLineChars="200"/>
        <w:textAlignment w:val="auto"/>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rPr>
        <w:t>传    真：</w:t>
      </w:r>
      <w:r>
        <w:rPr>
          <w:rFonts w:hint="eastAsia" w:ascii="仿宋" w:hAnsi="仿宋" w:eastAsia="仿宋" w:cs="仿宋"/>
          <w:color w:val="auto"/>
          <w:sz w:val="24"/>
          <w:highlight w:val="none"/>
          <w:lang w:val="en-US" w:eastAsia="zh-CN"/>
        </w:rPr>
        <w:t xml:space="preserve"> /</w:t>
      </w:r>
    </w:p>
    <w:p w14:paraId="5EE0156A">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联系人 ：</w:t>
      </w:r>
      <w:r>
        <w:rPr>
          <w:rFonts w:hint="eastAsia" w:ascii="仿宋" w:hAnsi="仿宋" w:eastAsia="仿宋" w:cs="仿宋"/>
          <w:color w:val="auto"/>
          <w:sz w:val="24"/>
          <w:highlight w:val="none"/>
          <w:lang w:eastAsia="zh-CN"/>
        </w:rPr>
        <w:t>王涛</w:t>
      </w:r>
      <w:r>
        <w:rPr>
          <w:rFonts w:hint="eastAsia" w:ascii="仿宋" w:hAnsi="仿宋" w:eastAsia="仿宋" w:cs="仿宋"/>
          <w:color w:val="auto"/>
          <w:sz w:val="24"/>
          <w:highlight w:val="none"/>
          <w:lang w:val="en-US" w:eastAsia="zh-CN"/>
        </w:rPr>
        <w:t xml:space="preserve">  </w:t>
      </w:r>
    </w:p>
    <w:p w14:paraId="4B4B7F42">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监督投诉电话：</w:t>
      </w:r>
      <w:r>
        <w:rPr>
          <w:rFonts w:hint="eastAsia" w:ascii="仿宋" w:hAnsi="仿宋" w:eastAsia="仿宋" w:cs="仿宋"/>
          <w:color w:val="auto"/>
          <w:sz w:val="24"/>
          <w:highlight w:val="none"/>
          <w:lang w:val="en-US" w:eastAsia="zh-CN"/>
        </w:rPr>
        <w:t xml:space="preserve">0575-85672135 </w:t>
      </w:r>
      <w:r>
        <w:rPr>
          <w:rFonts w:hint="eastAsia" w:ascii="仿宋" w:hAnsi="仿宋" w:eastAsia="仿宋" w:cs="仿宋"/>
          <w:color w:val="auto"/>
          <w:sz w:val="24"/>
          <w:highlight w:val="none"/>
        </w:rPr>
        <w:t xml:space="preserve">    </w:t>
      </w:r>
    </w:p>
    <w:p w14:paraId="77A80460">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若对项目采购电子交易系统操作有疑问，可登录政采云（https://www.zcygov.cn/），点击右侧咨询小采，获取采小蜜智能服务管家帮助，或拨打政采云服务热线95763获取热线服务帮助。        </w:t>
      </w:r>
    </w:p>
    <w:p w14:paraId="0853CEA3">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CA问题联系电话（人工）：汇信CA 400-888-4636；天谷CA 400-087-8198。</w:t>
      </w:r>
    </w:p>
    <w:p w14:paraId="14F9E563">
      <w:pPr>
        <w:widowControl/>
        <w:adjustRightInd/>
        <w:jc w:val="left"/>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br w:type="page"/>
      </w:r>
    </w:p>
    <w:p w14:paraId="2C55AC81">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第二部分</w:t>
      </w:r>
      <w:bookmarkEnd w:id="2"/>
      <w:r>
        <w:rPr>
          <w:rFonts w:hint="eastAsia" w:ascii="仿宋" w:hAnsi="仿宋" w:eastAsia="仿宋" w:cs="仿宋"/>
          <w:b/>
          <w:color w:val="auto"/>
          <w:sz w:val="36"/>
          <w:szCs w:val="20"/>
          <w:highlight w:val="none"/>
        </w:rPr>
        <w:t xml:space="preserve"> 投标须知</w:t>
      </w:r>
      <w:bookmarkEnd w:id="3"/>
    </w:p>
    <w:p w14:paraId="06AC0044">
      <w:pPr>
        <w:adjustRightInd/>
        <w:spacing w:line="360" w:lineRule="auto"/>
        <w:ind w:firstLine="3845" w:firstLineChars="1197"/>
        <w:outlineLvl w:val="0"/>
        <w:rPr>
          <w:rFonts w:hint="eastAsia" w:ascii="仿宋" w:hAnsi="仿宋" w:eastAsia="仿宋" w:cs="仿宋"/>
          <w:b/>
          <w:color w:val="auto"/>
          <w:sz w:val="32"/>
          <w:szCs w:val="20"/>
          <w:highlight w:val="none"/>
        </w:rPr>
      </w:pPr>
      <w:r>
        <w:rPr>
          <w:rFonts w:hint="eastAsia" w:ascii="仿宋" w:hAnsi="仿宋" w:eastAsia="仿宋" w:cs="仿宋"/>
          <w:b/>
          <w:color w:val="auto"/>
          <w:sz w:val="32"/>
          <w:szCs w:val="20"/>
          <w:highlight w:val="none"/>
        </w:rPr>
        <w:t>前附表</w:t>
      </w:r>
    </w:p>
    <w:tbl>
      <w:tblPr>
        <w:tblStyle w:val="15"/>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14:paraId="053224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vAlign w:val="center"/>
          </w:tcPr>
          <w:p w14:paraId="661322C4">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8370" w:type="dxa"/>
            <w:gridSpan w:val="2"/>
            <w:vAlign w:val="center"/>
          </w:tcPr>
          <w:p w14:paraId="712FB050">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内　　　　容</w:t>
            </w:r>
          </w:p>
        </w:tc>
      </w:tr>
      <w:tr w14:paraId="5344DC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0F8C9B1D">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8370" w:type="dxa"/>
            <w:gridSpan w:val="2"/>
            <w:vAlign w:val="center"/>
          </w:tcPr>
          <w:p w14:paraId="6AA3624A">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u w:val="single"/>
              </w:rPr>
            </w:pPr>
            <w:r>
              <w:rPr>
                <w:rFonts w:hint="eastAsia" w:ascii="仿宋" w:hAnsi="仿宋" w:eastAsia="仿宋" w:cs="仿宋"/>
                <w:b/>
                <w:color w:val="auto"/>
                <w:sz w:val="24"/>
                <w:highlight w:val="none"/>
              </w:rPr>
              <w:t>投标人按照项目要求特许资格证明文件（如有）：</w:t>
            </w:r>
          </w:p>
          <w:p w14:paraId="7B11BE5E">
            <w:pPr>
              <w:keepNext w:val="0"/>
              <w:keepLines w:val="0"/>
              <w:pageBreakBefore w:val="0"/>
              <w:widowControl w:val="0"/>
              <w:kinsoku/>
              <w:wordWrap/>
              <w:overflowPunct/>
              <w:topLinePunct w:val="0"/>
              <w:bidi w:val="0"/>
              <w:adjustRightInd w:val="0"/>
              <w:spacing w:line="440" w:lineRule="exact"/>
              <w:ind w:left="0" w:leftChars="0" w:right="0" w:rightChars="0" w:firstLine="480" w:firstLineChars="200"/>
              <w:rPr>
                <w:rFonts w:hint="eastAsia" w:ascii="仿宋" w:hAnsi="仿宋" w:eastAsia="仿宋" w:cs="仿宋"/>
                <w:b/>
                <w:color w:val="auto"/>
                <w:sz w:val="24"/>
                <w:highlight w:val="none"/>
              </w:rPr>
            </w:pPr>
            <w:r>
              <w:rPr>
                <w:rFonts w:hint="eastAsia" w:ascii="仿宋" w:hAnsi="仿宋" w:eastAsia="仿宋" w:cs="仿宋"/>
                <w:color w:val="auto"/>
                <w:sz w:val="24"/>
                <w:highlight w:val="none"/>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14:paraId="1BEDB2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5ADAEF79">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w:t>
            </w:r>
          </w:p>
        </w:tc>
        <w:tc>
          <w:tcPr>
            <w:tcW w:w="8370" w:type="dxa"/>
            <w:gridSpan w:val="2"/>
            <w:vAlign w:val="center"/>
          </w:tcPr>
          <w:p w14:paraId="6E0F80A8">
            <w:pPr>
              <w:keepNext w:val="0"/>
              <w:keepLines w:val="0"/>
              <w:pageBreakBefore w:val="0"/>
              <w:widowControl w:val="0"/>
              <w:kinsoku/>
              <w:wordWrap/>
              <w:overflowPunct/>
              <w:topLinePunct w:val="0"/>
              <w:bidi w:val="0"/>
              <w:adjustRightInd w:val="0"/>
              <w:spacing w:line="440" w:lineRule="exact"/>
              <w:ind w:left="0" w:leftChars="0" w:right="0" w:rightChars="0" w:firstLine="0" w:firstLineChars="0"/>
              <w:jc w:val="left"/>
              <w:rPr>
                <w:rFonts w:hint="eastAsia" w:ascii="仿宋" w:hAnsi="仿宋" w:eastAsia="仿宋" w:cs="仿宋_GB2312"/>
                <w:b/>
                <w:color w:val="auto"/>
                <w:sz w:val="24"/>
                <w:highlight w:val="none"/>
                <w:lang w:eastAsia="zh-CN"/>
              </w:rPr>
            </w:pPr>
            <w:r>
              <w:rPr>
                <w:rFonts w:hint="eastAsia" w:ascii="仿宋" w:hAnsi="仿宋" w:eastAsia="仿宋" w:cs="仿宋_GB2312"/>
                <w:b/>
                <w:color w:val="auto"/>
                <w:sz w:val="24"/>
                <w:highlight w:val="none"/>
              </w:rPr>
              <w:t>报价要求</w:t>
            </w:r>
            <w:r>
              <w:rPr>
                <w:rFonts w:hint="eastAsia" w:ascii="仿宋" w:hAnsi="仿宋" w:eastAsia="仿宋" w:cs="仿宋_GB2312"/>
                <w:b/>
                <w:color w:val="auto"/>
                <w:sz w:val="24"/>
                <w:highlight w:val="none"/>
                <w:lang w:eastAsia="zh-CN"/>
              </w:rPr>
              <w:t>：</w:t>
            </w:r>
          </w:p>
          <w:p w14:paraId="21CC663E">
            <w:pPr>
              <w:spacing w:line="360" w:lineRule="auto"/>
              <w:rPr>
                <w:rFonts w:hint="eastAsia" w:ascii="仿宋" w:hAnsi="仿宋" w:eastAsia="仿宋" w:cs="宋体"/>
                <w:b/>
                <w:color w:val="auto"/>
                <w:kern w:val="0"/>
                <w:sz w:val="24"/>
                <w:highlight w:val="none"/>
                <w:lang w:val="zh-CN"/>
              </w:rPr>
            </w:pPr>
            <w:r>
              <w:rPr>
                <w:rFonts w:hint="eastAsia" w:ascii="仿宋" w:hAnsi="仿宋" w:eastAsia="仿宋"/>
                <w:color w:val="auto"/>
                <w:sz w:val="24"/>
                <w:szCs w:val="28"/>
                <w:highlight w:val="none"/>
              </w:rPr>
              <w:t>有关本项目开展所需的人员费用（工资、福利、各种补贴、奖金等）、维保费、维修费、管理、风险、保险、税费及不可预见费用等费用均计入报价。</w:t>
            </w:r>
            <w:bookmarkStart w:id="13" w:name="OLE_LINK20"/>
            <w:r>
              <w:rPr>
                <w:rFonts w:hint="eastAsia" w:ascii="宋体" w:hAnsi="宋体" w:cs="宋体"/>
                <w:b/>
                <w:bCs/>
                <w:color w:val="auto"/>
                <w:kern w:val="0"/>
                <w:sz w:val="24"/>
                <w:highlight w:val="none"/>
                <w:lang w:val="zh-CN"/>
              </w:rPr>
              <w:t>投标文件</w:t>
            </w:r>
            <w:r>
              <w:rPr>
                <w:rFonts w:hint="eastAsia" w:ascii="宋体" w:hAnsi="宋体" w:cs="宋体"/>
                <w:b/>
                <w:bCs/>
                <w:color w:val="auto"/>
                <w:sz w:val="24"/>
                <w:highlight w:val="none"/>
              </w:rPr>
              <w:t>开标一览表（报价表）是报价的唯一载体，如投标人在政府采购云平台填写的投标报价与投标文件报价文件中开标一览表（报价表）不一致的，以报价文件中开标一览表（报价表）为准</w:t>
            </w:r>
            <w:bookmarkEnd w:id="13"/>
            <w:r>
              <w:rPr>
                <w:rFonts w:hint="eastAsia" w:ascii="宋体" w:hAnsi="宋体" w:cs="宋体"/>
                <w:b/>
                <w:bCs/>
                <w:color w:val="auto"/>
                <w:sz w:val="24"/>
                <w:highlight w:val="none"/>
              </w:rPr>
              <w:t>。</w:t>
            </w:r>
            <w:r>
              <w:rPr>
                <w:rFonts w:hint="eastAsia" w:ascii="仿宋" w:hAnsi="仿宋" w:eastAsia="仿宋"/>
                <w:color w:val="auto"/>
                <w:sz w:val="24"/>
                <w:szCs w:val="28"/>
                <w:highlight w:val="none"/>
              </w:rPr>
              <w:t>投标文件中价格全部采用人民币报价。招标文件未列明，而投标人认为必</w:t>
            </w:r>
            <w:r>
              <w:rPr>
                <w:rFonts w:hint="eastAsia" w:ascii="仿宋" w:hAnsi="仿宋" w:eastAsia="仿宋"/>
                <w:color w:val="auto"/>
                <w:sz w:val="24"/>
                <w:szCs w:val="28"/>
                <w:highlight w:val="none"/>
                <w:lang w:eastAsia="zh-CN"/>
              </w:rPr>
              <w:t>须</w:t>
            </w:r>
            <w:r>
              <w:rPr>
                <w:rFonts w:hint="eastAsia" w:ascii="仿宋" w:hAnsi="仿宋" w:eastAsia="仿宋"/>
                <w:color w:val="auto"/>
                <w:sz w:val="24"/>
                <w:szCs w:val="28"/>
                <w:highlight w:val="none"/>
              </w:rPr>
              <w:t>的费用也需列入报价。</w:t>
            </w:r>
            <w:r>
              <w:rPr>
                <w:rFonts w:hint="eastAsia" w:ascii="仿宋" w:hAnsi="仿宋" w:eastAsia="仿宋" w:cs="宋体"/>
                <w:b/>
                <w:color w:val="auto"/>
                <w:kern w:val="0"/>
                <w:sz w:val="24"/>
                <w:highlight w:val="none"/>
                <w:lang w:val="zh-CN"/>
              </w:rPr>
              <w:t>提醒：验收时检测费用由采购人承担，不包含在投标总价中；</w:t>
            </w:r>
          </w:p>
          <w:p w14:paraId="761E7215">
            <w:pPr>
              <w:spacing w:line="360" w:lineRule="auto"/>
              <w:rPr>
                <w:rFonts w:hint="eastAsia" w:ascii="宋体" w:hAnsi="宋体" w:eastAsia="宋体" w:cs="宋体"/>
                <w:b/>
                <w:bCs/>
                <w:color w:val="auto"/>
                <w:sz w:val="24"/>
                <w:highlight w:val="none"/>
                <w:lang w:val="zh-CN"/>
              </w:rPr>
            </w:pPr>
            <w:r>
              <w:rPr>
                <w:rFonts w:hint="eastAsia" w:ascii="宋体" w:hAnsi="宋体" w:eastAsia="宋体" w:cs="宋体"/>
                <w:b/>
                <w:bCs/>
                <w:color w:val="auto"/>
                <w:sz w:val="24"/>
                <w:highlight w:val="none"/>
                <w:lang w:val="zh-CN"/>
              </w:rPr>
              <w:t>投标报价出现下列情形的，投标无效：</w:t>
            </w:r>
          </w:p>
          <w:p w14:paraId="0D6C594F">
            <w:pPr>
              <w:spacing w:line="360" w:lineRule="auto"/>
              <w:rPr>
                <w:rFonts w:hint="eastAsia" w:ascii="宋体" w:hAnsi="宋体" w:eastAsia="宋体" w:cs="宋体"/>
                <w:b/>
                <w:bCs/>
                <w:color w:val="auto"/>
                <w:sz w:val="24"/>
                <w:highlight w:val="none"/>
                <w:lang w:val="zh-CN"/>
              </w:rPr>
            </w:pPr>
            <w:r>
              <w:rPr>
                <w:rFonts w:hint="eastAsia" w:ascii="仿宋" w:hAnsi="仿宋" w:eastAsia="仿宋" w:cs="仿宋"/>
                <w:color w:val="auto"/>
                <w:sz w:val="24"/>
                <w:highlight w:val="none"/>
              </w:rPr>
              <w:t>★</w:t>
            </w:r>
            <w:r>
              <w:rPr>
                <w:rFonts w:hint="eastAsia" w:ascii="宋体" w:hAnsi="宋体" w:eastAsia="宋体" w:cs="宋体"/>
                <w:b/>
                <w:bCs/>
                <w:color w:val="auto"/>
                <w:sz w:val="24"/>
                <w:highlight w:val="none"/>
                <w:lang w:val="zh-CN"/>
              </w:rPr>
              <w:t>投标文</w:t>
            </w:r>
            <w:bookmarkStart w:id="14" w:name="OLE_LINK21"/>
            <w:r>
              <w:rPr>
                <w:rFonts w:hint="eastAsia" w:ascii="宋体" w:hAnsi="宋体" w:eastAsia="宋体" w:cs="宋体"/>
                <w:b/>
                <w:bCs/>
                <w:color w:val="auto"/>
                <w:sz w:val="24"/>
                <w:highlight w:val="none"/>
                <w:lang w:val="zh-CN"/>
              </w:rPr>
              <w:t>件出现不是唯一的</w:t>
            </w:r>
            <w:bookmarkEnd w:id="14"/>
            <w:r>
              <w:rPr>
                <w:rFonts w:hint="eastAsia" w:ascii="宋体" w:hAnsi="宋体" w:eastAsia="宋体" w:cs="宋体"/>
                <w:b/>
                <w:bCs/>
                <w:color w:val="auto"/>
                <w:sz w:val="24"/>
                <w:highlight w:val="none"/>
                <w:lang w:val="zh-CN"/>
              </w:rPr>
              <w:t>、有选择性投标报价的；</w:t>
            </w:r>
          </w:p>
          <w:p w14:paraId="5C51DAC3">
            <w:pPr>
              <w:spacing w:line="360" w:lineRule="auto"/>
              <w:rPr>
                <w:rFonts w:hint="eastAsia" w:ascii="宋体" w:hAnsi="宋体" w:eastAsia="宋体" w:cs="宋体"/>
                <w:b/>
                <w:bCs/>
                <w:color w:val="auto"/>
                <w:sz w:val="24"/>
                <w:highlight w:val="none"/>
                <w:lang w:val="zh-CN"/>
              </w:rPr>
            </w:pPr>
            <w:r>
              <w:rPr>
                <w:rFonts w:hint="eastAsia" w:ascii="仿宋" w:hAnsi="仿宋" w:eastAsia="仿宋" w:cs="仿宋"/>
                <w:color w:val="auto"/>
                <w:sz w:val="24"/>
                <w:highlight w:val="none"/>
              </w:rPr>
              <w:t>★</w:t>
            </w:r>
            <w:r>
              <w:rPr>
                <w:rFonts w:hint="eastAsia" w:ascii="宋体" w:hAnsi="宋体" w:eastAsia="宋体" w:cs="宋体"/>
                <w:b/>
                <w:bCs/>
                <w:color w:val="auto"/>
                <w:sz w:val="24"/>
                <w:highlight w:val="none"/>
              </w:rPr>
              <w:t>投标</w:t>
            </w:r>
            <w:r>
              <w:rPr>
                <w:rFonts w:hint="eastAsia" w:ascii="宋体" w:hAnsi="宋体" w:eastAsia="宋体" w:cs="宋体"/>
                <w:b/>
                <w:bCs/>
                <w:color w:val="auto"/>
                <w:sz w:val="24"/>
                <w:highlight w:val="none"/>
                <w:lang w:val="zh-CN"/>
              </w:rPr>
              <w:t>报价超过招标文件中</w:t>
            </w:r>
            <w:bookmarkStart w:id="15" w:name="OLE_LINK1"/>
            <w:r>
              <w:rPr>
                <w:rFonts w:hint="eastAsia" w:ascii="宋体" w:hAnsi="宋体" w:eastAsia="宋体" w:cs="宋体"/>
                <w:b/>
                <w:bCs/>
                <w:color w:val="auto"/>
                <w:sz w:val="24"/>
                <w:highlight w:val="none"/>
                <w:lang w:val="zh-CN"/>
              </w:rPr>
              <w:t>规定的预算金额或最高限价</w:t>
            </w:r>
            <w:bookmarkEnd w:id="15"/>
            <w:r>
              <w:rPr>
                <w:rFonts w:hint="eastAsia" w:ascii="宋体" w:hAnsi="宋体" w:eastAsia="宋体" w:cs="宋体"/>
                <w:b/>
                <w:bCs/>
                <w:color w:val="auto"/>
                <w:sz w:val="24"/>
                <w:highlight w:val="none"/>
                <w:lang w:val="zh-CN"/>
              </w:rPr>
              <w:t>的;</w:t>
            </w:r>
          </w:p>
          <w:p w14:paraId="68645E8B">
            <w:pPr>
              <w:spacing w:line="360" w:lineRule="auto"/>
              <w:rPr>
                <w:rFonts w:hint="eastAsia" w:ascii="宋体" w:hAnsi="宋体" w:eastAsia="宋体" w:cs="宋体"/>
                <w:b/>
                <w:bCs/>
                <w:color w:val="auto"/>
                <w:sz w:val="24"/>
                <w:highlight w:val="none"/>
                <w:lang w:val="zh-CN"/>
              </w:rPr>
            </w:pPr>
            <w:r>
              <w:rPr>
                <w:rFonts w:hint="eastAsia" w:ascii="仿宋" w:hAnsi="仿宋" w:eastAsia="仿宋" w:cs="仿宋"/>
                <w:color w:val="auto"/>
                <w:sz w:val="24"/>
                <w:highlight w:val="none"/>
              </w:rPr>
              <w:t>★</w:t>
            </w:r>
            <w:r>
              <w:rPr>
                <w:rFonts w:hint="eastAsia" w:ascii="宋体" w:hAnsi="宋体" w:eastAsia="宋体" w:cs="宋体"/>
                <w:b/>
                <w:bCs/>
                <w:color w:val="auto"/>
                <w:sz w:val="24"/>
                <w:highlight w:val="none"/>
                <w:lang w:val="zh-CN" w:eastAsia="zh-CN"/>
              </w:rPr>
              <w:t>评标委员会认为</w:t>
            </w:r>
            <w:r>
              <w:rPr>
                <w:rFonts w:hint="eastAsia" w:ascii="宋体" w:hAnsi="宋体" w:eastAsia="宋体" w:cs="宋体"/>
                <w:b/>
                <w:bCs/>
                <w:color w:val="auto"/>
                <w:sz w:val="24"/>
                <w:highlight w:val="none"/>
                <w:lang w:val="zh-CN"/>
              </w:rPr>
              <w:t>报价明显</w:t>
            </w:r>
            <w:bookmarkStart w:id="16" w:name="OLE_LINK2"/>
            <w:r>
              <w:rPr>
                <w:rFonts w:hint="eastAsia" w:ascii="宋体" w:hAnsi="宋体" w:eastAsia="宋体" w:cs="宋体"/>
                <w:b/>
                <w:bCs/>
                <w:color w:val="auto"/>
                <w:sz w:val="24"/>
                <w:highlight w:val="none"/>
                <w:lang w:val="zh-CN"/>
              </w:rPr>
              <w:t>低于其他通过符合性审查投</w:t>
            </w:r>
            <w:bookmarkEnd w:id="16"/>
            <w:r>
              <w:rPr>
                <w:rFonts w:hint="eastAsia" w:ascii="宋体" w:hAnsi="宋体" w:eastAsia="宋体" w:cs="宋体"/>
                <w:b/>
                <w:bCs/>
                <w:color w:val="auto"/>
                <w:sz w:val="24"/>
                <w:highlight w:val="none"/>
                <w:lang w:val="zh-CN"/>
              </w:rPr>
              <w:t>标人的报价，有可能影响产品质量或者不能诚信履约的，未能按要求提供书面说明或者提交相关证明材料，不</w:t>
            </w:r>
            <w:bookmarkStart w:id="17" w:name="OLE_LINK28"/>
            <w:r>
              <w:rPr>
                <w:rFonts w:hint="eastAsia" w:ascii="宋体" w:hAnsi="宋体" w:eastAsia="宋体" w:cs="宋体"/>
                <w:b/>
                <w:bCs/>
                <w:color w:val="auto"/>
                <w:sz w:val="24"/>
                <w:highlight w:val="none"/>
                <w:lang w:val="zh-CN"/>
              </w:rPr>
              <w:t>能证明其报价合理性的</w:t>
            </w:r>
            <w:bookmarkEnd w:id="17"/>
            <w:r>
              <w:rPr>
                <w:rFonts w:hint="eastAsia" w:ascii="宋体" w:hAnsi="宋体" w:eastAsia="宋体" w:cs="宋体"/>
                <w:b/>
                <w:bCs/>
                <w:color w:val="auto"/>
                <w:sz w:val="24"/>
                <w:highlight w:val="none"/>
                <w:lang w:val="zh-CN"/>
              </w:rPr>
              <w:t>;</w:t>
            </w:r>
          </w:p>
          <w:p w14:paraId="6783CBBB">
            <w:pPr>
              <w:spacing w:line="360" w:lineRule="auto"/>
              <w:rPr>
                <w:rFonts w:hint="eastAsia" w:ascii="宋体" w:hAnsi="宋体" w:eastAsia="宋体" w:cs="宋体"/>
                <w:b/>
                <w:bCs/>
                <w:color w:val="auto"/>
                <w:sz w:val="24"/>
                <w:highlight w:val="none"/>
                <w:lang w:eastAsia="zh-CN"/>
              </w:rPr>
            </w:pPr>
            <w:r>
              <w:rPr>
                <w:rFonts w:hint="eastAsia" w:ascii="仿宋" w:hAnsi="仿宋" w:eastAsia="仿宋" w:cs="仿宋"/>
                <w:color w:val="auto"/>
                <w:sz w:val="24"/>
                <w:highlight w:val="none"/>
              </w:rPr>
              <w:t>★</w:t>
            </w:r>
            <w:r>
              <w:rPr>
                <w:rFonts w:hint="eastAsia" w:ascii="宋体" w:hAnsi="宋体" w:eastAsia="宋体" w:cs="宋体"/>
                <w:b/>
                <w:bCs/>
                <w:color w:val="auto"/>
                <w:sz w:val="24"/>
                <w:highlight w:val="none"/>
                <w:lang w:val="zh-CN"/>
              </w:rPr>
              <w:t>报价低于项目预算50%</w:t>
            </w:r>
            <w:r>
              <w:rPr>
                <w:rFonts w:hint="eastAsia" w:ascii="宋体" w:hAnsi="宋体" w:eastAsia="宋体" w:cs="宋体"/>
                <w:b/>
                <w:bCs/>
                <w:color w:val="auto"/>
                <w:sz w:val="24"/>
                <w:highlight w:val="none"/>
              </w:rPr>
              <w:t>的投标报价，投标人</w:t>
            </w:r>
            <w:r>
              <w:rPr>
                <w:rFonts w:hint="eastAsia" w:ascii="宋体" w:hAnsi="宋体" w:eastAsia="宋体" w:cs="宋体"/>
                <w:b/>
                <w:bCs/>
                <w:color w:val="auto"/>
                <w:sz w:val="24"/>
                <w:highlight w:val="none"/>
                <w:lang w:val="en-US" w:eastAsia="zh-CN"/>
              </w:rPr>
              <w:t>应在</w:t>
            </w:r>
            <w:r>
              <w:rPr>
                <w:rFonts w:hint="eastAsia" w:ascii="宋体" w:hAnsi="宋体" w:eastAsia="宋体" w:cs="宋体"/>
                <w:b/>
                <w:bCs/>
                <w:color w:val="auto"/>
                <w:sz w:val="24"/>
                <w:highlight w:val="none"/>
              </w:rPr>
              <w:t>投标文件中提供成本测算资料</w:t>
            </w:r>
            <w:r>
              <w:rPr>
                <w:rFonts w:hint="eastAsia" w:ascii="宋体" w:hAnsi="宋体" w:eastAsia="宋体" w:cs="宋体"/>
                <w:b/>
                <w:bCs/>
                <w:color w:val="auto"/>
                <w:sz w:val="24"/>
                <w:highlight w:val="none"/>
                <w:lang w:eastAsia="zh-CN"/>
              </w:rPr>
              <w:t>，</w:t>
            </w:r>
            <w:r>
              <w:rPr>
                <w:rFonts w:hint="eastAsia" w:ascii="宋体" w:hAnsi="宋体" w:eastAsia="宋体" w:cs="宋体"/>
                <w:b/>
                <w:bCs/>
                <w:color w:val="auto"/>
                <w:sz w:val="24"/>
                <w:highlight w:val="none"/>
              </w:rPr>
              <w:t>未在投标文件中提供成本测算资料</w:t>
            </w:r>
            <w:r>
              <w:rPr>
                <w:rFonts w:hint="eastAsia" w:ascii="宋体" w:hAnsi="宋体" w:eastAsia="宋体" w:cs="宋体"/>
                <w:b/>
                <w:bCs/>
                <w:color w:val="auto"/>
                <w:sz w:val="24"/>
                <w:highlight w:val="none"/>
                <w:lang w:val="en-US" w:eastAsia="zh-CN"/>
              </w:rPr>
              <w:t>的，将被</w:t>
            </w:r>
            <w:r>
              <w:rPr>
                <w:rFonts w:hint="eastAsia" w:ascii="宋体" w:hAnsi="宋体" w:eastAsia="宋体" w:cs="宋体"/>
                <w:b/>
                <w:bCs/>
                <w:color w:val="auto"/>
                <w:sz w:val="24"/>
                <w:highlight w:val="none"/>
              </w:rPr>
              <w:t>视为投标人</w:t>
            </w:r>
            <w:bookmarkStart w:id="18" w:name="OLE_LINK23"/>
            <w:r>
              <w:rPr>
                <w:rFonts w:hint="eastAsia" w:ascii="宋体" w:hAnsi="宋体" w:eastAsia="宋体" w:cs="宋体"/>
                <w:b/>
                <w:bCs/>
                <w:color w:val="auto"/>
                <w:sz w:val="24"/>
                <w:highlight w:val="none"/>
              </w:rPr>
              <w:t>不能证明其报价合理性</w:t>
            </w:r>
            <w:r>
              <w:rPr>
                <w:rFonts w:hint="eastAsia" w:ascii="宋体" w:hAnsi="宋体" w:eastAsia="宋体" w:cs="宋体"/>
                <w:b/>
                <w:bCs/>
                <w:color w:val="auto"/>
                <w:sz w:val="24"/>
                <w:highlight w:val="none"/>
                <w:lang w:eastAsia="zh-CN"/>
              </w:rPr>
              <w:t>；</w:t>
            </w:r>
          </w:p>
          <w:bookmarkEnd w:id="18"/>
          <w:p w14:paraId="29043FFC">
            <w:pPr>
              <w:spacing w:line="360" w:lineRule="auto"/>
              <w:rPr>
                <w:rFonts w:hint="eastAsia" w:ascii="宋体" w:hAnsi="宋体" w:eastAsia="宋体" w:cs="宋体"/>
                <w:b/>
                <w:bCs/>
                <w:color w:val="auto"/>
                <w:sz w:val="24"/>
                <w:highlight w:val="none"/>
              </w:rPr>
            </w:pPr>
            <w:r>
              <w:rPr>
                <w:rFonts w:hint="eastAsia" w:ascii="仿宋" w:hAnsi="仿宋" w:eastAsia="仿宋" w:cs="仿宋"/>
                <w:color w:val="auto"/>
                <w:sz w:val="24"/>
                <w:highlight w:val="none"/>
              </w:rPr>
              <w:t>★</w:t>
            </w:r>
            <w:r>
              <w:rPr>
                <w:rFonts w:hint="eastAsia" w:ascii="宋体" w:hAnsi="宋体" w:eastAsia="宋体" w:cs="宋体"/>
                <w:b/>
                <w:bCs/>
                <w:color w:val="auto"/>
                <w:sz w:val="24"/>
                <w:highlight w:val="none"/>
              </w:rPr>
              <w:t>《开标一览表(报价表)》填写不完整或字迹不能辨认或有漏项的,经评标委员会认定属于</w:t>
            </w:r>
            <w:bookmarkStart w:id="19" w:name="OLE_LINK29"/>
            <w:r>
              <w:rPr>
                <w:rFonts w:hint="eastAsia" w:ascii="宋体" w:hAnsi="宋体" w:eastAsia="宋体" w:cs="宋体"/>
                <w:b/>
                <w:bCs/>
                <w:color w:val="auto"/>
                <w:sz w:val="24"/>
                <w:highlight w:val="none"/>
              </w:rPr>
              <w:t>重大偏差</w:t>
            </w:r>
            <w:bookmarkEnd w:id="19"/>
            <w:r>
              <w:rPr>
                <w:rFonts w:hint="eastAsia" w:ascii="宋体" w:hAnsi="宋体" w:eastAsia="宋体" w:cs="宋体"/>
                <w:b/>
                <w:bCs/>
                <w:color w:val="auto"/>
                <w:sz w:val="24"/>
                <w:highlight w:val="none"/>
              </w:rPr>
              <w:t>的；</w:t>
            </w:r>
          </w:p>
          <w:p w14:paraId="5E35C48F">
            <w:pPr>
              <w:keepNext w:val="0"/>
              <w:keepLines w:val="0"/>
              <w:pageBreakBefore w:val="0"/>
              <w:widowControl w:val="0"/>
              <w:kinsoku/>
              <w:wordWrap/>
              <w:overflowPunct/>
              <w:topLinePunct w:val="0"/>
              <w:bidi w:val="0"/>
              <w:adjustRightInd w:val="0"/>
              <w:spacing w:line="440" w:lineRule="exact"/>
              <w:ind w:left="0" w:leftChars="0" w:right="0" w:rightChars="0" w:firstLine="0" w:firstLineChars="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宋体" w:hAnsi="宋体" w:eastAsia="宋体" w:cs="宋体"/>
                <w:b/>
                <w:bCs/>
                <w:color w:val="auto"/>
                <w:sz w:val="24"/>
                <w:highlight w:val="none"/>
              </w:rPr>
              <w:t>投标人对根据修正原则修</w:t>
            </w:r>
            <w:bookmarkStart w:id="20" w:name="OLE_LINK30"/>
            <w:r>
              <w:rPr>
                <w:rFonts w:hint="eastAsia" w:ascii="宋体" w:hAnsi="宋体" w:eastAsia="宋体" w:cs="宋体"/>
                <w:b/>
                <w:bCs/>
                <w:color w:val="auto"/>
                <w:sz w:val="24"/>
                <w:highlight w:val="none"/>
              </w:rPr>
              <w:t>正后的报价不</w:t>
            </w:r>
            <w:bookmarkEnd w:id="20"/>
            <w:r>
              <w:rPr>
                <w:rFonts w:hint="eastAsia" w:ascii="宋体" w:hAnsi="宋体" w:eastAsia="宋体" w:cs="宋体"/>
                <w:b/>
                <w:bCs/>
                <w:color w:val="auto"/>
                <w:sz w:val="24"/>
                <w:highlight w:val="none"/>
              </w:rPr>
              <w:t>确认的。</w:t>
            </w:r>
          </w:p>
        </w:tc>
      </w:tr>
      <w:tr w14:paraId="40B1AA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224A7BF5">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3</w:t>
            </w:r>
          </w:p>
        </w:tc>
        <w:tc>
          <w:tcPr>
            <w:tcW w:w="8370" w:type="dxa"/>
            <w:gridSpan w:val="2"/>
            <w:vAlign w:val="center"/>
          </w:tcPr>
          <w:p w14:paraId="1ECF16A9">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资格审查方式：</w:t>
            </w:r>
          </w:p>
          <w:p w14:paraId="0BA78105">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1.资格后审。</w:t>
            </w:r>
          </w:p>
          <w:p w14:paraId="1D883B16">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法定代表人的被授权委托人必须是投标单位职工。需在投标响应文件商务技术文件内提供由社保机构出具的该授权代表的社保证明（1.如该授权代表为离退休返聘人员的，投标响应商务技术文件内需提供退休证明及单位聘用证明;2.如由第三方代理社保事项的，则需提供加盖投标人公章的委托代理协议复印件）。</w:t>
            </w:r>
          </w:p>
        </w:tc>
      </w:tr>
      <w:tr w14:paraId="3A736D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14:paraId="6FE75659">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4</w:t>
            </w:r>
          </w:p>
        </w:tc>
        <w:tc>
          <w:tcPr>
            <w:tcW w:w="8370" w:type="dxa"/>
            <w:gridSpan w:val="2"/>
            <w:vAlign w:val="center"/>
          </w:tcPr>
          <w:p w14:paraId="303760D3">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color w:val="auto"/>
                <w:sz w:val="24"/>
                <w:highlight w:val="none"/>
              </w:rPr>
            </w:pPr>
            <w:r>
              <w:rPr>
                <w:rFonts w:hint="eastAsia" w:ascii="仿宋" w:hAnsi="仿宋" w:eastAsia="仿宋" w:cs="仿宋"/>
                <w:b/>
                <w:color w:val="auto"/>
                <w:sz w:val="24"/>
                <w:highlight w:val="none"/>
              </w:rPr>
              <w:t>投标有效期：</w:t>
            </w:r>
            <w:r>
              <w:rPr>
                <w:rFonts w:hint="eastAsia" w:ascii="仿宋" w:hAnsi="仿宋" w:eastAsia="仿宋" w:cs="仿宋"/>
                <w:color w:val="auto"/>
                <w:sz w:val="24"/>
                <w:highlight w:val="none"/>
              </w:rPr>
              <w:t>投标有效期为从提交投标文件的截止之日起90天。</w:t>
            </w:r>
            <w:r>
              <w:rPr>
                <w:rFonts w:hint="eastAsia" w:ascii="仿宋" w:hAnsi="仿宋" w:eastAsia="仿宋" w:cs="仿宋"/>
                <w:b/>
                <w:color w:val="auto"/>
                <w:sz w:val="24"/>
                <w:highlight w:val="none"/>
              </w:rPr>
              <w:t>投标人的投标文件中承</w:t>
            </w:r>
            <w:r>
              <w:rPr>
                <w:rFonts w:hint="eastAsia" w:ascii="仿宋" w:hAnsi="仿宋" w:eastAsia="仿宋" w:cs="仿宋"/>
                <w:b/>
                <w:color w:val="auto"/>
                <w:sz w:val="24"/>
                <w:szCs w:val="21"/>
                <w:highlight w:val="none"/>
              </w:rPr>
              <w:t>诺的投标有效期少于招标文件中载明的投标有效期的，投标无效。</w:t>
            </w:r>
          </w:p>
        </w:tc>
      </w:tr>
      <w:tr w14:paraId="23A39D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68CE5554">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5</w:t>
            </w:r>
          </w:p>
        </w:tc>
        <w:tc>
          <w:tcPr>
            <w:tcW w:w="8370" w:type="dxa"/>
            <w:gridSpan w:val="2"/>
            <w:vAlign w:val="center"/>
          </w:tcPr>
          <w:p w14:paraId="791A344B">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转包：</w:t>
            </w:r>
            <w:r>
              <w:rPr>
                <w:rFonts w:hint="eastAsia" w:ascii="仿宋" w:hAnsi="仿宋" w:eastAsia="仿宋" w:cs="仿宋"/>
                <w:color w:val="auto"/>
                <w:sz w:val="24"/>
                <w:highlight w:val="none"/>
              </w:rPr>
              <w:t>本项目不得转包。</w:t>
            </w:r>
          </w:p>
        </w:tc>
      </w:tr>
      <w:tr w14:paraId="02EC48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0AA70EB4">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6</w:t>
            </w:r>
          </w:p>
        </w:tc>
        <w:tc>
          <w:tcPr>
            <w:tcW w:w="8370" w:type="dxa"/>
            <w:gridSpan w:val="2"/>
            <w:vAlign w:val="center"/>
          </w:tcPr>
          <w:p w14:paraId="25184A0A">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分包：</w:t>
            </w:r>
            <w:r>
              <w:rPr>
                <w:rFonts w:hint="eastAsia" w:ascii="仿宋" w:hAnsi="仿宋" w:eastAsia="仿宋" w:cs="仿宋"/>
                <w:color w:val="auto"/>
                <w:kern w:val="0"/>
                <w:sz w:val="24"/>
                <w:highlight w:val="none"/>
              </w:rPr>
              <w:t>☐ A</w:t>
            </w:r>
            <w:r>
              <w:rPr>
                <w:rFonts w:hint="eastAsia" w:ascii="仿宋" w:hAnsi="仿宋" w:eastAsia="仿宋" w:cs="仿宋"/>
                <w:color w:val="auto"/>
                <w:sz w:val="24"/>
                <w:highlight w:val="none"/>
              </w:rPr>
              <w:t>同意将非主体、非关键性的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工作分包。</w:t>
            </w:r>
          </w:p>
          <w:p w14:paraId="2071602A">
            <w:pPr>
              <w:keepNext w:val="0"/>
              <w:keepLines w:val="0"/>
              <w:pageBreakBefore w:val="0"/>
              <w:widowControl w:val="0"/>
              <w:kinsoku/>
              <w:wordWrap/>
              <w:overflowPunct/>
              <w:topLinePunct w:val="0"/>
              <w:bidi w:val="0"/>
              <w:adjustRightInd w:val="0"/>
              <w:spacing w:line="440" w:lineRule="exact"/>
              <w:ind w:left="0" w:leftChars="0" w:right="0" w:rightChars="0" w:firstLine="720" w:firstLineChars="300"/>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 xml:space="preserve"> B</w:t>
            </w:r>
            <w:r>
              <w:rPr>
                <w:rFonts w:hint="eastAsia" w:ascii="仿宋" w:hAnsi="仿宋" w:eastAsia="仿宋" w:cs="仿宋"/>
                <w:color w:val="auto"/>
                <w:sz w:val="24"/>
                <w:highlight w:val="none"/>
              </w:rPr>
              <w:t>不同意分包。</w:t>
            </w:r>
          </w:p>
        </w:tc>
      </w:tr>
      <w:tr w14:paraId="7C1484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14:paraId="623A34F0">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7</w:t>
            </w:r>
          </w:p>
        </w:tc>
        <w:tc>
          <w:tcPr>
            <w:tcW w:w="8370" w:type="dxa"/>
            <w:gridSpan w:val="2"/>
            <w:vAlign w:val="center"/>
          </w:tcPr>
          <w:p w14:paraId="03E1730D">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投标文件份数：</w:t>
            </w:r>
            <w:r>
              <w:rPr>
                <w:rFonts w:hint="eastAsia" w:ascii="仿宋" w:hAnsi="仿宋" w:eastAsia="仿宋" w:cs="仿宋"/>
                <w:color w:val="auto"/>
                <w:sz w:val="24"/>
                <w:highlight w:val="none"/>
              </w:rPr>
              <w:t>本项目实行网上投标，供应商于“政采云”上提供电子投标文件。</w:t>
            </w:r>
          </w:p>
        </w:tc>
      </w:tr>
      <w:tr w14:paraId="381675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14:paraId="4D719A00">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8</w:t>
            </w:r>
          </w:p>
        </w:tc>
        <w:tc>
          <w:tcPr>
            <w:tcW w:w="8370" w:type="dxa"/>
            <w:gridSpan w:val="2"/>
            <w:vAlign w:val="center"/>
          </w:tcPr>
          <w:p w14:paraId="2C38534B">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开标前答疑会或现场考察：</w:t>
            </w:r>
          </w:p>
          <w:p w14:paraId="1BEDEA59">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不组织。</w:t>
            </w:r>
          </w:p>
          <w:p w14:paraId="7013C455">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B组织，</w:t>
            </w:r>
            <w:r>
              <w:rPr>
                <w:rFonts w:hint="eastAsia" w:ascii="仿宋" w:hAnsi="仿宋" w:eastAsia="仿宋" w:cs="仿宋"/>
                <w:color w:val="auto"/>
                <w:sz w:val="24"/>
                <w:highlight w:val="none"/>
              </w:rPr>
              <w:t>时间：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,地点：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，联系方式：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szCs w:val="20"/>
                <w:highlight w:val="none"/>
              </w:rPr>
              <w:t>。</w:t>
            </w:r>
          </w:p>
        </w:tc>
      </w:tr>
      <w:tr w14:paraId="3783EF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14:paraId="1E492641">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9</w:t>
            </w:r>
          </w:p>
        </w:tc>
        <w:tc>
          <w:tcPr>
            <w:tcW w:w="8370" w:type="dxa"/>
            <w:gridSpan w:val="2"/>
            <w:vAlign w:val="center"/>
          </w:tcPr>
          <w:p w14:paraId="137F6550">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样品提供：</w:t>
            </w:r>
          </w:p>
          <w:p w14:paraId="7015A109">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不要求提供。</w:t>
            </w:r>
          </w:p>
          <w:p w14:paraId="41D5A728">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B要求提供，</w:t>
            </w:r>
          </w:p>
          <w:p w14:paraId="1DB9E2AD">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w:t>
            </w:r>
            <w:r>
              <w:rPr>
                <w:rFonts w:hint="eastAsia" w:ascii="仿宋" w:hAnsi="仿宋" w:eastAsia="仿宋" w:cs="仿宋"/>
                <w:snapToGrid w:val="0"/>
                <w:color w:val="auto"/>
                <w:kern w:val="28"/>
                <w:sz w:val="24"/>
                <w:highlight w:val="none"/>
              </w:rPr>
              <w:t>样品：</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14:paraId="37A52DFA">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w:t>
            </w:r>
            <w:r>
              <w:rPr>
                <w:rFonts w:hint="eastAsia" w:ascii="仿宋" w:hAnsi="仿宋" w:eastAsia="仿宋" w:cs="仿宋"/>
                <w:snapToGrid w:val="0"/>
                <w:color w:val="auto"/>
                <w:kern w:val="28"/>
                <w:sz w:val="24"/>
                <w:highlight w:val="none"/>
              </w:rPr>
              <w:t>样品制作的标准和要求：</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14:paraId="6D39BAB0">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（3）样品的评审方法以及评审标准</w:t>
            </w:r>
            <w:r>
              <w:rPr>
                <w:rFonts w:hint="eastAsia" w:ascii="仿宋" w:hAnsi="仿宋" w:eastAsia="仿宋" w:cs="仿宋"/>
                <w:snapToGrid w:val="0"/>
                <w:color w:val="auto"/>
                <w:kern w:val="28"/>
                <w:sz w:val="24"/>
                <w:highlight w:val="none"/>
              </w:rPr>
              <w:t>：详见</w:t>
            </w:r>
            <w:r>
              <w:rPr>
                <w:rFonts w:hint="eastAsia" w:ascii="仿宋" w:hAnsi="仿宋" w:eastAsia="仿宋" w:cs="仿宋"/>
                <w:color w:val="auto"/>
                <w:sz w:val="24"/>
                <w:highlight w:val="none"/>
                <w:u w:val="single"/>
              </w:rPr>
              <w:t>评标办法</w:t>
            </w:r>
            <w:r>
              <w:rPr>
                <w:rFonts w:hint="eastAsia" w:ascii="仿宋" w:hAnsi="仿宋" w:eastAsia="仿宋" w:cs="仿宋"/>
                <w:color w:val="auto"/>
                <w:kern w:val="0"/>
                <w:sz w:val="24"/>
                <w:highlight w:val="none"/>
              </w:rPr>
              <w:t>；</w:t>
            </w:r>
          </w:p>
          <w:p w14:paraId="7B69FA52">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（4）是否需要随样品提交检测报告：</w:t>
            </w: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否；□是，检测机构的要求</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；检测内容</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14:paraId="4E2C8F4D">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（5）提供样品的时间：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；地点：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；联系人</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28"/>
                <w:sz w:val="24"/>
                <w:highlight w:val="none"/>
              </w:rPr>
              <w:t>联系电话：</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。请投标人在上述时间内提供样品并按规定位置安装完毕。超过截止时间的，采购人或采购代理机构将不予接收，并将清场并封闭样品现场。</w:t>
            </w:r>
          </w:p>
          <w:p w14:paraId="3F5EC87A">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default" w:ascii="仿宋" w:hAnsi="仿宋" w:eastAsia="仿宋" w:cs="仿宋"/>
                <w:color w:val="auto"/>
                <w:sz w:val="24"/>
                <w:highlight w:val="none"/>
                <w:lang w:val="en-US"/>
              </w:rPr>
              <w:t>6</w:t>
            </w:r>
            <w:r>
              <w:rPr>
                <w:rFonts w:hint="eastAsia" w:ascii="仿宋" w:hAnsi="仿宋" w:eastAsia="仿宋" w:cs="仿宋"/>
                <w:color w:val="auto"/>
                <w:sz w:val="24"/>
                <w:highlight w:val="none"/>
              </w:rPr>
              <w:t>）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14:paraId="2AE9DA51">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（7）制作、运输、安装和保管样品所发生的一切费用由投标人自理。</w:t>
            </w:r>
          </w:p>
          <w:p w14:paraId="514E4C53">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jc w:val="left"/>
              <w:rPr>
                <w:rFonts w:hint="default"/>
                <w:color w:val="auto"/>
                <w:highlight w:val="none"/>
                <w:lang w:val="en-US"/>
              </w:rPr>
            </w:pPr>
            <w:r>
              <w:rPr>
                <w:rFonts w:hint="eastAsia" w:ascii="仿宋" w:hAnsi="仿宋" w:eastAsia="仿宋" w:cs="仿宋"/>
                <w:color w:val="auto"/>
                <w:sz w:val="24"/>
                <w:highlight w:val="none"/>
              </w:rPr>
              <w:t>（</w:t>
            </w:r>
            <w:r>
              <w:rPr>
                <w:rFonts w:hint="default" w:ascii="仿宋" w:hAnsi="仿宋" w:eastAsia="仿宋" w:cs="仿宋"/>
                <w:color w:val="auto"/>
                <w:sz w:val="24"/>
                <w:highlight w:val="none"/>
                <w:lang w:val="en-US"/>
              </w:rPr>
              <w:t>8</w:t>
            </w:r>
            <w:r>
              <w:rPr>
                <w:rFonts w:hint="eastAsia" w:ascii="仿宋" w:hAnsi="仿宋" w:eastAsia="仿宋" w:cs="仿宋"/>
                <w:color w:val="auto"/>
                <w:sz w:val="24"/>
                <w:highlight w:val="none"/>
              </w:rPr>
              <w:t>）未按招标文件要求提供样品或提供样品不满足采购需求实质性条件的，投标无效。</w:t>
            </w:r>
          </w:p>
        </w:tc>
      </w:tr>
      <w:tr w14:paraId="6B82A5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45" w:hRule="atLeast"/>
          <w:jc w:val="center"/>
        </w:trPr>
        <w:tc>
          <w:tcPr>
            <w:tcW w:w="870" w:type="dxa"/>
            <w:vAlign w:val="center"/>
          </w:tcPr>
          <w:p w14:paraId="05D0B681">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10</w:t>
            </w:r>
          </w:p>
        </w:tc>
        <w:tc>
          <w:tcPr>
            <w:tcW w:w="8370" w:type="dxa"/>
            <w:gridSpan w:val="2"/>
            <w:vAlign w:val="center"/>
          </w:tcPr>
          <w:p w14:paraId="0177F7AE">
            <w:pPr>
              <w:spacing w:beforeLines="0" w:afterLines="0" w:line="440" w:lineRule="exact"/>
              <w:rPr>
                <w:rFonts w:hint="eastAsia" w:ascii="仿宋_GB2312" w:hAnsi="宋体" w:eastAsia="仿宋_GB2312"/>
                <w:b/>
                <w:color w:val="auto"/>
                <w:sz w:val="24"/>
                <w:szCs w:val="24"/>
                <w:highlight w:val="none"/>
              </w:rPr>
            </w:pPr>
            <w:r>
              <w:rPr>
                <w:rFonts w:hint="eastAsia" w:ascii="仿宋_GB2312" w:hAnsi="宋体" w:eastAsia="仿宋_GB2312"/>
                <w:b/>
                <w:color w:val="auto"/>
                <w:sz w:val="24"/>
                <w:szCs w:val="24"/>
                <w:highlight w:val="none"/>
              </w:rPr>
              <w:t>方案讲解演示：</w:t>
            </w:r>
          </w:p>
          <w:p w14:paraId="7E6748E2">
            <w:pPr>
              <w:spacing w:beforeLines="0" w:afterLines="0" w:line="44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A无方案讲解演示。</w:t>
            </w:r>
          </w:p>
          <w:p w14:paraId="57AD545E">
            <w:pPr>
              <w:spacing w:beforeLines="0" w:afterLines="0" w:line="440" w:lineRule="exact"/>
              <w:rPr>
                <w:rFonts w:hint="eastAsia" w:ascii="仿宋" w:hAnsi="仿宋" w:eastAsia="仿宋" w:cs="仿宋"/>
                <w:b/>
                <w:color w:val="auto"/>
                <w:sz w:val="24"/>
                <w:szCs w:val="24"/>
                <w:highlight w:val="none"/>
              </w:rPr>
            </w:pPr>
            <w:r>
              <w:rPr>
                <w:rFonts w:hint="eastAsia" w:ascii="仿宋" w:hAnsi="仿宋" w:eastAsia="仿宋" w:cs="仿宋"/>
                <w:color w:val="auto"/>
                <w:sz w:val="24"/>
                <w:szCs w:val="24"/>
                <w:highlight w:val="none"/>
              </w:rPr>
              <w:t>□B有方案讲解演示：</w:t>
            </w:r>
          </w:p>
          <w:p w14:paraId="3356B39A">
            <w:pPr>
              <w:spacing w:beforeLines="0" w:afterLines="0"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（1）在评标时安排每个供应商进行方案讲解演示。每个供应商时间不超过</w:t>
            </w:r>
            <w:r>
              <w:rPr>
                <w:rFonts w:hint="eastAsia" w:ascii="仿宋" w:hAnsi="仿宋" w:eastAsia="仿宋" w:cs="仿宋"/>
                <w:color w:val="auto"/>
                <w:sz w:val="24"/>
                <w:szCs w:val="24"/>
                <w:highlight w:val="none"/>
                <w:lang w:val="en-US" w:eastAsia="zh-CN"/>
              </w:rPr>
              <w:t xml:space="preserve">20 </w:t>
            </w:r>
            <w:r>
              <w:rPr>
                <w:rFonts w:hint="eastAsia" w:ascii="仿宋" w:hAnsi="仿宋" w:eastAsia="仿宋" w:cs="仿宋"/>
                <w:color w:val="auto"/>
                <w:sz w:val="24"/>
                <w:szCs w:val="24"/>
                <w:highlight w:val="none"/>
                <w:lang w:val="zh-CN"/>
              </w:rPr>
              <w:t>分钟</w:t>
            </w:r>
            <w:r>
              <w:rPr>
                <w:rFonts w:hint="eastAsia" w:ascii="仿宋" w:hAnsi="仿宋" w:eastAsia="仿宋" w:cs="仿宋"/>
                <w:color w:val="auto"/>
                <w:kern w:val="0"/>
                <w:sz w:val="24"/>
                <w:highlight w:val="none"/>
                <w:lang w:val="zh-CN"/>
              </w:rPr>
              <w:t>（编制时可根据项目情况进行调整）</w:t>
            </w:r>
            <w:r>
              <w:rPr>
                <w:rFonts w:hint="eastAsia" w:ascii="仿宋" w:hAnsi="仿宋" w:eastAsia="仿宋" w:cs="仿宋"/>
                <w:color w:val="auto"/>
                <w:sz w:val="24"/>
                <w:szCs w:val="24"/>
                <w:highlight w:val="none"/>
                <w:lang w:val="zh-CN"/>
              </w:rPr>
              <w:t>，讲解次序以投标文件解密时间先后次序为准。讲解演示结束后按要求解答评标委员会提问。</w:t>
            </w:r>
          </w:p>
          <w:p w14:paraId="295CC776">
            <w:pPr>
              <w:spacing w:beforeLines="0" w:afterLines="0"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（2）方案讲解演示可选择以下其中一种方式：</w:t>
            </w:r>
          </w:p>
          <w:p w14:paraId="58298E30">
            <w:pPr>
              <w:spacing w:beforeLines="0" w:afterLines="0"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zh-CN"/>
              </w:rPr>
              <w:t>方式一：政采云平台在线讲解演示。政采云平台在线讲解需供应商根据政采云平台操作要求做好准备工作，提前完善软硬件配置环境。</w:t>
            </w:r>
          </w:p>
          <w:p w14:paraId="55C5F6BC">
            <w:pPr>
              <w:spacing w:beforeLines="0" w:afterLines="0"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zh-CN"/>
              </w:rPr>
              <w:t>方式二：现场讲解演示。现场讲解地点为</w:t>
            </w:r>
            <w:r>
              <w:rPr>
                <w:rFonts w:hint="eastAsia" w:ascii="仿宋" w:hAnsi="仿宋" w:eastAsia="仿宋" w:cs="仿宋"/>
                <w:color w:val="auto"/>
                <w:sz w:val="24"/>
                <w:szCs w:val="24"/>
                <w:highlight w:val="none"/>
                <w:u w:val="single"/>
                <w:lang w:val="zh-CN"/>
              </w:rPr>
              <w:t xml:space="preserve">     </w:t>
            </w:r>
            <w:r>
              <w:rPr>
                <w:rFonts w:hint="eastAsia" w:ascii="仿宋" w:hAnsi="仿宋" w:eastAsia="仿宋" w:cs="仿宋"/>
                <w:color w:val="auto"/>
                <w:sz w:val="24"/>
                <w:szCs w:val="24"/>
                <w:highlight w:val="none"/>
                <w:lang w:val="zh-CN"/>
              </w:rPr>
              <w:t>，讲解演示人员不超过</w:t>
            </w: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lang w:val="zh-CN"/>
              </w:rPr>
              <w:t>人</w:t>
            </w:r>
            <w:r>
              <w:rPr>
                <w:rFonts w:hint="eastAsia" w:ascii="仿宋" w:hAnsi="仿宋" w:eastAsia="仿宋" w:cs="仿宋"/>
                <w:color w:val="auto"/>
                <w:kern w:val="0"/>
                <w:sz w:val="24"/>
                <w:highlight w:val="none"/>
                <w:lang w:val="zh-CN"/>
              </w:rPr>
              <w:t>（编制时可根据项目情况进行调整）。</w:t>
            </w:r>
            <w:r>
              <w:rPr>
                <w:rFonts w:hint="eastAsia" w:ascii="仿宋" w:hAnsi="仿宋" w:eastAsia="仿宋" w:cs="仿宋"/>
                <w:color w:val="auto"/>
                <w:sz w:val="24"/>
                <w:szCs w:val="24"/>
                <w:highlight w:val="none"/>
                <w:lang w:val="zh-CN"/>
              </w:rPr>
              <w:t>讲解演示所用电脑等设备由供应商自备。现场讲解演示人员进场时提供讲解人员名单（加盖公章或授权代表签名）及身份证明，否则不得讲解演示。</w:t>
            </w:r>
          </w:p>
          <w:p w14:paraId="1B5FD661">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szCs w:val="24"/>
                <w:highlight w:val="none"/>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14:paraId="2A55CF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7" w:hRule="atLeast"/>
          <w:jc w:val="center"/>
        </w:trPr>
        <w:tc>
          <w:tcPr>
            <w:tcW w:w="870" w:type="dxa"/>
            <w:vAlign w:val="center"/>
          </w:tcPr>
          <w:p w14:paraId="44EADE94">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lang w:val="en-US" w:eastAsia="zh-CN"/>
              </w:rPr>
              <w:t>1</w:t>
            </w:r>
          </w:p>
        </w:tc>
        <w:tc>
          <w:tcPr>
            <w:tcW w:w="855" w:type="dxa"/>
            <w:vAlign w:val="center"/>
          </w:tcPr>
          <w:p w14:paraId="41E0A1A8">
            <w:pPr>
              <w:keepNext w:val="0"/>
              <w:keepLines w:val="0"/>
              <w:pageBreakBefore w:val="0"/>
              <w:widowControl w:val="0"/>
              <w:kinsoku/>
              <w:wordWrap/>
              <w:overflowPunct/>
              <w:topLinePunct w:val="0"/>
              <w:bidi w:val="0"/>
              <w:adjustRightInd w:val="0"/>
              <w:snapToGrid w:val="0"/>
              <w:spacing w:line="440" w:lineRule="exact"/>
              <w:ind w:left="0" w:leftChars="0" w:right="0" w:rightChars="0"/>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进口产品</w:t>
            </w:r>
          </w:p>
        </w:tc>
        <w:tc>
          <w:tcPr>
            <w:tcW w:w="7515" w:type="dxa"/>
            <w:vAlign w:val="center"/>
          </w:tcPr>
          <w:p w14:paraId="3188EDB7">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本项目不允许采购进口产品。</w:t>
            </w:r>
          </w:p>
          <w:p w14:paraId="07CE2727">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14:paraId="7F4317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61A2F9AE">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12</w:t>
            </w:r>
          </w:p>
        </w:tc>
        <w:tc>
          <w:tcPr>
            <w:tcW w:w="855" w:type="dxa"/>
            <w:vAlign w:val="center"/>
          </w:tcPr>
          <w:p w14:paraId="4657DDBF">
            <w:pPr>
              <w:keepNext w:val="0"/>
              <w:keepLines w:val="0"/>
              <w:pageBreakBefore w:val="0"/>
              <w:widowControl w:val="0"/>
              <w:kinsoku/>
              <w:wordWrap/>
              <w:overflowPunct/>
              <w:topLinePunct w:val="0"/>
              <w:bidi w:val="0"/>
              <w:adjustRightInd w:val="0"/>
              <w:snapToGrid w:val="0"/>
              <w:spacing w:line="440" w:lineRule="exact"/>
              <w:ind w:left="14" w:leftChars="0" w:right="0" w:rightChars="0" w:hanging="14" w:hangingChars="7"/>
              <w:rPr>
                <w:rFonts w:hint="eastAsia"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项目属性与核心产品</w:t>
            </w:r>
          </w:p>
        </w:tc>
        <w:tc>
          <w:tcPr>
            <w:tcW w:w="7515" w:type="dxa"/>
            <w:vAlign w:val="center"/>
          </w:tcPr>
          <w:p w14:paraId="7E879D6D">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货物类，单一产品或</w:t>
            </w:r>
            <w:r>
              <w:rPr>
                <w:rFonts w:hint="eastAsia" w:ascii="仿宋" w:hAnsi="仿宋" w:eastAsia="仿宋" w:cs="仿宋"/>
                <w:color w:val="auto"/>
                <w:kern w:val="0"/>
                <w:sz w:val="24"/>
                <w:highlight w:val="none"/>
              </w:rPr>
              <w:t>核心产品为：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6C347520">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B</w:t>
            </w:r>
            <w:r>
              <w:rPr>
                <w:rFonts w:hint="eastAsia" w:ascii="仿宋" w:hAnsi="仿宋" w:eastAsia="仿宋" w:cs="仿宋"/>
                <w:color w:val="auto"/>
                <w:sz w:val="24"/>
                <w:highlight w:val="none"/>
              </w:rPr>
              <w:t>服务类。</w:t>
            </w:r>
          </w:p>
        </w:tc>
      </w:tr>
      <w:tr w14:paraId="561634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5CF6C9DB">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lang w:val="en-US" w:eastAsia="zh-CN"/>
              </w:rPr>
              <w:t>3</w:t>
            </w:r>
          </w:p>
        </w:tc>
        <w:tc>
          <w:tcPr>
            <w:tcW w:w="855" w:type="dxa"/>
            <w:vAlign w:val="center"/>
          </w:tcPr>
          <w:p w14:paraId="7BE2B5D1">
            <w:pPr>
              <w:keepNext w:val="0"/>
              <w:keepLines w:val="0"/>
              <w:pageBreakBefore w:val="0"/>
              <w:widowControl w:val="0"/>
              <w:kinsoku/>
              <w:wordWrap/>
              <w:overflowPunct/>
              <w:topLinePunct w:val="0"/>
              <w:bidi w:val="0"/>
              <w:adjustRightInd w:val="0"/>
              <w:snapToGrid w:val="0"/>
              <w:spacing w:line="440" w:lineRule="exact"/>
              <w:ind w:left="0" w:leftChars="0" w:right="0" w:rightChars="0" w:hanging="1"/>
              <w:jc w:val="center"/>
              <w:rPr>
                <w:rFonts w:hint="eastAsia" w:ascii="仿宋" w:hAnsi="仿宋" w:eastAsia="仿宋" w:cs="仿宋"/>
                <w:b/>
                <w:color w:val="auto"/>
                <w:spacing w:val="-20"/>
                <w:sz w:val="24"/>
                <w:highlight w:val="none"/>
              </w:rPr>
            </w:pPr>
            <w:bookmarkStart w:id="21" w:name="OLE_LINK7"/>
            <w:r>
              <w:rPr>
                <w:rFonts w:hint="eastAsia" w:ascii="仿宋" w:hAnsi="仿宋" w:eastAsia="仿宋" w:cs="仿宋"/>
                <w:b/>
                <w:color w:val="auto"/>
                <w:spacing w:val="-20"/>
                <w:sz w:val="24"/>
                <w:highlight w:val="none"/>
              </w:rPr>
              <w:t>采购标的对应的中小企业划分标准所属行业</w:t>
            </w:r>
            <w:bookmarkEnd w:id="21"/>
          </w:p>
        </w:tc>
        <w:tc>
          <w:tcPr>
            <w:tcW w:w="7515" w:type="dxa"/>
            <w:vAlign w:val="center"/>
          </w:tcPr>
          <w:p w14:paraId="2F618D49">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highlight w:val="none"/>
              </w:rPr>
            </w:pPr>
            <w:r>
              <w:rPr>
                <w:rFonts w:hint="eastAsia" w:ascii="仿宋" w:hAnsi="仿宋" w:eastAsia="仿宋" w:cs="仿宋"/>
                <w:color w:val="auto"/>
                <w:kern w:val="0"/>
                <w:sz w:val="24"/>
                <w:highlight w:val="none"/>
              </w:rPr>
              <w:t>（1）标的：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u w:val="single"/>
                <w:lang w:eastAsia="zh-CN"/>
              </w:rPr>
              <w:t>2025年柯桥区中高风险特种设备安全风险评估项目 （第二次）</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，属于</w:t>
            </w:r>
            <w:r>
              <w:rPr>
                <w:rFonts w:hint="eastAsia" w:ascii="仿宋" w:hAnsi="仿宋" w:eastAsia="仿宋" w:cs="仿宋"/>
                <w:color w:val="auto"/>
                <w:kern w:val="0"/>
                <w:sz w:val="24"/>
                <w:highlight w:val="none"/>
                <w:u w:val="single"/>
              </w:rPr>
              <w:t xml:space="preserve"> 其他未列明 </w:t>
            </w:r>
            <w:r>
              <w:rPr>
                <w:rFonts w:hint="eastAsia" w:ascii="仿宋" w:hAnsi="仿宋" w:eastAsia="仿宋" w:cs="仿宋"/>
                <w:color w:val="auto"/>
                <w:kern w:val="0"/>
                <w:sz w:val="24"/>
                <w:highlight w:val="none"/>
              </w:rPr>
              <w:t>行业；</w:t>
            </w:r>
          </w:p>
        </w:tc>
      </w:tr>
      <w:tr w14:paraId="0D3E84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14:paraId="169A0F33">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lang w:val="en-US" w:eastAsia="zh-CN"/>
              </w:rPr>
              <w:t>4</w:t>
            </w:r>
          </w:p>
        </w:tc>
        <w:tc>
          <w:tcPr>
            <w:tcW w:w="855" w:type="dxa"/>
            <w:vMerge w:val="restart"/>
            <w:vAlign w:val="center"/>
          </w:tcPr>
          <w:p w14:paraId="795B6440">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投标人信用信息事项</w:t>
            </w:r>
          </w:p>
        </w:tc>
        <w:tc>
          <w:tcPr>
            <w:tcW w:w="7515" w:type="dxa"/>
            <w:vAlign w:val="center"/>
          </w:tcPr>
          <w:p w14:paraId="6CEC3FA4">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信用信息查询渠道及截止时间：</w:t>
            </w:r>
            <w:r>
              <w:rPr>
                <w:rFonts w:hint="eastAsia" w:ascii="仿宋" w:hAnsi="仿宋" w:eastAsia="仿宋" w:cs="仿宋"/>
                <w:color w:val="auto"/>
                <w:sz w:val="24"/>
                <w:highlight w:val="none"/>
              </w:rPr>
              <w:t>采购人或采购人委托的采购代理机构将通过“信用中国”网站(www.creditchina.gov.cn)、中国政府采购网(www.ccgp.gov.cn)渠道查询投标人</w:t>
            </w:r>
            <w:r>
              <w:rPr>
                <w:rFonts w:hint="eastAsia" w:ascii="仿宋" w:hAnsi="仿宋" w:eastAsia="仿宋" w:cs="仿宋"/>
                <w:b/>
                <w:color w:val="auto"/>
                <w:sz w:val="24"/>
                <w:highlight w:val="none"/>
              </w:rPr>
              <w:t>开标当天</w:t>
            </w:r>
            <w:r>
              <w:rPr>
                <w:rFonts w:hint="eastAsia" w:ascii="仿宋" w:hAnsi="仿宋" w:eastAsia="仿宋" w:cs="仿宋"/>
                <w:color w:val="auto"/>
                <w:sz w:val="24"/>
                <w:highlight w:val="none"/>
              </w:rPr>
              <w:t>的信用记录。</w:t>
            </w:r>
          </w:p>
        </w:tc>
      </w:tr>
      <w:tr w14:paraId="3D1CDA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16D4413F">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p>
        </w:tc>
        <w:tc>
          <w:tcPr>
            <w:tcW w:w="855" w:type="dxa"/>
            <w:vMerge w:val="continue"/>
            <w:vAlign w:val="center"/>
          </w:tcPr>
          <w:p w14:paraId="51025FD5">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p>
        </w:tc>
        <w:tc>
          <w:tcPr>
            <w:tcW w:w="7515" w:type="dxa"/>
            <w:vAlign w:val="center"/>
          </w:tcPr>
          <w:p w14:paraId="4025474A">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信用信息查询记录和证据留存的具体方式：</w:t>
            </w:r>
            <w:r>
              <w:rPr>
                <w:rFonts w:hint="eastAsia" w:ascii="仿宋" w:hAnsi="仿宋" w:eastAsia="仿宋" w:cs="仿宋"/>
                <w:color w:val="auto"/>
                <w:sz w:val="24"/>
                <w:highlight w:val="none"/>
              </w:rPr>
              <w:t>采购人或采购人委托的采购代理机构现场查询投标人的信用记录，查询结果经确认后与采购文件一起存档。</w:t>
            </w:r>
          </w:p>
        </w:tc>
      </w:tr>
      <w:tr w14:paraId="16865D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26D6D226">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p>
        </w:tc>
        <w:tc>
          <w:tcPr>
            <w:tcW w:w="855" w:type="dxa"/>
            <w:vMerge w:val="continue"/>
            <w:vAlign w:val="center"/>
          </w:tcPr>
          <w:p w14:paraId="03FC1259">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p>
        </w:tc>
        <w:tc>
          <w:tcPr>
            <w:tcW w:w="7515" w:type="dxa"/>
            <w:vAlign w:val="center"/>
          </w:tcPr>
          <w:p w14:paraId="255C9F86">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信用信息的使用规则：</w:t>
            </w:r>
            <w:r>
              <w:rPr>
                <w:rFonts w:hint="eastAsia" w:ascii="仿宋" w:hAnsi="仿宋" w:eastAsia="仿宋" w:cs="仿宋"/>
                <w:color w:val="auto"/>
                <w:sz w:val="24"/>
                <w:highlight w:val="none"/>
              </w:rPr>
              <w:t>经查询列入失信被执行人名单、</w:t>
            </w:r>
            <w:r>
              <w:rPr>
                <w:rFonts w:hint="eastAsia" w:ascii="仿宋" w:hAnsi="仿宋" w:eastAsia="仿宋" w:cs="仿宋"/>
                <w:color w:val="auto"/>
                <w:sz w:val="24"/>
                <w:highlight w:val="none"/>
                <w:lang w:eastAsia="zh-CN"/>
              </w:rPr>
              <w:t>重大税收违法失信主体</w:t>
            </w:r>
            <w:r>
              <w:rPr>
                <w:rFonts w:hint="eastAsia" w:ascii="仿宋" w:hAnsi="仿宋" w:eastAsia="仿宋" w:cs="仿宋"/>
                <w:color w:val="auto"/>
                <w:sz w:val="24"/>
                <w:highlight w:val="none"/>
              </w:rPr>
              <w:t>、政府采购严重违法失信行为记录名单的投标人将被拒绝参与政府采购活动。</w:t>
            </w:r>
          </w:p>
          <w:p w14:paraId="7AC5E272">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color w:val="auto"/>
                <w:sz w:val="24"/>
                <w:highlight w:val="none"/>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7974FF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14:paraId="68EF8A57">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lang w:val="en-US" w:eastAsia="zh-CN"/>
              </w:rPr>
              <w:t>5</w:t>
            </w:r>
          </w:p>
        </w:tc>
        <w:tc>
          <w:tcPr>
            <w:tcW w:w="8370" w:type="dxa"/>
            <w:gridSpan w:val="2"/>
            <w:vAlign w:val="center"/>
          </w:tcPr>
          <w:p w14:paraId="185B7244">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需要落实的政府采购政策：包括保护环境、节约能源、促进中小企业发展等。详见招标文件第二部分总则。</w:t>
            </w:r>
          </w:p>
        </w:tc>
      </w:tr>
      <w:tr w14:paraId="47EE87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6FAC2908">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lang w:val="en-US" w:eastAsia="zh-CN"/>
              </w:rPr>
              <w:t>6</w:t>
            </w:r>
          </w:p>
        </w:tc>
        <w:tc>
          <w:tcPr>
            <w:tcW w:w="8370" w:type="dxa"/>
            <w:gridSpan w:val="2"/>
            <w:vAlign w:val="center"/>
          </w:tcPr>
          <w:p w14:paraId="0B3AEA2C">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更正补充公告请自行登录浙江政府采购网查看下载。</w:t>
            </w:r>
          </w:p>
        </w:tc>
      </w:tr>
      <w:tr w14:paraId="5C560B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16C6B139">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17</w:t>
            </w:r>
            <w:r>
              <w:rPr>
                <w:rFonts w:hint="eastAsia" w:ascii="仿宋" w:hAnsi="仿宋" w:eastAsia="仿宋" w:cs="仿宋"/>
                <w:color w:val="auto"/>
                <w:sz w:val="24"/>
                <w:highlight w:val="none"/>
              </w:rPr>
              <w:t xml:space="preserve">                                                                                                                                                                                                                                                                                                                                                                                                                                                                                                                                                                                                                                                                                                                                                                                                                                                                                                                                                                                                                                                                                                                                                                                                                                                                                                                                       </w:t>
            </w:r>
          </w:p>
        </w:tc>
        <w:tc>
          <w:tcPr>
            <w:tcW w:w="8370" w:type="dxa"/>
            <w:gridSpan w:val="2"/>
            <w:vAlign w:val="center"/>
          </w:tcPr>
          <w:p w14:paraId="5240AA72">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投标与开标注意事项：</w:t>
            </w:r>
          </w:p>
          <w:p w14:paraId="27BDDB5B">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1.本项目实行网上投标，采用电子投标文件。若供应商参与投标，自行承担投标一切费用。</w:t>
            </w:r>
          </w:p>
          <w:p w14:paraId="75366A98">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14:paraId="670D333E">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注：供应商CA相关操作可参考政采云平台</w:t>
            </w:r>
            <w:r>
              <w:rPr>
                <w:rFonts w:hint="eastAsia" w:ascii="仿宋" w:hAnsi="仿宋" w:eastAsia="仿宋" w:cs="仿宋"/>
                <w:color w:val="auto"/>
                <w:highlight w:val="none"/>
              </w:rPr>
              <w:t>https://www.zcygov.cn/</w:t>
            </w:r>
            <w:r>
              <w:rPr>
                <w:rFonts w:hint="eastAsia" w:ascii="仿宋" w:hAnsi="仿宋" w:eastAsia="仿宋" w:cs="仿宋"/>
                <w:color w:val="auto"/>
                <w:sz w:val="24"/>
                <w:highlight w:val="none"/>
              </w:rPr>
              <w:t>《CA申领操作指南》和《CA管理操作指南》。完成CA数字证书办理在资料齐全的情况下预计7个工作日左右，建议供应商获取招标文件后立即办理。</w:t>
            </w:r>
          </w:p>
          <w:p w14:paraId="1B30939D">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3.投标文件制作、递交、解密：</w:t>
            </w:r>
          </w:p>
          <w:p w14:paraId="04A0E51E">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3.1应按照本项目招标文件和政采云平台的要求编制、加密传输投标文件。供应商在使用系统进行投标的过程中遇到涉及平台使用的任何问题，可致电政采云平台技术支持热线咨询，联系方式：95763。</w:t>
            </w:r>
          </w:p>
          <w:p w14:paraId="7CCE8362">
            <w:pPr>
              <w:keepNext w:val="0"/>
              <w:keepLines w:val="0"/>
              <w:pageBreakBefore w:val="0"/>
              <w:widowControl w:val="0"/>
              <w:kinsoku/>
              <w:wordWrap/>
              <w:overflowPunct/>
              <w:topLinePunct w:val="0"/>
              <w:bidi w:val="0"/>
              <w:adjustRightInd w:val="0"/>
              <w:snapToGrid w:val="0"/>
              <w:spacing w:line="440" w:lineRule="exact"/>
              <w:ind w:left="0" w:leftChars="0" w:right="0" w:rightChars="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3.2投标人通过“政采云”平台制作电子投标文件，投标文件制作详见“供应商-政府采购项目电子交易操作指南。</w:t>
            </w:r>
          </w:p>
          <w:p w14:paraId="2536513C">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3.3开标时间后30分钟内供应商可以登录“政采云”平台，用“项目采购-开标评标”功能进行解密投标文件。若供应商</w:t>
            </w:r>
            <w:r>
              <w:rPr>
                <w:rFonts w:hint="eastAsia" w:ascii="仿宋" w:hAnsi="仿宋" w:eastAsia="仿宋" w:cs="仿宋"/>
                <w:b/>
                <w:color w:val="auto"/>
                <w:sz w:val="24"/>
                <w:highlight w:val="none"/>
                <w:u w:val="single"/>
              </w:rPr>
              <w:t>未按时解密的</w:t>
            </w:r>
            <w:r>
              <w:rPr>
                <w:rFonts w:hint="eastAsia" w:ascii="仿宋" w:hAnsi="仿宋" w:eastAsia="仿宋" w:cs="仿宋"/>
                <w:color w:val="auto"/>
                <w:sz w:val="24"/>
                <w:highlight w:val="none"/>
              </w:rPr>
              <w:t>，</w:t>
            </w:r>
            <w:r>
              <w:rPr>
                <w:rFonts w:hint="eastAsia" w:ascii="仿宋" w:hAnsi="仿宋" w:eastAsia="仿宋" w:cs="仿宋"/>
                <w:b/>
                <w:color w:val="auto"/>
                <w:sz w:val="24"/>
                <w:highlight w:val="none"/>
                <w:u w:val="single"/>
              </w:rPr>
              <w:t>视为投标文件撤回</w:t>
            </w:r>
            <w:r>
              <w:rPr>
                <w:rFonts w:hint="eastAsia" w:ascii="仿宋" w:hAnsi="仿宋" w:eastAsia="仿宋" w:cs="仿宋"/>
                <w:color w:val="auto"/>
                <w:sz w:val="24"/>
                <w:highlight w:val="none"/>
              </w:rPr>
              <w:t>。</w:t>
            </w:r>
          </w:p>
        </w:tc>
      </w:tr>
      <w:tr w14:paraId="2A2022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vAlign w:val="center"/>
          </w:tcPr>
          <w:p w14:paraId="41312375">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lang w:val="en-US" w:eastAsia="zh-CN"/>
              </w:rPr>
              <w:t>8</w:t>
            </w:r>
          </w:p>
        </w:tc>
        <w:tc>
          <w:tcPr>
            <w:tcW w:w="8370" w:type="dxa"/>
            <w:gridSpan w:val="2"/>
            <w:vAlign w:val="center"/>
          </w:tcPr>
          <w:p w14:paraId="696C1573">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特别说明：</w:t>
            </w:r>
          </w:p>
          <w:p w14:paraId="43BE4329">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snapToGrid w:val="0"/>
                <w:color w:val="auto"/>
                <w:kern w:val="28"/>
                <w:sz w:val="24"/>
                <w:highlight w:val="none"/>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color w:val="auto"/>
                <w:kern w:val="0"/>
                <w:sz w:val="24"/>
                <w:highlight w:val="none"/>
              </w:rPr>
              <w:t>。</w:t>
            </w:r>
          </w:p>
        </w:tc>
      </w:tr>
      <w:tr w14:paraId="7144D5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vAlign w:val="center"/>
          </w:tcPr>
          <w:p w14:paraId="2201DB22">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p>
        </w:tc>
        <w:tc>
          <w:tcPr>
            <w:tcW w:w="8370" w:type="dxa"/>
            <w:gridSpan w:val="2"/>
            <w:vAlign w:val="center"/>
          </w:tcPr>
          <w:p w14:paraId="18FD8DA4">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napToGrid w:val="0"/>
                <w:color w:val="auto"/>
                <w:kern w:val="28"/>
                <w:sz w:val="24"/>
                <w:highlight w:val="none"/>
              </w:rPr>
            </w:pPr>
            <w:r>
              <w:rPr>
                <w:rFonts w:hint="eastAsia" w:ascii="仿宋" w:hAnsi="仿宋" w:eastAsia="仿宋" w:cs="仿宋"/>
                <w:color w:val="auto"/>
                <w:kern w:val="0"/>
                <w:sz w:val="24"/>
                <w:highlight w:val="none"/>
              </w:rPr>
              <w:t>☐</w:t>
            </w:r>
            <w:r>
              <w:rPr>
                <w:rFonts w:hint="eastAsia" w:ascii="仿宋" w:hAnsi="仿宋" w:eastAsia="仿宋" w:cs="仿宋"/>
                <w:snapToGrid w:val="0"/>
                <w:color w:val="auto"/>
                <w:kern w:val="28"/>
                <w:sz w:val="24"/>
                <w:highlight w:val="none"/>
              </w:rPr>
              <w:t>联合体投标的，联合体各方均需按招标文件第五部分评标标准要求提供证明文件，否则视为不符合相关要求。</w:t>
            </w:r>
          </w:p>
          <w:p w14:paraId="7FCDC3B9">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snapToGrid w:val="0"/>
                <w:color w:val="auto"/>
                <w:kern w:val="28"/>
                <w:sz w:val="24"/>
                <w:highlight w:val="none"/>
              </w:rPr>
              <w:t>联合体投标的，联合体中有一方或者联合体成员根据分工按招标文件第五部分评标标准要求提供证明文件的，视为符合了相关要求。</w:t>
            </w:r>
          </w:p>
        </w:tc>
      </w:tr>
      <w:tr w14:paraId="077789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14:paraId="7C77BD0B">
            <w:pPr>
              <w:snapToGrid w:val="0"/>
              <w:spacing w:line="336" w:lineRule="auto"/>
              <w:jc w:val="center"/>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19</w:t>
            </w:r>
          </w:p>
        </w:tc>
        <w:tc>
          <w:tcPr>
            <w:tcW w:w="8370" w:type="dxa"/>
            <w:gridSpan w:val="2"/>
            <w:vAlign w:val="center"/>
          </w:tcPr>
          <w:p w14:paraId="4B697C9B">
            <w:pPr>
              <w:spacing w:line="336" w:lineRule="auto"/>
              <w:rPr>
                <w:rFonts w:hint="default" w:ascii="仿宋" w:hAnsi="仿宋" w:eastAsia="仿宋" w:cs="仿宋"/>
                <w:b/>
                <w:color w:val="auto"/>
                <w:sz w:val="24"/>
                <w:highlight w:val="none"/>
                <w:lang w:val="en-US" w:eastAsia="zh-CN"/>
              </w:rPr>
            </w:pPr>
            <w:r>
              <w:rPr>
                <w:rFonts w:hint="eastAsia" w:ascii="仿宋" w:hAnsi="仿宋" w:eastAsia="仿宋" w:cs="仿宋_GB2312"/>
                <w:b/>
                <w:color w:val="auto"/>
                <w:sz w:val="24"/>
                <w:highlight w:val="none"/>
              </w:rPr>
              <w:t>履约保证金金额</w:t>
            </w:r>
            <w:r>
              <w:rPr>
                <w:rFonts w:hint="eastAsia" w:ascii="仿宋" w:hAnsi="仿宋" w:eastAsia="仿宋" w:cs="仿宋_GB2312"/>
                <w:b/>
                <w:color w:val="auto"/>
                <w:sz w:val="24"/>
                <w:highlight w:val="none"/>
                <w:lang w:eastAsia="zh-CN"/>
              </w:rPr>
              <w:t>：</w:t>
            </w:r>
            <w:r>
              <w:rPr>
                <w:rFonts w:hint="eastAsia" w:ascii="仿宋" w:hAnsi="仿宋" w:eastAsia="仿宋" w:cs="仿宋_GB2312"/>
                <w:b/>
                <w:color w:val="auto"/>
                <w:sz w:val="24"/>
                <w:highlight w:val="none"/>
                <w:lang w:val="en-US" w:eastAsia="zh-CN"/>
              </w:rPr>
              <w:t>不收取履约保证金。</w:t>
            </w:r>
          </w:p>
        </w:tc>
      </w:tr>
      <w:tr w14:paraId="314DB6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870" w:type="dxa"/>
            <w:vAlign w:val="center"/>
          </w:tcPr>
          <w:p w14:paraId="47BC53C7">
            <w:pPr>
              <w:snapToGrid w:val="0"/>
              <w:spacing w:line="336" w:lineRule="auto"/>
              <w:jc w:val="center"/>
              <w:rPr>
                <w:rFonts w:hint="default"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highlight w:val="none"/>
                <w:lang w:val="en-US" w:eastAsia="zh-CN"/>
              </w:rPr>
              <w:t>20</w:t>
            </w:r>
          </w:p>
        </w:tc>
        <w:tc>
          <w:tcPr>
            <w:tcW w:w="8370" w:type="dxa"/>
            <w:gridSpan w:val="2"/>
            <w:vAlign w:val="center"/>
          </w:tcPr>
          <w:p w14:paraId="0C72CC7D">
            <w:pPr>
              <w:spacing w:line="336" w:lineRule="auto"/>
              <w:rPr>
                <w:rFonts w:hint="eastAsia" w:ascii="仿宋" w:hAnsi="仿宋" w:eastAsia="仿宋" w:cs="仿宋"/>
                <w:color w:val="auto"/>
                <w:kern w:val="2"/>
                <w:sz w:val="21"/>
                <w:szCs w:val="24"/>
                <w:highlight w:val="none"/>
                <w:lang w:val="en-US" w:eastAsia="zh-CN" w:bidi="ar-SA"/>
              </w:rPr>
            </w:pPr>
            <w:r>
              <w:rPr>
                <w:rFonts w:hint="eastAsia" w:ascii="仿宋" w:hAnsi="仿宋" w:eastAsia="仿宋" w:cs="仿宋"/>
                <w:b/>
                <w:color w:val="auto"/>
                <w:sz w:val="24"/>
                <w:highlight w:val="none"/>
              </w:rPr>
              <w:t>采购代理服务费：</w:t>
            </w:r>
            <w:r>
              <w:rPr>
                <w:rFonts w:hint="eastAsia" w:ascii="仿宋" w:hAnsi="仿宋" w:eastAsia="仿宋" w:cs="Helvetica"/>
                <w:b/>
                <w:bCs/>
                <w:color w:val="auto"/>
                <w:kern w:val="0"/>
                <w:sz w:val="24"/>
                <w:highlight w:val="none"/>
                <w:lang w:val="en-US" w:eastAsia="zh-CN"/>
              </w:rPr>
              <w:t>采购人支付</w:t>
            </w:r>
            <w:r>
              <w:rPr>
                <w:rFonts w:hint="eastAsia" w:ascii="仿宋" w:hAnsi="仿宋" w:eastAsia="仿宋" w:cs="仿宋"/>
                <w:b/>
                <w:color w:val="auto"/>
                <w:sz w:val="24"/>
                <w:highlight w:val="none"/>
                <w:lang w:val="en-US" w:eastAsia="zh-CN"/>
              </w:rPr>
              <w:t>。</w:t>
            </w:r>
          </w:p>
        </w:tc>
      </w:tr>
      <w:tr w14:paraId="01333F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1F1409BD">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解释：凡涉及本招标文件的解释权属于采购人。</w:t>
            </w:r>
          </w:p>
        </w:tc>
      </w:tr>
      <w:tr w14:paraId="16D4F9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6DC163C0">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注：中标人放弃中标资格或因质疑、投诉被取消中标资格或不能履行合同的，本项目重新组织采购。</w:t>
            </w:r>
          </w:p>
        </w:tc>
      </w:tr>
      <w:bookmarkEnd w:id="4"/>
    </w:tbl>
    <w:p w14:paraId="5F93FE8A">
      <w:pPr>
        <w:keepNext w:val="0"/>
        <w:keepLines w:val="0"/>
        <w:pageBreakBefore w:val="0"/>
        <w:widowControl w:val="0"/>
        <w:kinsoku/>
        <w:wordWrap/>
        <w:overflowPunct/>
        <w:topLinePunct w:val="0"/>
        <w:autoSpaceDE/>
        <w:autoSpaceDN/>
        <w:bidi w:val="0"/>
        <w:adjustRightInd/>
        <w:snapToGrid/>
        <w:spacing w:line="360" w:lineRule="auto"/>
        <w:ind w:left="0"/>
        <w:jc w:val="center"/>
        <w:textAlignment w:val="auto"/>
        <w:outlineLvl w:val="0"/>
        <w:rPr>
          <w:rFonts w:hint="eastAsia" w:ascii="仿宋" w:hAnsi="仿宋" w:eastAsia="仿宋" w:cs="仿宋"/>
          <w:b/>
          <w:color w:val="auto"/>
          <w:sz w:val="32"/>
          <w:szCs w:val="32"/>
          <w:highlight w:val="none"/>
        </w:rPr>
      </w:pPr>
      <w:bookmarkStart w:id="22" w:name="第三部分"/>
      <w:bookmarkStart w:id="23" w:name="_Toc164416483"/>
    </w:p>
    <w:p w14:paraId="4C314818">
      <w:pPr>
        <w:pStyle w:val="4"/>
        <w:rPr>
          <w:rFonts w:hint="eastAsia" w:ascii="仿宋" w:hAnsi="仿宋" w:eastAsia="仿宋" w:cs="仿宋"/>
          <w:b/>
          <w:color w:val="auto"/>
          <w:sz w:val="32"/>
          <w:szCs w:val="32"/>
          <w:highlight w:val="none"/>
        </w:rPr>
      </w:pPr>
    </w:p>
    <w:p w14:paraId="130F0689">
      <w:pPr>
        <w:rPr>
          <w:rFonts w:hint="eastAsia" w:ascii="仿宋" w:hAnsi="仿宋" w:eastAsia="仿宋" w:cs="仿宋"/>
          <w:b/>
          <w:color w:val="auto"/>
          <w:sz w:val="32"/>
          <w:szCs w:val="32"/>
          <w:highlight w:val="none"/>
        </w:rPr>
      </w:pPr>
    </w:p>
    <w:p w14:paraId="024FECE9">
      <w:pPr>
        <w:pStyle w:val="4"/>
        <w:rPr>
          <w:rFonts w:hint="eastAsia" w:ascii="仿宋" w:hAnsi="仿宋" w:eastAsia="仿宋" w:cs="仿宋"/>
          <w:b/>
          <w:color w:val="auto"/>
          <w:sz w:val="32"/>
          <w:szCs w:val="32"/>
          <w:highlight w:val="none"/>
        </w:rPr>
      </w:pPr>
    </w:p>
    <w:p w14:paraId="51CA7A4A">
      <w:pPr>
        <w:rPr>
          <w:rFonts w:hint="eastAsia" w:ascii="仿宋" w:hAnsi="仿宋" w:eastAsia="仿宋" w:cs="仿宋"/>
          <w:b/>
          <w:color w:val="auto"/>
          <w:sz w:val="32"/>
          <w:szCs w:val="32"/>
          <w:highlight w:val="none"/>
        </w:rPr>
      </w:pPr>
    </w:p>
    <w:p w14:paraId="37BD9E4B">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2"/>
          <w:szCs w:val="32"/>
          <w:highlight w:val="none"/>
        </w:rPr>
      </w:pPr>
    </w:p>
    <w:p w14:paraId="0CA2FC38">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一、总则</w:t>
      </w:r>
    </w:p>
    <w:p w14:paraId="56DDBC97">
      <w:pPr>
        <w:keepNext w:val="0"/>
        <w:keepLines w:val="0"/>
        <w:pageBreakBefore w:val="0"/>
        <w:kinsoku/>
        <w:wordWrap/>
        <w:overflowPunct/>
        <w:topLinePunct w:val="0"/>
        <w:autoSpaceDE/>
        <w:autoSpaceDN/>
        <w:bidi w:val="0"/>
        <w:snapToGrid w:val="0"/>
        <w:spacing w:beforeAutospacing="0" w:line="440" w:lineRule="exact"/>
        <w:ind w:left="0" w:leftChars="0" w:firstLine="482" w:firstLineChars="200"/>
        <w:jc w:val="left"/>
        <w:textAlignment w:val="auto"/>
        <w:outlineLvl w:val="1"/>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1.适用范围</w:t>
      </w:r>
    </w:p>
    <w:p w14:paraId="5BFAEA32">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本招标文件适用于该项目的招标、投标、开标、资格审查及信用信息查询、评标、定标、合同、验收等行为（法律、法规另有规定的，从其规定）。</w:t>
      </w:r>
    </w:p>
    <w:p w14:paraId="4EC2B102">
      <w:pPr>
        <w:keepNext w:val="0"/>
        <w:keepLines w:val="0"/>
        <w:pageBreakBefore w:val="0"/>
        <w:kinsoku/>
        <w:wordWrap/>
        <w:overflowPunct/>
        <w:topLinePunct w:val="0"/>
        <w:autoSpaceDE/>
        <w:autoSpaceDN/>
        <w:bidi w:val="0"/>
        <w:adjustRightInd/>
        <w:spacing w:beforeAutospacing="0" w:line="440" w:lineRule="exact"/>
        <w:ind w:left="0" w:leftChars="0" w:firstLine="482" w:firstLineChars="200"/>
        <w:textAlignment w:val="auto"/>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2.定义</w:t>
      </w:r>
    </w:p>
    <w:p w14:paraId="74635D1F">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 “采购人”系指招标公告中载明的本项目的采购人。</w:t>
      </w:r>
    </w:p>
    <w:p w14:paraId="16A07D4C">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 “</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”系指招标公告中载明的本项目的</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w:t>
      </w:r>
    </w:p>
    <w:p w14:paraId="6C47C04B">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2.3 “投标人”“供应商”系指是指响应招标、参加投标竞争的法人、其他组织或者自然人。</w:t>
      </w:r>
    </w:p>
    <w:p w14:paraId="50914E60">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2.4</w:t>
      </w:r>
      <w:r>
        <w:rPr>
          <w:rFonts w:hint="eastAsia" w:ascii="仿宋" w:hAnsi="仿宋" w:eastAsia="仿宋" w:cs="仿宋"/>
          <w:color w:val="auto"/>
          <w:sz w:val="24"/>
          <w:highlight w:val="none"/>
        </w:rPr>
        <w:t>“监督单位”系指政府采购法定义监督管理部门</w:t>
      </w:r>
      <w:r>
        <w:rPr>
          <w:rFonts w:hint="eastAsia" w:ascii="仿宋" w:hAnsi="仿宋" w:eastAsia="仿宋" w:cs="仿宋"/>
          <w:color w:val="auto"/>
          <w:sz w:val="24"/>
          <w:highlight w:val="none"/>
          <w:lang w:val="en-US" w:eastAsia="zh-CN"/>
        </w:rPr>
        <w:t>。</w:t>
      </w:r>
    </w:p>
    <w:p w14:paraId="1B48FD9C">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 xml:space="preserve"> “负责人”系指法人企业的法定负责人，或其他组织为法律、行政法规规定代表单位行使职权的主要负责人，或自然人本人。</w:t>
      </w:r>
    </w:p>
    <w:p w14:paraId="6CDA80F7">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6</w:t>
      </w:r>
      <w:r>
        <w:rPr>
          <w:rFonts w:hint="eastAsia" w:ascii="仿宋" w:hAnsi="仿宋" w:eastAsia="仿宋" w:cs="仿宋"/>
          <w:color w:val="auto"/>
          <w:sz w:val="24"/>
          <w:highlight w:val="none"/>
        </w:rPr>
        <w:t>“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w:t>
      </w:r>
    </w:p>
    <w:p w14:paraId="109DFD91">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7</w:t>
      </w:r>
      <w:r>
        <w:rPr>
          <w:rFonts w:hint="eastAsia" w:ascii="仿宋" w:hAnsi="仿宋" w:eastAsia="仿宋" w:cs="仿宋"/>
          <w:color w:val="auto"/>
          <w:sz w:val="24"/>
          <w:highlight w:val="none"/>
        </w:rPr>
        <w:t>“电子交易平台”</w:t>
      </w:r>
      <w:r>
        <w:rPr>
          <w:rFonts w:hint="eastAsia" w:ascii="仿宋" w:hAnsi="仿宋" w:eastAsia="仿宋" w:cs="仿宋"/>
          <w:color w:val="auto"/>
          <w:sz w:val="24"/>
          <w:highlight w:val="none"/>
          <w:lang w:val="en-US" w:eastAsia="zh-CN"/>
        </w:rPr>
        <w:t>系</w:t>
      </w:r>
      <w:r>
        <w:rPr>
          <w:rFonts w:hint="eastAsia" w:ascii="仿宋" w:hAnsi="仿宋" w:eastAsia="仿宋" w:cs="仿宋"/>
          <w:color w:val="auto"/>
          <w:sz w:val="24"/>
          <w:highlight w:val="none"/>
        </w:rPr>
        <w:t>指本项目政府采购活动所依托的政府采购云平台（https://www.zcygov.cn/）。</w:t>
      </w:r>
    </w:p>
    <w:p w14:paraId="7C5956B5">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8</w:t>
      </w:r>
      <w:r>
        <w:rPr>
          <w:rFonts w:hint="eastAsia" w:ascii="仿宋" w:hAnsi="仿宋" w:eastAsia="仿宋" w:cs="仿宋"/>
          <w:color w:val="auto"/>
          <w:sz w:val="24"/>
          <w:highlight w:val="none"/>
        </w:rPr>
        <w:t>“★”系指实质性指标要求条款，“▲” 系指主要性能指标要求条款。如任意一条打“★”的指标出现负偏离视为实质性不响应招标文件要求，作无效投标处理；如任意一条打“▲”的指标出现负偏离按评分标准作扣分处理。“</w:t>
      </w:r>
      <w:r>
        <w:rPr>
          <w:rFonts w:hint="eastAsia" w:ascii="仿宋" w:hAnsi="仿宋" w:eastAsia="仿宋" w:cs="仿宋"/>
          <w:color w:val="auto"/>
          <w:kern w:val="0"/>
          <w:sz w:val="24"/>
          <w:highlight w:val="none"/>
          <w:lang w:eastAsia="zh-CN"/>
        </w:rPr>
        <w:t>☑</w:t>
      </w:r>
      <w:r>
        <w:rPr>
          <w:rFonts w:hint="eastAsia" w:ascii="仿宋" w:hAnsi="仿宋" w:eastAsia="仿宋" w:cs="仿宋"/>
          <w:color w:val="auto"/>
          <w:sz w:val="24"/>
          <w:highlight w:val="none"/>
        </w:rPr>
        <w:t>”系指适用本项目的要求，“☐”系指不适用本项目的要求。</w:t>
      </w:r>
    </w:p>
    <w:p w14:paraId="11F3237B">
      <w:pPr>
        <w:spacing w:line="44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3.采购项目需要落实的政府采购政策</w:t>
      </w:r>
    </w:p>
    <w:p w14:paraId="0861FA8E">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3633AD19">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3.2 支持绿色发展</w:t>
      </w:r>
    </w:p>
    <w:p w14:paraId="29443DCC">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14:paraId="420A997E">
      <w:pPr>
        <w:spacing w:line="440" w:lineRule="exact"/>
        <w:ind w:firstLine="480" w:firstLineChars="200"/>
        <w:rPr>
          <w:rFonts w:hint="eastAsia" w:ascii="仿宋" w:hAnsi="仿宋" w:eastAsia="仿宋" w:cs="仿宋"/>
          <w:b/>
          <w:color w:val="auto"/>
          <w:sz w:val="24"/>
          <w:highlight w:val="none"/>
        </w:rPr>
      </w:pPr>
      <w:r>
        <w:rPr>
          <w:rFonts w:hint="eastAsia" w:ascii="仿宋" w:hAnsi="仿宋" w:eastAsia="仿宋" w:cs="仿宋"/>
          <w:color w:val="auto"/>
          <w:sz w:val="24"/>
          <w:highlight w:val="none"/>
        </w:rPr>
        <w:t>★3.2.2</w:t>
      </w:r>
      <w:r>
        <w:rPr>
          <w:rFonts w:hint="eastAsia" w:ascii="仿宋" w:hAnsi="仿宋" w:eastAsia="仿宋" w:cs="仿宋"/>
          <w:b/>
          <w:color w:val="auto"/>
          <w:sz w:val="24"/>
          <w:highlight w:val="none"/>
        </w:rPr>
        <w:t>采购人拟采购的产品属于政府强制采购的节能产品品目清单范围的，投标人未按招标文件要求提供国家确定的认证机构出具的、处于有效期之内的节能产品认证证书，投标无效。</w:t>
      </w:r>
    </w:p>
    <w:p w14:paraId="4F385AD4">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3.2.3 纳入政府采购管理的修缮、装修类项目采购建材的，采购单位</w:t>
      </w:r>
      <w:r>
        <w:rPr>
          <w:rFonts w:hint="eastAsia" w:ascii="仿宋" w:hAnsi="仿宋" w:eastAsia="仿宋" w:cs="仿宋"/>
          <w:color w:val="auto"/>
          <w:sz w:val="24"/>
          <w:highlight w:val="none"/>
          <w:lang w:eastAsia="zh-CN"/>
        </w:rPr>
        <w:t>应</w:t>
      </w:r>
      <w:r>
        <w:rPr>
          <w:rFonts w:hint="eastAsia" w:ascii="仿宋" w:hAnsi="仿宋" w:eastAsia="仿宋" w:cs="仿宋"/>
          <w:color w:val="auto"/>
          <w:sz w:val="24"/>
          <w:highlight w:val="none"/>
        </w:rPr>
        <w:t>将绿色建材性能、指标等作为实质性条件纳入采购文件和合同，具体性能指标要求</w:t>
      </w:r>
      <w:r>
        <w:rPr>
          <w:rFonts w:hint="eastAsia" w:ascii="仿宋" w:hAnsi="仿宋" w:eastAsia="仿宋" w:cs="仿宋"/>
          <w:color w:val="auto"/>
          <w:sz w:val="24"/>
          <w:highlight w:val="none"/>
          <w:lang w:eastAsia="zh-CN"/>
        </w:rPr>
        <w:t>按照</w:t>
      </w:r>
      <w:r>
        <w:rPr>
          <w:rFonts w:hint="eastAsia" w:ascii="仿宋" w:hAnsi="仿宋" w:eastAsia="仿宋" w:cs="仿宋"/>
          <w:color w:val="auto"/>
          <w:sz w:val="24"/>
          <w:highlight w:val="none"/>
        </w:rPr>
        <w:t>相关绿色建材政府采购需求标准</w:t>
      </w:r>
      <w:r>
        <w:rPr>
          <w:rFonts w:hint="eastAsia" w:ascii="仿宋" w:hAnsi="仿宋" w:eastAsia="仿宋" w:cs="仿宋"/>
          <w:color w:val="auto"/>
          <w:sz w:val="24"/>
          <w:highlight w:val="none"/>
          <w:lang w:eastAsia="zh-CN"/>
        </w:rPr>
        <w:t>执行</w:t>
      </w:r>
      <w:r>
        <w:rPr>
          <w:rFonts w:hint="eastAsia" w:ascii="仿宋" w:hAnsi="仿宋" w:eastAsia="仿宋" w:cs="仿宋"/>
          <w:color w:val="auto"/>
          <w:sz w:val="24"/>
          <w:highlight w:val="none"/>
        </w:rPr>
        <w:t>。</w:t>
      </w:r>
    </w:p>
    <w:p w14:paraId="64DD583E">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61B23849">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3.2.5</w:t>
      </w:r>
      <w:r>
        <w:rPr>
          <w:rFonts w:hint="eastAsia" w:ascii="仿宋" w:hAnsi="仿宋" w:eastAsia="仿宋" w:cs="仿宋"/>
          <w:color w:val="auto"/>
          <w:sz w:val="24"/>
          <w:highlight w:val="none"/>
        </w:rPr>
        <w:t>根据《绍兴市柴油动力移动源排气污染防治办法》第九条、第十三条的规定，使用的柴油动力移动源（柴油货车、非道路移动机械）必须符合低排放要求并已向生态环境部门申领绿色编码，在进入作业现场前须如实向</w:t>
      </w:r>
      <w:r>
        <w:rPr>
          <w:rFonts w:hint="eastAsia" w:ascii="仿宋" w:hAnsi="仿宋" w:eastAsia="仿宋" w:cs="仿宋"/>
          <w:color w:val="auto"/>
          <w:sz w:val="24"/>
          <w:highlight w:val="none"/>
          <w:lang w:eastAsia="zh-CN"/>
        </w:rPr>
        <w:t>采购人</w:t>
      </w:r>
      <w:r>
        <w:rPr>
          <w:rFonts w:hint="eastAsia" w:ascii="仿宋" w:hAnsi="仿宋" w:eastAsia="仿宋" w:cs="仿宋"/>
          <w:color w:val="auto"/>
          <w:sz w:val="24"/>
          <w:highlight w:val="none"/>
        </w:rPr>
        <w:t>登记报备绿色编码，未申领绿色编码的柴油动力移动源不得进入作业现场施工。</w:t>
      </w:r>
    </w:p>
    <w:p w14:paraId="17DC5031">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3.3小微企业价格扣除（按财库〔2022〕19号文件规定执行）</w:t>
      </w:r>
    </w:p>
    <w:p w14:paraId="2C89671B">
      <w:pPr>
        <w:spacing w:line="440" w:lineRule="exact"/>
        <w:ind w:firstLine="480" w:firstLineChars="200"/>
        <w:rPr>
          <w:rFonts w:hint="eastAsia" w:ascii="仿宋" w:hAnsi="仿宋" w:eastAsia="仿宋" w:cs="仿宋"/>
          <w:bCs/>
          <w:color w:val="auto"/>
          <w:sz w:val="24"/>
          <w:highlight w:val="none"/>
        </w:rPr>
      </w:pPr>
      <w:r>
        <w:rPr>
          <w:rFonts w:hint="eastAsia" w:ascii="仿宋" w:hAnsi="仿宋" w:eastAsia="仿宋" w:cs="仿宋"/>
          <w:color w:val="auto"/>
          <w:sz w:val="24"/>
          <w:highlight w:val="none"/>
        </w:rPr>
        <w:t>3.3.1小微企业是指</w:t>
      </w:r>
      <w:r>
        <w:rPr>
          <w:rFonts w:hint="eastAsia" w:ascii="仿宋" w:hAnsi="仿宋" w:eastAsia="仿宋" w:cs="仿宋"/>
          <w:bCs/>
          <w:color w:val="auto"/>
          <w:sz w:val="24"/>
          <w:highlight w:val="none"/>
        </w:rPr>
        <w:t>在中华人民共和国境内依法设立，依据国务院批准的中小企业划分标准确定的小型企业和微型企业，但与大企业的负责人为同一人，或者与大企业存在直接控股、管理关系的除外。</w:t>
      </w:r>
    </w:p>
    <w:p w14:paraId="349302FF">
      <w:pPr>
        <w:spacing w:line="440" w:lineRule="exact"/>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符合中小企业划分标准的个体工商户，在政府采购活动中视同中小企业。</w:t>
      </w:r>
    </w:p>
    <w:p w14:paraId="0337EC82">
      <w:pPr>
        <w:spacing w:line="440" w:lineRule="exact"/>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3.3.2在货物采购项目中，货物由小微企业制造，即货物由小微企业生产且使用该小微企业商号或者注册商标。</w:t>
      </w:r>
      <w:r>
        <w:rPr>
          <w:rFonts w:hint="eastAsia" w:ascii="仿宋" w:hAnsi="仿宋" w:eastAsia="仿宋" w:cs="仿宋"/>
          <w:b/>
          <w:bCs/>
          <w:color w:val="auto"/>
          <w:sz w:val="24"/>
          <w:highlight w:val="none"/>
        </w:rPr>
        <w:t>供应商提供的货物既有中小企业制造货物，也有大型企业制造货物的，不享受中小企业扶持政策。</w:t>
      </w:r>
    </w:p>
    <w:p w14:paraId="57D506EB">
      <w:pPr>
        <w:spacing w:line="440" w:lineRule="exact"/>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3.3.3在服务采购项目中，服务由小微企业承接，即提供服务的人员为小微企业依照《中华人民共和国劳动合同法》订立劳动合同的从业人员。</w:t>
      </w:r>
    </w:p>
    <w:p w14:paraId="20A8F678">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3.3.4小微企业应按照招标文件格式要求提供《中小企业声明函》。</w:t>
      </w:r>
    </w:p>
    <w:p w14:paraId="4F787F09">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3.3.5对于经主管预算单位统筹后未预留份额专门面向中小企业采购的采购项目，以及预留份额项目中的非预留部分采购包，采购人、采购代理机构将对符合规定的小微企业报价给予10</w:t>
      </w:r>
      <w:r>
        <w:rPr>
          <w:rFonts w:hint="eastAsia" w:ascii="仿宋" w:hAnsi="仿宋" w:eastAsia="仿宋" w:cs="仿宋"/>
          <w:color w:val="auto"/>
          <w:sz w:val="24"/>
          <w:highlight w:val="none"/>
          <w:lang w:val="en-US" w:eastAsia="zh-CN"/>
        </w:rPr>
        <w:t>%</w:t>
      </w:r>
      <w:r>
        <w:rPr>
          <w:rFonts w:hint="eastAsia" w:ascii="仿宋" w:hAnsi="仿宋" w:eastAsia="仿宋" w:cs="仿宋"/>
          <w:color w:val="auto"/>
          <w:sz w:val="24"/>
          <w:highlight w:val="none"/>
        </w:rPr>
        <w:t>的扣除</w:t>
      </w:r>
      <w:r>
        <w:rPr>
          <w:rFonts w:hint="eastAsia" w:ascii="仿宋" w:hAnsi="仿宋" w:eastAsia="仿宋" w:cs="仿宋"/>
          <w:color w:val="auto"/>
          <w:sz w:val="24"/>
          <w:highlight w:val="none"/>
          <w:lang w:eastAsia="zh-CN"/>
        </w:rPr>
        <w:t>（由采购人或其委托代理机构根据项目情况自行确定扣除比例）</w:t>
      </w:r>
      <w:r>
        <w:rPr>
          <w:rFonts w:hint="eastAsia" w:ascii="仿宋" w:hAnsi="仿宋" w:eastAsia="仿宋" w:cs="仿宋"/>
          <w:color w:val="auto"/>
          <w:sz w:val="24"/>
          <w:highlight w:val="none"/>
        </w:rPr>
        <w:t>，用扣除后的价格参加评审。</w:t>
      </w:r>
    </w:p>
    <w:p w14:paraId="5EB390D8">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w:t>
      </w:r>
      <w:r>
        <w:rPr>
          <w:rFonts w:hint="eastAsia" w:ascii="仿宋" w:hAnsi="仿宋" w:eastAsia="仿宋" w:cs="仿宋"/>
          <w:color w:val="auto"/>
          <w:sz w:val="24"/>
          <w:highlight w:val="none"/>
          <w:lang w:val="en-US" w:eastAsia="zh-CN"/>
        </w:rPr>
        <w:t>%</w:t>
      </w:r>
      <w:r>
        <w:rPr>
          <w:rFonts w:hint="eastAsia" w:ascii="仿宋" w:hAnsi="仿宋" w:eastAsia="仿宋" w:cs="仿宋"/>
          <w:color w:val="auto"/>
          <w:sz w:val="24"/>
          <w:highlight w:val="none"/>
        </w:rPr>
        <w:t>的扣除</w:t>
      </w:r>
      <w:r>
        <w:rPr>
          <w:rFonts w:hint="eastAsia" w:ascii="仿宋" w:hAnsi="仿宋" w:eastAsia="仿宋" w:cs="仿宋"/>
          <w:color w:val="auto"/>
          <w:sz w:val="24"/>
          <w:highlight w:val="none"/>
          <w:lang w:eastAsia="zh-CN"/>
        </w:rPr>
        <w:t>（由采购人或其委托代理机构根据项目情况自行确定扣除比例）</w:t>
      </w:r>
      <w:r>
        <w:rPr>
          <w:rFonts w:hint="eastAsia" w:ascii="仿宋" w:hAnsi="仿宋" w:eastAsia="仿宋" w:cs="仿宋"/>
          <w:color w:val="auto"/>
          <w:sz w:val="24"/>
          <w:highlight w:val="none"/>
        </w:rPr>
        <w:t>，用扣除后的价格参加评审。组成联合体或者接受分包的小微企业与联合体内其他企业、分包企业之间存在直接控股、管理关系的，不享受价格扣除优惠政策。</w:t>
      </w:r>
    </w:p>
    <w:p w14:paraId="1DB35F50">
      <w:pPr>
        <w:spacing w:line="44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以联合体形式参加政府采购活动， 联合体各方均为中小企业的，联合体视同中小企业。其中，联合体各方均为小微企业的，联合体视同小微企业。</w:t>
      </w:r>
    </w:p>
    <w:p w14:paraId="5BA3932E">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3.3.7符合《关于促进残疾人就业政府采购政策的通知》（财库〔2017〕141号）规定的条件并提供《残疾人福利性单位声明函》的残疾人福利性单位视同小微企业；</w:t>
      </w:r>
    </w:p>
    <w:p w14:paraId="1A0E033F">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3.3.8符合《关于政府采购支持监狱企业发展有关问题的通知》（财库〔2014〕68号）规定的监狱企业并提供由省级以上监狱管理局、戒毒管理局（含新疆生产建设兵团）出具的属于监狱企业证明文件的，视同为小微企业。</w:t>
      </w:r>
    </w:p>
    <w:p w14:paraId="169AA526">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3.4</w:t>
      </w:r>
      <w:r>
        <w:rPr>
          <w:rFonts w:hint="eastAsia" w:ascii="仿宋" w:hAnsi="仿宋" w:eastAsia="仿宋" w:cs="仿宋"/>
          <w:bCs/>
          <w:color w:val="auto"/>
          <w:sz w:val="24"/>
          <w:highlight w:val="none"/>
        </w:rPr>
        <w:t>支持科</w:t>
      </w:r>
      <w:r>
        <w:rPr>
          <w:rFonts w:hint="eastAsia" w:ascii="仿宋" w:hAnsi="仿宋" w:eastAsia="仿宋" w:cs="仿宋"/>
          <w:color w:val="auto"/>
          <w:sz w:val="24"/>
          <w:highlight w:val="none"/>
        </w:rPr>
        <w:t>技创新发展</w:t>
      </w:r>
    </w:p>
    <w:p w14:paraId="4F79E50C">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对省级以上主管部门认定的首台套产品，自纳入《省推广应用指导目录》起三年内参加政府采购活动，视同已具备相应销售业绩，业绩分为满分。</w:t>
      </w:r>
    </w:p>
    <w:p w14:paraId="2690BF35">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3.5平等对待内外资企业和符合条件的破产重整企业</w:t>
      </w:r>
    </w:p>
    <w:p w14:paraId="45D29910">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平等对待内外资企业和符合条件的破产重整企业，切实保障企业公平竞争，平等维护企业的合法利益。</w:t>
      </w:r>
    </w:p>
    <w:p w14:paraId="30177BCD">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★4.特别说明：</w:t>
      </w:r>
    </w:p>
    <w:p w14:paraId="571A0A7C">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4.1供应商投标所使用的资格、信誉、荣誉与企业认证必须为投标单位所拥有。供应商投标所使用的采购项目实施人员必须为投标单位正式员工。</w:t>
      </w:r>
    </w:p>
    <w:p w14:paraId="44F48654">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4.2供应商应仔细阅读招标文件的所有内容，按照招标文件的要求提交投标文件，并对所提供的全部资料的真实性承担法律责任。</w:t>
      </w:r>
    </w:p>
    <w:p w14:paraId="68F051C9">
      <w:pPr>
        <w:spacing w:line="440" w:lineRule="exact"/>
        <w:ind w:firstLine="480" w:firstLineChars="200"/>
        <w:rPr>
          <w:rFonts w:hint="eastAsia" w:ascii="仿宋" w:hAnsi="仿宋" w:eastAsia="仿宋" w:cs="仿宋"/>
          <w:b/>
          <w:color w:val="auto"/>
          <w:sz w:val="32"/>
          <w:szCs w:val="32"/>
          <w:highlight w:val="none"/>
        </w:rPr>
      </w:pPr>
      <w:r>
        <w:rPr>
          <w:rFonts w:hint="eastAsia" w:ascii="仿宋" w:hAnsi="仿宋" w:eastAsia="仿宋" w:cs="仿宋"/>
          <w:color w:val="auto"/>
          <w:sz w:val="24"/>
          <w:highlight w:val="none"/>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14:paraId="2F4ED397">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color w:val="auto"/>
          <w:sz w:val="32"/>
          <w:szCs w:val="32"/>
          <w:highlight w:val="none"/>
        </w:rPr>
      </w:pPr>
    </w:p>
    <w:p w14:paraId="6ACB8ADF">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二、招标文件</w:t>
      </w:r>
    </w:p>
    <w:p w14:paraId="293581DD">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1．招标方式</w:t>
      </w:r>
    </w:p>
    <w:p w14:paraId="4B139F48">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 本次招标采用公开招标方式进行。</w:t>
      </w:r>
    </w:p>
    <w:p w14:paraId="0DE7747D">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 如某一标项投标人或实质性响应招标文件的投标人不足三家时，由采购人重新组织招标或按有关规定实施。</w:t>
      </w:r>
    </w:p>
    <w:p w14:paraId="4294D0B3">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 本次招标设定限价，即招标公告中公布的各标项预算金额或最高限价（各标项之间的预算金额不能互相调整）。</w:t>
      </w:r>
    </w:p>
    <w:p w14:paraId="35D1D50C">
      <w:pPr>
        <w:pStyle w:val="10"/>
        <w:keepNext w:val="0"/>
        <w:keepLines w:val="0"/>
        <w:pageBreakBefore w:val="0"/>
        <w:kinsoku/>
        <w:wordWrap/>
        <w:overflowPunct/>
        <w:topLinePunct w:val="0"/>
        <w:autoSpaceDE/>
        <w:autoSpaceDN/>
        <w:bidi w:val="0"/>
        <w:snapToGrid w:val="0"/>
        <w:spacing w:line="440" w:lineRule="exact"/>
        <w:ind w:left="0" w:leftChars="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2.授权委托</w:t>
      </w:r>
    </w:p>
    <w:p w14:paraId="358FEF0D">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本项目为电子投标项目，投标人的法定代表人或其授权代表或个体工商户不需要参加现场投标和开标。</w:t>
      </w:r>
    </w:p>
    <w:p w14:paraId="69A835B0">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3.投标费用</w:t>
      </w:r>
    </w:p>
    <w:p w14:paraId="5189EEB6">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投标人应自行承担编制投标文件及参加本次投标所涉及的一切费用。不管投标结果如何，采购人对上述费用不负任何责任。</w:t>
      </w:r>
    </w:p>
    <w:p w14:paraId="6DE2179A">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4.招标文件的修改</w:t>
      </w:r>
    </w:p>
    <w:p w14:paraId="210632F4">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4.1招标文件包括本招标文件及所有的招标答疑记录（澄清、修改）和发出的补充通知。</w:t>
      </w:r>
    </w:p>
    <w:p w14:paraId="5FEAD70B">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4.2招标文件的澄清 </w:t>
      </w:r>
    </w:p>
    <w:p w14:paraId="0749EF6B">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投标人对招标文件如有疑点要求澄清，可用书面形式（包括并不仅限于纸质、信件和数据电文(包括电报、电传、传真、电子数据交换和电子邮件）)等通知采购人，但通知不得迟于开标前7日使采购人收到，采购人将用书面形式予以答复。如有必要，可将不说明来源的答复发给所有投标人。</w:t>
      </w:r>
    </w:p>
    <w:p w14:paraId="574F303F">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4.3招标文件的修改</w:t>
      </w:r>
    </w:p>
    <w:p w14:paraId="1A96E75E">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4.3.1在投标截止时间前，采购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14:paraId="1A58D39D">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4.3.2为使投标人有足够的时间按修改文件要求修正投标文件，采购人可酌情推迟投标截止时间和开标时间，并将此变更通知投标人。在这种情况下，采购人与投标人以前在投标截止期方面的全部权力、责任和义务，将适用于延长后新的投标截止期。</w:t>
      </w:r>
    </w:p>
    <w:p w14:paraId="3BA5D9B4">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5.参考品牌</w:t>
      </w:r>
    </w:p>
    <w:p w14:paraId="70E64487">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w:t>
      </w:r>
    </w:p>
    <w:p w14:paraId="21E7D2B9">
      <w:pPr>
        <w:pStyle w:val="8"/>
        <w:keepNext w:val="0"/>
        <w:keepLines w:val="0"/>
        <w:pageBreakBefore w:val="0"/>
        <w:widowControl w:val="0"/>
        <w:kinsoku/>
        <w:wordWrap/>
        <w:overflowPunct/>
        <w:topLinePunct w:val="0"/>
        <w:bidi w:val="0"/>
        <w:snapToGrid/>
        <w:spacing w:beforeAutospacing="0" w:line="360" w:lineRule="auto"/>
        <w:ind w:left="0" w:leftChars="0"/>
        <w:textAlignment w:val="auto"/>
        <w:rPr>
          <w:rFonts w:hint="eastAsia" w:ascii="仿宋" w:hAnsi="仿宋" w:eastAsia="仿宋" w:cs="仿宋"/>
          <w:color w:val="auto"/>
          <w:sz w:val="32"/>
          <w:szCs w:val="32"/>
          <w:highlight w:val="none"/>
          <w:lang w:val="en-US"/>
        </w:rPr>
      </w:pPr>
      <w:r>
        <w:rPr>
          <w:rFonts w:hint="eastAsia" w:ascii="仿宋" w:hAnsi="仿宋" w:eastAsia="仿宋" w:cs="仿宋"/>
          <w:color w:val="auto"/>
          <w:szCs w:val="24"/>
          <w:highlight w:val="none"/>
          <w:lang w:val="en-US"/>
        </w:rPr>
        <w:t xml:space="preserve">  </w:t>
      </w:r>
      <w:r>
        <w:rPr>
          <w:rFonts w:hint="eastAsia" w:ascii="仿宋" w:hAnsi="仿宋" w:eastAsia="仿宋" w:cs="仿宋"/>
          <w:color w:val="auto"/>
          <w:sz w:val="32"/>
          <w:szCs w:val="32"/>
          <w:highlight w:val="none"/>
          <w:lang w:val="en-US"/>
        </w:rPr>
        <w:t xml:space="preserve">  </w:t>
      </w:r>
    </w:p>
    <w:p w14:paraId="384CC18E">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color w:val="auto"/>
          <w:sz w:val="32"/>
          <w:szCs w:val="32"/>
          <w:highlight w:val="none"/>
          <w:lang w:eastAsia="zh-CN"/>
        </w:rPr>
      </w:pPr>
      <w:r>
        <w:rPr>
          <w:rFonts w:hint="eastAsia" w:ascii="仿宋" w:hAnsi="仿宋" w:eastAsia="仿宋" w:cs="仿宋"/>
          <w:b/>
          <w:color w:val="auto"/>
          <w:sz w:val="32"/>
          <w:szCs w:val="32"/>
          <w:highlight w:val="none"/>
        </w:rPr>
        <w:t>三、投标</w:t>
      </w:r>
      <w:r>
        <w:rPr>
          <w:rFonts w:hint="eastAsia" w:ascii="仿宋" w:hAnsi="仿宋" w:eastAsia="仿宋" w:cs="仿宋"/>
          <w:b/>
          <w:color w:val="auto"/>
          <w:sz w:val="32"/>
          <w:szCs w:val="32"/>
          <w:highlight w:val="none"/>
          <w:lang w:eastAsia="zh-CN"/>
        </w:rPr>
        <w:t>文件</w:t>
      </w:r>
    </w:p>
    <w:p w14:paraId="35C3773A">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lang w:val="en-US" w:eastAsia="zh-CN"/>
        </w:rPr>
        <w:t>1.</w:t>
      </w:r>
      <w:r>
        <w:rPr>
          <w:rFonts w:hint="eastAsia" w:ascii="仿宋" w:hAnsi="仿宋" w:eastAsia="仿宋" w:cs="仿宋"/>
          <w:b/>
          <w:bCs/>
          <w:color w:val="auto"/>
          <w:sz w:val="24"/>
          <w:highlight w:val="none"/>
        </w:rPr>
        <w:t>投标文件的语言、计量单位、形式及效力</w:t>
      </w:r>
    </w:p>
    <w:p w14:paraId="716FDA6F">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1.1投标人应仔细阅读招标文件中的所有内容，按照招标文件要求，详细编制投标文件，并保证投标文件的正确性和真实性。</w:t>
      </w:r>
    </w:p>
    <w:p w14:paraId="38B6E195">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 投标文件以及投标方与招标方就有关投标事宜的所有来往函电，均应以中文书写（技术术语除外）。</w:t>
      </w:r>
    </w:p>
    <w:p w14:paraId="1BDF808C">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 投标计量单位，除招标文件中有特殊要求外，应采用中华人民共和国法定计量单位，货币单位：人民币元。</w:t>
      </w:r>
    </w:p>
    <w:p w14:paraId="5B95A74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1.4不按招标文件的要求提供的投标文件可能导致被拒绝。</w:t>
      </w:r>
    </w:p>
    <w:p w14:paraId="30135DD4">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1.5投标文件的形式和效力</w:t>
      </w:r>
    </w:p>
    <w:p w14:paraId="6E68CE18">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1.5.1投标文件为电子投标文件，电子投标文件按“政采云供应商项目采购-电子招投标操作指南”及本招标文件要求制作、加密传输。</w:t>
      </w:r>
    </w:p>
    <w:p w14:paraId="481C84E2">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1.5.2投标文件的效力：</w:t>
      </w:r>
    </w:p>
    <w:p w14:paraId="732D0D61">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投标文件未在投标截止时间前完成传输的，视为投标文件撤回；投标文件未按时解密，亦视为投标文件撤回。</w:t>
      </w:r>
    </w:p>
    <w:p w14:paraId="65E3EADE">
      <w:pPr>
        <w:pStyle w:val="11"/>
        <w:keepNext w:val="0"/>
        <w:keepLines w:val="0"/>
        <w:pageBreakBefore w:val="0"/>
        <w:widowControl w:val="0"/>
        <w:kinsoku/>
        <w:wordWrap/>
        <w:overflowPunct/>
        <w:topLinePunct w:val="0"/>
        <w:autoSpaceDE/>
        <w:autoSpaceDN/>
        <w:bidi w:val="0"/>
        <w:adjustRightInd w:val="0"/>
        <w:spacing w:beforeAutospacing="0" w:line="440" w:lineRule="exact"/>
        <w:ind w:firstLine="482" w:firstLineChars="200"/>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lang w:val="en-US" w:eastAsia="zh-CN"/>
        </w:rPr>
        <w:t>2</w:t>
      </w:r>
      <w:r>
        <w:rPr>
          <w:rFonts w:hint="eastAsia" w:ascii="仿宋" w:hAnsi="仿宋" w:eastAsia="仿宋" w:cs="仿宋"/>
          <w:b/>
          <w:color w:val="auto"/>
          <w:sz w:val="24"/>
          <w:szCs w:val="24"/>
          <w:highlight w:val="none"/>
        </w:rPr>
        <w:t>.投标文件的组成</w:t>
      </w:r>
    </w:p>
    <w:p w14:paraId="4B867D7B">
      <w:pPr>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投标文件由</w:t>
      </w:r>
      <w:r>
        <w:rPr>
          <w:rFonts w:hint="eastAsia" w:ascii="仿宋" w:hAnsi="仿宋" w:eastAsia="仿宋" w:cs="仿宋"/>
          <w:color w:val="auto"/>
          <w:sz w:val="24"/>
          <w:highlight w:val="none"/>
          <w:lang w:eastAsia="zh-CN"/>
        </w:rPr>
        <w:t>“资格文件”、“商务技术文件”、“</w:t>
      </w:r>
      <w:r>
        <w:rPr>
          <w:rFonts w:hint="eastAsia" w:ascii="仿宋" w:hAnsi="仿宋" w:eastAsia="仿宋" w:cs="仿宋"/>
          <w:color w:val="auto"/>
          <w:sz w:val="24"/>
          <w:highlight w:val="none"/>
        </w:rPr>
        <w:t>报价文件”</w:t>
      </w:r>
      <w:r>
        <w:rPr>
          <w:rFonts w:hint="eastAsia" w:ascii="仿宋" w:hAnsi="仿宋" w:eastAsia="仿宋" w:cs="仿宋"/>
          <w:color w:val="auto"/>
          <w:sz w:val="24"/>
          <w:highlight w:val="none"/>
          <w:lang w:eastAsia="zh-CN"/>
        </w:rPr>
        <w:t>三</w:t>
      </w:r>
      <w:r>
        <w:rPr>
          <w:rFonts w:hint="eastAsia" w:ascii="仿宋" w:hAnsi="仿宋" w:eastAsia="仿宋" w:cs="仿宋"/>
          <w:color w:val="auto"/>
          <w:sz w:val="24"/>
          <w:highlight w:val="none"/>
        </w:rPr>
        <w:t>部分组成，其中</w:t>
      </w:r>
      <w:r>
        <w:rPr>
          <w:rFonts w:hint="eastAsia" w:ascii="仿宋" w:hAnsi="仿宋" w:eastAsia="仿宋" w:cs="仿宋"/>
          <w:b/>
          <w:color w:val="auto"/>
          <w:sz w:val="24"/>
          <w:highlight w:val="none"/>
        </w:rPr>
        <w:t>电子投标文件中所须加盖公章部分均应采用电子签章。</w:t>
      </w:r>
    </w:p>
    <w:p w14:paraId="465A3A66">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en-US" w:eastAsia="zh-CN"/>
        </w:rPr>
        <w:t>2</w:t>
      </w:r>
      <w:r>
        <w:rPr>
          <w:rFonts w:hint="eastAsia" w:ascii="仿宋" w:hAnsi="仿宋" w:eastAsia="仿宋" w:cs="仿宋"/>
          <w:b/>
          <w:color w:val="auto"/>
          <w:sz w:val="24"/>
          <w:highlight w:val="none"/>
          <w:lang w:val="zh-CN"/>
        </w:rPr>
        <w:t>.1资格文件：</w:t>
      </w:r>
    </w:p>
    <w:p w14:paraId="21767751">
      <w:pPr>
        <w:keepNext w:val="0"/>
        <w:keepLines w:val="0"/>
        <w:pageBreakBefore w:val="0"/>
        <w:widowControl w:val="0"/>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lang w:eastAsia="zh-CN"/>
        </w:rPr>
        <w:t>.1.1符合参加政府采购活动应当具备的一般条件的承诺函；</w:t>
      </w:r>
    </w:p>
    <w:p w14:paraId="18F659A7">
      <w:pPr>
        <w:keepNext w:val="0"/>
        <w:keepLines w:val="0"/>
        <w:pageBreakBefore w:val="0"/>
        <w:widowControl w:val="0"/>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2.1.2联合协议（如果有)；</w:t>
      </w:r>
    </w:p>
    <w:p w14:paraId="07ABD9BE">
      <w:pPr>
        <w:keepNext w:val="0"/>
        <w:keepLines w:val="0"/>
        <w:pageBreakBefore w:val="0"/>
        <w:widowControl w:val="0"/>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highlight w:val="none"/>
          <w:lang w:eastAsia="zh-CN"/>
        </w:rPr>
      </w:pPr>
      <w:r>
        <w:rPr>
          <w:rFonts w:hint="eastAsia" w:ascii="仿宋" w:hAnsi="仿宋" w:eastAsia="仿宋" w:cs="仿宋"/>
          <w:color w:val="auto"/>
          <w:sz w:val="24"/>
          <w:highlight w:val="none"/>
          <w:lang w:eastAsia="zh-CN"/>
        </w:rPr>
        <w:t>2</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分包意向协议</w:t>
      </w:r>
      <w:r>
        <w:rPr>
          <w:rFonts w:hint="eastAsia" w:ascii="仿宋" w:hAnsi="仿宋" w:eastAsia="仿宋" w:cs="仿宋"/>
          <w:snapToGrid w:val="0"/>
          <w:color w:val="auto"/>
          <w:kern w:val="28"/>
          <w:sz w:val="24"/>
          <w:szCs w:val="20"/>
          <w:highlight w:val="none"/>
        </w:rPr>
        <w:t>（如果有)</w:t>
      </w:r>
      <w:r>
        <w:rPr>
          <w:rFonts w:hint="eastAsia" w:ascii="仿宋" w:hAnsi="仿宋" w:eastAsia="仿宋" w:cs="仿宋"/>
          <w:color w:val="auto"/>
          <w:sz w:val="24"/>
          <w:highlight w:val="none"/>
        </w:rPr>
        <w:t>；</w:t>
      </w:r>
    </w:p>
    <w:p w14:paraId="4E485A56">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2.1.</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lang w:eastAsia="zh-CN"/>
        </w:rPr>
        <w:t>落实政府采购政策需满足的资格要求（如果有)；</w:t>
      </w:r>
    </w:p>
    <w:p w14:paraId="38618AFD">
      <w:pPr>
        <w:keepNext w:val="0"/>
        <w:keepLines w:val="0"/>
        <w:pageBreakBefore w:val="0"/>
        <w:widowControl w:val="0"/>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lang w:eastAsia="zh-CN"/>
        </w:rPr>
        <w:t>本项目的特定资格要求（如果有)。</w:t>
      </w:r>
    </w:p>
    <w:p w14:paraId="2080069B">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eastAsia="zh-CN"/>
        </w:rPr>
      </w:pPr>
      <w:r>
        <w:rPr>
          <w:rFonts w:hint="eastAsia" w:ascii="仿宋" w:hAnsi="仿宋" w:eastAsia="仿宋" w:cs="仿宋"/>
          <w:b/>
          <w:color w:val="auto"/>
          <w:sz w:val="24"/>
          <w:highlight w:val="none"/>
          <w:lang w:val="zh-CN" w:eastAsia="zh-CN"/>
        </w:rPr>
        <w:t>2.</w:t>
      </w:r>
      <w:r>
        <w:rPr>
          <w:rFonts w:hint="eastAsia" w:ascii="仿宋" w:hAnsi="仿宋" w:eastAsia="仿宋" w:cs="仿宋"/>
          <w:b/>
          <w:color w:val="auto"/>
          <w:sz w:val="24"/>
          <w:highlight w:val="none"/>
          <w:lang w:val="en-US" w:eastAsia="zh-CN"/>
        </w:rPr>
        <w:t>2商务技术</w:t>
      </w:r>
      <w:r>
        <w:rPr>
          <w:rFonts w:hint="eastAsia" w:ascii="仿宋" w:hAnsi="仿宋" w:eastAsia="仿宋" w:cs="仿宋"/>
          <w:b/>
          <w:color w:val="auto"/>
          <w:sz w:val="24"/>
          <w:highlight w:val="none"/>
          <w:lang w:val="zh-CN" w:eastAsia="zh-CN"/>
        </w:rPr>
        <w:t>文件：</w:t>
      </w:r>
    </w:p>
    <w:p w14:paraId="2422D193">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2.2.1投标函；</w:t>
      </w:r>
      <w:r>
        <w:rPr>
          <w:rFonts w:hint="eastAsia" w:ascii="仿宋" w:hAnsi="仿宋" w:eastAsia="仿宋" w:cs="仿宋"/>
          <w:color w:val="auto"/>
          <w:sz w:val="24"/>
          <w:highlight w:val="none"/>
          <w:lang w:val="zh-CN" w:eastAsia="zh-CN"/>
        </w:rPr>
        <w:t xml:space="preserve"> </w:t>
      </w:r>
    </w:p>
    <w:p w14:paraId="31431031">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2.2.2法定代表人授权委托书；</w:t>
      </w:r>
    </w:p>
    <w:p w14:paraId="08D45B4B">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3</w:t>
      </w:r>
      <w:r>
        <w:rPr>
          <w:rFonts w:hint="eastAsia" w:ascii="仿宋" w:hAnsi="仿宋" w:eastAsia="仿宋" w:cs="仿宋"/>
          <w:color w:val="auto"/>
          <w:sz w:val="24"/>
          <w:highlight w:val="none"/>
          <w:lang w:val="en-US" w:eastAsia="zh-CN"/>
        </w:rPr>
        <w:t>法定代表人及其授权代表身份证复印件；</w:t>
      </w:r>
    </w:p>
    <w:p w14:paraId="71480430">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4</w:t>
      </w:r>
      <w:r>
        <w:rPr>
          <w:rFonts w:hint="eastAsia" w:ascii="仿宋" w:hAnsi="仿宋" w:eastAsia="仿宋" w:cs="仿宋"/>
          <w:color w:val="auto"/>
          <w:sz w:val="24"/>
          <w:highlight w:val="none"/>
          <w:lang w:val="en-US" w:eastAsia="zh-CN"/>
        </w:rPr>
        <w:t>授权代表社保证明；</w:t>
      </w:r>
    </w:p>
    <w:p w14:paraId="7AA9E3A7">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5</w:t>
      </w:r>
      <w:r>
        <w:rPr>
          <w:rFonts w:hint="eastAsia" w:ascii="仿宋" w:hAnsi="仿宋" w:eastAsia="仿宋" w:cs="仿宋"/>
          <w:color w:val="auto"/>
          <w:sz w:val="24"/>
          <w:highlight w:val="none"/>
          <w:lang w:val="en-US" w:eastAsia="zh-CN"/>
        </w:rPr>
        <w:t>法定代表人身份证明书；</w:t>
      </w:r>
    </w:p>
    <w:p w14:paraId="700CF402">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6</w:t>
      </w:r>
      <w:r>
        <w:rPr>
          <w:rFonts w:hint="eastAsia" w:ascii="仿宋" w:hAnsi="仿宋" w:eastAsia="仿宋" w:cs="仿宋"/>
          <w:color w:val="auto"/>
          <w:sz w:val="24"/>
          <w:highlight w:val="none"/>
          <w:lang w:val="en-US" w:eastAsia="zh-CN"/>
        </w:rPr>
        <w:t>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14:paraId="7B663BB7">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7</w:t>
      </w:r>
      <w:r>
        <w:rPr>
          <w:rFonts w:hint="eastAsia" w:ascii="仿宋" w:hAnsi="仿宋" w:eastAsia="仿宋" w:cs="仿宋"/>
          <w:color w:val="auto"/>
          <w:sz w:val="24"/>
          <w:highlight w:val="none"/>
          <w:lang w:val="en-US" w:eastAsia="zh-CN"/>
        </w:rPr>
        <w:t>廉政承诺书（格式见第六部分附件）；</w:t>
      </w:r>
    </w:p>
    <w:p w14:paraId="629E3BA1">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8</w:t>
      </w:r>
      <w:r>
        <w:rPr>
          <w:rFonts w:hint="eastAsia" w:ascii="仿宋" w:hAnsi="仿宋" w:eastAsia="仿宋" w:cs="仿宋"/>
          <w:color w:val="auto"/>
          <w:sz w:val="24"/>
          <w:highlight w:val="none"/>
          <w:lang w:val="en-US" w:eastAsia="zh-CN"/>
        </w:rPr>
        <w:t>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14:paraId="785B6157">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9</w:t>
      </w:r>
      <w:r>
        <w:rPr>
          <w:rFonts w:hint="eastAsia" w:ascii="仿宋" w:hAnsi="仿宋" w:eastAsia="仿宋" w:cs="仿宋"/>
          <w:color w:val="auto"/>
          <w:sz w:val="24"/>
          <w:highlight w:val="none"/>
          <w:lang w:val="en-US" w:eastAsia="zh-CN"/>
        </w:rPr>
        <w:t>供应商应提供针对项目的完整技术</w:t>
      </w:r>
      <w:bookmarkStart w:id="24" w:name="OLE_LINK4"/>
      <w:r>
        <w:rPr>
          <w:rFonts w:hint="eastAsia" w:ascii="仿宋" w:hAnsi="仿宋" w:eastAsia="仿宋" w:cs="仿宋"/>
          <w:color w:val="auto"/>
          <w:sz w:val="24"/>
          <w:highlight w:val="none"/>
          <w:lang w:val="en-US" w:eastAsia="zh-CN"/>
        </w:rPr>
        <w:t>解决方案</w:t>
      </w:r>
      <w:bookmarkEnd w:id="24"/>
      <w:r>
        <w:rPr>
          <w:rFonts w:hint="eastAsia" w:ascii="仿宋" w:hAnsi="仿宋" w:eastAsia="仿宋" w:cs="仿宋"/>
          <w:color w:val="auto"/>
          <w:sz w:val="24"/>
          <w:highlight w:val="none"/>
          <w:lang w:val="en-US" w:eastAsia="zh-CN"/>
        </w:rPr>
        <w:t>：</w:t>
      </w:r>
    </w:p>
    <w:p w14:paraId="6ECD0297">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针对本项目的完整</w:t>
      </w:r>
      <w:bookmarkStart w:id="25" w:name="OLE_LINK3"/>
      <w:r>
        <w:rPr>
          <w:rFonts w:hint="eastAsia" w:ascii="仿宋" w:hAnsi="仿宋" w:eastAsia="仿宋" w:cs="仿宋"/>
          <w:color w:val="auto"/>
          <w:sz w:val="24"/>
          <w:highlight w:val="none"/>
          <w:lang w:val="en-US" w:eastAsia="zh-CN"/>
        </w:rPr>
        <w:t>技术解决方案</w:t>
      </w:r>
      <w:bookmarkEnd w:id="25"/>
      <w:r>
        <w:rPr>
          <w:rFonts w:hint="eastAsia" w:ascii="仿宋" w:hAnsi="仿宋" w:eastAsia="仿宋" w:cs="仿宋"/>
          <w:color w:val="auto"/>
          <w:sz w:val="24"/>
          <w:highlight w:val="none"/>
          <w:lang w:val="en-US" w:eastAsia="zh-CN"/>
        </w:rPr>
        <w:t>和实施方案；详细阐述项目方案的实现思路及关键技术；符合本项目对当前和未来发展的要求；以及对功能设计和实施计划的建议；</w:t>
      </w:r>
    </w:p>
    <w:p w14:paraId="78FBD57F">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如果本项目涉及</w:t>
      </w:r>
      <w:bookmarkStart w:id="26" w:name="OLE_LINK5"/>
      <w:r>
        <w:rPr>
          <w:rFonts w:hint="eastAsia" w:ascii="仿宋" w:hAnsi="仿宋" w:eastAsia="仿宋" w:cs="仿宋"/>
          <w:color w:val="auto"/>
          <w:sz w:val="24"/>
          <w:highlight w:val="none"/>
          <w:lang w:val="en-US" w:eastAsia="zh-CN"/>
        </w:rPr>
        <w:t>硬件设备采购</w:t>
      </w:r>
      <w:bookmarkEnd w:id="26"/>
      <w:r>
        <w:rPr>
          <w:rFonts w:hint="eastAsia" w:ascii="仿宋" w:hAnsi="仿宋" w:eastAsia="仿宋" w:cs="仿宋"/>
          <w:color w:val="auto"/>
          <w:sz w:val="24"/>
          <w:highlight w:val="none"/>
          <w:lang w:val="en-US" w:eastAsia="zh-CN"/>
        </w:rPr>
        <w:t>，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14:paraId="26C7C44D">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本项目如需采购政府强制采购的节能产品的或投标人提供的产品是环境标志产品，投标人须按格式提供节能产品、环境标志产品认证证书复印件。</w:t>
      </w:r>
    </w:p>
    <w:p w14:paraId="73897818">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10</w:t>
      </w:r>
      <w:r>
        <w:rPr>
          <w:rFonts w:hint="eastAsia" w:ascii="仿宋" w:hAnsi="仿宋" w:eastAsia="仿宋" w:cs="仿宋"/>
          <w:color w:val="auto"/>
          <w:sz w:val="24"/>
          <w:highlight w:val="none"/>
          <w:lang w:val="en-US" w:eastAsia="zh-CN"/>
        </w:rPr>
        <w:t>针对本项目建设的详细实施计划。本项目详细工作实施组织方案，包括(但不限于)以下内容：组织机构、工作时间进度表、工作程序和步骤、管理和协调方法、关键步骤的思路和要点。</w:t>
      </w:r>
    </w:p>
    <w:p w14:paraId="2F7C6CAD">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w:t>
      </w:r>
      <w:r>
        <w:rPr>
          <w:rFonts w:hint="default" w:ascii="仿宋" w:hAnsi="仿宋" w:eastAsia="仿宋" w:cs="仿宋"/>
          <w:color w:val="auto"/>
          <w:sz w:val="24"/>
          <w:highlight w:val="none"/>
          <w:lang w:val="en-US" w:eastAsia="zh-CN"/>
        </w:rPr>
        <w:t>1</w:t>
      </w:r>
      <w:r>
        <w:rPr>
          <w:rFonts w:hint="eastAsia" w:ascii="仿宋" w:hAnsi="仿宋" w:eastAsia="仿宋" w:cs="仿宋"/>
          <w:color w:val="auto"/>
          <w:sz w:val="24"/>
          <w:highlight w:val="none"/>
          <w:lang w:val="en-US" w:eastAsia="zh-CN"/>
        </w:rPr>
        <w:t>项目验收之前、验收之后的维护方案；针对本项目的维护方案，包括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14:paraId="6B16FFCA">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w:t>
      </w:r>
      <w:r>
        <w:rPr>
          <w:rFonts w:hint="default" w:ascii="仿宋" w:hAnsi="仿宋" w:eastAsia="仿宋" w:cs="仿宋"/>
          <w:color w:val="auto"/>
          <w:sz w:val="24"/>
          <w:highlight w:val="none"/>
          <w:lang w:val="en-US" w:eastAsia="zh-CN"/>
        </w:rPr>
        <w:t>2</w:t>
      </w:r>
      <w:r>
        <w:rPr>
          <w:rFonts w:hint="eastAsia" w:ascii="仿宋" w:hAnsi="仿宋" w:eastAsia="仿宋" w:cs="仿宋"/>
          <w:color w:val="auto"/>
          <w:sz w:val="24"/>
          <w:highlight w:val="none"/>
          <w:lang w:val="en-US" w:eastAsia="zh-CN"/>
        </w:rPr>
        <w:t>供应商售后服务证明材料：由供应商根据本项目要求提供相应的售后服务证明材料或售后服务承诺；</w:t>
      </w:r>
    </w:p>
    <w:p w14:paraId="1CA40500">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w:t>
      </w:r>
      <w:r>
        <w:rPr>
          <w:rFonts w:hint="default" w:ascii="仿宋" w:hAnsi="仿宋" w:eastAsia="仿宋" w:cs="仿宋"/>
          <w:color w:val="auto"/>
          <w:sz w:val="24"/>
          <w:highlight w:val="none"/>
          <w:lang w:val="en-US" w:eastAsia="zh-CN"/>
        </w:rPr>
        <w:t>3</w:t>
      </w:r>
      <w:r>
        <w:rPr>
          <w:rFonts w:hint="eastAsia" w:ascii="仿宋" w:hAnsi="仿宋" w:eastAsia="仿宋" w:cs="仿宋"/>
          <w:color w:val="auto"/>
          <w:sz w:val="24"/>
          <w:highlight w:val="none"/>
          <w:lang w:val="en-US" w:eastAsia="zh-CN"/>
        </w:rPr>
        <w:t>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14:paraId="6C908324">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w:t>
      </w:r>
      <w:r>
        <w:rPr>
          <w:rFonts w:hint="default" w:ascii="仿宋" w:hAnsi="仿宋" w:eastAsia="仿宋" w:cs="仿宋"/>
          <w:color w:val="auto"/>
          <w:sz w:val="24"/>
          <w:highlight w:val="none"/>
          <w:lang w:val="en-US" w:eastAsia="zh-CN"/>
        </w:rPr>
        <w:t>4</w:t>
      </w:r>
      <w:r>
        <w:rPr>
          <w:rFonts w:hint="eastAsia" w:ascii="仿宋" w:hAnsi="仿宋" w:eastAsia="仿宋" w:cs="仿宋"/>
          <w:color w:val="auto"/>
          <w:sz w:val="24"/>
          <w:highlight w:val="none"/>
          <w:lang w:val="en-US" w:eastAsia="zh-CN"/>
        </w:rPr>
        <w:t>优惠条件：供应商承诺给予采购人的各种优惠条件，包括设备价格、运输、保险、安装调试、付款条件、技术服务、售后服务等方面的优惠；当优惠条件涉及“报价单”中的各项费用时，必须与最后报价相统一；（如有）</w:t>
      </w:r>
    </w:p>
    <w:p w14:paraId="504A61E1">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w:t>
      </w:r>
      <w:r>
        <w:rPr>
          <w:rFonts w:hint="default" w:ascii="仿宋" w:hAnsi="仿宋" w:eastAsia="仿宋" w:cs="仿宋"/>
          <w:color w:val="auto"/>
          <w:sz w:val="24"/>
          <w:highlight w:val="none"/>
          <w:lang w:val="en-US" w:eastAsia="zh-CN"/>
        </w:rPr>
        <w:t>5</w:t>
      </w:r>
      <w:r>
        <w:rPr>
          <w:rFonts w:hint="eastAsia" w:ascii="仿宋" w:hAnsi="仿宋" w:eastAsia="仿宋" w:cs="仿宋"/>
          <w:color w:val="auto"/>
          <w:sz w:val="24"/>
          <w:highlight w:val="none"/>
          <w:lang w:val="en-US" w:eastAsia="zh-CN"/>
        </w:rPr>
        <w:t>备品备件清单（含随机自带的备品备件和质保期后供采购人选择的备品备件及配套零部件，明细备品备件及价格，且供货价格不高于成交价格；成交货物设备应提供易损部件的备件和整机备品）；（如有）</w:t>
      </w:r>
    </w:p>
    <w:p w14:paraId="21FBE2B0">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w:t>
      </w:r>
      <w:r>
        <w:rPr>
          <w:rFonts w:hint="default" w:ascii="仿宋" w:hAnsi="仿宋" w:eastAsia="仿宋" w:cs="仿宋"/>
          <w:color w:val="auto"/>
          <w:sz w:val="24"/>
          <w:highlight w:val="none"/>
          <w:lang w:val="en-US" w:eastAsia="zh-CN"/>
        </w:rPr>
        <w:t>6</w:t>
      </w:r>
      <w:r>
        <w:rPr>
          <w:rFonts w:hint="eastAsia" w:ascii="仿宋" w:hAnsi="仿宋" w:eastAsia="仿宋" w:cs="仿宋"/>
          <w:color w:val="auto"/>
          <w:sz w:val="24"/>
          <w:highlight w:val="none"/>
          <w:lang w:val="en-US" w:eastAsia="zh-CN"/>
        </w:rPr>
        <w:t>培训计划（如有）；</w:t>
      </w:r>
    </w:p>
    <w:p w14:paraId="7DB58435">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w:t>
      </w:r>
      <w:r>
        <w:rPr>
          <w:rFonts w:hint="default" w:ascii="仿宋" w:hAnsi="仿宋" w:eastAsia="仿宋" w:cs="仿宋"/>
          <w:color w:val="auto"/>
          <w:sz w:val="24"/>
          <w:highlight w:val="none"/>
          <w:lang w:val="en-US" w:eastAsia="zh-CN"/>
        </w:rPr>
        <w:t>7</w:t>
      </w:r>
      <w:r>
        <w:rPr>
          <w:rFonts w:hint="eastAsia" w:ascii="仿宋" w:hAnsi="仿宋" w:eastAsia="仿宋" w:cs="仿宋"/>
          <w:color w:val="auto"/>
          <w:sz w:val="24"/>
          <w:highlight w:val="none"/>
          <w:lang w:val="en-US" w:eastAsia="zh-CN"/>
        </w:rPr>
        <w:t>验收方案；</w:t>
      </w:r>
    </w:p>
    <w:p w14:paraId="6629936F">
      <w:pPr>
        <w:snapToGrid w:val="0"/>
        <w:spacing w:line="336" w:lineRule="auto"/>
        <w:ind w:firstLine="480" w:firstLineChars="200"/>
        <w:rPr>
          <w:rFonts w:hint="eastAsia" w:ascii="仿宋" w:hAnsi="仿宋" w:eastAsia="仿宋" w:cs="仿宋"/>
          <w:color w:val="auto"/>
          <w:sz w:val="24"/>
          <w:highlight w:val="none"/>
          <w:u w:val="wave"/>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en-US" w:eastAsia="zh-CN"/>
        </w:rPr>
        <w:t>1</w:t>
      </w:r>
      <w:r>
        <w:rPr>
          <w:rFonts w:hint="default" w:ascii="仿宋" w:hAnsi="仿宋" w:eastAsia="仿宋" w:cs="仿宋"/>
          <w:color w:val="auto"/>
          <w:sz w:val="24"/>
          <w:highlight w:val="none"/>
          <w:lang w:val="en-US" w:eastAsia="zh-CN"/>
        </w:rPr>
        <w:t>8</w:t>
      </w:r>
      <w:r>
        <w:rPr>
          <w:rFonts w:hint="eastAsia" w:ascii="仿宋" w:hAnsi="仿宋" w:eastAsia="仿宋" w:cs="仿宋"/>
          <w:color w:val="auto"/>
          <w:sz w:val="24"/>
          <w:highlight w:val="none"/>
          <w:u w:val="wave"/>
        </w:rPr>
        <w:t>未尽事宜请各投标单位按评分标准和相对应标项相关要求制作；</w:t>
      </w:r>
    </w:p>
    <w:p w14:paraId="1A2FA7BF">
      <w:pPr>
        <w:snapToGrid w:val="0"/>
        <w:spacing w:line="336" w:lineRule="auto"/>
        <w:ind w:firstLine="480" w:firstLineChars="200"/>
        <w:rPr>
          <w:rFonts w:hint="default"/>
          <w:color w:val="auto"/>
          <w:highlight w:val="none"/>
          <w:lang w:val="zh-CN" w:eastAsia="zh-CN"/>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en-US" w:eastAsia="zh-CN"/>
        </w:rPr>
        <w:t>1</w:t>
      </w:r>
      <w:r>
        <w:rPr>
          <w:rFonts w:hint="default" w:ascii="仿宋" w:hAnsi="仿宋" w:eastAsia="仿宋" w:cs="仿宋"/>
          <w:color w:val="auto"/>
          <w:sz w:val="24"/>
          <w:highlight w:val="none"/>
          <w:lang w:val="en-US" w:eastAsia="zh-CN"/>
        </w:rPr>
        <w:t>9</w:t>
      </w:r>
      <w:r>
        <w:rPr>
          <w:rFonts w:hint="eastAsia" w:ascii="仿宋" w:hAnsi="仿宋" w:eastAsia="仿宋" w:cs="仿宋"/>
          <w:color w:val="auto"/>
          <w:sz w:val="24"/>
          <w:highlight w:val="none"/>
        </w:rPr>
        <w:t>投标人需要说明的其他文件和说明（格式自拟）。</w:t>
      </w:r>
    </w:p>
    <w:p w14:paraId="0E0E4D29">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 xml:space="preserve">2.3报价文件： </w:t>
      </w:r>
    </w:p>
    <w:p w14:paraId="02DBCCC2">
      <w:pPr>
        <w:pStyle w:val="9"/>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2.3.1开标一览表（报价表）。</w:t>
      </w:r>
    </w:p>
    <w:p w14:paraId="4333624A">
      <w:pPr>
        <w:pStyle w:val="9"/>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2.3.2中小企业声明函（如有）；</w:t>
      </w:r>
    </w:p>
    <w:p w14:paraId="6D10B943">
      <w:pPr>
        <w:pStyle w:val="9"/>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2.3.3 残疾人福利性单位声明函（如有）。</w:t>
      </w:r>
    </w:p>
    <w:p w14:paraId="61ABB55F">
      <w:pPr>
        <w:pStyle w:val="9"/>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2" w:firstLineChars="200"/>
        <w:textAlignment w:val="auto"/>
        <w:rPr>
          <w:rFonts w:hint="eastAsia" w:ascii="仿宋" w:hAnsi="仿宋" w:eastAsia="仿宋" w:cs="仿宋"/>
          <w:b/>
          <w:bCs/>
          <w:color w:val="auto"/>
          <w:sz w:val="24"/>
          <w:highlight w:val="none"/>
        </w:rPr>
      </w:pPr>
      <w:r>
        <w:rPr>
          <w:rFonts w:hint="default" w:ascii="仿宋" w:hAnsi="仿宋" w:eastAsia="仿宋" w:cs="仿宋"/>
          <w:b/>
          <w:bCs/>
          <w:color w:val="auto"/>
          <w:sz w:val="24"/>
          <w:highlight w:val="none"/>
          <w:lang w:val="en-US"/>
        </w:rPr>
        <w:t>3.</w:t>
      </w:r>
      <w:r>
        <w:rPr>
          <w:rFonts w:hint="eastAsia" w:ascii="仿宋" w:hAnsi="仿宋" w:eastAsia="仿宋" w:cs="仿宋"/>
          <w:b/>
          <w:bCs/>
          <w:color w:val="auto"/>
          <w:sz w:val="24"/>
          <w:highlight w:val="none"/>
          <w:lang w:val="en-US" w:eastAsia="zh-CN"/>
        </w:rPr>
        <w:t>投标报价</w:t>
      </w:r>
    </w:p>
    <w:p w14:paraId="259D6C09">
      <w:pPr>
        <w:pStyle w:val="9"/>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0" w:firstLineChars="200"/>
        <w:textAlignment w:val="auto"/>
        <w:rPr>
          <w:rFonts w:hint="default" w:ascii="仿宋" w:hAnsi="仿宋" w:eastAsia="仿宋" w:cs="仿宋"/>
          <w:color w:val="auto"/>
          <w:sz w:val="24"/>
          <w:highlight w:val="none"/>
          <w:lang w:val="en-US" w:eastAsia="zh-CN"/>
        </w:rPr>
      </w:pPr>
      <w:r>
        <w:rPr>
          <w:rFonts w:hint="default" w:ascii="仿宋" w:hAnsi="仿宋" w:eastAsia="仿宋" w:cs="仿宋"/>
          <w:color w:val="auto"/>
          <w:sz w:val="24"/>
          <w:highlight w:val="none"/>
          <w:lang w:val="en-US" w:eastAsia="zh-CN"/>
        </w:rPr>
        <w:t>3.1供应商应按招标文件中</w:t>
      </w:r>
      <w:r>
        <w:rPr>
          <w:rFonts w:hint="eastAsia" w:ascii="仿宋" w:hAnsi="仿宋" w:eastAsia="仿宋" w:cs="仿宋"/>
          <w:color w:val="auto"/>
          <w:sz w:val="24"/>
          <w:highlight w:val="none"/>
          <w:lang w:val="en-US" w:eastAsia="zh-CN"/>
        </w:rPr>
        <w:t>《开标一览表》（报价表）</w:t>
      </w:r>
      <w:r>
        <w:rPr>
          <w:rFonts w:hint="default" w:ascii="仿宋" w:hAnsi="仿宋" w:eastAsia="仿宋" w:cs="仿宋"/>
          <w:color w:val="auto"/>
          <w:sz w:val="24"/>
          <w:highlight w:val="none"/>
          <w:lang w:val="en-US" w:eastAsia="zh-CN"/>
        </w:rPr>
        <w:t>等附表要求填写。</w:t>
      </w:r>
    </w:p>
    <w:p w14:paraId="289A2890">
      <w:pPr>
        <w:pStyle w:val="9"/>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0" w:firstLineChars="200"/>
        <w:textAlignment w:val="auto"/>
        <w:rPr>
          <w:rFonts w:hint="default" w:ascii="仿宋" w:hAnsi="仿宋" w:eastAsia="仿宋" w:cs="仿宋"/>
          <w:color w:val="auto"/>
          <w:sz w:val="24"/>
          <w:highlight w:val="none"/>
          <w:lang w:val="en-US" w:eastAsia="zh-CN"/>
        </w:rPr>
      </w:pPr>
      <w:r>
        <w:rPr>
          <w:rFonts w:hint="default" w:ascii="仿宋" w:hAnsi="仿宋" w:eastAsia="仿宋" w:cs="仿宋"/>
          <w:color w:val="auto"/>
          <w:sz w:val="24"/>
          <w:highlight w:val="none"/>
          <w:lang w:val="en-US" w:eastAsia="zh-CN"/>
        </w:rPr>
        <w:t>3.2报价为采购人可以合格使用产品的价格，包括货款、包装、运输、保险、货到就位以及安装、调试、培训、保修及产品知识产权等一切费用。</w:t>
      </w:r>
    </w:p>
    <w:p w14:paraId="4D4BC611">
      <w:pPr>
        <w:pStyle w:val="9"/>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0" w:firstLineChars="200"/>
        <w:textAlignment w:val="auto"/>
        <w:rPr>
          <w:rFonts w:hint="default" w:ascii="仿宋" w:hAnsi="仿宋" w:eastAsia="仿宋" w:cs="仿宋"/>
          <w:color w:val="auto"/>
          <w:sz w:val="24"/>
          <w:highlight w:val="none"/>
          <w:lang w:val="en-US" w:eastAsia="zh-CN"/>
        </w:rPr>
      </w:pPr>
      <w:r>
        <w:rPr>
          <w:rFonts w:hint="default" w:ascii="仿宋" w:hAnsi="仿宋" w:eastAsia="仿宋" w:cs="仿宋"/>
          <w:color w:val="auto"/>
          <w:sz w:val="24"/>
          <w:highlight w:val="none"/>
          <w:lang w:val="en-US" w:eastAsia="zh-CN"/>
        </w:rPr>
        <w:t>3.3招标文件未列明，而供应商认为必需的费用也需列入报价。</w:t>
      </w:r>
    </w:p>
    <w:p w14:paraId="2644E1D7">
      <w:pPr>
        <w:pStyle w:val="9"/>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left="479" w:leftChars="228" w:firstLine="0" w:firstLineChars="0"/>
        <w:textAlignment w:val="auto"/>
        <w:rPr>
          <w:rFonts w:ascii="仿宋" w:hAnsi="仿宋" w:eastAsia="仿宋" w:cs="仿宋"/>
          <w:b/>
          <w:color w:val="auto"/>
          <w:szCs w:val="24"/>
          <w:highlight w:val="none"/>
        </w:rPr>
      </w:pPr>
      <w:r>
        <w:rPr>
          <w:rFonts w:hint="default" w:ascii="仿宋" w:hAnsi="仿宋" w:eastAsia="仿宋" w:cs="仿宋"/>
          <w:b/>
          <w:bCs/>
          <w:color w:val="auto"/>
          <w:sz w:val="24"/>
          <w:highlight w:val="none"/>
          <w:lang w:val="en-US" w:eastAsia="zh-CN"/>
        </w:rPr>
        <w:t>3.4投标报价只允许有一个报价，有选择的报价将不予接受（除指定外）</w:t>
      </w:r>
      <w:r>
        <w:rPr>
          <w:rFonts w:hint="default" w:ascii="仿宋" w:hAnsi="仿宋" w:eastAsia="仿宋" w:cs="仿宋"/>
          <w:b/>
          <w:bCs/>
          <w:color w:val="auto"/>
          <w:sz w:val="24"/>
          <w:highlight w:val="none"/>
          <w:lang w:val="en-US"/>
        </w:rPr>
        <w:t>。</w:t>
      </w:r>
      <w:r>
        <w:rPr>
          <w:rFonts w:ascii="仿宋" w:hAnsi="仿宋" w:eastAsia="仿宋" w:cs="仿宋"/>
          <w:b/>
          <w:color w:val="auto"/>
          <w:kern w:val="0"/>
          <w:szCs w:val="24"/>
          <w:highlight w:val="none"/>
        </w:rPr>
        <w:t>4.</w:t>
      </w:r>
      <w:r>
        <w:rPr>
          <w:rFonts w:hint="eastAsia" w:ascii="仿宋" w:hAnsi="仿宋" w:eastAsia="仿宋" w:cs="仿宋"/>
          <w:b/>
          <w:color w:val="auto"/>
          <w:szCs w:val="24"/>
          <w:highlight w:val="none"/>
        </w:rPr>
        <w:t>投标文件的编制</w:t>
      </w:r>
      <w:r>
        <w:rPr>
          <w:rFonts w:hint="eastAsia" w:ascii="仿宋" w:hAnsi="仿宋" w:eastAsia="仿宋" w:cs="仿宋"/>
          <w:b/>
          <w:color w:val="auto"/>
          <w:szCs w:val="24"/>
          <w:highlight w:val="none"/>
          <w:lang w:eastAsia="zh-CN"/>
        </w:rPr>
        <w:t>和</w:t>
      </w:r>
      <w:r>
        <w:rPr>
          <w:rFonts w:hint="eastAsia" w:ascii="仿宋" w:hAnsi="仿宋" w:eastAsia="仿宋" w:cs="仿宋"/>
          <w:b/>
          <w:color w:val="auto"/>
          <w:sz w:val="24"/>
          <w:highlight w:val="none"/>
        </w:rPr>
        <w:t>签署</w:t>
      </w:r>
    </w:p>
    <w:p w14:paraId="23F59F28">
      <w:pPr>
        <w:snapToGrid w:val="0"/>
        <w:spacing w:line="440" w:lineRule="exact"/>
        <w:ind w:firstLine="480" w:firstLineChars="200"/>
        <w:jc w:val="left"/>
        <w:rPr>
          <w:rFonts w:ascii="仿宋" w:hAnsi="仿宋" w:eastAsia="仿宋" w:cs="仿宋"/>
          <w:color w:val="auto"/>
          <w:sz w:val="24"/>
          <w:highlight w:val="none"/>
        </w:rPr>
      </w:pPr>
      <w:r>
        <w:rPr>
          <w:rFonts w:ascii="仿宋" w:hAnsi="仿宋" w:eastAsia="仿宋" w:cs="仿宋"/>
          <w:color w:val="auto"/>
          <w:sz w:val="24"/>
          <w:highlight w:val="none"/>
        </w:rPr>
        <w:t>4</w:t>
      </w:r>
      <w:r>
        <w:rPr>
          <w:rFonts w:hint="eastAsia" w:ascii="仿宋" w:hAnsi="仿宋" w:eastAsia="仿宋" w:cs="仿宋"/>
          <w:color w:val="auto"/>
          <w:sz w:val="24"/>
          <w:highlight w:val="none"/>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3E231BC1">
      <w:pPr>
        <w:snapToGrid w:val="0"/>
        <w:spacing w:line="440" w:lineRule="exact"/>
        <w:ind w:firstLine="480" w:firstLineChars="200"/>
        <w:jc w:val="left"/>
        <w:rPr>
          <w:rFonts w:ascii="仿宋" w:hAnsi="仿宋" w:eastAsia="仿宋" w:cs="仿宋"/>
          <w:color w:val="auto"/>
          <w:sz w:val="24"/>
          <w:highlight w:val="none"/>
          <w:lang w:val="zh-CN"/>
        </w:rPr>
      </w:pPr>
      <w:r>
        <w:rPr>
          <w:rFonts w:ascii="仿宋" w:hAnsi="仿宋" w:eastAsia="仿宋" w:cs="仿宋"/>
          <w:color w:val="auto"/>
          <w:sz w:val="24"/>
          <w:highlight w:val="none"/>
        </w:rPr>
        <w:t>4</w:t>
      </w:r>
      <w:r>
        <w:rPr>
          <w:rFonts w:hint="eastAsia" w:ascii="仿宋" w:hAnsi="仿宋" w:eastAsia="仿宋" w:cs="仿宋"/>
          <w:color w:val="auto"/>
          <w:sz w:val="24"/>
          <w:highlight w:val="none"/>
          <w:lang w:val="zh-CN"/>
        </w:rPr>
        <w:t>.2投标人进行电子投标应安装客户端软件—“政采云电子交易客户端”，并按照招标文件和电子交易平台的要求编制并加密投标文件。投标人未按规定加密的投标文件，电子交易平台将拒收并提示。</w:t>
      </w:r>
    </w:p>
    <w:p w14:paraId="56611FB1">
      <w:pPr>
        <w:snapToGrid w:val="0"/>
        <w:spacing w:line="440" w:lineRule="exact"/>
        <w:ind w:firstLine="480" w:firstLineChars="200"/>
        <w:jc w:val="left"/>
        <w:rPr>
          <w:rFonts w:ascii="仿宋" w:hAnsi="仿宋" w:eastAsia="仿宋" w:cs="仿宋"/>
          <w:color w:val="auto"/>
          <w:sz w:val="24"/>
          <w:highlight w:val="none"/>
          <w:lang w:val="zh-CN"/>
        </w:rPr>
      </w:pPr>
      <w:r>
        <w:rPr>
          <w:rFonts w:ascii="仿宋" w:hAnsi="仿宋" w:eastAsia="仿宋" w:cs="仿宋"/>
          <w:color w:val="auto"/>
          <w:sz w:val="24"/>
          <w:highlight w:val="none"/>
        </w:rPr>
        <w:t>4</w:t>
      </w:r>
      <w:r>
        <w:rPr>
          <w:rFonts w:hint="eastAsia" w:ascii="仿宋" w:hAnsi="仿宋" w:eastAsia="仿宋" w:cs="仿宋"/>
          <w:color w:val="auto"/>
          <w:sz w:val="24"/>
          <w:highlight w:val="none"/>
          <w:lang w:val="zh-CN"/>
        </w:rPr>
        <w:t>.3使用“政采云电子交易客户端”需要提前申领CA数字证书，申领流程请自行前往“浙江政府采购网-下载专区-电子交易客户端-CA驱动和申领流程”进行查阅。</w:t>
      </w:r>
    </w:p>
    <w:p w14:paraId="6E8187C8">
      <w:pPr>
        <w:snapToGrid w:val="0"/>
        <w:spacing w:line="440" w:lineRule="exact"/>
        <w:ind w:firstLine="480" w:firstLineChars="200"/>
        <w:jc w:val="left"/>
        <w:rPr>
          <w:rFonts w:ascii="仿宋" w:hAnsi="仿宋" w:eastAsia="仿宋" w:cs="仿宋"/>
          <w:color w:val="auto"/>
          <w:sz w:val="24"/>
          <w:highlight w:val="none"/>
          <w:lang w:val="zh-CN"/>
        </w:rPr>
      </w:pPr>
      <w:r>
        <w:rPr>
          <w:rFonts w:hint="eastAsia" w:ascii="仿宋" w:hAnsi="仿宋" w:eastAsia="仿宋" w:cs="仿宋"/>
          <w:color w:val="auto"/>
          <w:sz w:val="24"/>
          <w:highlight w:val="none"/>
          <w:lang w:val="en-US" w:eastAsia="zh-CN"/>
        </w:rPr>
        <w:t>4.4</w:t>
      </w:r>
      <w:r>
        <w:rPr>
          <w:rFonts w:hint="eastAsia" w:ascii="仿宋" w:hAnsi="仿宋" w:eastAsia="仿宋" w:cs="仿宋"/>
          <w:color w:val="auto"/>
          <w:sz w:val="24"/>
          <w:highlight w:val="none"/>
          <w:lang w:val="zh-CN"/>
        </w:rPr>
        <w:t>投标文件按照招标文件第六部分格式要求进行签署、盖章。投标人的投标文件未按照招标文件要求签署、盖章的，其投标无效。</w:t>
      </w:r>
    </w:p>
    <w:p w14:paraId="03E6D574">
      <w:pPr>
        <w:snapToGrid w:val="0"/>
        <w:spacing w:line="440" w:lineRule="exact"/>
        <w:ind w:firstLine="480" w:firstLineChars="200"/>
        <w:jc w:val="left"/>
        <w:rPr>
          <w:rFonts w:ascii="仿宋" w:hAnsi="仿宋" w:eastAsia="仿宋" w:cs="仿宋"/>
          <w:color w:val="auto"/>
          <w:sz w:val="24"/>
          <w:highlight w:val="none"/>
          <w:lang w:val="zh-CN"/>
        </w:rPr>
      </w:pPr>
      <w:r>
        <w:rPr>
          <w:rFonts w:hint="eastAsia" w:ascii="仿宋" w:hAnsi="仿宋" w:eastAsia="仿宋" w:cs="仿宋"/>
          <w:color w:val="auto"/>
          <w:sz w:val="24"/>
          <w:highlight w:val="none"/>
          <w:lang w:val="en-US" w:eastAsia="zh-CN"/>
        </w:rPr>
        <w:t>4.5</w:t>
      </w:r>
      <w:r>
        <w:rPr>
          <w:rFonts w:hint="eastAsia" w:ascii="仿宋" w:hAnsi="仿宋" w:eastAsia="仿宋" w:cs="仿宋"/>
          <w:color w:val="auto"/>
          <w:sz w:val="24"/>
          <w:highlight w:val="none"/>
          <w:lang w:val="zh-CN"/>
        </w:rPr>
        <w:t>为确保网上操作合法、有效和安全，投标人应当在投标截止时间前完成在“政府采购云平台”的身份认证，确保在电子投标过程中能够对相关数据电文进行加密和使用电子签名。</w:t>
      </w:r>
    </w:p>
    <w:p w14:paraId="0E1D2743">
      <w:pPr>
        <w:snapToGrid w:val="0"/>
        <w:spacing w:line="440" w:lineRule="exact"/>
        <w:ind w:firstLine="480" w:firstLineChars="200"/>
        <w:jc w:val="left"/>
        <w:rPr>
          <w:rFonts w:ascii="仿宋" w:hAnsi="仿宋" w:eastAsia="仿宋" w:cs="仿宋"/>
          <w:color w:val="auto"/>
          <w:sz w:val="24"/>
          <w:highlight w:val="none"/>
          <w:lang w:val="zh-CN"/>
        </w:rPr>
      </w:pPr>
      <w:r>
        <w:rPr>
          <w:rFonts w:hint="eastAsia" w:ascii="仿宋" w:hAnsi="仿宋" w:eastAsia="仿宋" w:cs="仿宋"/>
          <w:color w:val="auto"/>
          <w:sz w:val="24"/>
          <w:highlight w:val="none"/>
          <w:lang w:val="en-US" w:eastAsia="zh-CN"/>
        </w:rPr>
        <w:t>4.6</w:t>
      </w:r>
      <w:r>
        <w:rPr>
          <w:rFonts w:hint="eastAsia" w:ascii="仿宋" w:hAnsi="仿宋" w:eastAsia="仿宋" w:cs="仿宋"/>
          <w:color w:val="auto"/>
          <w:sz w:val="24"/>
          <w:highlight w:val="none"/>
          <w:lang w:val="zh-CN"/>
        </w:rPr>
        <w:t>招标文件对投标文件签署、盖章的要求适用于电子签名。</w:t>
      </w:r>
    </w:p>
    <w:p w14:paraId="1342C9FA">
      <w:pPr>
        <w:pStyle w:val="21"/>
        <w:spacing w:before="0" w:line="440" w:lineRule="exact"/>
        <w:ind w:firstLine="482" w:firstLineChars="200"/>
        <w:rPr>
          <w:rFonts w:ascii="仿宋" w:hAnsi="仿宋" w:eastAsia="仿宋" w:cs="仿宋"/>
          <w:b/>
          <w:color w:val="auto"/>
          <w:szCs w:val="24"/>
          <w:highlight w:val="none"/>
        </w:rPr>
      </w:pPr>
      <w:r>
        <w:rPr>
          <w:rFonts w:hint="eastAsia" w:ascii="仿宋" w:hAnsi="仿宋" w:eastAsia="仿宋" w:cs="仿宋"/>
          <w:b/>
          <w:color w:val="auto"/>
          <w:szCs w:val="24"/>
          <w:highlight w:val="none"/>
          <w:lang w:val="en-US" w:eastAsia="zh-CN"/>
        </w:rPr>
        <w:t>5</w:t>
      </w:r>
      <w:r>
        <w:rPr>
          <w:rFonts w:ascii="仿宋" w:hAnsi="仿宋" w:eastAsia="仿宋" w:cs="仿宋"/>
          <w:b/>
          <w:color w:val="auto"/>
          <w:szCs w:val="24"/>
          <w:highlight w:val="none"/>
        </w:rPr>
        <w:t>.</w:t>
      </w:r>
      <w:r>
        <w:rPr>
          <w:rFonts w:hint="eastAsia" w:ascii="仿宋" w:hAnsi="仿宋" w:eastAsia="仿宋" w:cs="仿宋"/>
          <w:b/>
          <w:color w:val="auto"/>
          <w:szCs w:val="24"/>
          <w:highlight w:val="none"/>
        </w:rPr>
        <w:t>投标文件的提交、补充、修改、撤回</w:t>
      </w:r>
    </w:p>
    <w:p w14:paraId="11D759B8">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5</w:t>
      </w:r>
      <w:r>
        <w:rPr>
          <w:rFonts w:ascii="仿宋" w:hAnsi="仿宋" w:eastAsia="仿宋" w:cs="仿宋"/>
          <w:color w:val="auto"/>
          <w:sz w:val="24"/>
          <w:highlight w:val="none"/>
        </w:rPr>
        <w:t>.</w:t>
      </w:r>
      <w:r>
        <w:rPr>
          <w:rFonts w:hint="eastAsia" w:ascii="仿宋" w:hAnsi="仿宋" w:eastAsia="仿宋" w:cs="仿宋"/>
          <w:color w:val="auto"/>
          <w:sz w:val="24"/>
          <w:highlight w:val="none"/>
        </w:rPr>
        <w:t>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699CBB77">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5</w:t>
      </w:r>
      <w:r>
        <w:rPr>
          <w:rFonts w:ascii="仿宋" w:hAnsi="仿宋" w:eastAsia="仿宋" w:cs="仿宋"/>
          <w:color w:val="auto"/>
          <w:sz w:val="24"/>
          <w:highlight w:val="none"/>
        </w:rPr>
        <w:t>.</w:t>
      </w:r>
      <w:r>
        <w:rPr>
          <w:rFonts w:hint="eastAsia" w:ascii="仿宋" w:hAnsi="仿宋" w:eastAsia="仿宋" w:cs="仿宋"/>
          <w:color w:val="auto"/>
          <w:sz w:val="24"/>
          <w:highlight w:val="none"/>
        </w:rPr>
        <w:t>2电子交易平台收到投标文件，将妥善保存并即时向供应商发出确认回执通知。在投标截止时间前，除供应商补充、修改或者撤回投标文件外，任何单位和个人不得解密或提取投标文件。</w:t>
      </w:r>
    </w:p>
    <w:p w14:paraId="0BBA6626">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5</w:t>
      </w:r>
      <w:r>
        <w:rPr>
          <w:rFonts w:ascii="仿宋" w:hAnsi="仿宋" w:eastAsia="仿宋" w:cs="仿宋"/>
          <w:color w:val="auto"/>
          <w:sz w:val="24"/>
          <w:highlight w:val="none"/>
        </w:rPr>
        <w:t>.</w:t>
      </w:r>
      <w:r>
        <w:rPr>
          <w:rFonts w:hint="eastAsia" w:ascii="仿宋" w:hAnsi="仿宋" w:eastAsia="仿宋" w:cs="仿宋"/>
          <w:color w:val="auto"/>
          <w:sz w:val="24"/>
          <w:highlight w:val="none"/>
        </w:rPr>
        <w:t>3采购人、采购代理机构可以视情况延长投标文件提交的截止时间。在上述情况下，采购代理机构与投标人以前在投标截止期方面的全部权利、责任和义务，将适用于延长至新的投标截止期。</w:t>
      </w:r>
    </w:p>
    <w:p w14:paraId="38C6D0B2">
      <w:pPr>
        <w:adjustRightInd w:val="0"/>
        <w:spacing w:line="440" w:lineRule="exact"/>
        <w:ind w:left="0" w:leftChars="0" w:firstLine="482" w:firstLineChars="200"/>
        <w:jc w:val="both"/>
        <w:rPr>
          <w:rFonts w:hint="eastAsia" w:ascii="仿宋" w:hAnsi="仿宋" w:eastAsia="仿宋" w:cs="仿宋"/>
          <w:b/>
          <w:color w:val="auto"/>
          <w:sz w:val="32"/>
          <w:highlight w:val="none"/>
        </w:rPr>
      </w:pPr>
      <w:r>
        <w:rPr>
          <w:rFonts w:hint="eastAsia" w:ascii="仿宋" w:hAnsi="仿宋" w:eastAsia="仿宋" w:cs="仿宋"/>
          <w:b/>
          <w:bCs/>
          <w:i w:val="0"/>
          <w:iCs w:val="0"/>
          <w:color w:val="auto"/>
          <w:kern w:val="2"/>
          <w:sz w:val="24"/>
          <w:szCs w:val="24"/>
          <w:highlight w:val="none"/>
          <w:vertAlign w:val="baseline"/>
          <w:lang w:val="en-US" w:eastAsia="zh-CN" w:bidi="ar-SA"/>
        </w:rPr>
        <w:t>6</w:t>
      </w:r>
      <w:r>
        <w:rPr>
          <w:rFonts w:hint="default" w:ascii="仿宋" w:hAnsi="仿宋" w:eastAsia="仿宋" w:cs="仿宋"/>
          <w:b/>
          <w:bCs/>
          <w:i w:val="0"/>
          <w:iCs w:val="0"/>
          <w:color w:val="auto"/>
          <w:kern w:val="2"/>
          <w:sz w:val="24"/>
          <w:szCs w:val="24"/>
          <w:highlight w:val="none"/>
          <w:vertAlign w:val="baseline"/>
          <w:lang w:val="en-US" w:eastAsia="zh-CN" w:bidi="ar-SA"/>
        </w:rPr>
        <w:t>.投标有效期</w:t>
      </w:r>
    </w:p>
    <w:p w14:paraId="3A8FB616">
      <w:pPr>
        <w:adjustRightInd w:val="0"/>
        <w:snapToGrid w:val="0"/>
        <w:spacing w:line="440" w:lineRule="exact"/>
        <w:ind w:firstLine="480" w:firstLineChars="200"/>
        <w:jc w:val="left"/>
        <w:rPr>
          <w:rFonts w:hint="eastAsia" w:ascii="仿宋" w:hAnsi="仿宋" w:eastAsia="仿宋" w:cs="仿宋"/>
          <w:b/>
          <w:color w:val="auto"/>
          <w:sz w:val="32"/>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6</w:t>
      </w:r>
      <w:r>
        <w:rPr>
          <w:rFonts w:hint="default" w:ascii="仿宋" w:hAnsi="仿宋" w:eastAsia="仿宋" w:cs="仿宋"/>
          <w:b w:val="0"/>
          <w:bCs w:val="0"/>
          <w:i w:val="0"/>
          <w:iCs w:val="0"/>
          <w:color w:val="auto"/>
          <w:kern w:val="2"/>
          <w:sz w:val="24"/>
          <w:szCs w:val="24"/>
          <w:highlight w:val="none"/>
          <w:vertAlign w:val="baseline"/>
          <w:lang w:val="en-US" w:eastAsia="zh-CN" w:bidi="ar-SA"/>
        </w:rPr>
        <w:t>.1投标有效期为从提交投标文件的截止之日起90天。投标人的投标文件中承诺的投标有效期少于招标文件中载明的投标有效期的，投标无效。</w:t>
      </w:r>
    </w:p>
    <w:p w14:paraId="71BDD0F8">
      <w:pPr>
        <w:adjustRightInd w:val="0"/>
        <w:snapToGrid w:val="0"/>
        <w:spacing w:line="440" w:lineRule="exact"/>
        <w:ind w:firstLine="480" w:firstLineChars="200"/>
        <w:jc w:val="left"/>
        <w:rPr>
          <w:rFonts w:hint="eastAsia" w:ascii="仿宋" w:hAnsi="仿宋" w:eastAsia="仿宋" w:cs="仿宋"/>
          <w:b w:val="0"/>
          <w:bCs w:val="0"/>
          <w:i w:val="0"/>
          <w:iCs w:val="0"/>
          <w:color w:val="auto"/>
          <w:kern w:val="2"/>
          <w:sz w:val="24"/>
          <w:szCs w:val="24"/>
          <w:highlight w:val="none"/>
          <w:vertAlign w:val="baseline"/>
          <w:lang w:val="en-US" w:eastAsia="zh-CN" w:bidi="ar-SA"/>
        </w:rPr>
      </w:pPr>
      <w:r>
        <w:rPr>
          <w:rFonts w:hint="eastAsia" w:ascii="仿宋" w:hAnsi="仿宋" w:eastAsia="仿宋" w:cs="仿宋"/>
          <w:b w:val="0"/>
          <w:bCs w:val="0"/>
          <w:i w:val="0"/>
          <w:iCs w:val="0"/>
          <w:color w:val="auto"/>
          <w:kern w:val="2"/>
          <w:sz w:val="24"/>
          <w:szCs w:val="24"/>
          <w:highlight w:val="none"/>
          <w:vertAlign w:val="baseline"/>
          <w:lang w:val="en-US" w:eastAsia="zh-CN" w:bidi="ar-SA"/>
        </w:rPr>
        <w:t>6</w:t>
      </w:r>
      <w:r>
        <w:rPr>
          <w:rFonts w:hint="default" w:ascii="仿宋" w:hAnsi="仿宋" w:eastAsia="仿宋" w:cs="仿宋"/>
          <w:b w:val="0"/>
          <w:bCs w:val="0"/>
          <w:i w:val="0"/>
          <w:iCs w:val="0"/>
          <w:color w:val="auto"/>
          <w:kern w:val="2"/>
          <w:sz w:val="24"/>
          <w:szCs w:val="24"/>
          <w:highlight w:val="none"/>
          <w:vertAlign w:val="baseline"/>
          <w:lang w:val="en-US" w:eastAsia="zh-CN" w:bidi="ar-SA"/>
        </w:rPr>
        <w:t>.2投标文件合格投递后，自投标截止日期起，在投标有效期内有效。</w:t>
      </w:r>
    </w:p>
    <w:p w14:paraId="14271E55">
      <w:pPr>
        <w:adjustRightInd w:val="0"/>
        <w:snapToGrid w:val="0"/>
        <w:spacing w:line="440" w:lineRule="exact"/>
        <w:ind w:firstLine="480" w:firstLineChars="200"/>
        <w:jc w:val="left"/>
        <w:rPr>
          <w:rFonts w:hint="eastAsia" w:ascii="仿宋" w:hAnsi="仿宋" w:eastAsia="仿宋" w:cs="仿宋"/>
          <w:b w:val="0"/>
          <w:bCs w:val="0"/>
          <w:i w:val="0"/>
          <w:iCs w:val="0"/>
          <w:color w:val="auto"/>
          <w:kern w:val="2"/>
          <w:sz w:val="24"/>
          <w:szCs w:val="24"/>
          <w:highlight w:val="none"/>
          <w:vertAlign w:val="baseline"/>
          <w:lang w:val="en-US" w:eastAsia="zh-CN" w:bidi="ar-SA"/>
        </w:rPr>
      </w:pPr>
      <w:r>
        <w:rPr>
          <w:rFonts w:hint="eastAsia" w:ascii="仿宋" w:hAnsi="仿宋" w:eastAsia="仿宋" w:cs="仿宋"/>
          <w:b w:val="0"/>
          <w:bCs w:val="0"/>
          <w:i w:val="0"/>
          <w:iCs w:val="0"/>
          <w:color w:val="auto"/>
          <w:kern w:val="2"/>
          <w:sz w:val="24"/>
          <w:szCs w:val="24"/>
          <w:highlight w:val="none"/>
          <w:vertAlign w:val="baseline"/>
          <w:lang w:val="en-US" w:eastAsia="zh-CN" w:bidi="ar-SA"/>
        </w:rPr>
        <w:t>6</w:t>
      </w:r>
      <w:r>
        <w:rPr>
          <w:rFonts w:hint="default" w:ascii="仿宋" w:hAnsi="仿宋" w:eastAsia="仿宋" w:cs="仿宋"/>
          <w:b w:val="0"/>
          <w:bCs w:val="0"/>
          <w:i w:val="0"/>
          <w:iCs w:val="0"/>
          <w:color w:val="auto"/>
          <w:kern w:val="2"/>
          <w:sz w:val="24"/>
          <w:szCs w:val="24"/>
          <w:highlight w:val="none"/>
          <w:vertAlign w:val="baseline"/>
          <w:lang w:val="en-US" w:eastAsia="zh-CN" w:bidi="ar-SA"/>
        </w:rPr>
        <w:t>.3在原定投标有效期满之前，如果出现特殊情况，采购代理机构可以以书面形式通知投标人延长投标有效期。投标人同意延长的，不得要求或被允许修改其投标文件，投标人拒绝延长的，其投标无效。</w:t>
      </w:r>
    </w:p>
    <w:p w14:paraId="2B21AA8C">
      <w:pPr>
        <w:pStyle w:val="21"/>
        <w:keepNext w:val="0"/>
        <w:keepLines w:val="0"/>
        <w:pageBreakBefore w:val="0"/>
        <w:widowControl w:val="0"/>
        <w:kinsoku/>
        <w:wordWrap/>
        <w:overflowPunct/>
        <w:topLinePunct w:val="0"/>
        <w:autoSpaceDE/>
        <w:autoSpaceDN/>
        <w:bidi w:val="0"/>
        <w:adjustRightInd w:val="0"/>
        <w:snapToGrid/>
        <w:spacing w:before="0" w:beforeAutospacing="0" w:line="360" w:lineRule="auto"/>
        <w:ind w:left="0" w:leftChars="0" w:firstLine="643"/>
        <w:textAlignment w:val="auto"/>
        <w:rPr>
          <w:rFonts w:hint="eastAsia" w:ascii="仿宋" w:hAnsi="仿宋" w:eastAsia="仿宋" w:cs="仿宋"/>
          <w:b/>
          <w:color w:val="auto"/>
          <w:sz w:val="32"/>
          <w:highlight w:val="none"/>
        </w:rPr>
      </w:pPr>
    </w:p>
    <w:p w14:paraId="38FF0CDB">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color w:val="auto"/>
          <w:sz w:val="32"/>
          <w:szCs w:val="32"/>
          <w:highlight w:val="none"/>
        </w:rPr>
      </w:pPr>
      <w:bookmarkStart w:id="27" w:name="_Toc91899903"/>
      <w:r>
        <w:rPr>
          <w:rFonts w:hint="eastAsia" w:ascii="仿宋" w:hAnsi="仿宋" w:eastAsia="仿宋" w:cs="仿宋"/>
          <w:b/>
          <w:color w:val="auto"/>
          <w:sz w:val="32"/>
          <w:szCs w:val="32"/>
          <w:highlight w:val="none"/>
        </w:rPr>
        <w:t>四、开标和评标</w:t>
      </w:r>
    </w:p>
    <w:p w14:paraId="4EA77EBC">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1．电子招投标开标及评审程序</w:t>
      </w:r>
    </w:p>
    <w:p w14:paraId="6E8CE50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1.1投标截止时间后，主持人宣布开标会开始。</w:t>
      </w:r>
    </w:p>
    <w:p w14:paraId="06383018">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1.2投标人登录政采云平台，用“项目采购-开标评标”功能对电子投标文件进行在线解密。在线解密电子投标文件时间为开标时间起30分钟内。</w:t>
      </w:r>
    </w:p>
    <w:p w14:paraId="357EEFB6">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1.3采购人或采购代理机构对投标人进行资格审查。</w:t>
      </w:r>
    </w:p>
    <w:p w14:paraId="153CA43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1.4评标委员会对商务技术响应文件进行评审。</w:t>
      </w:r>
    </w:p>
    <w:p w14:paraId="042BB613">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1.5主持人宣布商务技术得分及无效（废）投标情形（如有），公布经商务技术评审符合招标文件要求的投标人名单及其商务技术得分。</w:t>
      </w:r>
    </w:p>
    <w:p w14:paraId="6D10B4EC">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1.6启封报价文件资料，主持人宣读投标人名称、投标价格和投标文件的其他内容。未宣读的投标报价和招标文件未允许提供的备选投标方案等实质性内容，评标时不予承认。</w:t>
      </w:r>
    </w:p>
    <w:p w14:paraId="7C84CE60">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1.7评标委员会对投标文件报价文件资料进行评审，核准投标报价及计算价格分，汇总商务技术分、价格分，根据得分排序确定中标候选人。</w:t>
      </w:r>
    </w:p>
    <w:p w14:paraId="44F6BDBC">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1.8主持人公布评标结果。</w:t>
      </w:r>
    </w:p>
    <w:p w14:paraId="691AFC23">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特别说明：政采云公司如对电子化开标及评审程序有调整的，按调整后的程序操作。</w:t>
      </w:r>
    </w:p>
    <w:p w14:paraId="063A8BC4">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2.采购过程中出现以下情形，导致电子交易平台无法正常运行，或者无法保证电子交易的公平、公正和安全时，采购组织机构可中止电子交易活动：</w:t>
      </w:r>
    </w:p>
    <w:p w14:paraId="525664D3">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2.1电子交易平台发生故障而无法登录访问的； </w:t>
      </w:r>
    </w:p>
    <w:p w14:paraId="7A2B4B5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2.2电子交易平台应用或数据库出现错误，不能进行正常操作的；</w:t>
      </w:r>
    </w:p>
    <w:p w14:paraId="77FEFA7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2.3电子交易平台发现严重安全漏洞，有潜在泄密危险的；</w:t>
      </w:r>
    </w:p>
    <w:p w14:paraId="0C502828">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2.4病毒发作导致不能进行正常操作的； </w:t>
      </w:r>
    </w:p>
    <w:p w14:paraId="7FD2C32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2.5其他无法保证电子交易的公平、公正和安全的情况。</w:t>
      </w:r>
    </w:p>
    <w:p w14:paraId="7A9F8F2A">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出现前款规定情形，不影响采购公平、公正性的，采购组织机构可以待上述情形消除后继续组织电子交易活动，也可以决定某些环节以纸质形式进行；影响或可能影响采购公平、公正性的，应当重新采购。</w:t>
      </w:r>
    </w:p>
    <w:p w14:paraId="5F155804">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3．评标</w:t>
      </w:r>
    </w:p>
    <w:p w14:paraId="264779CB">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3.1评标委员会由招标采购单位依法组建，负责评标活动。评标委员会遵循公开、公平、公正、科学合理、竞争择优的原则。</w:t>
      </w:r>
    </w:p>
    <w:p w14:paraId="3B74CB26">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3.2评标委员会由采购人代表和有关方面的专家组成，成员人数为五人以上单数。</w:t>
      </w:r>
    </w:p>
    <w:p w14:paraId="398C50C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3.3评标委员会可以要求投标人对其投标文件中含义不明确的内容作必要的澄清或者说明，但澄清或者说明不得超过投标文件的范围或者改变投标文件的实质性内容。</w:t>
      </w:r>
    </w:p>
    <w:p w14:paraId="4F07893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14:paraId="474396EF">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供应商通过政采云平台交换的数据电文必须进行电子签章。</w:t>
      </w:r>
    </w:p>
    <w:p w14:paraId="2069CF4B">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3.4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14:paraId="50F580FA">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3.5评标委员会对投标文件的判定，只依据投标文件和招标文件内容本身，不依据任何外来证明。</w:t>
      </w:r>
    </w:p>
    <w:p w14:paraId="26CE4E26">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lang w:val="en-US" w:eastAsia="zh-CN"/>
        </w:rPr>
        <w:t>3.6评标委员会不向落标方解释落标的原因。</w:t>
      </w:r>
    </w:p>
    <w:p w14:paraId="7794607D">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4．投标文件的初审鉴定</w:t>
      </w:r>
    </w:p>
    <w:p w14:paraId="24C55DF3">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4.1资格性审查</w:t>
      </w:r>
    </w:p>
    <w:p w14:paraId="0610B463">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4.1.1依据法律、法规和招标文件规定，采购人或采购人代表对投标人进行资格审查，以确定投标人是否具备投标资格。</w:t>
      </w:r>
    </w:p>
    <w:p w14:paraId="649B13A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4.2符合性审查</w:t>
      </w:r>
    </w:p>
    <w:p w14:paraId="6C282B39">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14:paraId="56FB69AB">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4.3如果投标文件实质不响应招标文件的各项要求，评标委员会将予以拒绝，并且不允许投标人通过修改或撤销其不符合要求的差异或保留，使之成为具有实质性响应的投标。</w:t>
      </w:r>
    </w:p>
    <w:p w14:paraId="1998B23F">
      <w:pPr>
        <w:keepNext w:val="0"/>
        <w:keepLines w:val="0"/>
        <w:pageBreakBefore w:val="0"/>
        <w:kinsoku/>
        <w:wordWrap/>
        <w:overflowPunct/>
        <w:topLinePunct w:val="0"/>
        <w:autoSpaceDE/>
        <w:autoSpaceDN/>
        <w:bidi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kern w:val="0"/>
          <w:sz w:val="24"/>
          <w:highlight w:val="none"/>
        </w:rPr>
        <w:t xml:space="preserve">5. </w:t>
      </w:r>
      <w:r>
        <w:rPr>
          <w:rFonts w:hint="eastAsia" w:ascii="仿宋" w:hAnsi="仿宋" w:eastAsia="仿宋" w:cs="仿宋"/>
          <w:b/>
          <w:color w:val="auto"/>
          <w:sz w:val="24"/>
          <w:highlight w:val="none"/>
        </w:rPr>
        <w:t>投标文件报价出现前后不一致的，按照下列规定修正：</w:t>
      </w:r>
    </w:p>
    <w:p w14:paraId="46D048BF">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5.1投标文件中开标一览表（报价表）内容与投标文件中相应内容不一致的，以开标一览表（报价表）为准；</w:t>
      </w:r>
    </w:p>
    <w:p w14:paraId="3F3916C0">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5.2大写金额和小写金额不一致的，以大写金额为准；</w:t>
      </w:r>
    </w:p>
    <w:p w14:paraId="67A6A0B3">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5.3单价金额小数点或者百分比有明显错位的，以《开标一览表》（报价表）的总价为准，并修改单价；</w:t>
      </w:r>
    </w:p>
    <w:p w14:paraId="5AEEC6D6">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5.4总价金额与按单价汇总金额不一致的，以单价金额计算结果为准。</w:t>
      </w:r>
    </w:p>
    <w:p w14:paraId="654BAC6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14:paraId="0D0ED6DB">
      <w:pPr>
        <w:keepNext w:val="0"/>
        <w:keepLines w:val="0"/>
        <w:pageBreakBefore w:val="0"/>
        <w:kinsoku/>
        <w:wordWrap/>
        <w:overflowPunct/>
        <w:topLinePunct w:val="0"/>
        <w:autoSpaceDE/>
        <w:autoSpaceDN/>
        <w:bidi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6.投标文件的评审、比较和否决</w:t>
      </w:r>
    </w:p>
    <w:p w14:paraId="02F37C86">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6.1评标委员会将对在实质上响应招标文件要求的投标文件进行评估和比较。</w:t>
      </w:r>
    </w:p>
    <w:p w14:paraId="11E45B2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6.2在评审过程中，评标委员会可以书面形式要求投标人就投标文件含义不明确的内容可对其通过政采云平台进行书面说明并提供相关材料，但不得超过投标文件的范围或者改变投标文件的实质性内容。</w:t>
      </w:r>
    </w:p>
    <w:p w14:paraId="62C30B5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6.3在评标过程中，如发现与招标文件要求相偏离的，评标委员会可对其偏离情形进行必要的核实。</w:t>
      </w:r>
    </w:p>
    <w:p w14:paraId="6776AC0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6.4在评审过程中，如属于实质性偏离或符合无效响应条件的，应当询问相关投标人，并可对其通过政采云平台进行线上确认，但不允许对偏离条款进行补充、修正或撤回。</w:t>
      </w:r>
    </w:p>
    <w:p w14:paraId="6A106A73">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6.5比较与评价。评标委员会应当按照评标标准，对符合性审查合格的投标文件进行商务和技术评估，综合比较与评价。</w:t>
      </w:r>
    </w:p>
    <w:p w14:paraId="1065FB5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6.6汇总（商务技术得分情况）。评标委员会各成员应当独立对每个投标人的商务技术文件进行评价，并汇总商务技术得分情况。</w:t>
      </w:r>
    </w:p>
    <w:p w14:paraId="1259CB29">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 报价审核。对符合采购需求且通过商务技术评审的投标人的报价的合理性、准确性等进行审查核实。</w:t>
      </w:r>
    </w:p>
    <w:p w14:paraId="27A2E3C9">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6.7.1评标委员会认为报价明显</w:t>
      </w:r>
      <w:bookmarkStart w:id="28" w:name="OLE_LINK27"/>
      <w:r>
        <w:rPr>
          <w:rFonts w:hint="eastAsia" w:ascii="仿宋" w:hAnsi="仿宋" w:eastAsia="仿宋" w:cs="仿宋"/>
          <w:color w:val="auto"/>
          <w:sz w:val="24"/>
          <w:highlight w:val="none"/>
          <w:lang w:val="en-US" w:eastAsia="zh-CN"/>
        </w:rPr>
        <w:t>低于其他通过符合性审</w:t>
      </w:r>
      <w:bookmarkEnd w:id="28"/>
      <w:r>
        <w:rPr>
          <w:rFonts w:hint="eastAsia" w:ascii="仿宋" w:hAnsi="仿宋" w:eastAsia="仿宋" w:cs="仿宋"/>
          <w:color w:val="auto"/>
          <w:sz w:val="24"/>
          <w:highlight w:val="none"/>
          <w:lang w:val="en-US" w:eastAsia="zh-CN"/>
        </w:rPr>
        <w:t>查投标人的报价，有可能影响产品质量或者不能诚信履约的，应当要求其在合理的时间内通过政采云平台提供线上说明，必要时提交相关证明材料；投标人不能证明其报价合理性的，评标委员会应当将其作为无效投标处理。</w:t>
      </w:r>
    </w:p>
    <w:p w14:paraId="3F2D2CFA">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6.7.2根据财政部发布的《政府采购促进中小企业发展暂行办法》规定，对于非专门面向中小企业的项目，对小型和微型企业产品的价格给予一定的扣除，用扣除后的价格参与评审。</w:t>
      </w:r>
    </w:p>
    <w:p w14:paraId="6FD45EA6">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6.7.3如需投标价格修正，按财政部87号令第五十九条的规定对投标价格进行修正。</w:t>
      </w:r>
    </w:p>
    <w:p w14:paraId="151ABE7B">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6.8评标委员会依据招标文件规定的评标标准和方法，对投标文件进行评审和比较后，向采购人或其委托的采购代理机构提供书面评标报告，并按得分高低排序推荐中标候选供应商。</w:t>
      </w:r>
    </w:p>
    <w:p w14:paraId="561EEECE">
      <w:pPr>
        <w:pStyle w:val="6"/>
        <w:keepNext w:val="0"/>
        <w:keepLines w:val="0"/>
        <w:pageBreakBefore w:val="0"/>
        <w:widowControl w:val="0"/>
        <w:numPr>
          <w:ilvl w:val="0"/>
          <w:numId w:val="0"/>
        </w:numPr>
        <w:kinsoku/>
        <w:wordWrap/>
        <w:overflowPunct/>
        <w:topLinePunct w:val="0"/>
        <w:autoSpaceDE/>
        <w:autoSpaceDN/>
        <w:bidi w:val="0"/>
        <w:spacing w:after="0" w:line="440" w:lineRule="exact"/>
        <w:ind w:leftChars="200"/>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7.投标文件的澄清</w:t>
      </w:r>
    </w:p>
    <w:p w14:paraId="081ACFBC">
      <w:pPr>
        <w:pStyle w:val="6"/>
        <w:keepNext w:val="0"/>
        <w:keepLines w:val="0"/>
        <w:pageBreakBefore w:val="0"/>
        <w:widowControl w:val="0"/>
        <w:numPr>
          <w:ilvl w:val="0"/>
          <w:numId w:val="0"/>
        </w:numPr>
        <w:kinsoku/>
        <w:wordWrap/>
        <w:overflowPunct/>
        <w:topLinePunct w:val="0"/>
        <w:autoSpaceDE/>
        <w:autoSpaceDN/>
        <w:bidi w:val="0"/>
        <w:adjustRightInd w:val="0"/>
        <w:snapToGrid/>
        <w:spacing w:after="0" w:line="44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7.1</w:t>
      </w:r>
      <w:r>
        <w:rPr>
          <w:rFonts w:hint="eastAsia" w:ascii="仿宋" w:hAnsi="仿宋" w:eastAsia="仿宋" w:cs="仿宋"/>
          <w:color w:val="auto"/>
          <w:sz w:val="24"/>
          <w:szCs w:val="24"/>
          <w:highlight w:val="none"/>
        </w:rPr>
        <w:t>对投标文件中含义不明、表述不一致或有明显计算错误等内容，评标委员会将对投标人进行询标，并可要求投标人作澄清，作为投标文件的补充部分，但澄清的内容不得改变投标文件的实质性内容。</w:t>
      </w:r>
    </w:p>
    <w:p w14:paraId="4C5652DB">
      <w:pPr>
        <w:pStyle w:val="11"/>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8.无效投标的情形</w:t>
      </w:r>
    </w:p>
    <w:p w14:paraId="56170968">
      <w:pPr>
        <w:keepNext w:val="0"/>
        <w:keepLines w:val="0"/>
        <w:pageBreakBefore w:val="0"/>
        <w:tabs>
          <w:tab w:val="left" w:pos="4085"/>
        </w:tabs>
        <w:kinsoku/>
        <w:wordWrap/>
        <w:overflowPunct/>
        <w:topLinePunct w:val="0"/>
        <w:autoSpaceDE/>
        <w:autoSpaceDN/>
        <w:bidi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投标文件有下列情形之一的作无效投标处理：</w:t>
      </w:r>
    </w:p>
    <w:p w14:paraId="1850752D">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8.1未按照招标文件规定要求电子签章、签字或盖章的；</w:t>
      </w:r>
    </w:p>
    <w:p w14:paraId="376EA970">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8.2单位负责人为同一人或者存在直接控股、管理关系的不同供应商参加同一合同项下的政府采购活动的（均无效）；</w:t>
      </w:r>
    </w:p>
    <w:p w14:paraId="0A726D1C">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 xml:space="preserve">8.3为采购项目提供整体设计、规范编制或者项目管理、监理、检测等服务的供应商参加该采购项目的其他采购活动的； </w:t>
      </w:r>
    </w:p>
    <w:p w14:paraId="21338267">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8.4投标人未提供招标文件中规定的基本资格条件书面承诺函的，或投标人未提供有效的特定资格证明文件的，视为投标人不具备招标文件中规定的资格要求；</w:t>
      </w:r>
    </w:p>
    <w:p w14:paraId="49DA457E">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8.5《法定代表人身份证明书》与提供的身份证复印件信息不符的；《法定代表人授权委托书》与提供的身份证复印件信息不符的；</w:t>
      </w:r>
    </w:p>
    <w:p w14:paraId="2515E05D">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8.6《法定代表人授权委托书》或《法定代表人身份证明书》填写不全、错误、未电子签章(《法定代表人授权委托书》要求“电子签章”和“签字或盖章”缺一不可）的；</w:t>
      </w:r>
    </w:p>
    <w:p w14:paraId="644FE474">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8.7授权代表非投标单位正式职工的（以社保证明为准，如授权代表为离退休返聘人员的，需提供退休证明及单位聘用证明），法定代表人及个体工商户除外；</w:t>
      </w:r>
    </w:p>
    <w:p w14:paraId="0F012E24">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8.8投标文件中的投标函无投标人的电子签章或填写不全的；</w:t>
      </w:r>
    </w:p>
    <w:p w14:paraId="1AED7107">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8.9报价一经涂改，未在涂改处加盖投标单位公章或者未经法定代表人或其授权代表签字或盖章的；</w:t>
      </w:r>
    </w:p>
    <w:p w14:paraId="76B9587C">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8.10未按招标文件规定的格式填写，或对招标服务或技术或产品等要求未详细应答或应答内容不全、有缺失的,经评标委员会认定为无法评审的；</w:t>
      </w:r>
    </w:p>
    <w:p w14:paraId="55D223FE">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8.11出现同一标的物或本次招标产品(服务)内的主要产品(重要组成部分)出现商务技术文件、报价文件描述不一致或前后描述不一致，经评标委员会认定后为无法评审的；</w:t>
      </w:r>
    </w:p>
    <w:p w14:paraId="5E99F7FE">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8.12《技术偏离说明表》不真实填写或弄虚作假的；</w:t>
      </w:r>
    </w:p>
    <w:p w14:paraId="1A515388">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8.13投标文件含有采购人不能接受的附加条件；</w:t>
      </w:r>
    </w:p>
    <w:p w14:paraId="22170D74">
      <w:pPr>
        <w:pStyle w:val="21"/>
        <w:spacing w:line="360" w:lineRule="auto"/>
        <w:ind w:firstLine="482" w:firstLineChars="200"/>
        <w:rPr>
          <w:rFonts w:hint="eastAsia" w:ascii="仿宋" w:hAnsi="仿宋" w:eastAsia="仿宋" w:cs="仿宋"/>
          <w:b/>
          <w:color w:val="auto"/>
          <w:kern w:val="2"/>
          <w:sz w:val="24"/>
          <w:szCs w:val="24"/>
          <w:highlight w:val="none"/>
          <w:lang w:val="en-US" w:eastAsia="zh-CN" w:bidi="ar-SA"/>
        </w:rPr>
      </w:pPr>
      <w:r>
        <w:rPr>
          <w:rFonts w:hint="eastAsia" w:ascii="仿宋" w:hAnsi="仿宋" w:eastAsia="仿宋" w:cs="仿宋"/>
          <w:b/>
          <w:color w:val="auto"/>
          <w:sz w:val="24"/>
          <w:highlight w:val="none"/>
        </w:rPr>
        <w:t>8.1</w:t>
      </w:r>
      <w:r>
        <w:rPr>
          <w:rFonts w:hint="eastAsia" w:ascii="仿宋" w:hAnsi="仿宋" w:eastAsia="仿宋" w:cs="仿宋"/>
          <w:b/>
          <w:color w:val="auto"/>
          <w:kern w:val="2"/>
          <w:sz w:val="24"/>
          <w:szCs w:val="24"/>
          <w:highlight w:val="none"/>
          <w:lang w:val="en-US" w:eastAsia="zh-CN" w:bidi="ar-SA"/>
        </w:rPr>
        <w:t>4评标委员会认为报价明显低于其他通过符合性审查投标人的报价，有可能影响产品质量或者不能诚信履约的，未能按要求提供书面说明或者提交相关证明材料，不能证明其报价合理性的;</w:t>
      </w:r>
    </w:p>
    <w:p w14:paraId="7F41EAAC">
      <w:pPr>
        <w:pStyle w:val="21"/>
        <w:spacing w:line="360" w:lineRule="auto"/>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8.15报价超过招标文件中规定的预算金额或最高限价的；</w:t>
      </w:r>
    </w:p>
    <w:p w14:paraId="357B8A62">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8.16投标文件“商务技术文件”部分中出现《开标一览表》（报价表）相关内容的；</w:t>
      </w:r>
    </w:p>
    <w:p w14:paraId="4E8AF292">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8.17采购人拟采购的产品属于政府强制采购的节能产品品目清单范围的，投标人未按招标文件要求提供国家确定的认证机构出具的、处于有效期之内的节能产品认证证书的；</w:t>
      </w:r>
    </w:p>
    <w:p w14:paraId="36F2F86E">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8.18《开标一览表》（报价表）填写不完整或字迹不能辨认或有漏项的，经评标委员会认定属于重大偏差的；</w:t>
      </w:r>
    </w:p>
    <w:p w14:paraId="52BBC24C">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8.19投标人对根据修正原则修正后的报价不确认的；</w:t>
      </w:r>
    </w:p>
    <w:p w14:paraId="1F7C9CA9">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8.20投标人提供虚假材料投标的（包括但不限于以下情节）；</w:t>
      </w:r>
    </w:p>
    <w:p w14:paraId="6BF160AB">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8.20.1使用伪造、变造的许可证件；</w:t>
      </w:r>
    </w:p>
    <w:p w14:paraId="49C23404">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8.20.2提供虚假的财务状况或者业绩；</w:t>
      </w:r>
    </w:p>
    <w:p w14:paraId="0DBA02C0">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8.20.3提供虚假的项目负责人或者主要技术人员简历、劳动关系证明；</w:t>
      </w:r>
    </w:p>
    <w:p w14:paraId="068145DD">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8.20.4提供虚假的信用状况；</w:t>
      </w:r>
    </w:p>
    <w:p w14:paraId="361A85E2">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8.20.5其他弄虚作假的行为。</w:t>
      </w:r>
    </w:p>
    <w:p w14:paraId="68393C37">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8.21下列情形之一的，视为投标人串通投标，其投标无效：</w:t>
      </w:r>
    </w:p>
    <w:p w14:paraId="23EE1CD9">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8.21.1不同投标人的投标文件由同一单位或者个人编制；</w:t>
      </w:r>
    </w:p>
    <w:p w14:paraId="273CDE98">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8.21.2不同投标人委托同一单位或者个人办理投标事宜；</w:t>
      </w:r>
    </w:p>
    <w:p w14:paraId="1F02952D">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8.21.3不同投标人的投标文件载明的项目管理成员或者联系人员为同一人；</w:t>
      </w:r>
    </w:p>
    <w:p w14:paraId="74E66F36">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8.21.4不同投标人的投标文件异常一致或者投标报价呈规律性差异；</w:t>
      </w:r>
    </w:p>
    <w:p w14:paraId="28991541">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8.21.5不同投标人的投标文件相互混装；</w:t>
      </w:r>
    </w:p>
    <w:p w14:paraId="00CB88CA">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8.21.6有二份及二份以上投标文件的相互之间有特别相同或相似之处，且经询标澄清投标人无令人信服的理由和可靠证据证明其合理性的，经评标委员会半数以上成员确认有串通投标嫌疑的；</w:t>
      </w:r>
    </w:p>
    <w:p w14:paraId="2A8ADBC6">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8.22有下列情形之一的，属于恶意串通，其投标无效：</w:t>
      </w:r>
    </w:p>
    <w:p w14:paraId="40055F37">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8.22.1供应商直接或者间接从采购人或者采购机构处获得其他供应商的相关情况并修改其投标文件或者响应文件；</w:t>
      </w:r>
    </w:p>
    <w:p w14:paraId="1DC68063">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8.22.2供应商按照采购人或者采购机构的授意撤换、修改投标文件或者响应文件；</w:t>
      </w:r>
    </w:p>
    <w:p w14:paraId="2C979B5E">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8.22.3供应商之间协商报价、技术方案等投标文件或者响应文件的实质性内容；</w:t>
      </w:r>
    </w:p>
    <w:p w14:paraId="2DB1E390">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8.22.4属于同一集团、协会、商会等组织成员的供应商按照该组织要求协同参加政府采购活动；</w:t>
      </w:r>
    </w:p>
    <w:p w14:paraId="54EEF8B0">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8.22.5供应商之间事先约定由某一特定供应商中标、成交；</w:t>
      </w:r>
    </w:p>
    <w:p w14:paraId="0DF78166">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8.22.6供应商之间商定部分供应商放弃参加政府采购活动或者放弃中标、成交；</w:t>
      </w:r>
    </w:p>
    <w:p w14:paraId="26F0B13D">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8.22.7供应商与采购人或者采购机构之间、供应商相互之间，为谋求特定供应商中标、成交或者排斥其他供应商的其他串通行为。</w:t>
      </w:r>
    </w:p>
    <w:p w14:paraId="6FD52DD6">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8.23评标委员会认定有重大偏差或实质性不响应招标文件要求的；</w:t>
      </w:r>
    </w:p>
    <w:p w14:paraId="11206346">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8.24投标文件出现不是唯一的、有选择性投标报价的；</w:t>
      </w:r>
    </w:p>
    <w:p w14:paraId="366CE4D7">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w:t>
      </w:r>
      <w:r>
        <w:rPr>
          <w:rFonts w:hint="eastAsia" w:ascii="仿宋" w:hAnsi="仿宋" w:eastAsia="仿宋" w:cs="仿宋"/>
          <w:b/>
          <w:color w:val="auto"/>
          <w:sz w:val="24"/>
          <w:highlight w:val="none"/>
          <w:lang w:val="en-US" w:eastAsia="zh-CN"/>
        </w:rPr>
        <w:t>5</w:t>
      </w:r>
      <w:r>
        <w:rPr>
          <w:rFonts w:hint="eastAsia" w:ascii="仿宋" w:hAnsi="仿宋" w:eastAsia="仿宋" w:cs="仿宋"/>
          <w:b/>
          <w:color w:val="auto"/>
          <w:sz w:val="24"/>
          <w:highlight w:val="none"/>
        </w:rPr>
        <w:t>未按招标文件要求提供样品或提供样品不满足采购需求实质性条件的；</w:t>
      </w:r>
    </w:p>
    <w:p w14:paraId="3645B888">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color w:val="auto"/>
          <w:sz w:val="24"/>
          <w:highlight w:val="none"/>
          <w:lang w:val="en-US" w:eastAsia="zh-CN"/>
        </w:rPr>
      </w:pPr>
      <w:r>
        <w:rPr>
          <w:rFonts w:hint="eastAsia" w:ascii="仿宋" w:hAnsi="仿宋" w:eastAsia="仿宋" w:cs="仿宋"/>
          <w:b/>
          <w:color w:val="auto"/>
          <w:sz w:val="24"/>
          <w:highlight w:val="none"/>
          <w:lang w:val="en-US" w:eastAsia="zh-CN"/>
        </w:rPr>
        <w:t>8.26参与同一个采购包(标段)的供应商存在下列情形之一且无法合理解释的，其投标(响应)文件无效:</w:t>
      </w:r>
    </w:p>
    <w:p w14:paraId="32F00C3A">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color w:val="auto"/>
          <w:sz w:val="24"/>
          <w:highlight w:val="none"/>
          <w:lang w:val="en-US" w:eastAsia="zh-CN"/>
        </w:rPr>
      </w:pPr>
      <w:r>
        <w:rPr>
          <w:rFonts w:hint="eastAsia" w:ascii="仿宋" w:hAnsi="仿宋" w:eastAsia="仿宋" w:cs="仿宋"/>
          <w:b/>
          <w:color w:val="auto"/>
          <w:sz w:val="24"/>
          <w:highlight w:val="none"/>
          <w:lang w:val="en-US" w:eastAsia="zh-CN"/>
        </w:rPr>
        <w:t>8.26.1不同供应商的电子投标(响应)文件上传计算机的网卡MAC地址或硬盘序列号等硬件信息相同的;</w:t>
      </w:r>
    </w:p>
    <w:p w14:paraId="4815518C">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color w:val="auto"/>
          <w:sz w:val="24"/>
          <w:highlight w:val="none"/>
          <w:lang w:val="en-US" w:eastAsia="zh-CN"/>
        </w:rPr>
      </w:pPr>
      <w:r>
        <w:rPr>
          <w:rFonts w:hint="eastAsia" w:ascii="仿宋" w:hAnsi="仿宋" w:eastAsia="仿宋" w:cs="仿宋"/>
          <w:b/>
          <w:color w:val="auto"/>
          <w:sz w:val="24"/>
          <w:highlight w:val="none"/>
          <w:lang w:val="en-US" w:eastAsia="zh-CN"/>
        </w:rPr>
        <w:t>8.26.2上传的电子投标(响应)文件若出现使用本项目其他投标(响应)供应商的数字证书加密的，或者加盖本项目其他投标(响应)供应商的电子印章的;</w:t>
      </w:r>
    </w:p>
    <w:p w14:paraId="63B2925D">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color w:val="auto"/>
          <w:sz w:val="24"/>
          <w:highlight w:val="none"/>
          <w:lang w:val="en-US" w:eastAsia="zh-CN"/>
        </w:rPr>
      </w:pPr>
      <w:r>
        <w:rPr>
          <w:rFonts w:hint="eastAsia" w:ascii="仿宋" w:hAnsi="仿宋" w:eastAsia="仿宋" w:cs="仿宋"/>
          <w:b/>
          <w:color w:val="auto"/>
          <w:sz w:val="24"/>
          <w:highlight w:val="none"/>
          <w:lang w:val="en-US" w:eastAsia="zh-CN"/>
        </w:rPr>
        <w:t>8.26.3不同供应商的投标(响应)文件的内容存在3处(含)以上错误一致的;</w:t>
      </w:r>
    </w:p>
    <w:p w14:paraId="5080526D">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default"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8.26.4不同供应商联系人为同一人或不同联系人的联系电话一致的。</w:t>
      </w:r>
    </w:p>
    <w:p w14:paraId="4321257E">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color w:val="auto"/>
          <w:highlight w:val="none"/>
        </w:rPr>
      </w:pPr>
      <w:r>
        <w:rPr>
          <w:rFonts w:hint="eastAsia" w:ascii="仿宋" w:hAnsi="仿宋" w:eastAsia="仿宋" w:cs="仿宋"/>
          <w:b/>
          <w:color w:val="auto"/>
          <w:sz w:val="24"/>
          <w:highlight w:val="none"/>
        </w:rPr>
        <w:t>8.2</w:t>
      </w:r>
      <w:r>
        <w:rPr>
          <w:rFonts w:hint="default" w:ascii="仿宋" w:hAnsi="仿宋" w:eastAsia="仿宋" w:cs="仿宋"/>
          <w:b/>
          <w:color w:val="auto"/>
          <w:sz w:val="24"/>
          <w:highlight w:val="none"/>
          <w:lang w:val="en-US"/>
        </w:rPr>
        <w:t>7</w:t>
      </w:r>
      <w:r>
        <w:rPr>
          <w:rFonts w:hint="eastAsia" w:ascii="仿宋" w:hAnsi="仿宋" w:eastAsia="仿宋" w:cs="仿宋"/>
          <w:b/>
          <w:color w:val="auto"/>
          <w:sz w:val="24"/>
          <w:highlight w:val="none"/>
        </w:rPr>
        <w:t>其他违反法律、法规的情形。</w:t>
      </w:r>
    </w:p>
    <w:p w14:paraId="490E553A">
      <w:pPr>
        <w:keepNext w:val="0"/>
        <w:keepLines w:val="0"/>
        <w:pageBreakBefore w:val="0"/>
        <w:kinsoku/>
        <w:wordWrap/>
        <w:overflowPunct/>
        <w:topLinePunct w:val="0"/>
        <w:autoSpaceDE/>
        <w:autoSpaceDN/>
        <w:bidi w:val="0"/>
        <w:snapToGrid w:val="0"/>
        <w:spacing w:line="440" w:lineRule="exact"/>
        <w:ind w:firstLine="482" w:firstLineChars="200"/>
        <w:textAlignment w:val="auto"/>
        <w:rPr>
          <w:rFonts w:hint="eastAsia" w:ascii="仿宋" w:hAnsi="仿宋" w:eastAsia="仿宋" w:cs="仿宋"/>
          <w:b/>
          <w:color w:val="auto"/>
          <w:kern w:val="0"/>
          <w:sz w:val="24"/>
          <w:highlight w:val="none"/>
        </w:rPr>
      </w:pPr>
      <w:r>
        <w:rPr>
          <w:rFonts w:hint="eastAsia" w:ascii="仿宋" w:hAnsi="仿宋" w:eastAsia="仿宋" w:cs="仿宋"/>
          <w:b/>
          <w:color w:val="auto"/>
          <w:kern w:val="0"/>
          <w:sz w:val="24"/>
          <w:highlight w:val="none"/>
        </w:rPr>
        <w:t>9.评标过程保密</w:t>
      </w:r>
    </w:p>
    <w:p w14:paraId="6916B87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9.1</w:t>
      </w:r>
      <w:r>
        <w:rPr>
          <w:rFonts w:hint="eastAsia" w:ascii="仿宋" w:hAnsi="仿宋" w:eastAsia="仿宋" w:cs="仿宋"/>
          <w:color w:val="auto"/>
          <w:sz w:val="24"/>
          <w:highlight w:val="none"/>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14:paraId="1E9274C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9.2 在评标期间，投标人企图影响</w:t>
      </w:r>
      <w:r>
        <w:rPr>
          <w:rFonts w:hint="eastAsia" w:ascii="仿宋" w:hAnsi="仿宋" w:eastAsia="仿宋" w:cs="仿宋"/>
          <w:color w:val="auto"/>
          <w:sz w:val="24"/>
          <w:highlight w:val="none"/>
          <w:lang w:val="en-US" w:eastAsia="zh-CN"/>
        </w:rPr>
        <w:t>采购人</w:t>
      </w:r>
      <w:r>
        <w:rPr>
          <w:rFonts w:hint="eastAsia" w:ascii="仿宋" w:hAnsi="仿宋" w:eastAsia="仿宋" w:cs="仿宋"/>
          <w:color w:val="auto"/>
          <w:kern w:val="0"/>
          <w:sz w:val="24"/>
          <w:highlight w:val="none"/>
        </w:rPr>
        <w:t>或</w:t>
      </w:r>
      <w:r>
        <w:rPr>
          <w:rFonts w:hint="eastAsia" w:ascii="仿宋" w:hAnsi="仿宋" w:eastAsia="仿宋" w:cs="仿宋"/>
          <w:color w:val="auto"/>
          <w:sz w:val="24"/>
          <w:highlight w:val="none"/>
        </w:rPr>
        <w:t>评标委员会</w:t>
      </w:r>
      <w:r>
        <w:rPr>
          <w:rFonts w:hint="eastAsia" w:ascii="仿宋" w:hAnsi="仿宋" w:eastAsia="仿宋" w:cs="仿宋"/>
          <w:color w:val="auto"/>
          <w:kern w:val="0"/>
          <w:sz w:val="24"/>
          <w:highlight w:val="none"/>
        </w:rPr>
        <w:t>的任何活动，都将导致投标被拒绝，并由其承担相应的法律责任。</w:t>
      </w:r>
    </w:p>
    <w:p w14:paraId="72578144">
      <w:pPr>
        <w:keepNext w:val="0"/>
        <w:keepLines w:val="0"/>
        <w:pageBreakBefore w:val="0"/>
        <w:widowControl w:val="0"/>
        <w:kinsoku/>
        <w:wordWrap/>
        <w:overflowPunct/>
        <w:topLinePunct w:val="0"/>
        <w:autoSpaceDE/>
        <w:autoSpaceDN/>
        <w:bidi w:val="0"/>
        <w:adjustRightInd w:val="0"/>
        <w:snapToGrid w:val="0"/>
        <w:spacing w:beforeAutospacing="0" w:line="360" w:lineRule="auto"/>
        <w:ind w:left="0" w:leftChars="0" w:firstLine="482" w:firstLineChars="150"/>
        <w:jc w:val="center"/>
        <w:textAlignment w:val="auto"/>
        <w:rPr>
          <w:rFonts w:hint="eastAsia" w:ascii="仿宋" w:hAnsi="仿宋" w:eastAsia="仿宋" w:cs="仿宋"/>
          <w:b/>
          <w:color w:val="auto"/>
          <w:sz w:val="32"/>
          <w:highlight w:val="none"/>
        </w:rPr>
      </w:pPr>
    </w:p>
    <w:bookmarkEnd w:id="27"/>
    <w:p w14:paraId="56A9066C">
      <w:pPr>
        <w:pStyle w:val="11"/>
        <w:keepNext w:val="0"/>
        <w:keepLines w:val="0"/>
        <w:pageBreakBefore w:val="0"/>
        <w:widowControl w:val="0"/>
        <w:kinsoku/>
        <w:wordWrap/>
        <w:overflowPunct/>
        <w:topLinePunct w:val="0"/>
        <w:autoSpaceDE/>
        <w:autoSpaceDN/>
        <w:bidi w:val="0"/>
        <w:adjustRightInd w:val="0"/>
        <w:spacing w:line="360" w:lineRule="auto"/>
        <w:ind w:firstLine="726"/>
        <w:jc w:val="center"/>
        <w:textAlignment w:val="auto"/>
        <w:rPr>
          <w:rFonts w:hint="eastAsia" w:ascii="仿宋" w:hAnsi="仿宋" w:eastAsia="仿宋" w:cs="仿宋"/>
          <w:b/>
          <w:color w:val="auto"/>
          <w:sz w:val="32"/>
          <w:szCs w:val="32"/>
          <w:highlight w:val="none"/>
        </w:rPr>
      </w:pPr>
      <w:bookmarkStart w:id="29" w:name="_Hlt75236101"/>
      <w:bookmarkEnd w:id="29"/>
      <w:bookmarkStart w:id="30" w:name="_Hlt75236011"/>
      <w:bookmarkEnd w:id="30"/>
      <w:bookmarkStart w:id="31" w:name="_Hlt74730295"/>
      <w:bookmarkEnd w:id="31"/>
      <w:bookmarkStart w:id="32" w:name="_Hlt68073093"/>
      <w:bookmarkEnd w:id="32"/>
      <w:bookmarkStart w:id="33" w:name="_Hlt68057669"/>
      <w:bookmarkEnd w:id="33"/>
      <w:bookmarkStart w:id="34" w:name="_Hlt68072998"/>
      <w:bookmarkEnd w:id="34"/>
      <w:bookmarkStart w:id="35" w:name="_Hlt74729768"/>
      <w:bookmarkEnd w:id="35"/>
      <w:bookmarkStart w:id="36" w:name="_Hlt74714665"/>
      <w:bookmarkEnd w:id="36"/>
      <w:bookmarkStart w:id="37" w:name="_Hlt74707468"/>
      <w:bookmarkEnd w:id="37"/>
      <w:bookmarkStart w:id="38" w:name="_Hlt75236290"/>
      <w:bookmarkEnd w:id="38"/>
      <w:bookmarkStart w:id="39" w:name="_Hlt68072990"/>
      <w:bookmarkEnd w:id="39"/>
      <w:bookmarkStart w:id="40" w:name="_Hlt68403820"/>
      <w:bookmarkEnd w:id="40"/>
      <w:bookmarkStart w:id="41" w:name="OLE_LINK8"/>
      <w:bookmarkStart w:id="42" w:name="_Toc81372953"/>
      <w:bookmarkStart w:id="43" w:name="_Toc84325929"/>
      <w:bookmarkStart w:id="44" w:name="_Toc81372776"/>
      <w:r>
        <w:rPr>
          <w:rFonts w:hint="eastAsia" w:ascii="仿宋" w:hAnsi="仿宋" w:eastAsia="仿宋" w:cs="仿宋"/>
          <w:b/>
          <w:color w:val="auto"/>
          <w:sz w:val="32"/>
          <w:szCs w:val="32"/>
          <w:highlight w:val="none"/>
        </w:rPr>
        <w:t>五、授予合同</w:t>
      </w:r>
      <w:bookmarkEnd w:id="41"/>
    </w:p>
    <w:bookmarkEnd w:id="42"/>
    <w:bookmarkEnd w:id="43"/>
    <w:bookmarkEnd w:id="44"/>
    <w:p w14:paraId="14549F7B">
      <w:pPr>
        <w:pStyle w:val="6"/>
        <w:keepNext w:val="0"/>
        <w:keepLines w:val="0"/>
        <w:pageBreakBefore w:val="0"/>
        <w:numPr>
          <w:ilvl w:val="0"/>
          <w:numId w:val="0"/>
        </w:numPr>
        <w:kinsoku/>
        <w:wordWrap/>
        <w:overflowPunct/>
        <w:topLinePunct w:val="0"/>
        <w:autoSpaceDE/>
        <w:autoSpaceDN/>
        <w:bidi w:val="0"/>
        <w:snapToGrid/>
        <w:spacing w:after="0" w:line="440" w:lineRule="exact"/>
        <w:ind w:leftChars="200"/>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lang w:val="en-US" w:eastAsia="zh-CN"/>
        </w:rPr>
        <w:t>1.</w:t>
      </w:r>
      <w:r>
        <w:rPr>
          <w:rFonts w:hint="eastAsia" w:ascii="仿宋" w:hAnsi="仿宋" w:eastAsia="仿宋" w:cs="仿宋"/>
          <w:b/>
          <w:color w:val="auto"/>
          <w:sz w:val="24"/>
          <w:szCs w:val="24"/>
          <w:highlight w:val="none"/>
        </w:rPr>
        <w:t>中标条件</w:t>
      </w:r>
    </w:p>
    <w:p w14:paraId="490DDCC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1.1投标文件基本符合招标文件要求；</w:t>
      </w:r>
    </w:p>
    <w:p w14:paraId="0B5CB67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1.2投标人有很好的执行合同的能力；</w:t>
      </w:r>
    </w:p>
    <w:p w14:paraId="7D26DF8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1.3实施方案最合理并对</w:t>
      </w:r>
      <w:r>
        <w:rPr>
          <w:rFonts w:hint="eastAsia" w:ascii="仿宋" w:hAnsi="仿宋" w:eastAsia="仿宋" w:cs="仿宋"/>
          <w:color w:val="auto"/>
          <w:sz w:val="24"/>
          <w:highlight w:val="none"/>
          <w:lang w:val="en-US" w:eastAsia="zh-CN"/>
        </w:rPr>
        <w:t>采购人</w:t>
      </w:r>
      <w:r>
        <w:rPr>
          <w:rFonts w:hint="eastAsia" w:ascii="仿宋" w:hAnsi="仿宋" w:eastAsia="仿宋" w:cs="仿宋"/>
          <w:color w:val="auto"/>
          <w:sz w:val="24"/>
          <w:highlight w:val="none"/>
        </w:rPr>
        <w:t>最为有利，最大限度满足招标文件的要求；</w:t>
      </w:r>
    </w:p>
    <w:p w14:paraId="4CFD261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1.4投标人能够提供质量技术、商务经济占综合优势的系统及服务。</w:t>
      </w:r>
    </w:p>
    <w:p w14:paraId="635CBC6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1.5</w:t>
      </w:r>
      <w:r>
        <w:rPr>
          <w:rFonts w:hint="eastAsia" w:ascii="仿宋" w:hAnsi="仿宋" w:eastAsia="仿宋" w:cs="仿宋"/>
          <w:color w:val="auto"/>
          <w:sz w:val="24"/>
          <w:highlight w:val="none"/>
          <w:lang w:val="en-US" w:eastAsia="zh-CN"/>
        </w:rPr>
        <w:t>采购人</w:t>
      </w:r>
      <w:r>
        <w:rPr>
          <w:rFonts w:hint="eastAsia" w:ascii="仿宋" w:hAnsi="仿宋" w:eastAsia="仿宋" w:cs="仿宋"/>
          <w:color w:val="auto"/>
          <w:sz w:val="24"/>
          <w:highlight w:val="none"/>
        </w:rPr>
        <w:t>将把中标通知书授予最佳投标者，但最低价不是中标的绝对保证。</w:t>
      </w:r>
    </w:p>
    <w:p w14:paraId="071E2F01">
      <w:pPr>
        <w:keepNext w:val="0"/>
        <w:keepLines w:val="0"/>
        <w:pageBreakBefore w:val="0"/>
        <w:kinsoku/>
        <w:wordWrap/>
        <w:overflowPunct/>
        <w:topLinePunct w:val="0"/>
        <w:autoSpaceDE/>
        <w:autoSpaceDN/>
        <w:bidi w:val="0"/>
        <w:snapToGrid/>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2.中标确认</w:t>
      </w:r>
    </w:p>
    <w:p w14:paraId="685D406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2.1采购人应当自收到评标报告之日起５个工作日内，在评标报告确定的中标候选人名单中按顺序确定中标人。</w:t>
      </w:r>
    </w:p>
    <w:p w14:paraId="6A68EA4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2.2采购人在收到评标报告5个工作日内未按评标报告推荐的中标候选人顺序确定中标人，视同按评标报告推荐的顺序确定的中标候选人为中标人。</w:t>
      </w:r>
    </w:p>
    <w:p w14:paraId="78AA48C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2.3采购人应在确认中标人前再次对资格条件和相关证件材料进一步查验核实。</w:t>
      </w:r>
    </w:p>
    <w:p w14:paraId="52C0BA06">
      <w:pPr>
        <w:keepNext w:val="0"/>
        <w:keepLines w:val="0"/>
        <w:pageBreakBefore w:val="0"/>
        <w:kinsoku/>
        <w:wordWrap/>
        <w:overflowPunct/>
        <w:topLinePunct w:val="0"/>
        <w:autoSpaceDE/>
        <w:autoSpaceDN/>
        <w:bidi w:val="0"/>
        <w:snapToGrid/>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3．中标通知</w:t>
      </w:r>
    </w:p>
    <w:p w14:paraId="606F1CB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3.1采购代理机构对中标结果在指定媒体（浙江政府采购网</w:t>
      </w:r>
      <w:r>
        <w:rPr>
          <w:rFonts w:hint="eastAsia" w:ascii="仿宋" w:hAnsi="仿宋" w:eastAsia="仿宋" w:cs="仿宋"/>
          <w:color w:val="auto"/>
          <w:sz w:val="24"/>
          <w:highlight w:val="none"/>
        </w:rPr>
        <w:fldChar w:fldCharType="begin"/>
      </w:r>
      <w:r>
        <w:rPr>
          <w:rFonts w:hint="eastAsia" w:ascii="仿宋" w:hAnsi="仿宋" w:eastAsia="仿宋" w:cs="仿宋"/>
          <w:color w:val="auto"/>
          <w:sz w:val="24"/>
          <w:highlight w:val="none"/>
        </w:rPr>
        <w:instrText xml:space="preserve"> HYPERLINK "http://www.zjzfcg.gov.cn" </w:instrText>
      </w:r>
      <w:r>
        <w:rPr>
          <w:rFonts w:hint="eastAsia" w:ascii="仿宋" w:hAnsi="仿宋" w:eastAsia="仿宋" w:cs="仿宋"/>
          <w:color w:val="auto"/>
          <w:sz w:val="24"/>
          <w:highlight w:val="none"/>
        </w:rPr>
        <w:fldChar w:fldCharType="separate"/>
      </w:r>
      <w:r>
        <w:rPr>
          <w:rFonts w:hint="eastAsia" w:ascii="仿宋" w:hAnsi="仿宋" w:eastAsia="仿宋" w:cs="仿宋"/>
          <w:color w:val="auto"/>
          <w:sz w:val="24"/>
          <w:highlight w:val="none"/>
        </w:rPr>
        <w:t>http://zfcg.czt.zj.gov.cn/</w:t>
      </w:r>
      <w:r>
        <w:rPr>
          <w:rFonts w:hint="eastAsia" w:ascii="仿宋" w:hAnsi="仿宋" w:eastAsia="仿宋" w:cs="仿宋"/>
          <w:color w:val="auto"/>
          <w:sz w:val="24"/>
          <w:highlight w:val="none"/>
        </w:rPr>
        <w:fldChar w:fldCharType="end"/>
      </w:r>
      <w:r>
        <w:rPr>
          <w:rFonts w:hint="eastAsia" w:ascii="仿宋" w:hAnsi="仿宋" w:eastAsia="仿宋" w:cs="仿宋"/>
          <w:color w:val="auto"/>
          <w:sz w:val="24"/>
          <w:highlight w:val="none"/>
        </w:rPr>
        <w:t>）发布中标公告，中标公告期限为1个工作日。</w:t>
      </w:r>
    </w:p>
    <w:p w14:paraId="068306D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仿宋" w:hAnsi="仿宋" w:eastAsia="仿宋" w:cs="仿宋"/>
          <w:color w:val="auto"/>
          <w:sz w:val="24"/>
          <w:highlight w:val="none"/>
          <w:lang w:val="zh-CN"/>
        </w:rPr>
        <w:t>。</w:t>
      </w:r>
    </w:p>
    <w:p w14:paraId="4A5FBBE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3.3采购代理机构对中标结果不作任何说明和解释，也不回答任何提问。</w:t>
      </w:r>
    </w:p>
    <w:p w14:paraId="71730A2C">
      <w:pPr>
        <w:pStyle w:val="10"/>
        <w:tabs>
          <w:tab w:val="left" w:pos="2760"/>
        </w:tabs>
        <w:spacing w:line="360" w:lineRule="auto"/>
        <w:ind w:firstLine="482"/>
        <w:rPr>
          <w:rFonts w:ascii="仿宋" w:hAnsi="仿宋" w:eastAsia="仿宋" w:cs="仿宋_GB2312"/>
          <w:b/>
          <w:color w:val="auto"/>
          <w:highlight w:val="none"/>
        </w:rPr>
      </w:pPr>
      <w:r>
        <w:rPr>
          <w:rFonts w:hint="eastAsia" w:ascii="仿宋" w:hAnsi="仿宋" w:eastAsia="仿宋" w:cs="仿宋_GB2312"/>
          <w:b/>
          <w:color w:val="auto"/>
          <w:highlight w:val="none"/>
          <w:lang w:val="en-US" w:eastAsia="zh-CN"/>
        </w:rPr>
        <w:t>4</w:t>
      </w:r>
      <w:r>
        <w:rPr>
          <w:rFonts w:hint="eastAsia" w:ascii="仿宋" w:hAnsi="仿宋" w:eastAsia="仿宋" w:cs="仿宋_GB2312"/>
          <w:b/>
          <w:color w:val="auto"/>
          <w:highlight w:val="none"/>
        </w:rPr>
        <w:t>. 履约保证金</w:t>
      </w:r>
      <w:r>
        <w:rPr>
          <w:rFonts w:ascii="仿宋" w:hAnsi="仿宋" w:eastAsia="仿宋" w:cs="仿宋_GB2312"/>
          <w:b/>
          <w:color w:val="auto"/>
          <w:highlight w:val="none"/>
        </w:rPr>
        <w:tab/>
      </w:r>
    </w:p>
    <w:p w14:paraId="3D60C340">
      <w:pPr>
        <w:tabs>
          <w:tab w:val="left" w:pos="0"/>
        </w:tabs>
        <w:spacing w:line="360" w:lineRule="auto"/>
        <w:ind w:firstLine="482"/>
        <w:rPr>
          <w:rFonts w:ascii="仿宋" w:hAnsi="仿宋" w:eastAsia="仿宋" w:cs="宋体"/>
          <w:color w:val="auto"/>
          <w:sz w:val="24"/>
          <w:highlight w:val="none"/>
        </w:rPr>
      </w:pPr>
      <w:r>
        <w:rPr>
          <w:rFonts w:hint="eastAsia" w:ascii="仿宋" w:hAnsi="仿宋" w:eastAsia="仿宋" w:cs="Helvetica"/>
          <w:color w:val="auto"/>
          <w:kern w:val="0"/>
          <w:sz w:val="24"/>
          <w:highlight w:val="none"/>
        </w:rPr>
        <w:t>拟签订的合同文本要求中标供应商提交履约保证金的，供应商应当以支票、汇票、本票或者金融机构、担保机构出具的保函等非现金形式提交</w:t>
      </w:r>
      <w:r>
        <w:rPr>
          <w:rFonts w:hint="eastAsia" w:ascii="仿宋" w:hAnsi="仿宋" w:eastAsia="仿宋"/>
          <w:color w:val="auto"/>
          <w:sz w:val="24"/>
          <w:highlight w:val="none"/>
        </w:rPr>
        <w:t>。履约保证金的数额不得超过政府采购合同金额的</w:t>
      </w:r>
      <w:r>
        <w:rPr>
          <w:rFonts w:hint="eastAsia" w:ascii="仿宋" w:hAnsi="仿宋" w:eastAsia="仿宋"/>
          <w:b/>
          <w:color w:val="auto"/>
          <w:sz w:val="24"/>
          <w:highlight w:val="none"/>
          <w:lang w:val="en-US" w:eastAsia="zh-CN"/>
        </w:rPr>
        <w:t>0.5</w:t>
      </w:r>
      <w:r>
        <w:rPr>
          <w:rFonts w:hint="eastAsia" w:ascii="仿宋" w:hAnsi="仿宋" w:eastAsia="仿宋"/>
          <w:color w:val="auto"/>
          <w:sz w:val="24"/>
          <w:highlight w:val="none"/>
        </w:rPr>
        <w:t>%，</w:t>
      </w:r>
      <w:r>
        <w:rPr>
          <w:rFonts w:hint="eastAsia" w:ascii="仿宋" w:hAnsi="仿宋" w:eastAsia="仿宋" w:cs="宋体"/>
          <w:color w:val="auto"/>
          <w:sz w:val="24"/>
          <w:highlight w:val="none"/>
        </w:rPr>
        <w:t>鼓励采购人根据项目特点、供应商诚信等因素免收履约保证金或降低缴纳比例。鼓励和支持供应商以银行、保险公司出具的保函形式提供履约保证金。采购人不得拒收履约保函，项目验收结束后应及时退还，</w:t>
      </w:r>
      <w:r>
        <w:rPr>
          <w:rFonts w:ascii="仿宋" w:hAnsi="仿宋" w:eastAsia="仿宋" w:cs="宋体"/>
          <w:color w:val="auto"/>
          <w:sz w:val="24"/>
          <w:highlight w:val="none"/>
        </w:rPr>
        <w:t>延迟退还的，应当按照合同约定和法律规定承担相应的赔偿责任</w:t>
      </w:r>
      <w:r>
        <w:rPr>
          <w:rFonts w:hint="eastAsia" w:ascii="仿宋" w:hAnsi="仿宋" w:eastAsia="仿宋" w:cs="宋体"/>
          <w:color w:val="auto"/>
          <w:sz w:val="24"/>
          <w:highlight w:val="none"/>
        </w:rPr>
        <w:t>。</w:t>
      </w:r>
    </w:p>
    <w:p w14:paraId="49D27EA6">
      <w:pPr>
        <w:pStyle w:val="4"/>
        <w:numPr>
          <w:ilvl w:val="0"/>
          <w:numId w:val="0"/>
        </w:numPr>
        <w:ind w:firstLine="480" w:firstLineChars="200"/>
        <w:rPr>
          <w:rFonts w:hint="eastAsia" w:ascii="仿宋" w:eastAsia="仿宋" w:cs="宋体"/>
          <w:b w:val="0"/>
          <w:bCs w:val="0"/>
          <w:snapToGrid w:val="0"/>
          <w:color w:val="auto"/>
          <w:kern w:val="28"/>
          <w:sz w:val="24"/>
          <w:highlight w:val="none"/>
        </w:rPr>
      </w:pPr>
      <w:r>
        <w:rPr>
          <w:rFonts w:hint="eastAsia" w:ascii="仿宋" w:eastAsia="仿宋" w:cs="宋体"/>
          <w:b w:val="0"/>
          <w:bCs w:val="0"/>
          <w:snapToGrid w:val="0"/>
          <w:color w:val="auto"/>
          <w:kern w:val="28"/>
          <w:sz w:val="24"/>
          <w:highlight w:val="none"/>
        </w:rPr>
        <w:t>供应商</w:t>
      </w:r>
      <w:r>
        <w:rPr>
          <w:rFonts w:hint="eastAsia" w:ascii="仿宋" w:eastAsia="仿宋" w:cs="宋体"/>
          <w:b w:val="0"/>
          <w:bCs w:val="0"/>
          <w:snapToGrid w:val="0"/>
          <w:color w:val="auto"/>
          <w:kern w:val="28"/>
          <w:sz w:val="24"/>
          <w:highlight w:val="none"/>
          <w:lang w:val="en-US"/>
        </w:rPr>
        <w:t>可</w:t>
      </w:r>
      <w:r>
        <w:rPr>
          <w:rFonts w:hint="eastAsia" w:ascii="仿宋" w:eastAsia="仿宋" w:cs="宋体"/>
          <w:b w:val="0"/>
          <w:bCs w:val="0"/>
          <w:snapToGrid w:val="0"/>
          <w:color w:val="auto"/>
          <w:kern w:val="28"/>
          <w:sz w:val="24"/>
          <w:highlight w:val="none"/>
        </w:rPr>
        <w:t>登录政采云平台-【金融服务】—【我的项目】—【已备案合同】以保函形式提供：1、供应商在合同列表选择需要投保的合同，点击[保函推荐]。2、在弹框里查看推荐的保函产品，供应商自行选择保函产品，点击[立即申请]。3、在弹框里填写保函申请信息。具体步骤：选择产品—填写供应商信息—选择中标项目—确认信息—等待保险/保函受理—确认保单—支付保费—成功出单。政采云金融专线400-903-9583。</w:t>
      </w:r>
    </w:p>
    <w:p w14:paraId="787EDBA0">
      <w:pPr>
        <w:pStyle w:val="10"/>
        <w:spacing w:line="360" w:lineRule="auto"/>
        <w:ind w:firstLine="482"/>
        <w:rPr>
          <w:rFonts w:hint="eastAsia" w:ascii="仿宋" w:hAnsi="仿宋" w:eastAsia="仿宋" w:cs="宋体"/>
          <w:b w:val="0"/>
          <w:bCs w:val="0"/>
          <w:snapToGrid w:val="0"/>
          <w:color w:val="auto"/>
          <w:kern w:val="28"/>
          <w:sz w:val="24"/>
          <w:szCs w:val="32"/>
          <w:highlight w:val="none"/>
          <w:lang w:val="zh-CN" w:eastAsia="zh-CN" w:bidi="ar-SA"/>
        </w:rPr>
      </w:pPr>
      <w:r>
        <w:rPr>
          <w:rFonts w:hint="eastAsia" w:ascii="仿宋" w:eastAsia="仿宋" w:cs="宋体"/>
          <w:b w:val="0"/>
          <w:bCs w:val="0"/>
          <w:snapToGrid w:val="0"/>
          <w:color w:val="auto"/>
          <w:kern w:val="28"/>
          <w:sz w:val="24"/>
          <w:highlight w:val="none"/>
          <w:lang w:val="en-US" w:eastAsia="zh-CN"/>
        </w:rPr>
        <w:t xml:space="preserve"> </w:t>
      </w:r>
      <w:r>
        <w:rPr>
          <w:rFonts w:hint="eastAsia" w:ascii="仿宋" w:hAnsi="仿宋" w:eastAsia="仿宋" w:cs="仿宋"/>
          <w:color w:val="auto"/>
          <w:sz w:val="24"/>
          <w:highlight w:val="none"/>
          <w:lang w:val="en-US" w:eastAsia="zh-CN"/>
        </w:rPr>
        <w:t>5.</w:t>
      </w:r>
      <w:r>
        <w:rPr>
          <w:rFonts w:hint="eastAsia" w:ascii="仿宋" w:hAnsi="仿宋" w:eastAsia="仿宋" w:cs="宋体"/>
          <w:b w:val="0"/>
          <w:bCs w:val="0"/>
          <w:snapToGrid w:val="0"/>
          <w:color w:val="auto"/>
          <w:kern w:val="28"/>
          <w:sz w:val="24"/>
          <w:szCs w:val="32"/>
          <w:highlight w:val="none"/>
          <w:lang w:val="zh-CN" w:eastAsia="zh-CN" w:bidi="ar-SA"/>
        </w:rPr>
        <w:t>预付款</w:t>
      </w:r>
    </w:p>
    <w:p w14:paraId="5FCE1C6A">
      <w:pPr>
        <w:ind w:firstLine="480" w:firstLineChars="200"/>
        <w:rPr>
          <w:rFonts w:hint="eastAsia" w:ascii="仿宋" w:hAnsi="仿宋" w:eastAsia="仿宋" w:cs="宋体"/>
          <w:b w:val="0"/>
          <w:bCs w:val="0"/>
          <w:snapToGrid w:val="0"/>
          <w:color w:val="auto"/>
          <w:kern w:val="28"/>
          <w:sz w:val="24"/>
          <w:szCs w:val="32"/>
          <w:highlight w:val="none"/>
          <w:lang w:val="zh-CN" w:eastAsia="zh-CN" w:bidi="ar-SA"/>
        </w:rPr>
      </w:pPr>
      <w:r>
        <w:rPr>
          <w:rFonts w:hint="eastAsia" w:ascii="仿宋" w:hAnsi="仿宋" w:eastAsia="仿宋" w:cs="宋体"/>
          <w:b w:val="0"/>
          <w:bCs w:val="0"/>
          <w:snapToGrid w:val="0"/>
          <w:color w:val="auto"/>
          <w:kern w:val="28"/>
          <w:sz w:val="24"/>
          <w:szCs w:val="32"/>
          <w:highlight w:val="none"/>
          <w:lang w:val="zh-CN" w:eastAsia="zh-CN" w:bidi="ar-SA"/>
        </w:rPr>
        <w:t>采购单位应当在政府采购合同中约定预付款，对中小企业合同预付款比例原则上不低于合同金额的40％，不高于合同金额的70%；项目分年安排预算的，每年预付款比例不低于项目年度计划支付资金额的40％，不高于年度计划支付金额的70%。对供应商为大型企业的项目或者以人工投入为主且实行按月定期结算支付款项的项目，预付款可低于上述比例或者不约定预付款。在签订合同时，供应商明确表示无需预付款或者主动要求降低预付款比例的，采购单位可不适用前述规定。采购单位根据项目特点、供应商诚信等因素，可以要求供应商提交银行、保险公司等金融机构出具的预付款保函或其他担保措施。政府采购预付款应在合同生效以及具备实施条件后</w:t>
      </w:r>
      <w:r>
        <w:rPr>
          <w:rFonts w:hint="eastAsia" w:ascii="仿宋" w:hAnsi="仿宋" w:eastAsia="仿宋" w:cs="宋体"/>
          <w:b w:val="0"/>
          <w:bCs w:val="0"/>
          <w:snapToGrid w:val="0"/>
          <w:color w:val="auto"/>
          <w:kern w:val="28"/>
          <w:sz w:val="24"/>
          <w:szCs w:val="32"/>
          <w:highlight w:val="none"/>
          <w:lang w:val="en-US" w:eastAsia="zh-CN" w:bidi="ar-SA"/>
        </w:rPr>
        <w:t>7</w:t>
      </w:r>
      <w:r>
        <w:rPr>
          <w:rFonts w:hint="eastAsia" w:ascii="仿宋" w:hAnsi="仿宋" w:eastAsia="仿宋" w:cs="宋体"/>
          <w:b w:val="0"/>
          <w:bCs w:val="0"/>
          <w:snapToGrid w:val="0"/>
          <w:color w:val="auto"/>
          <w:kern w:val="28"/>
          <w:sz w:val="24"/>
          <w:szCs w:val="32"/>
          <w:highlight w:val="none"/>
          <w:lang w:val="zh-CN" w:eastAsia="zh-CN" w:bidi="ar-SA"/>
        </w:rPr>
        <w:t>个工作日内支付。政府采购工程以及与工程建设有关的货物、服务，采用招标方式采购的，预付款从其相关规定。供应商可登录政采云前台大厅选择金融服务 - 【保函保险服务】出具预付款保函，具体步骤：选择产品—填写供应商信息—选择中标项目—确认信息—等待保险/保函受理—确认保单—支付保费—成功出单。政采云金融专线400-903-9583。</w:t>
      </w:r>
    </w:p>
    <w:p w14:paraId="1844AAC0">
      <w:pPr>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6</w:t>
      </w:r>
      <w:r>
        <w:rPr>
          <w:rFonts w:hint="eastAsia" w:ascii="仿宋" w:hAnsi="仿宋" w:eastAsia="仿宋" w:cs="仿宋"/>
          <w:b/>
          <w:color w:val="auto"/>
          <w:sz w:val="24"/>
          <w:highlight w:val="none"/>
        </w:rPr>
        <w:t>．合同签订及备案</w:t>
      </w:r>
    </w:p>
    <w:p w14:paraId="185C0E4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宋体"/>
          <w:b w:val="0"/>
          <w:bCs w:val="0"/>
          <w:snapToGrid w:val="0"/>
          <w:color w:val="auto"/>
          <w:kern w:val="28"/>
          <w:sz w:val="24"/>
          <w:szCs w:val="32"/>
          <w:highlight w:val="none"/>
          <w:lang w:val="en-US" w:eastAsia="zh-CN" w:bidi="ar-SA"/>
        </w:rPr>
      </w:pPr>
      <w:r>
        <w:rPr>
          <w:rFonts w:hint="eastAsia" w:ascii="仿宋" w:hAnsi="仿宋" w:eastAsia="仿宋" w:cs="宋体"/>
          <w:b w:val="0"/>
          <w:bCs w:val="0"/>
          <w:snapToGrid w:val="0"/>
          <w:color w:val="auto"/>
          <w:kern w:val="28"/>
          <w:sz w:val="24"/>
          <w:szCs w:val="32"/>
          <w:highlight w:val="none"/>
          <w:lang w:val="en-US" w:eastAsia="zh-CN" w:bidi="ar-SA"/>
        </w:rPr>
        <w:t>6.1中标人应当在中标通知书发出之日起30天内与采购人签订合同，自采购合同签订之日起2个工作日内，通过电子交易平台进行备案。</w:t>
      </w:r>
    </w:p>
    <w:p w14:paraId="455C9DB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6.2如中标人为联合体的，由联合体成员各方法定代表人或其授权代表与采购人代表签订合同。</w:t>
      </w:r>
    </w:p>
    <w:p w14:paraId="38CC1295">
      <w:pPr>
        <w:keepNext w:val="0"/>
        <w:keepLines w:val="0"/>
        <w:pageBreakBefore w:val="0"/>
        <w:kinsoku/>
        <w:wordWrap/>
        <w:overflowPunct/>
        <w:topLinePunct w:val="0"/>
        <w:autoSpaceDE/>
        <w:autoSpaceDN/>
        <w:bidi w:val="0"/>
        <w:adjustRightIn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7</w:t>
      </w:r>
      <w:r>
        <w:rPr>
          <w:rFonts w:hint="eastAsia" w:ascii="仿宋" w:hAnsi="仿宋" w:eastAsia="仿宋" w:cs="仿宋"/>
          <w:b/>
          <w:color w:val="auto"/>
          <w:sz w:val="24"/>
          <w:highlight w:val="none"/>
        </w:rPr>
        <w:t>.验收</w:t>
      </w:r>
    </w:p>
    <w:p w14:paraId="1B7B02B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7.1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14:paraId="5C24125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7.2采购人可以邀请参加本项目的其他投标人或者第三方机构参与验收。参与验收的投标人或者第三方机构的意见作为验收书的参考资料一并存档。</w:t>
      </w:r>
    </w:p>
    <w:p w14:paraId="5DAA208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7.3 采购人负责加强对中标人的履约管理，并按照采购合同约定，及时向中标人支付采购资金。对于中标人违反采购合同约定的行为，采购人应当及时处理，依法追究其违约责任。</w:t>
      </w:r>
    </w:p>
    <w:p w14:paraId="43D9C0AF">
      <w:pPr>
        <w:keepNext w:val="0"/>
        <w:keepLines w:val="0"/>
        <w:pageBreakBefore w:val="0"/>
        <w:kinsoku/>
        <w:wordWrap/>
        <w:overflowPunct/>
        <w:topLinePunct w:val="0"/>
        <w:autoSpaceDE/>
        <w:autoSpaceDN/>
        <w:bidi w:val="0"/>
        <w:adjustRightIn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8</w:t>
      </w:r>
      <w:r>
        <w:rPr>
          <w:rFonts w:hint="eastAsia" w:ascii="仿宋" w:hAnsi="仿宋" w:eastAsia="仿宋" w:cs="仿宋"/>
          <w:b/>
          <w:color w:val="auto"/>
          <w:sz w:val="24"/>
          <w:highlight w:val="none"/>
        </w:rPr>
        <w:t>.售后服务考核</w:t>
      </w:r>
    </w:p>
    <w:p w14:paraId="4F9F635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机构将联合政府采购监管部门不定期对合同的履约情况进行检查，发现未按合同规定进行履约的，有弄虚作假，偷工减料，以次充好等情形，达不到国家、行业有关标准和商务技术文件规定的，一经查实，由政府采购监督管理部门给予相应处罚。</w:t>
      </w:r>
    </w:p>
    <w:p w14:paraId="65AB686D">
      <w:pPr>
        <w:keepNext w:val="0"/>
        <w:keepLines w:val="0"/>
        <w:pageBreakBefore w:val="0"/>
        <w:widowControl w:val="0"/>
        <w:tabs>
          <w:tab w:val="left" w:pos="0"/>
        </w:tabs>
        <w:kinsoku/>
        <w:wordWrap/>
        <w:overflowPunct/>
        <w:topLinePunct w:val="0"/>
        <w:autoSpaceDE/>
        <w:autoSpaceDN/>
        <w:bidi w:val="0"/>
        <w:adjustRightInd w:val="0"/>
        <w:spacing w:line="360" w:lineRule="auto"/>
        <w:ind w:firstLine="480"/>
        <w:textAlignment w:val="auto"/>
        <w:rPr>
          <w:rFonts w:hint="eastAsia" w:ascii="仿宋" w:hAnsi="仿宋" w:eastAsia="仿宋" w:cs="仿宋"/>
          <w:color w:val="auto"/>
          <w:kern w:val="0"/>
          <w:sz w:val="24"/>
          <w:highlight w:val="none"/>
        </w:rPr>
      </w:pPr>
    </w:p>
    <w:p w14:paraId="49759B99">
      <w:pPr>
        <w:adjustRightInd/>
        <w:spacing w:line="336" w:lineRule="auto"/>
        <w:jc w:val="center"/>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六、</w:t>
      </w:r>
      <w:r>
        <w:rPr>
          <w:rFonts w:hint="default" w:ascii="仿宋" w:hAnsi="仿宋" w:eastAsia="仿宋" w:cs="仿宋"/>
          <w:b/>
          <w:bCs/>
          <w:i w:val="0"/>
          <w:iCs w:val="0"/>
          <w:color w:val="auto"/>
          <w:kern w:val="2"/>
          <w:sz w:val="32"/>
          <w:szCs w:val="20"/>
          <w:highlight w:val="none"/>
          <w:vertAlign w:val="baseline"/>
          <w:lang w:val="en-US" w:eastAsia="zh-CN" w:bidi="ar-SA"/>
        </w:rPr>
        <w:t>询问、质疑与投诉</w:t>
      </w:r>
    </w:p>
    <w:p w14:paraId="5692BC6B">
      <w:pPr>
        <w:adjustRightInd w:val="0"/>
        <w:spacing w:line="336" w:lineRule="auto"/>
        <w:ind w:firstLine="482" w:firstLineChars="200"/>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0"/>
          <w:highlight w:val="none"/>
          <w:vertAlign w:val="baseline"/>
          <w:lang w:val="en-US" w:eastAsia="zh-CN" w:bidi="ar-SA"/>
        </w:rPr>
        <w:t>1.在线询问、质疑、投诉</w:t>
      </w:r>
    </w:p>
    <w:p w14:paraId="4165EC80">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根据《浙江省财政厅关于进一步促进政府采购公平竞争打造最优营商环境的通知》（浙财采监</w:t>
      </w:r>
      <w:r>
        <w:rPr>
          <w:rFonts w:hint="eastAsia" w:ascii="仿宋" w:hAnsi="仿宋" w:eastAsia="仿宋" w:cs="仿宋"/>
          <w:b w:val="0"/>
          <w:bCs w:val="0"/>
          <w:i w:val="0"/>
          <w:iCs w:val="0"/>
          <w:color w:val="auto"/>
          <w:kern w:val="2"/>
          <w:sz w:val="24"/>
          <w:szCs w:val="20"/>
          <w:highlight w:val="none"/>
          <w:vertAlign w:val="baseline"/>
          <w:lang w:val="en-US" w:eastAsia="zh-CN" w:bidi="ar-SA"/>
        </w:rPr>
        <w:t>〔2021〕</w:t>
      </w:r>
      <w:r>
        <w:rPr>
          <w:rFonts w:hint="default" w:ascii="仿宋" w:hAnsi="仿宋" w:eastAsia="仿宋" w:cs="仿宋"/>
          <w:b w:val="0"/>
          <w:bCs w:val="0"/>
          <w:i w:val="0"/>
          <w:iCs w:val="0"/>
          <w:color w:val="auto"/>
          <w:kern w:val="2"/>
          <w:sz w:val="24"/>
          <w:szCs w:val="20"/>
          <w:highlight w:val="none"/>
          <w:vertAlign w:val="baseline"/>
          <w:lang w:val="en-US" w:eastAsia="zh-CN" w:bidi="ar-SA"/>
        </w:rPr>
        <w:t>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w:t>
      </w:r>
      <w:r>
        <w:rPr>
          <w:rFonts w:hint="eastAsia" w:ascii="仿宋" w:hAnsi="仿宋" w:eastAsia="仿宋" w:cs="仿宋"/>
          <w:b w:val="0"/>
          <w:bCs w:val="0"/>
          <w:i w:val="0"/>
          <w:iCs w:val="0"/>
          <w:color w:val="auto"/>
          <w:kern w:val="2"/>
          <w:sz w:val="24"/>
          <w:szCs w:val="20"/>
          <w:highlight w:val="none"/>
          <w:vertAlign w:val="baseline"/>
          <w:lang w:val="en-US" w:eastAsia="zh-CN" w:bidi="ar-SA"/>
        </w:rPr>
        <w:t>政务</w:t>
      </w:r>
      <w:r>
        <w:rPr>
          <w:rFonts w:hint="default" w:ascii="仿宋" w:hAnsi="仿宋" w:eastAsia="仿宋" w:cs="仿宋"/>
          <w:b w:val="0"/>
          <w:bCs w:val="0"/>
          <w:i w:val="0"/>
          <w:iCs w:val="0"/>
          <w:color w:val="auto"/>
          <w:kern w:val="2"/>
          <w:sz w:val="24"/>
          <w:szCs w:val="20"/>
          <w:highlight w:val="none"/>
          <w:vertAlign w:val="baseline"/>
          <w:lang w:val="en-US" w:eastAsia="zh-CN" w:bidi="ar-SA"/>
        </w:rPr>
        <w:t>服务网-政府采购投诉处理-在线办理。</w:t>
      </w:r>
    </w:p>
    <w:p w14:paraId="5FFFBA7E">
      <w:pPr>
        <w:adjustRightInd w:val="0"/>
        <w:spacing w:line="336" w:lineRule="auto"/>
        <w:ind w:firstLine="482" w:firstLineChars="200"/>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4"/>
          <w:highlight w:val="none"/>
          <w:vertAlign w:val="baseline"/>
          <w:lang w:val="en-US" w:eastAsia="zh-CN" w:bidi="ar-SA"/>
        </w:rPr>
        <w:t>2. 供应商询问</w:t>
      </w:r>
    </w:p>
    <w:p w14:paraId="624B9F30">
      <w:pPr>
        <w:autoSpaceDE w:val="0"/>
        <w:autoSpaceDN w:val="0"/>
        <w:adjustRightInd w:val="0"/>
        <w:spacing w:line="336" w:lineRule="auto"/>
        <w:ind w:firstLine="480" w:firstLineChars="200"/>
        <w:jc w:val="left"/>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0"/>
          <w:sz w:val="24"/>
          <w:szCs w:val="24"/>
          <w:highlight w:val="none"/>
          <w:vertAlign w:val="baseline"/>
          <w:lang w:val="zh-CN" w:eastAsia="zh-CN" w:bidi="ar-SA"/>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w:t>
      </w:r>
      <w:r>
        <w:rPr>
          <w:rFonts w:hint="eastAsia" w:ascii="仿宋" w:hAnsi="仿宋" w:eastAsia="仿宋" w:cs="仿宋"/>
          <w:b w:val="0"/>
          <w:bCs w:val="0"/>
          <w:i w:val="0"/>
          <w:iCs w:val="0"/>
          <w:color w:val="auto"/>
          <w:kern w:val="0"/>
          <w:sz w:val="24"/>
          <w:szCs w:val="24"/>
          <w:highlight w:val="none"/>
          <w:vertAlign w:val="baseline"/>
          <w:lang w:val="en-US" w:eastAsia="zh-CN" w:bidi="ar-SA"/>
        </w:rPr>
        <w:t xml:space="preserve"> </w:t>
      </w:r>
      <w:r>
        <w:rPr>
          <w:rFonts w:hint="default" w:ascii="仿宋" w:hAnsi="仿宋" w:eastAsia="仿宋" w:cs="仿宋"/>
          <w:b w:val="0"/>
          <w:bCs w:val="0"/>
          <w:i w:val="0"/>
          <w:iCs w:val="0"/>
          <w:color w:val="auto"/>
          <w:kern w:val="0"/>
          <w:sz w:val="24"/>
          <w:szCs w:val="24"/>
          <w:highlight w:val="none"/>
          <w:vertAlign w:val="baseline"/>
          <w:lang w:val="zh-CN" w:eastAsia="zh-CN" w:bidi="ar-SA"/>
        </w:rPr>
        <w:t>的，采购代理机构应当告知供应商向采购人提出。</w:t>
      </w:r>
    </w:p>
    <w:p w14:paraId="6289A527">
      <w:pPr>
        <w:adjustRightInd w:val="0"/>
        <w:spacing w:line="336" w:lineRule="auto"/>
        <w:ind w:firstLine="482" w:firstLineChars="200"/>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4"/>
          <w:highlight w:val="none"/>
          <w:vertAlign w:val="baseline"/>
          <w:lang w:val="en-US" w:eastAsia="zh-CN" w:bidi="ar-SA"/>
        </w:rPr>
        <w:t>3. 供应商质疑</w:t>
      </w:r>
    </w:p>
    <w:p w14:paraId="5C1018CB">
      <w:pPr>
        <w:adjustRightInd w:val="0"/>
        <w:spacing w:line="336" w:lineRule="auto"/>
        <w:ind w:firstLine="482" w:firstLineChars="200"/>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0"/>
          <w:sz w:val="24"/>
          <w:szCs w:val="20"/>
          <w:highlight w:val="none"/>
          <w:vertAlign w:val="baseline"/>
          <w:lang w:val="zh-CN" w:eastAsia="zh-CN" w:bidi="ar-SA"/>
        </w:rPr>
        <w:t>3</w:t>
      </w:r>
      <w:r>
        <w:rPr>
          <w:rFonts w:hint="default" w:ascii="仿宋" w:hAnsi="仿宋" w:eastAsia="仿宋" w:cs="仿宋"/>
          <w:b/>
          <w:bCs/>
          <w:i w:val="0"/>
          <w:iCs w:val="0"/>
          <w:color w:val="auto"/>
          <w:kern w:val="2"/>
          <w:sz w:val="24"/>
          <w:szCs w:val="20"/>
          <w:highlight w:val="none"/>
          <w:vertAlign w:val="baseline"/>
          <w:lang w:val="en-US" w:eastAsia="zh-CN" w:bidi="ar-SA"/>
        </w:rPr>
        <w:t>.1质疑提出时效</w:t>
      </w:r>
    </w:p>
    <w:p w14:paraId="2A36D1DD">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3.1.1提出质疑的供应商应当是参与所质疑项目采购活动的供应商。潜在供应商已依法获取其可质疑的采购文件的，可以对该文件提出质疑。</w:t>
      </w:r>
    </w:p>
    <w:p w14:paraId="06999FEF">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0"/>
          <w:sz w:val="24"/>
          <w:szCs w:val="20"/>
          <w:highlight w:val="none"/>
          <w:vertAlign w:val="baseline"/>
          <w:lang w:val="zh-CN" w:eastAsia="zh-CN" w:bidi="ar-SA"/>
        </w:rPr>
        <w:t>3</w:t>
      </w:r>
      <w:r>
        <w:rPr>
          <w:rFonts w:hint="default" w:ascii="仿宋" w:hAnsi="仿宋" w:eastAsia="仿宋" w:cs="仿宋"/>
          <w:b w:val="0"/>
          <w:bCs w:val="0"/>
          <w:i w:val="0"/>
          <w:iCs w:val="0"/>
          <w:color w:val="auto"/>
          <w:kern w:val="2"/>
          <w:sz w:val="24"/>
          <w:szCs w:val="20"/>
          <w:highlight w:val="none"/>
          <w:vertAlign w:val="baseline"/>
          <w:lang w:val="en-US" w:eastAsia="zh-CN" w:bidi="ar-SA"/>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51F82634">
      <w:pPr>
        <w:widowControl/>
        <w:adjustRightInd w:val="0"/>
        <w:snapToGrid w:val="0"/>
        <w:spacing w:line="336" w:lineRule="auto"/>
        <w:ind w:firstLine="434" w:firstLineChars="181"/>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snapToGrid/>
          <w:color w:val="auto"/>
          <w:kern w:val="2"/>
          <w:sz w:val="24"/>
          <w:szCs w:val="20"/>
          <w:highlight w:val="none"/>
          <w:vertAlign w:val="baseline"/>
          <w:lang w:val="en-US" w:eastAsia="zh-CN" w:bidi="ar-SA"/>
        </w:rPr>
        <w:t>3.1.2.1对采购文件提出质疑的，质疑期限为供应商获得采购文件之日或者采购文件公告期限届满之日起计算，采购文件在获取截止之日后获得的，应当自采购文件公告期限届满之日起计算。</w:t>
      </w:r>
    </w:p>
    <w:p w14:paraId="640ED5A9">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3.1.2.2对采购过程提出质疑的，质疑期限为各采购程序环节结束之日起计算。</w:t>
      </w:r>
    </w:p>
    <w:p w14:paraId="760F5242">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3.1.2.3对采购结果提出质疑的，质疑期限自采购结果公告期限届满之日起计算。</w:t>
      </w:r>
    </w:p>
    <w:p w14:paraId="5217A36F">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3.1.2.4对同一采购程序环节的质疑，供应商须一次性提出。</w:t>
      </w:r>
    </w:p>
    <w:p w14:paraId="4AA99A3B">
      <w:pPr>
        <w:adjustRightInd w:val="0"/>
        <w:spacing w:line="336" w:lineRule="auto"/>
        <w:ind w:firstLine="482" w:firstLineChars="200"/>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0"/>
          <w:sz w:val="24"/>
          <w:szCs w:val="20"/>
          <w:highlight w:val="none"/>
          <w:vertAlign w:val="baseline"/>
          <w:lang w:val="zh-CN" w:eastAsia="zh-CN" w:bidi="ar-SA"/>
        </w:rPr>
        <w:t>3.</w:t>
      </w:r>
      <w:r>
        <w:rPr>
          <w:rFonts w:hint="default" w:ascii="仿宋" w:hAnsi="仿宋" w:eastAsia="仿宋" w:cs="仿宋"/>
          <w:b/>
          <w:bCs/>
          <w:i w:val="0"/>
          <w:iCs w:val="0"/>
          <w:color w:val="auto"/>
          <w:kern w:val="0"/>
          <w:sz w:val="24"/>
          <w:szCs w:val="20"/>
          <w:highlight w:val="none"/>
          <w:vertAlign w:val="baseline"/>
          <w:lang w:val="en-US" w:eastAsia="zh-CN" w:bidi="ar-SA"/>
        </w:rPr>
        <w:t>2</w:t>
      </w:r>
      <w:r>
        <w:rPr>
          <w:rFonts w:hint="default" w:ascii="仿宋" w:hAnsi="仿宋" w:eastAsia="仿宋" w:cs="仿宋"/>
          <w:b/>
          <w:bCs/>
          <w:i w:val="0"/>
          <w:iCs w:val="0"/>
          <w:color w:val="auto"/>
          <w:kern w:val="0"/>
          <w:sz w:val="24"/>
          <w:szCs w:val="20"/>
          <w:highlight w:val="none"/>
          <w:vertAlign w:val="baseline"/>
          <w:lang w:val="zh-CN" w:eastAsia="zh-CN" w:bidi="ar-SA"/>
        </w:rPr>
        <w:t>质疑函</w:t>
      </w:r>
    </w:p>
    <w:p w14:paraId="712C7BEA">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3.2.1供应商提出质疑应当提交质疑函和必要的证明材料。质疑函应当包括下列内容：</w:t>
      </w:r>
    </w:p>
    <w:p w14:paraId="2851FCDD">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供应商的姓名或者名称、地址、邮编、联系人及联系电话；</w:t>
      </w:r>
    </w:p>
    <w:p w14:paraId="276F26E8">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质疑项目的名称、编号；</w:t>
      </w:r>
    </w:p>
    <w:p w14:paraId="7CBE5AD3">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具体、明确的质疑事项和与质疑事项相关的请求；</w:t>
      </w:r>
    </w:p>
    <w:p w14:paraId="430A61BE">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事实依据；</w:t>
      </w:r>
    </w:p>
    <w:p w14:paraId="2A6141A7">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必要的法律依据；</w:t>
      </w:r>
    </w:p>
    <w:p w14:paraId="337F8B0C">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提出质疑的日期。</w:t>
      </w:r>
    </w:p>
    <w:p w14:paraId="07672D35">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供应商提交的质疑函需一式三份。供应商为自然人的，应当由本人签字；供应商为法人或者其他组织的，应当由法定代表人、主要负责人，或者其授权代表签字或者盖章，并加盖公章。</w:t>
      </w:r>
    </w:p>
    <w:p w14:paraId="4625C2E7">
      <w:pPr>
        <w:adjustRightInd w:val="0"/>
        <w:spacing w:line="336" w:lineRule="auto"/>
        <w:ind w:firstLine="482" w:firstLineChars="200"/>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0"/>
          <w:highlight w:val="none"/>
          <w:vertAlign w:val="baseline"/>
          <w:lang w:val="en-US" w:eastAsia="zh-CN" w:bidi="ar-SA"/>
        </w:rPr>
        <w:t>质疑函范本及制作说明详见附件1。</w:t>
      </w:r>
    </w:p>
    <w:p w14:paraId="40A47A05">
      <w:pPr>
        <w:adjustRightInd w:val="0"/>
        <w:spacing w:line="336" w:lineRule="auto"/>
        <w:ind w:firstLine="482" w:firstLineChars="200"/>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4"/>
          <w:highlight w:val="none"/>
          <w:vertAlign w:val="baseline"/>
          <w:lang w:val="en-US" w:eastAsia="zh-CN" w:bidi="ar-SA"/>
        </w:rPr>
        <w:t>4.供应商投诉</w:t>
      </w:r>
    </w:p>
    <w:p w14:paraId="06B15AF6">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4.1质疑供应商对采购人或采购代理机构的答复不满意或者采购人、采购代理机构未在规定的时间内作出答复的，可以在答复期满后十五个工作日内向同级政府采购监督管理部门提出投诉。</w:t>
      </w:r>
    </w:p>
    <w:p w14:paraId="163D3D33">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4.2供应商投诉的事项不得超出已质疑事项的范围，基于质疑答复内容提出的投诉事项除外。</w:t>
      </w:r>
    </w:p>
    <w:p w14:paraId="78069F7C">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4.3供应商投诉应当有明确的请求和必要的证明材料。</w:t>
      </w:r>
    </w:p>
    <w:p w14:paraId="0D28F011">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4.4以联合体形式参加政府采购活动的，其投诉应当由组成联合体的所有供应商共同提出。</w:t>
      </w:r>
    </w:p>
    <w:p w14:paraId="030C7387">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left"/>
        <w:textAlignment w:val="auto"/>
        <w:outlineLvl w:val="0"/>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0"/>
          <w:highlight w:val="none"/>
          <w:vertAlign w:val="baseline"/>
          <w:lang w:val="en-US" w:eastAsia="zh-CN" w:bidi="ar-SA"/>
        </w:rPr>
        <w:t>投诉书范本及制作说明详见附件2。</w:t>
      </w:r>
    </w:p>
    <w:p w14:paraId="448D325A">
      <w:pPr>
        <w:pStyle w:val="8"/>
        <w:keepNext w:val="0"/>
        <w:keepLines w:val="0"/>
        <w:pageBreakBefore w:val="0"/>
        <w:widowControl w:val="0"/>
        <w:kinsoku/>
        <w:wordWrap/>
        <w:overflowPunct/>
        <w:topLinePunct w:val="0"/>
        <w:bidi w:val="0"/>
        <w:adjustRightInd w:val="0"/>
        <w:snapToGrid/>
        <w:spacing w:line="440" w:lineRule="exact"/>
        <w:ind w:firstLine="480" w:firstLineChars="200"/>
        <w:textAlignment w:val="auto"/>
        <w:rPr>
          <w:rFonts w:hint="eastAsia" w:ascii="仿宋" w:hAnsi="仿宋" w:eastAsia="仿宋" w:cs="仿宋"/>
          <w:color w:val="auto"/>
          <w:highlight w:val="none"/>
        </w:rPr>
        <w:sectPr>
          <w:footerReference r:id="rId7" w:type="default"/>
          <w:pgSz w:w="11906" w:h="16838"/>
          <w:pgMar w:top="1474" w:right="1814" w:bottom="1474" w:left="1814" w:header="851" w:footer="992" w:gutter="0"/>
          <w:pgNumType w:fmt="decimal" w:start="1"/>
          <w:cols w:space="720" w:num="1"/>
          <w:docGrid w:linePitch="312" w:charSpace="0"/>
        </w:sectPr>
      </w:pPr>
    </w:p>
    <w:bookmarkEnd w:id="22"/>
    <w:bookmarkEnd w:id="23"/>
    <w:p w14:paraId="7DE2B300">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bookmarkStart w:id="45" w:name="第四部分"/>
      <w:r>
        <w:rPr>
          <w:rFonts w:hint="eastAsia" w:ascii="仿宋" w:hAnsi="仿宋" w:eastAsia="仿宋" w:cs="仿宋"/>
          <w:b/>
          <w:color w:val="auto"/>
          <w:sz w:val="36"/>
          <w:szCs w:val="36"/>
          <w:highlight w:val="none"/>
        </w:rPr>
        <w:t>第三部分   招标项目范围及要求</w:t>
      </w:r>
    </w:p>
    <w:bookmarkEnd w:id="45"/>
    <w:p w14:paraId="0981EE80">
      <w:pPr>
        <w:snapToGrid w:val="0"/>
        <w:spacing w:line="360" w:lineRule="auto"/>
        <w:ind w:firstLine="3052" w:firstLineChars="950"/>
        <w:rPr>
          <w:rFonts w:ascii="仿宋" w:hAnsi="仿宋" w:eastAsia="仿宋"/>
          <w:b/>
          <w:color w:val="auto"/>
          <w:sz w:val="28"/>
          <w:szCs w:val="28"/>
          <w:highlight w:val="none"/>
        </w:rPr>
      </w:pPr>
      <w:bookmarkStart w:id="46" w:name="第五部分"/>
      <w:bookmarkStart w:id="47" w:name="_Toc86217003"/>
      <w:r>
        <w:rPr>
          <w:rFonts w:hint="eastAsia" w:ascii="仿宋" w:hAnsi="仿宋" w:eastAsia="仿宋" w:cs="仿宋_GB2312"/>
          <w:b/>
          <w:color w:val="auto"/>
          <w:sz w:val="32"/>
          <w:highlight w:val="none"/>
        </w:rPr>
        <w:t>一、服务清单及要求</w:t>
      </w:r>
    </w:p>
    <w:p w14:paraId="6741C1F5">
      <w:pPr>
        <w:pStyle w:val="11"/>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Times New Roman" w:eastAsia="仿宋" w:cs="Times New Roman"/>
          <w:color w:val="auto"/>
          <w:kern w:val="2"/>
          <w:sz w:val="24"/>
          <w:szCs w:val="20"/>
          <w:highlight w:val="none"/>
          <w:lang w:val="en-US" w:eastAsia="zh-CN" w:bidi="ar-SA"/>
        </w:rPr>
      </w:pPr>
      <w:r>
        <w:rPr>
          <w:rFonts w:hint="eastAsia" w:ascii="仿宋" w:hAnsi="Times New Roman" w:eastAsia="仿宋" w:cs="Times New Roman"/>
          <w:color w:val="auto"/>
          <w:kern w:val="2"/>
          <w:sz w:val="24"/>
          <w:szCs w:val="20"/>
          <w:highlight w:val="none"/>
          <w:lang w:val="en-US" w:eastAsia="zh-CN" w:bidi="ar-SA"/>
        </w:rPr>
        <w:t>一、工作概况</w:t>
      </w:r>
    </w:p>
    <w:p w14:paraId="3B9C8F92">
      <w:pPr>
        <w:pStyle w:val="11"/>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Times New Roman" w:eastAsia="仿宋" w:cs="Times New Roman"/>
          <w:color w:val="auto"/>
          <w:kern w:val="2"/>
          <w:sz w:val="24"/>
          <w:szCs w:val="20"/>
          <w:highlight w:val="none"/>
          <w:lang w:val="en-US" w:eastAsia="zh-CN" w:bidi="ar-SA"/>
        </w:rPr>
      </w:pPr>
      <w:r>
        <w:rPr>
          <w:rFonts w:hint="eastAsia" w:ascii="仿宋" w:hAnsi="Times New Roman" w:eastAsia="仿宋" w:cs="Times New Roman"/>
          <w:color w:val="auto"/>
          <w:kern w:val="2"/>
          <w:sz w:val="24"/>
          <w:szCs w:val="20"/>
          <w:highlight w:val="none"/>
          <w:lang w:val="en-US" w:eastAsia="zh-CN" w:bidi="ar-SA"/>
        </w:rPr>
        <w:t>本项目主要根据《中华人民共和国特种设备安全法》《特种设备安全监察条例》《特种设备安全监督检查办法》《特种设备生产单位落实质量安全主体责任监督管理规定》《特种设备使用单位落实使用安全主体责任监督管理规定》等国家法律、法规、规章，以及《特种设备使用管理规则》（TSG 08-2017）等特种设备安全技术规范要求，对绍兴</w:t>
      </w:r>
      <w:r>
        <w:rPr>
          <w:rFonts w:hint="eastAsia" w:ascii="仿宋" w:eastAsia="仿宋" w:cs="Times New Roman"/>
          <w:color w:val="auto"/>
          <w:kern w:val="2"/>
          <w:sz w:val="24"/>
          <w:szCs w:val="20"/>
          <w:highlight w:val="none"/>
          <w:lang w:val="en-US" w:eastAsia="zh-CN" w:bidi="ar-SA"/>
        </w:rPr>
        <w:t>柯桥</w:t>
      </w:r>
      <w:r>
        <w:rPr>
          <w:rFonts w:hint="eastAsia" w:ascii="仿宋" w:hAnsi="Times New Roman" w:eastAsia="仿宋" w:cs="Times New Roman"/>
          <w:color w:val="auto"/>
          <w:kern w:val="2"/>
          <w:sz w:val="24"/>
          <w:szCs w:val="20"/>
          <w:highlight w:val="none"/>
          <w:lang w:val="en-US" w:eastAsia="zh-CN" w:bidi="ar-SA"/>
        </w:rPr>
        <w:t>区（以下简称</w:t>
      </w:r>
      <w:r>
        <w:rPr>
          <w:rFonts w:hint="eastAsia" w:ascii="仿宋" w:eastAsia="仿宋" w:cs="Times New Roman"/>
          <w:color w:val="auto"/>
          <w:kern w:val="2"/>
          <w:sz w:val="24"/>
          <w:szCs w:val="20"/>
          <w:highlight w:val="none"/>
          <w:lang w:val="en-US" w:eastAsia="zh-CN" w:bidi="ar-SA"/>
        </w:rPr>
        <w:t>柯桥</w:t>
      </w:r>
      <w:r>
        <w:rPr>
          <w:rFonts w:hint="eastAsia" w:ascii="仿宋" w:hAnsi="Times New Roman" w:eastAsia="仿宋" w:cs="Times New Roman"/>
          <w:color w:val="auto"/>
          <w:kern w:val="2"/>
          <w:sz w:val="24"/>
          <w:szCs w:val="20"/>
          <w:highlight w:val="none"/>
          <w:lang w:val="en-US" w:eastAsia="zh-CN" w:bidi="ar-SA"/>
        </w:rPr>
        <w:t>区）辖区范围内特种设备进行抽查，并为相关企业提供技术帮扶，指导企业加强内部管理、落实主体责任，排查清除特种设备安全隐患，建立完善企业特种设备管理制度和安全技术档案等资料台账，提升特种设备使用单位的主体责任意识，提升</w:t>
      </w:r>
      <w:r>
        <w:rPr>
          <w:rFonts w:hint="eastAsia" w:ascii="仿宋" w:eastAsia="仿宋" w:cs="Times New Roman"/>
          <w:color w:val="auto"/>
          <w:kern w:val="2"/>
          <w:sz w:val="24"/>
          <w:szCs w:val="20"/>
          <w:highlight w:val="none"/>
          <w:lang w:val="en-US" w:eastAsia="zh-CN" w:bidi="ar-SA"/>
        </w:rPr>
        <w:t>柯桥</w:t>
      </w:r>
      <w:r>
        <w:rPr>
          <w:rFonts w:hint="eastAsia" w:ascii="仿宋" w:hAnsi="Times New Roman" w:eastAsia="仿宋" w:cs="Times New Roman"/>
          <w:color w:val="auto"/>
          <w:kern w:val="2"/>
          <w:sz w:val="24"/>
          <w:szCs w:val="20"/>
          <w:highlight w:val="none"/>
          <w:lang w:val="en-US" w:eastAsia="zh-CN" w:bidi="ar-SA"/>
        </w:rPr>
        <w:t>区特种设备安全保障水平和事故防控水平。</w:t>
      </w:r>
    </w:p>
    <w:p w14:paraId="7639178D">
      <w:pPr>
        <w:pStyle w:val="11"/>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Times New Roman" w:eastAsia="仿宋" w:cs="Times New Roman"/>
          <w:color w:val="auto"/>
          <w:kern w:val="2"/>
          <w:sz w:val="24"/>
          <w:szCs w:val="20"/>
          <w:highlight w:val="none"/>
          <w:lang w:val="en-US" w:eastAsia="zh-CN" w:bidi="ar-SA"/>
        </w:rPr>
      </w:pPr>
      <w:r>
        <w:rPr>
          <w:rFonts w:hint="eastAsia" w:ascii="仿宋" w:hAnsi="Times New Roman" w:eastAsia="仿宋" w:cs="Times New Roman"/>
          <w:color w:val="auto"/>
          <w:kern w:val="2"/>
          <w:sz w:val="24"/>
          <w:szCs w:val="20"/>
          <w:highlight w:val="none"/>
          <w:lang w:val="en-US" w:eastAsia="zh-CN" w:bidi="ar-SA"/>
        </w:rPr>
        <w:t>二、实施对象</w:t>
      </w:r>
    </w:p>
    <w:p w14:paraId="3EF39F2D">
      <w:pPr>
        <w:pStyle w:val="7"/>
        <w:spacing w:line="360" w:lineRule="auto"/>
        <w:ind w:firstLine="480" w:firstLineChars="200"/>
        <w:rPr>
          <w:rFonts w:hint="eastAsia" w:ascii="仿宋" w:hAnsi="仿宋" w:eastAsia="仿宋" w:cs="仿宋"/>
          <w:b w:val="0"/>
          <w:bCs w:val="0"/>
          <w:color w:val="auto"/>
          <w:kern w:val="2"/>
          <w:sz w:val="24"/>
          <w:szCs w:val="24"/>
          <w:highlight w:val="none"/>
          <w:u w:val="none"/>
          <w:lang w:val="en-US" w:eastAsia="zh-CN"/>
        </w:rPr>
      </w:pPr>
      <w:r>
        <w:rPr>
          <w:rFonts w:hint="eastAsia" w:ascii="仿宋" w:hAnsi="仿宋" w:eastAsia="仿宋" w:cs="仿宋"/>
          <w:b w:val="0"/>
          <w:bCs w:val="0"/>
          <w:color w:val="auto"/>
          <w:kern w:val="2"/>
          <w:sz w:val="24"/>
          <w:szCs w:val="24"/>
          <w:highlight w:val="none"/>
          <w:u w:val="none"/>
          <w:lang w:val="en-US" w:eastAsia="zh-CN"/>
        </w:rPr>
        <w:t>对绍兴市柯桥区市场监督管理局指定的风险等级较高的14家化工企业及31家存在中高风险特种设备的企业（快开门式压力容器）进行特种设备安全风险评估。</w:t>
      </w:r>
      <w:r>
        <w:rPr>
          <w:rFonts w:hint="eastAsia" w:ascii="仿宋" w:hAnsi="仿宋" w:eastAsia="仿宋" w:cs="仿宋"/>
          <w:color w:val="auto"/>
          <w:sz w:val="24"/>
          <w:highlight w:val="none"/>
          <w:u w:val="none"/>
          <w:lang w:val="en-US" w:eastAsia="zh-CN"/>
        </w:rPr>
        <w:t>1、对799台（套）在用设备，包含480台压力容器，1台锅炉，34条管道，58台叉车，17台电梯，1台起重机械、208台快开门压力容器提供隐患排查技术服务，并</w:t>
      </w:r>
      <w:r>
        <w:rPr>
          <w:rFonts w:hint="eastAsia" w:ascii="仿宋" w:hAnsi="仿宋" w:eastAsia="仿宋" w:cs="仿宋"/>
          <w:color w:val="auto"/>
          <w:sz w:val="24"/>
          <w:highlight w:val="none"/>
          <w:u w:val="none"/>
        </w:rPr>
        <w:t>指导企业整改</w:t>
      </w:r>
      <w:r>
        <w:rPr>
          <w:rFonts w:hint="eastAsia" w:ascii="仿宋" w:hAnsi="仿宋" w:eastAsia="仿宋" w:cs="仿宋"/>
          <w:color w:val="auto"/>
          <w:sz w:val="24"/>
          <w:highlight w:val="none"/>
          <w:u w:val="none"/>
          <w:lang w:eastAsia="zh-CN"/>
        </w:rPr>
        <w:t>。</w:t>
      </w:r>
      <w:r>
        <w:rPr>
          <w:rFonts w:hint="eastAsia" w:ascii="仿宋" w:hAnsi="仿宋" w:eastAsia="仿宋" w:cs="仿宋"/>
          <w:color w:val="auto"/>
          <w:sz w:val="24"/>
          <w:highlight w:val="none"/>
          <w:u w:val="none"/>
          <w:lang w:val="en-US" w:eastAsia="zh-CN"/>
        </w:rPr>
        <w:t>对445台（套）非在用设备，包含409台压力容器，15条管道，17台叉车，2台电梯，2台起重机械</w:t>
      </w:r>
      <w:r>
        <w:rPr>
          <w:rFonts w:hint="eastAsia" w:ascii="仿宋" w:hAnsi="仿宋" w:eastAsia="仿宋" w:cs="仿宋"/>
          <w:color w:val="auto"/>
          <w:sz w:val="24"/>
          <w:highlight w:val="none"/>
          <w:u w:val="none"/>
        </w:rPr>
        <w:t>进行</w:t>
      </w:r>
      <w:r>
        <w:rPr>
          <w:rFonts w:hint="eastAsia" w:ascii="仿宋" w:hAnsi="仿宋" w:eastAsia="仿宋" w:cs="仿宋"/>
          <w:color w:val="auto"/>
          <w:sz w:val="24"/>
          <w:highlight w:val="none"/>
          <w:u w:val="none"/>
          <w:lang w:val="en-US" w:eastAsia="zh-CN"/>
        </w:rPr>
        <w:t>停用状态</w:t>
      </w:r>
      <w:r>
        <w:rPr>
          <w:rFonts w:hint="eastAsia" w:ascii="仿宋" w:hAnsi="仿宋" w:eastAsia="仿宋" w:cs="仿宋"/>
          <w:color w:val="auto"/>
          <w:sz w:val="24"/>
          <w:highlight w:val="none"/>
          <w:u w:val="none"/>
        </w:rPr>
        <w:t>核查</w:t>
      </w:r>
      <w:r>
        <w:rPr>
          <w:rFonts w:hint="eastAsia" w:ascii="仿宋" w:hAnsi="仿宋" w:eastAsia="仿宋" w:cs="仿宋"/>
          <w:color w:val="auto"/>
          <w:sz w:val="24"/>
          <w:highlight w:val="none"/>
          <w:u w:val="none"/>
          <w:lang w:val="en-US" w:eastAsia="zh-CN"/>
        </w:rPr>
        <w:t>确认</w:t>
      </w:r>
      <w:r>
        <w:rPr>
          <w:rFonts w:hint="eastAsia" w:ascii="仿宋" w:hAnsi="仿宋" w:eastAsia="仿宋" w:cs="仿宋"/>
          <w:color w:val="auto"/>
          <w:sz w:val="24"/>
          <w:highlight w:val="none"/>
          <w:u w:val="none"/>
          <w:lang w:eastAsia="zh-CN"/>
        </w:rPr>
        <w:t>。</w:t>
      </w:r>
      <w:r>
        <w:rPr>
          <w:rFonts w:hint="eastAsia" w:ascii="仿宋" w:hAnsi="仿宋" w:eastAsia="仿宋" w:cs="仿宋"/>
          <w:color w:val="auto"/>
          <w:sz w:val="24"/>
          <w:highlight w:val="none"/>
          <w:u w:val="none"/>
          <w:lang w:val="en-US" w:eastAsia="zh-CN"/>
        </w:rPr>
        <w:t>2、对以上</w:t>
      </w:r>
      <w:r>
        <w:rPr>
          <w:rFonts w:hint="eastAsia" w:ascii="仿宋" w:hAnsi="仿宋" w:eastAsia="仿宋" w:cs="仿宋"/>
          <w:color w:val="auto"/>
          <w:sz w:val="24"/>
          <w:highlight w:val="none"/>
          <w:u w:val="none"/>
        </w:rPr>
        <w:t>特种设备使用单位</w:t>
      </w:r>
      <w:r>
        <w:rPr>
          <w:rFonts w:hint="eastAsia" w:ascii="仿宋" w:hAnsi="仿宋" w:eastAsia="仿宋" w:cs="仿宋"/>
          <w:color w:val="auto"/>
          <w:sz w:val="24"/>
          <w:highlight w:val="none"/>
          <w:u w:val="none"/>
          <w:lang w:val="en-US" w:eastAsia="zh-CN"/>
        </w:rPr>
        <w:t>提供管理</w:t>
      </w:r>
      <w:r>
        <w:rPr>
          <w:rFonts w:hint="eastAsia" w:ascii="仿宋" w:hAnsi="仿宋" w:eastAsia="仿宋" w:cs="仿宋"/>
          <w:color w:val="auto"/>
          <w:sz w:val="24"/>
          <w:highlight w:val="none"/>
          <w:u w:val="none"/>
        </w:rPr>
        <w:t>制度、应急演练、人员</w:t>
      </w:r>
      <w:r>
        <w:rPr>
          <w:rFonts w:hint="eastAsia" w:ascii="仿宋" w:hAnsi="仿宋" w:eastAsia="仿宋" w:cs="仿宋"/>
          <w:color w:val="auto"/>
          <w:sz w:val="24"/>
          <w:highlight w:val="none"/>
          <w:u w:val="none"/>
          <w:lang w:val="en-US" w:eastAsia="zh-CN"/>
        </w:rPr>
        <w:t>能力提升</w:t>
      </w:r>
      <w:r>
        <w:rPr>
          <w:rFonts w:hint="eastAsia" w:ascii="仿宋" w:hAnsi="仿宋" w:eastAsia="仿宋" w:cs="仿宋"/>
          <w:color w:val="auto"/>
          <w:sz w:val="24"/>
          <w:highlight w:val="none"/>
          <w:u w:val="none"/>
        </w:rPr>
        <w:t>等方面</w:t>
      </w:r>
      <w:r>
        <w:rPr>
          <w:rFonts w:hint="eastAsia" w:ascii="仿宋" w:hAnsi="仿宋" w:eastAsia="仿宋" w:cs="仿宋"/>
          <w:color w:val="auto"/>
          <w:sz w:val="24"/>
          <w:highlight w:val="none"/>
          <w:u w:val="none"/>
          <w:lang w:val="en-US" w:eastAsia="zh-CN"/>
        </w:rPr>
        <w:t>的技术帮扶；</w:t>
      </w:r>
      <w:r>
        <w:rPr>
          <w:rFonts w:hint="eastAsia" w:ascii="仿宋" w:hAnsi="仿宋" w:eastAsia="仿宋" w:cs="仿宋"/>
          <w:color w:val="auto"/>
          <w:sz w:val="24"/>
          <w:highlight w:val="none"/>
          <w:u w:val="none"/>
        </w:rPr>
        <w:t>3、对区市场监管局组织的监察人员现场教学1次以上。因特种设备数量及</w:t>
      </w:r>
      <w:r>
        <w:rPr>
          <w:rFonts w:hint="eastAsia" w:ascii="仿宋" w:hAnsi="仿宋" w:eastAsia="仿宋" w:cs="仿宋"/>
          <w:color w:val="auto"/>
          <w:sz w:val="24"/>
          <w:highlight w:val="none"/>
          <w:u w:val="none"/>
          <w:lang w:val="en-US" w:eastAsia="zh-CN"/>
        </w:rPr>
        <w:t>使用</w:t>
      </w:r>
      <w:r>
        <w:rPr>
          <w:rFonts w:hint="eastAsia" w:ascii="仿宋" w:hAnsi="仿宋" w:eastAsia="仿宋" w:cs="仿宋"/>
          <w:color w:val="auto"/>
          <w:sz w:val="24"/>
          <w:highlight w:val="none"/>
          <w:u w:val="none"/>
        </w:rPr>
        <w:t>状态实时变动，要求中标方根据企业特种设备实际运行情况执行，项目结束前出具一份风险评估报告。</w:t>
      </w:r>
      <w:r>
        <w:rPr>
          <w:rFonts w:hint="eastAsia" w:ascii="仿宋" w:hAnsi="仿宋" w:eastAsia="仿宋" w:cs="仿宋"/>
          <w:b w:val="0"/>
          <w:bCs w:val="0"/>
          <w:color w:val="auto"/>
          <w:kern w:val="2"/>
          <w:sz w:val="24"/>
          <w:szCs w:val="24"/>
          <w:highlight w:val="none"/>
          <w:u w:val="none"/>
          <w:lang w:val="en-US" w:eastAsia="zh-CN"/>
        </w:rPr>
        <w:t>要求一次性报价，今后不论增加或减少均不再调整总价。</w:t>
      </w:r>
    </w:p>
    <w:p w14:paraId="44BCA69C">
      <w:pPr>
        <w:pStyle w:val="11"/>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Times New Roman" w:eastAsia="仿宋" w:cs="Times New Roman"/>
          <w:color w:val="auto"/>
          <w:kern w:val="2"/>
          <w:sz w:val="24"/>
          <w:szCs w:val="20"/>
          <w:highlight w:val="none"/>
          <w:lang w:val="en-US" w:eastAsia="zh-CN" w:bidi="ar-SA"/>
        </w:rPr>
      </w:pPr>
      <w:r>
        <w:rPr>
          <w:rFonts w:hint="eastAsia" w:ascii="仿宋" w:hAnsi="Times New Roman" w:eastAsia="仿宋" w:cs="Times New Roman"/>
          <w:color w:val="auto"/>
          <w:kern w:val="2"/>
          <w:sz w:val="24"/>
          <w:szCs w:val="20"/>
          <w:highlight w:val="none"/>
          <w:lang w:val="en-US" w:eastAsia="zh-CN" w:bidi="ar-SA"/>
        </w:rPr>
        <w:t>三、服务</w:t>
      </w:r>
      <w:bookmarkStart w:id="48" w:name="_Toc327773693"/>
      <w:bookmarkStart w:id="49" w:name="_Toc32236"/>
      <w:r>
        <w:rPr>
          <w:rFonts w:hint="eastAsia" w:ascii="仿宋" w:hAnsi="Times New Roman" w:eastAsia="仿宋" w:cs="Times New Roman"/>
          <w:color w:val="auto"/>
          <w:kern w:val="2"/>
          <w:sz w:val="24"/>
          <w:szCs w:val="20"/>
          <w:highlight w:val="none"/>
          <w:lang w:val="en-US" w:eastAsia="zh-CN" w:bidi="ar-SA"/>
        </w:rPr>
        <w:t>期</w:t>
      </w:r>
      <w:bookmarkEnd w:id="48"/>
      <w:bookmarkEnd w:id="49"/>
    </w:p>
    <w:p w14:paraId="75906A5B">
      <w:pPr>
        <w:pStyle w:val="11"/>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b w:val="0"/>
          <w:bCs w:val="0"/>
          <w:color w:val="auto"/>
          <w:kern w:val="2"/>
          <w:sz w:val="24"/>
          <w:szCs w:val="24"/>
          <w:highlight w:val="none"/>
          <w:lang w:val="en-US" w:eastAsia="zh-CN"/>
        </w:rPr>
      </w:pPr>
      <w:r>
        <w:rPr>
          <w:rFonts w:hint="eastAsia" w:ascii="仿宋" w:hAnsi="仿宋" w:eastAsia="仿宋" w:cs="仿宋"/>
          <w:b w:val="0"/>
          <w:bCs w:val="0"/>
          <w:color w:val="auto"/>
          <w:kern w:val="2"/>
          <w:sz w:val="24"/>
          <w:szCs w:val="24"/>
          <w:highlight w:val="none"/>
          <w:lang w:val="en-US" w:eastAsia="zh-CN"/>
        </w:rPr>
        <w:t>自合同签订之日起至2025年12月31日止。</w:t>
      </w:r>
    </w:p>
    <w:p w14:paraId="5576514D">
      <w:pPr>
        <w:pStyle w:val="11"/>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kern w:val="2"/>
          <w:sz w:val="24"/>
          <w:szCs w:val="24"/>
          <w:highlight w:val="none"/>
          <w:lang w:val="en-US" w:eastAsia="zh-CN"/>
        </w:rPr>
      </w:pPr>
      <w:r>
        <w:rPr>
          <w:rFonts w:hint="eastAsia" w:ascii="仿宋" w:hAnsi="仿宋" w:eastAsia="仿宋" w:cs="仿宋"/>
          <w:color w:val="auto"/>
          <w:kern w:val="2"/>
          <w:sz w:val="24"/>
          <w:szCs w:val="24"/>
          <w:highlight w:val="none"/>
          <w:lang w:val="en-US" w:eastAsia="zh-CN"/>
        </w:rPr>
        <w:t>四</w:t>
      </w:r>
      <w:r>
        <w:rPr>
          <w:rFonts w:hint="eastAsia" w:ascii="仿宋" w:hAnsi="仿宋" w:eastAsia="仿宋" w:cs="仿宋"/>
          <w:color w:val="auto"/>
          <w:kern w:val="2"/>
          <w:sz w:val="24"/>
          <w:szCs w:val="24"/>
          <w:highlight w:val="none"/>
        </w:rPr>
        <w:t>、</w:t>
      </w:r>
      <w:r>
        <w:rPr>
          <w:rFonts w:hint="eastAsia" w:ascii="仿宋" w:hAnsi="仿宋" w:eastAsia="仿宋" w:cs="仿宋"/>
          <w:color w:val="auto"/>
          <w:kern w:val="2"/>
          <w:sz w:val="24"/>
          <w:szCs w:val="24"/>
          <w:highlight w:val="none"/>
          <w:lang w:val="en-US" w:eastAsia="zh-CN"/>
        </w:rPr>
        <w:t>服务需求</w:t>
      </w:r>
    </w:p>
    <w:p w14:paraId="7D603316">
      <w:pPr>
        <w:pStyle w:val="11"/>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b w:val="0"/>
          <w:bCs w:val="0"/>
          <w:color w:val="auto"/>
          <w:kern w:val="2"/>
          <w:sz w:val="24"/>
          <w:szCs w:val="24"/>
          <w:highlight w:val="none"/>
        </w:rPr>
      </w:pPr>
      <w:r>
        <w:rPr>
          <w:rFonts w:hint="eastAsia" w:ascii="仿宋" w:hAnsi="仿宋" w:eastAsia="仿宋" w:cs="仿宋"/>
          <w:b w:val="0"/>
          <w:bCs w:val="0"/>
          <w:color w:val="auto"/>
          <w:kern w:val="2"/>
          <w:sz w:val="24"/>
          <w:szCs w:val="24"/>
          <w:highlight w:val="none"/>
        </w:rPr>
        <w:t>（一）</w:t>
      </w:r>
      <w:r>
        <w:rPr>
          <w:rFonts w:hint="eastAsia" w:ascii="仿宋" w:hAnsi="仿宋" w:eastAsia="仿宋" w:cs="仿宋"/>
          <w:b w:val="0"/>
          <w:bCs w:val="0"/>
          <w:color w:val="auto"/>
          <w:kern w:val="2"/>
          <w:sz w:val="24"/>
          <w:szCs w:val="24"/>
          <w:highlight w:val="none"/>
          <w:lang w:val="en-US" w:eastAsia="zh-CN"/>
        </w:rPr>
        <w:t>工作要求</w:t>
      </w:r>
    </w:p>
    <w:p w14:paraId="2CA87675">
      <w:pPr>
        <w:pStyle w:val="11"/>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b w:val="0"/>
          <w:bCs w:val="0"/>
          <w:color w:val="auto"/>
          <w:kern w:val="2"/>
          <w:sz w:val="24"/>
          <w:szCs w:val="24"/>
          <w:highlight w:val="none"/>
          <w:lang w:val="en-US" w:eastAsia="zh-CN"/>
        </w:rPr>
      </w:pPr>
      <w:r>
        <w:rPr>
          <w:rFonts w:hint="eastAsia" w:ascii="仿宋" w:hAnsi="仿宋" w:eastAsia="仿宋" w:cs="仿宋"/>
          <w:b w:val="0"/>
          <w:bCs w:val="0"/>
          <w:color w:val="auto"/>
          <w:kern w:val="2"/>
          <w:sz w:val="24"/>
          <w:szCs w:val="24"/>
          <w:highlight w:val="none"/>
          <w:lang w:val="en-US" w:eastAsia="zh-CN"/>
        </w:rPr>
        <w:t>1.加强柯桥区特种设备安全监管，推动特种设备安全社会化服务，夯实企业主体责任，提升事故防控水平，为全区经济社会发展创造良好的安全环境。</w:t>
      </w:r>
    </w:p>
    <w:p w14:paraId="163BFA38">
      <w:pPr>
        <w:pStyle w:val="11"/>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b w:val="0"/>
          <w:bCs w:val="0"/>
          <w:color w:val="auto"/>
          <w:kern w:val="2"/>
          <w:sz w:val="24"/>
          <w:szCs w:val="24"/>
          <w:highlight w:val="none"/>
          <w:lang w:val="en-US" w:eastAsia="zh-CN"/>
        </w:rPr>
        <w:t xml:space="preserve">2.工作人员态度。参与现场巡查的工作人员具备积极的态度，严格按照属地监管部门的要求开展检查工作，在检查过程中不推销产品、不说违反原则的话、不做损害分管形象的事情，以技术支持工作为核心，尽最大能力完成属地监管部门交予的相关任务。 </w:t>
      </w:r>
    </w:p>
    <w:p w14:paraId="3D4C6024">
      <w:pPr>
        <w:pStyle w:val="11"/>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b w:val="0"/>
          <w:bCs w:val="0"/>
          <w:color w:val="auto"/>
          <w:kern w:val="2"/>
          <w:sz w:val="24"/>
          <w:szCs w:val="24"/>
          <w:highlight w:val="none"/>
          <w:lang w:val="en-US" w:eastAsia="zh-CN"/>
        </w:rPr>
      </w:pPr>
      <w:r>
        <w:rPr>
          <w:rFonts w:hint="eastAsia" w:ascii="仿宋" w:hAnsi="仿宋" w:eastAsia="仿宋" w:cs="仿宋"/>
          <w:b w:val="0"/>
          <w:bCs w:val="0"/>
          <w:color w:val="auto"/>
          <w:kern w:val="2"/>
          <w:sz w:val="24"/>
          <w:szCs w:val="24"/>
          <w:highlight w:val="none"/>
          <w:lang w:val="en-US" w:eastAsia="zh-CN"/>
        </w:rPr>
        <w:t>3.派驻人员要求。项目负责人，应具有三年以上特种设备安全检查工作经验，有较高的协调、统筹工作能力；团队中配备机电类与承压类检验人员，具有相应的专业技术能力，提供专业技术服务。</w:t>
      </w:r>
    </w:p>
    <w:p w14:paraId="1B237992">
      <w:pPr>
        <w:pStyle w:val="11"/>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b w:val="0"/>
          <w:bCs w:val="0"/>
          <w:color w:val="auto"/>
          <w:kern w:val="2"/>
          <w:sz w:val="24"/>
          <w:szCs w:val="24"/>
          <w:highlight w:val="none"/>
          <w:lang w:val="en-US" w:eastAsia="zh-CN"/>
        </w:rPr>
      </w:pPr>
      <w:r>
        <w:rPr>
          <w:rFonts w:hint="eastAsia" w:ascii="仿宋" w:hAnsi="仿宋" w:eastAsia="仿宋" w:cs="仿宋"/>
          <w:b w:val="0"/>
          <w:bCs w:val="0"/>
          <w:color w:val="auto"/>
          <w:kern w:val="2"/>
          <w:sz w:val="24"/>
          <w:szCs w:val="24"/>
          <w:highlight w:val="none"/>
          <w:lang w:val="en-US" w:eastAsia="zh-CN"/>
        </w:rPr>
        <w:t>4.隐患处置方面。要对检查发现的问题隐患并如实记录，对发现的停用及库外的在用设备指导企业及时更正使用状况，对发现的安全隐患要形成问题清单及时报送本项目委托方指定部门（联系人另行确定），其中重大安全隐患需立即报告，并按照有关法规程序的要求督促指导企业落实整改到位，重大安全隐患具体如下：</w:t>
      </w:r>
    </w:p>
    <w:p w14:paraId="328D4AFF">
      <w:pPr>
        <w:pStyle w:val="11"/>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b w:val="0"/>
          <w:bCs w:val="0"/>
          <w:color w:val="auto"/>
          <w:kern w:val="2"/>
          <w:sz w:val="24"/>
          <w:szCs w:val="24"/>
          <w:highlight w:val="none"/>
          <w:lang w:val="en-US" w:eastAsia="zh-CN"/>
        </w:rPr>
      </w:pPr>
      <w:r>
        <w:rPr>
          <w:rFonts w:hint="eastAsia" w:ascii="仿宋" w:hAnsi="仿宋" w:eastAsia="仿宋" w:cs="仿宋"/>
          <w:b w:val="0"/>
          <w:bCs w:val="0"/>
          <w:color w:val="auto"/>
          <w:kern w:val="2"/>
          <w:sz w:val="24"/>
          <w:szCs w:val="24"/>
          <w:highlight w:val="none"/>
          <w:lang w:val="en-US" w:eastAsia="zh-CN"/>
        </w:rPr>
        <w:t>A.使用非法生产特种设备的；</w:t>
      </w:r>
    </w:p>
    <w:p w14:paraId="0D5074A8">
      <w:pPr>
        <w:pStyle w:val="11"/>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b w:val="0"/>
          <w:bCs w:val="0"/>
          <w:color w:val="auto"/>
          <w:kern w:val="2"/>
          <w:sz w:val="24"/>
          <w:szCs w:val="24"/>
          <w:highlight w:val="none"/>
          <w:lang w:val="en-US" w:eastAsia="zh-CN"/>
        </w:rPr>
      </w:pPr>
      <w:r>
        <w:rPr>
          <w:rFonts w:hint="eastAsia" w:ascii="仿宋" w:hAnsi="仿宋" w:eastAsia="仿宋" w:cs="仿宋"/>
          <w:b w:val="0"/>
          <w:bCs w:val="0"/>
          <w:color w:val="auto"/>
          <w:kern w:val="2"/>
          <w:sz w:val="24"/>
          <w:szCs w:val="24"/>
          <w:highlight w:val="none"/>
          <w:lang w:val="en-US" w:eastAsia="zh-CN"/>
        </w:rPr>
        <w:t>B.使用超过特种设备规定的参数范围的；</w:t>
      </w:r>
    </w:p>
    <w:p w14:paraId="39B7848A">
      <w:pPr>
        <w:pStyle w:val="11"/>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b w:val="0"/>
          <w:bCs w:val="0"/>
          <w:color w:val="auto"/>
          <w:kern w:val="2"/>
          <w:sz w:val="24"/>
          <w:szCs w:val="24"/>
          <w:highlight w:val="none"/>
          <w:lang w:val="en-US" w:eastAsia="zh-CN"/>
        </w:rPr>
      </w:pPr>
      <w:r>
        <w:rPr>
          <w:rFonts w:hint="eastAsia" w:ascii="仿宋" w:hAnsi="仿宋" w:eastAsia="仿宋" w:cs="仿宋"/>
          <w:b w:val="0"/>
          <w:bCs w:val="0"/>
          <w:color w:val="auto"/>
          <w:kern w:val="2"/>
          <w:sz w:val="24"/>
          <w:szCs w:val="24"/>
          <w:highlight w:val="none"/>
          <w:lang w:val="en-US" w:eastAsia="zh-CN"/>
        </w:rPr>
        <w:t>C.使用应当予以报废的特种设备的；</w:t>
      </w:r>
    </w:p>
    <w:p w14:paraId="737981DB">
      <w:pPr>
        <w:pStyle w:val="11"/>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b w:val="0"/>
          <w:bCs w:val="0"/>
          <w:color w:val="auto"/>
          <w:kern w:val="2"/>
          <w:sz w:val="24"/>
          <w:szCs w:val="24"/>
          <w:highlight w:val="none"/>
          <w:lang w:val="en-US" w:eastAsia="zh-CN"/>
        </w:rPr>
      </w:pPr>
      <w:r>
        <w:rPr>
          <w:rFonts w:hint="eastAsia" w:ascii="仿宋" w:hAnsi="仿宋" w:eastAsia="仿宋" w:cs="仿宋"/>
          <w:b w:val="0"/>
          <w:bCs w:val="0"/>
          <w:color w:val="auto"/>
          <w:kern w:val="2"/>
          <w:sz w:val="24"/>
          <w:szCs w:val="24"/>
          <w:highlight w:val="none"/>
          <w:lang w:val="en-US" w:eastAsia="zh-CN"/>
        </w:rPr>
        <w:t>D.使用超期未检、未经检验或经检验判定为不合格的设备的；</w:t>
      </w:r>
    </w:p>
    <w:p w14:paraId="35B146F1">
      <w:pPr>
        <w:pStyle w:val="11"/>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b w:val="0"/>
          <w:bCs w:val="0"/>
          <w:color w:val="auto"/>
          <w:kern w:val="2"/>
          <w:sz w:val="24"/>
          <w:szCs w:val="24"/>
          <w:highlight w:val="none"/>
          <w:lang w:val="en-US" w:eastAsia="zh-CN"/>
        </w:rPr>
      </w:pPr>
      <w:r>
        <w:rPr>
          <w:rFonts w:hint="eastAsia" w:ascii="仿宋" w:hAnsi="仿宋" w:eastAsia="仿宋" w:cs="仿宋"/>
          <w:b w:val="0"/>
          <w:bCs w:val="0"/>
          <w:color w:val="auto"/>
          <w:kern w:val="2"/>
          <w:sz w:val="24"/>
          <w:szCs w:val="24"/>
          <w:highlight w:val="none"/>
          <w:lang w:val="en-US" w:eastAsia="zh-CN"/>
        </w:rPr>
        <w:t>E.使用经责令整改而未予整改的特种设备；</w:t>
      </w:r>
    </w:p>
    <w:p w14:paraId="7D2B12A3">
      <w:pPr>
        <w:pStyle w:val="11"/>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b w:val="0"/>
          <w:bCs w:val="0"/>
          <w:color w:val="auto"/>
          <w:kern w:val="2"/>
          <w:sz w:val="24"/>
          <w:szCs w:val="24"/>
          <w:highlight w:val="none"/>
          <w:lang w:val="en-US" w:eastAsia="zh-CN"/>
        </w:rPr>
      </w:pPr>
      <w:r>
        <w:rPr>
          <w:rFonts w:hint="eastAsia" w:ascii="仿宋" w:hAnsi="仿宋" w:eastAsia="仿宋" w:cs="仿宋"/>
          <w:b w:val="0"/>
          <w:bCs w:val="0"/>
          <w:color w:val="auto"/>
          <w:kern w:val="2"/>
          <w:sz w:val="24"/>
          <w:szCs w:val="24"/>
          <w:highlight w:val="none"/>
          <w:lang w:val="en-US" w:eastAsia="zh-CN"/>
        </w:rPr>
        <w:t>F.发生事故不予报告而继续使用的；</w:t>
      </w:r>
    </w:p>
    <w:p w14:paraId="67D2DF4C">
      <w:pPr>
        <w:pStyle w:val="11"/>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b w:val="0"/>
          <w:bCs w:val="0"/>
          <w:color w:val="auto"/>
          <w:kern w:val="2"/>
          <w:sz w:val="24"/>
          <w:szCs w:val="24"/>
          <w:highlight w:val="none"/>
          <w:lang w:val="en-US" w:eastAsia="zh-CN"/>
        </w:rPr>
      </w:pPr>
      <w:r>
        <w:rPr>
          <w:rFonts w:hint="eastAsia" w:ascii="仿宋" w:hAnsi="仿宋" w:eastAsia="仿宋" w:cs="仿宋"/>
          <w:b w:val="0"/>
          <w:bCs w:val="0"/>
          <w:color w:val="auto"/>
          <w:kern w:val="2"/>
          <w:sz w:val="24"/>
          <w:szCs w:val="24"/>
          <w:highlight w:val="none"/>
          <w:lang w:val="en-US" w:eastAsia="zh-CN"/>
        </w:rPr>
        <w:t>G.有证据表明使用的特种设备或者主要部件不符合安全技术规范要求的；</w:t>
      </w:r>
    </w:p>
    <w:p w14:paraId="4A054198">
      <w:pPr>
        <w:pStyle w:val="11"/>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b w:val="0"/>
          <w:bCs w:val="0"/>
          <w:color w:val="auto"/>
          <w:kern w:val="2"/>
          <w:sz w:val="24"/>
          <w:szCs w:val="24"/>
          <w:highlight w:val="none"/>
          <w:lang w:val="en-US" w:eastAsia="zh-CN"/>
        </w:rPr>
      </w:pPr>
      <w:r>
        <w:rPr>
          <w:rFonts w:hint="eastAsia" w:ascii="仿宋" w:hAnsi="仿宋" w:eastAsia="仿宋" w:cs="仿宋"/>
          <w:b w:val="0"/>
          <w:bCs w:val="0"/>
          <w:color w:val="auto"/>
          <w:kern w:val="2"/>
          <w:sz w:val="24"/>
          <w:szCs w:val="24"/>
          <w:highlight w:val="none"/>
          <w:lang w:val="en-US" w:eastAsia="zh-CN"/>
        </w:rPr>
        <w:t>H.其他危及特种设备安全运行的重大问题。</w:t>
      </w:r>
    </w:p>
    <w:p w14:paraId="6A755BD4">
      <w:pPr>
        <w:pStyle w:val="11"/>
        <w:snapToGrid w:val="0"/>
        <w:spacing w:line="440" w:lineRule="exact"/>
        <w:ind w:firstLine="480" w:firstLineChars="200"/>
        <w:rPr>
          <w:rFonts w:hint="default" w:ascii="仿宋" w:hAnsi="仿宋" w:eastAsia="仿宋" w:cs="仿宋"/>
          <w:color w:val="auto"/>
          <w:sz w:val="24"/>
          <w:szCs w:val="24"/>
          <w:highlight w:val="none"/>
          <w:lang w:val="en-US" w:eastAsia="zh-CN"/>
        </w:rPr>
      </w:pPr>
      <w:r>
        <w:rPr>
          <w:rFonts w:hint="eastAsia" w:ascii="仿宋" w:hAnsi="仿宋" w:eastAsia="仿宋" w:cs="仿宋"/>
          <w:b w:val="0"/>
          <w:bCs w:val="0"/>
          <w:color w:val="auto"/>
          <w:kern w:val="2"/>
          <w:sz w:val="24"/>
          <w:szCs w:val="24"/>
          <w:highlight w:val="none"/>
          <w:lang w:val="en-US" w:eastAsia="zh-CN"/>
        </w:rPr>
        <w:t>5.工作记录要求。应对每家企业的检查情况进行汇总，记录内容应包含使用单位基本情况、安全管理情况、设备情况、现场检查情况、隐患整改情况等。检查结束后以报告附件形式交付甲方。</w:t>
      </w:r>
    </w:p>
    <w:p w14:paraId="0D7F8B0F">
      <w:pPr>
        <w:pStyle w:val="11"/>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b w:val="0"/>
          <w:bCs w:val="0"/>
          <w:color w:val="auto"/>
          <w:kern w:val="2"/>
          <w:sz w:val="24"/>
          <w:szCs w:val="24"/>
          <w:highlight w:val="none"/>
          <w:lang w:val="en-US" w:eastAsia="zh-CN"/>
        </w:rPr>
      </w:pPr>
      <w:r>
        <w:rPr>
          <w:rFonts w:hint="eastAsia" w:ascii="仿宋" w:hAnsi="仿宋" w:eastAsia="仿宋" w:cs="仿宋"/>
          <w:b w:val="0"/>
          <w:bCs w:val="0"/>
          <w:color w:val="auto"/>
          <w:kern w:val="2"/>
          <w:sz w:val="24"/>
          <w:szCs w:val="24"/>
          <w:highlight w:val="none"/>
          <w:lang w:val="en-US" w:eastAsia="zh-CN"/>
        </w:rPr>
        <w:t>6.工作总结要求。应对每月的检查情况进行工作小结，寻找检查工作中的重点、亮点，发送给本项目委托方指定部门（联系人另行确定）。检查结束后形成详细的《柯桥区重点企业特种设备安全评估报告》。</w:t>
      </w:r>
    </w:p>
    <w:p w14:paraId="2033BE06">
      <w:pPr>
        <w:pStyle w:val="11"/>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b w:val="0"/>
          <w:bCs w:val="0"/>
          <w:color w:val="auto"/>
          <w:kern w:val="2"/>
          <w:sz w:val="24"/>
          <w:szCs w:val="24"/>
          <w:highlight w:val="none"/>
        </w:rPr>
      </w:pPr>
      <w:r>
        <w:rPr>
          <w:rFonts w:hint="eastAsia" w:ascii="仿宋" w:hAnsi="仿宋" w:eastAsia="仿宋" w:cs="仿宋"/>
          <w:b w:val="0"/>
          <w:bCs w:val="0"/>
          <w:color w:val="auto"/>
          <w:kern w:val="2"/>
          <w:sz w:val="24"/>
          <w:szCs w:val="24"/>
          <w:highlight w:val="none"/>
        </w:rPr>
        <w:t>（二）</w:t>
      </w:r>
      <w:r>
        <w:rPr>
          <w:rFonts w:hint="eastAsia" w:ascii="仿宋" w:hAnsi="仿宋" w:eastAsia="仿宋" w:cs="仿宋"/>
          <w:b w:val="0"/>
          <w:bCs w:val="0"/>
          <w:color w:val="auto"/>
          <w:kern w:val="2"/>
          <w:sz w:val="24"/>
          <w:szCs w:val="24"/>
          <w:highlight w:val="none"/>
          <w:lang w:val="en-US" w:eastAsia="zh-CN"/>
        </w:rPr>
        <w:t>服务</w:t>
      </w:r>
      <w:r>
        <w:rPr>
          <w:rFonts w:hint="eastAsia" w:ascii="仿宋" w:hAnsi="仿宋" w:eastAsia="仿宋" w:cs="仿宋"/>
          <w:b w:val="0"/>
          <w:bCs w:val="0"/>
          <w:color w:val="auto"/>
          <w:kern w:val="2"/>
          <w:sz w:val="24"/>
          <w:szCs w:val="24"/>
          <w:highlight w:val="none"/>
        </w:rPr>
        <w:t>内容</w:t>
      </w:r>
    </w:p>
    <w:p w14:paraId="7EAB60F6">
      <w:pPr>
        <w:pStyle w:val="11"/>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b w:val="0"/>
          <w:bCs w:val="0"/>
          <w:color w:val="auto"/>
          <w:kern w:val="2"/>
          <w:sz w:val="24"/>
          <w:szCs w:val="24"/>
          <w:highlight w:val="none"/>
          <w:lang w:val="en-US" w:eastAsia="zh-CN"/>
        </w:rPr>
      </w:pPr>
      <w:r>
        <w:rPr>
          <w:rFonts w:hint="eastAsia" w:ascii="仿宋" w:hAnsi="仿宋" w:eastAsia="仿宋" w:cs="仿宋"/>
          <w:b w:val="0"/>
          <w:bCs w:val="0"/>
          <w:color w:val="auto"/>
          <w:kern w:val="2"/>
          <w:sz w:val="24"/>
          <w:szCs w:val="24"/>
          <w:highlight w:val="none"/>
          <w:lang w:val="en-US" w:eastAsia="zh-CN"/>
        </w:rPr>
        <w:t>1.开展日常检查</w:t>
      </w:r>
    </w:p>
    <w:p w14:paraId="3267B299">
      <w:pPr>
        <w:pStyle w:val="11"/>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b w:val="0"/>
          <w:bCs w:val="0"/>
          <w:color w:val="auto"/>
          <w:kern w:val="2"/>
          <w:sz w:val="24"/>
          <w:szCs w:val="24"/>
          <w:highlight w:val="none"/>
          <w:lang w:val="en-US" w:eastAsia="zh-CN"/>
        </w:rPr>
      </w:pPr>
      <w:r>
        <w:rPr>
          <w:rFonts w:hint="eastAsia" w:ascii="仿宋" w:hAnsi="仿宋" w:eastAsia="仿宋" w:cs="仿宋"/>
          <w:b w:val="0"/>
          <w:bCs w:val="0"/>
          <w:color w:val="auto"/>
          <w:kern w:val="2"/>
          <w:sz w:val="24"/>
          <w:szCs w:val="24"/>
          <w:highlight w:val="none"/>
          <w:lang w:val="en-US" w:eastAsia="zh-CN"/>
        </w:rPr>
        <w:t>（1）阶段安排：</w:t>
      </w:r>
    </w:p>
    <w:p w14:paraId="0EBEE61F">
      <w:pPr>
        <w:pStyle w:val="11"/>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b w:val="0"/>
          <w:bCs w:val="0"/>
          <w:color w:val="auto"/>
          <w:kern w:val="2"/>
          <w:sz w:val="24"/>
          <w:szCs w:val="24"/>
          <w:highlight w:val="none"/>
          <w:lang w:val="en-US" w:eastAsia="zh-CN"/>
        </w:rPr>
      </w:pPr>
      <w:r>
        <w:rPr>
          <w:rFonts w:hint="eastAsia" w:ascii="仿宋" w:hAnsi="仿宋" w:eastAsia="仿宋" w:cs="仿宋"/>
          <w:b w:val="0"/>
          <w:bCs w:val="0"/>
          <w:color w:val="auto"/>
          <w:kern w:val="2"/>
          <w:sz w:val="24"/>
          <w:szCs w:val="24"/>
          <w:highlight w:val="none"/>
          <w:lang w:val="en-US" w:eastAsia="zh-CN"/>
        </w:rPr>
        <w:t>第一阶段：首轮排查。每周工作开始前制定排查计划，当天保证每组至少2名排查人员开展隐患排查工作。排查期间，对每家单位发现的问题隐患实时记录，并第一时间将问题隐患清单报送本项目委托方指定部门（联系人另行确定），同时按照委托方的有关程序要求，督促相关单位落实问题隐患整改。</w:t>
      </w:r>
    </w:p>
    <w:p w14:paraId="6CFBE486">
      <w:pPr>
        <w:pStyle w:val="11"/>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b w:val="0"/>
          <w:bCs w:val="0"/>
          <w:color w:val="auto"/>
          <w:kern w:val="2"/>
          <w:sz w:val="24"/>
          <w:szCs w:val="24"/>
          <w:highlight w:val="none"/>
          <w:lang w:val="en-US" w:eastAsia="zh-CN"/>
        </w:rPr>
      </w:pPr>
      <w:r>
        <w:rPr>
          <w:rFonts w:hint="eastAsia" w:ascii="仿宋" w:hAnsi="仿宋" w:eastAsia="仿宋" w:cs="仿宋"/>
          <w:b w:val="0"/>
          <w:bCs w:val="0"/>
          <w:color w:val="auto"/>
          <w:kern w:val="2"/>
          <w:sz w:val="24"/>
          <w:szCs w:val="24"/>
          <w:highlight w:val="none"/>
          <w:lang w:val="en-US" w:eastAsia="zh-CN"/>
        </w:rPr>
        <w:t>第二阶段：重点跟踪。针对第一阶段发现的有严重安全隐患的使用单位进行二次检查，指导并督促使用单位落实整改要求，完成严重问题隐患整改到位与否的验收确认，落实工作闭环机制。</w:t>
      </w:r>
    </w:p>
    <w:p w14:paraId="7F63126B">
      <w:pPr>
        <w:pStyle w:val="11"/>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b w:val="0"/>
          <w:bCs w:val="0"/>
          <w:color w:val="auto"/>
          <w:kern w:val="2"/>
          <w:sz w:val="24"/>
          <w:szCs w:val="24"/>
          <w:highlight w:val="none"/>
          <w:lang w:val="en-US" w:eastAsia="zh-CN"/>
        </w:rPr>
      </w:pPr>
      <w:r>
        <w:rPr>
          <w:rFonts w:hint="eastAsia" w:ascii="仿宋" w:hAnsi="仿宋" w:eastAsia="仿宋" w:cs="仿宋"/>
          <w:b w:val="0"/>
          <w:bCs w:val="0"/>
          <w:color w:val="auto"/>
          <w:kern w:val="2"/>
          <w:sz w:val="24"/>
          <w:szCs w:val="24"/>
          <w:highlight w:val="none"/>
          <w:lang w:val="en-US" w:eastAsia="zh-CN"/>
        </w:rPr>
        <w:t>第三阶段：分析总结。完成所有特种设备使用单位的现场巡查工作，并撰写完成《柯桥区重点企业特种设备安全评估报告》。</w:t>
      </w:r>
    </w:p>
    <w:p w14:paraId="4DB9499B">
      <w:pPr>
        <w:pStyle w:val="11"/>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b w:val="0"/>
          <w:bCs w:val="0"/>
          <w:color w:val="auto"/>
          <w:kern w:val="2"/>
          <w:sz w:val="24"/>
          <w:szCs w:val="24"/>
          <w:highlight w:val="none"/>
          <w:lang w:val="en-US" w:eastAsia="zh-CN"/>
        </w:rPr>
      </w:pPr>
      <w:r>
        <w:rPr>
          <w:rFonts w:hint="eastAsia" w:ascii="仿宋" w:hAnsi="仿宋" w:eastAsia="仿宋" w:cs="仿宋"/>
          <w:b w:val="0"/>
          <w:bCs w:val="0"/>
          <w:color w:val="auto"/>
          <w:kern w:val="2"/>
          <w:sz w:val="24"/>
          <w:szCs w:val="24"/>
          <w:highlight w:val="none"/>
          <w:lang w:val="en-US" w:eastAsia="zh-CN"/>
        </w:rPr>
        <w:t>（2）检查内容：</w:t>
      </w:r>
    </w:p>
    <w:p w14:paraId="273F26CF">
      <w:pPr>
        <w:pStyle w:val="11"/>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b w:val="0"/>
          <w:bCs w:val="0"/>
          <w:color w:val="auto"/>
          <w:kern w:val="2"/>
          <w:sz w:val="24"/>
          <w:szCs w:val="24"/>
          <w:highlight w:val="none"/>
          <w:lang w:val="en-US" w:eastAsia="zh-CN"/>
        </w:rPr>
      </w:pPr>
      <w:r>
        <w:rPr>
          <w:rFonts w:hint="eastAsia" w:ascii="仿宋" w:hAnsi="仿宋" w:eastAsia="仿宋" w:cs="仿宋"/>
          <w:b w:val="0"/>
          <w:bCs w:val="0"/>
          <w:color w:val="auto"/>
          <w:kern w:val="2"/>
          <w:sz w:val="24"/>
          <w:szCs w:val="24"/>
          <w:highlight w:val="none"/>
          <w:lang w:val="en-US" w:eastAsia="zh-CN"/>
        </w:rPr>
        <w:t>按照柯桥区特种设备检查工作要求，依据各类特种设备检规及相应法律法规对指定的特种设备进行检查，对特种设备使用单位的特种设备安全管理、设备安全使用、运行环境、安全技术规范遵守等情况进行系统性检查，并按照程序填写检查记录、备忘录等，督促企业隐患闭环，检查内容包括：</w:t>
      </w:r>
    </w:p>
    <w:p w14:paraId="322DBADE">
      <w:pPr>
        <w:pStyle w:val="11"/>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b w:val="0"/>
          <w:bCs w:val="0"/>
          <w:color w:val="auto"/>
          <w:kern w:val="2"/>
          <w:sz w:val="24"/>
          <w:szCs w:val="24"/>
          <w:highlight w:val="none"/>
          <w:lang w:val="en-US" w:eastAsia="zh-CN"/>
        </w:rPr>
      </w:pPr>
      <w:r>
        <w:rPr>
          <w:rFonts w:hint="eastAsia" w:ascii="仿宋" w:hAnsi="仿宋" w:eastAsia="仿宋" w:cs="仿宋"/>
          <w:b w:val="0"/>
          <w:bCs w:val="0"/>
          <w:color w:val="auto"/>
          <w:kern w:val="2"/>
          <w:sz w:val="24"/>
          <w:szCs w:val="24"/>
          <w:highlight w:val="none"/>
          <w:lang w:val="en-US" w:eastAsia="zh-CN"/>
        </w:rPr>
        <w:t>1）管理情况方面：主要巡查企业特种设备安全管理和法规制度体系的建立及落实情况，在用特种设备本质安全度和日常维护保养情况，特种设备安全管理负责人和相关管理、作业人员配置及履职情况，特种设备安全附件管理情况，特种设备智慧管理系统推广应用情况等。</w:t>
      </w:r>
    </w:p>
    <w:p w14:paraId="1F15EF75">
      <w:pPr>
        <w:pStyle w:val="11"/>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b w:val="0"/>
          <w:bCs w:val="0"/>
          <w:color w:val="auto"/>
          <w:kern w:val="2"/>
          <w:sz w:val="24"/>
          <w:szCs w:val="24"/>
          <w:highlight w:val="none"/>
          <w:lang w:val="en-US" w:eastAsia="zh-CN"/>
        </w:rPr>
      </w:pPr>
      <w:r>
        <w:rPr>
          <w:rFonts w:hint="eastAsia" w:ascii="仿宋" w:hAnsi="仿宋" w:eastAsia="仿宋" w:cs="仿宋"/>
          <w:b w:val="0"/>
          <w:bCs w:val="0"/>
          <w:color w:val="auto"/>
          <w:kern w:val="2"/>
          <w:sz w:val="24"/>
          <w:szCs w:val="24"/>
          <w:highlight w:val="none"/>
          <w:lang w:val="en-US" w:eastAsia="zh-CN"/>
        </w:rPr>
        <w:t>2）设备本体方面：重点检查特种设备使用安全状况，排查是否存在未注册登记在使用的特种设备，是否存在未经检验或检验不合格的在用特种设备，是否有停用注销设备在使用等，特种设备在用安全附件是否超期未校或超期未更换，特种设备仪器仪表是否指示正确，特种设备使用状态是否存在跑冒滴漏情况，特种设备是否存在超参数服役情况，特种设备改造和重大修理是否符合法规规定的流程和具备相应见证资料，特种设备是否存在带病运行等。</w:t>
      </w:r>
    </w:p>
    <w:p w14:paraId="7BCC0FFF">
      <w:pPr>
        <w:pStyle w:val="11"/>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b w:val="0"/>
          <w:bCs w:val="0"/>
          <w:color w:val="auto"/>
          <w:kern w:val="2"/>
          <w:sz w:val="24"/>
          <w:szCs w:val="24"/>
          <w:highlight w:val="none"/>
          <w:lang w:val="en-US" w:eastAsia="zh-CN"/>
        </w:rPr>
      </w:pPr>
      <w:r>
        <w:rPr>
          <w:rFonts w:hint="eastAsia" w:ascii="仿宋" w:hAnsi="仿宋" w:eastAsia="仿宋" w:cs="仿宋"/>
          <w:b w:val="0"/>
          <w:bCs w:val="0"/>
          <w:color w:val="auto"/>
          <w:kern w:val="2"/>
          <w:sz w:val="24"/>
          <w:szCs w:val="24"/>
          <w:highlight w:val="none"/>
          <w:lang w:val="en-US" w:eastAsia="zh-CN"/>
        </w:rPr>
        <w:t>3）企业主体责任落实方面：重点检查是否按照总局“两个规定”设置相应的责任人员，是否按照法律法规和安全技术规范要求配备特种设备安全管理负责人、专（兼）职管理人员和相关作业人员以及每班作业人员持证情况，是否加强特种设备日常管理并按要求建立每台设备的安全技术档案，是否建立并有效实施特种设备安全管理制度及操作规程，是否制定特种设备事故应急专项预案并定期进行应急演练，是否定期开展作业人员业务培训；是否定期逐台开展特种设备安全隐患排查工作，排查发现的问题隐患是否均整改闭环。</w:t>
      </w:r>
    </w:p>
    <w:p w14:paraId="2C119DE7">
      <w:pPr>
        <w:pStyle w:val="11"/>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b w:val="0"/>
          <w:bCs w:val="0"/>
          <w:color w:val="auto"/>
          <w:kern w:val="2"/>
          <w:sz w:val="24"/>
          <w:szCs w:val="24"/>
          <w:highlight w:val="none"/>
          <w:lang w:val="en-US" w:eastAsia="zh-CN"/>
        </w:rPr>
      </w:pPr>
      <w:r>
        <w:rPr>
          <w:rFonts w:hint="eastAsia" w:ascii="仿宋" w:hAnsi="仿宋" w:eastAsia="仿宋" w:cs="仿宋"/>
          <w:b w:val="0"/>
          <w:bCs w:val="0"/>
          <w:color w:val="auto"/>
          <w:kern w:val="2"/>
          <w:sz w:val="24"/>
          <w:szCs w:val="24"/>
          <w:highlight w:val="none"/>
          <w:lang w:val="en-US" w:eastAsia="zh-CN"/>
        </w:rPr>
        <w:t>2.协助开展各类专项检查</w:t>
      </w:r>
    </w:p>
    <w:p w14:paraId="0F39D44F">
      <w:pPr>
        <w:pStyle w:val="11"/>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b w:val="0"/>
          <w:bCs w:val="0"/>
          <w:color w:val="auto"/>
          <w:kern w:val="2"/>
          <w:sz w:val="24"/>
          <w:szCs w:val="24"/>
          <w:highlight w:val="none"/>
          <w:lang w:val="en-US" w:eastAsia="zh-CN"/>
        </w:rPr>
      </w:pPr>
      <w:r>
        <w:rPr>
          <w:rFonts w:hint="eastAsia" w:ascii="仿宋" w:hAnsi="仿宋" w:eastAsia="仿宋" w:cs="仿宋"/>
          <w:b w:val="0"/>
          <w:bCs w:val="0"/>
          <w:color w:val="auto"/>
          <w:kern w:val="2"/>
          <w:sz w:val="24"/>
          <w:szCs w:val="24"/>
          <w:highlight w:val="none"/>
          <w:lang w:val="en-US" w:eastAsia="zh-CN"/>
        </w:rPr>
        <w:t>按照《特种设备安全监督检查办法》等相关要求，为特种设备常规监督检查、专项监督检查、证后监督检查和其他监督检查工作及特种设备投诉举报处理提供技术支持。</w:t>
      </w:r>
    </w:p>
    <w:p w14:paraId="45301EDD">
      <w:pPr>
        <w:pStyle w:val="11"/>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b w:val="0"/>
          <w:bCs w:val="0"/>
          <w:color w:val="auto"/>
          <w:kern w:val="2"/>
          <w:sz w:val="24"/>
          <w:szCs w:val="24"/>
          <w:highlight w:val="none"/>
          <w:lang w:val="en-US" w:eastAsia="zh-CN"/>
        </w:rPr>
      </w:pPr>
      <w:r>
        <w:rPr>
          <w:rFonts w:hint="eastAsia" w:ascii="仿宋" w:hAnsi="仿宋" w:eastAsia="仿宋" w:cs="仿宋"/>
          <w:b w:val="0"/>
          <w:bCs w:val="0"/>
          <w:color w:val="auto"/>
          <w:kern w:val="2"/>
          <w:sz w:val="24"/>
          <w:szCs w:val="24"/>
          <w:highlight w:val="none"/>
          <w:lang w:val="en-US" w:eastAsia="zh-CN"/>
        </w:rPr>
        <w:t>3.隐患排查治理</w:t>
      </w:r>
    </w:p>
    <w:p w14:paraId="2CD80262">
      <w:pPr>
        <w:pStyle w:val="11"/>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b w:val="0"/>
          <w:bCs w:val="0"/>
          <w:color w:val="auto"/>
          <w:kern w:val="2"/>
          <w:sz w:val="24"/>
          <w:szCs w:val="24"/>
          <w:highlight w:val="none"/>
          <w:lang w:val="en-US" w:eastAsia="zh-CN"/>
        </w:rPr>
      </w:pPr>
      <w:r>
        <w:rPr>
          <w:rFonts w:hint="eastAsia" w:ascii="仿宋" w:hAnsi="仿宋" w:eastAsia="仿宋" w:cs="仿宋"/>
          <w:b w:val="0"/>
          <w:bCs w:val="0"/>
          <w:color w:val="auto"/>
          <w:kern w:val="2"/>
          <w:sz w:val="24"/>
          <w:szCs w:val="24"/>
          <w:highlight w:val="none"/>
          <w:lang w:val="en-US" w:eastAsia="zh-CN"/>
        </w:rPr>
        <w:t>对所有检查发现问题提出整改建议，发现一般隐患的，建议企业限期整改（30天内）。由工作人员在首次排查30天后对隐患整改情况进行确认，做到闭环处理。如未按要求整改完成的，报告辖区监管部门。</w:t>
      </w:r>
    </w:p>
    <w:p w14:paraId="55F34A43">
      <w:pPr>
        <w:pStyle w:val="11"/>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b w:val="0"/>
          <w:bCs w:val="0"/>
          <w:color w:val="auto"/>
          <w:kern w:val="2"/>
          <w:sz w:val="24"/>
          <w:szCs w:val="24"/>
          <w:highlight w:val="none"/>
          <w:lang w:val="en-US" w:eastAsia="zh-CN"/>
        </w:rPr>
      </w:pPr>
      <w:r>
        <w:rPr>
          <w:rFonts w:hint="eastAsia" w:ascii="仿宋" w:hAnsi="仿宋" w:eastAsia="仿宋" w:cs="仿宋"/>
          <w:b w:val="0"/>
          <w:bCs w:val="0"/>
          <w:color w:val="auto"/>
          <w:kern w:val="2"/>
          <w:sz w:val="24"/>
          <w:szCs w:val="24"/>
          <w:highlight w:val="none"/>
          <w:lang w:val="en-US" w:eastAsia="zh-CN"/>
        </w:rPr>
        <w:t>4.技术分析</w:t>
      </w:r>
    </w:p>
    <w:p w14:paraId="257AF9A1">
      <w:pPr>
        <w:pStyle w:val="11"/>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b w:val="0"/>
          <w:bCs w:val="0"/>
          <w:color w:val="auto"/>
          <w:kern w:val="2"/>
          <w:sz w:val="24"/>
          <w:szCs w:val="24"/>
          <w:highlight w:val="none"/>
          <w:lang w:val="en-US" w:eastAsia="zh-CN"/>
        </w:rPr>
        <w:t>根据日常检查、隐患排查治理、专项检查等发现的隐患问题情况，对特种设备安全形势等进行技术分析，制作《柯桥区重点企业特种设备安全评估报告》，为特种设备安全监察工作提出合理化的意见建议。</w:t>
      </w:r>
    </w:p>
    <w:p w14:paraId="3AFF8267">
      <w:pPr>
        <w:pStyle w:val="11"/>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b w:val="0"/>
          <w:bCs w:val="0"/>
          <w:color w:val="auto"/>
          <w:kern w:val="2"/>
          <w:sz w:val="24"/>
          <w:szCs w:val="24"/>
          <w:highlight w:val="none"/>
          <w:lang w:val="en-US" w:eastAsia="zh-CN"/>
        </w:rPr>
      </w:pPr>
      <w:r>
        <w:rPr>
          <w:rFonts w:hint="eastAsia" w:ascii="仿宋" w:hAnsi="仿宋" w:eastAsia="仿宋" w:cs="仿宋"/>
          <w:b w:val="0"/>
          <w:bCs w:val="0"/>
          <w:color w:val="auto"/>
          <w:kern w:val="2"/>
          <w:sz w:val="24"/>
          <w:szCs w:val="24"/>
          <w:highlight w:val="none"/>
          <w:lang w:val="en-US" w:eastAsia="zh-CN"/>
        </w:rPr>
        <w:t>5.普法科普</w:t>
      </w:r>
    </w:p>
    <w:p w14:paraId="067FB8DF">
      <w:pPr>
        <w:pStyle w:val="11"/>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b w:val="0"/>
          <w:bCs w:val="0"/>
          <w:color w:val="auto"/>
          <w:kern w:val="2"/>
          <w:sz w:val="24"/>
          <w:szCs w:val="24"/>
          <w:highlight w:val="none"/>
          <w:lang w:val="en-US" w:eastAsia="zh-CN"/>
        </w:rPr>
      </w:pPr>
      <w:r>
        <w:rPr>
          <w:rFonts w:hint="eastAsia" w:ascii="仿宋" w:hAnsi="仿宋" w:eastAsia="仿宋" w:cs="仿宋"/>
          <w:b w:val="0"/>
          <w:bCs w:val="0"/>
          <w:color w:val="auto"/>
          <w:kern w:val="2"/>
          <w:sz w:val="24"/>
          <w:szCs w:val="24"/>
          <w:highlight w:val="none"/>
          <w:lang w:val="en-US" w:eastAsia="zh-CN"/>
        </w:rPr>
        <w:t>1）在日常检查中对特种设备使用、生产和经营、检验检测单位负责人、安全管理员、作业人员开展现场普法宣传；</w:t>
      </w:r>
    </w:p>
    <w:p w14:paraId="5A70550A">
      <w:pPr>
        <w:pStyle w:val="11"/>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b w:val="0"/>
          <w:bCs w:val="0"/>
          <w:color w:val="auto"/>
          <w:kern w:val="2"/>
          <w:sz w:val="24"/>
          <w:szCs w:val="24"/>
          <w:highlight w:val="none"/>
          <w:lang w:val="en-US" w:eastAsia="zh-CN"/>
        </w:rPr>
      </w:pPr>
      <w:r>
        <w:rPr>
          <w:rFonts w:hint="eastAsia" w:ascii="仿宋" w:hAnsi="仿宋" w:eastAsia="仿宋" w:cs="仿宋"/>
          <w:b w:val="0"/>
          <w:bCs w:val="0"/>
          <w:color w:val="auto"/>
          <w:kern w:val="2"/>
          <w:sz w:val="24"/>
          <w:szCs w:val="24"/>
          <w:highlight w:val="none"/>
          <w:lang w:val="en-US" w:eastAsia="zh-CN"/>
        </w:rPr>
        <w:t>2）在安全生产月、重大活动及国庆、五一等节假日期间开展特种设备普法科普宣传进社区、进校园、进园区活动，年度不少于1次。</w:t>
      </w:r>
    </w:p>
    <w:p w14:paraId="4C2AF8E0">
      <w:pPr>
        <w:pStyle w:val="11"/>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b w:val="0"/>
          <w:bCs w:val="0"/>
          <w:color w:val="auto"/>
          <w:kern w:val="2"/>
          <w:sz w:val="24"/>
          <w:szCs w:val="24"/>
          <w:highlight w:val="none"/>
          <w:lang w:val="en-US" w:eastAsia="zh-CN"/>
        </w:rPr>
      </w:pPr>
      <w:r>
        <w:rPr>
          <w:rFonts w:hint="eastAsia" w:ascii="仿宋" w:hAnsi="仿宋" w:eastAsia="仿宋" w:cs="仿宋"/>
          <w:b w:val="0"/>
          <w:bCs w:val="0"/>
          <w:color w:val="auto"/>
          <w:kern w:val="2"/>
          <w:sz w:val="24"/>
          <w:szCs w:val="24"/>
          <w:highlight w:val="none"/>
          <w:lang w:val="en-US" w:eastAsia="zh-CN"/>
        </w:rPr>
        <w:t>6.安全培训</w:t>
      </w:r>
    </w:p>
    <w:p w14:paraId="7DDFC267">
      <w:pPr>
        <w:pStyle w:val="11"/>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b w:val="0"/>
          <w:bCs w:val="0"/>
          <w:color w:val="auto"/>
          <w:kern w:val="2"/>
          <w:sz w:val="24"/>
          <w:szCs w:val="24"/>
          <w:highlight w:val="none"/>
          <w:lang w:val="en-US" w:eastAsia="zh-CN"/>
        </w:rPr>
      </w:pPr>
      <w:r>
        <w:rPr>
          <w:rFonts w:hint="eastAsia" w:ascii="仿宋" w:hAnsi="仿宋" w:eastAsia="仿宋" w:cs="仿宋"/>
          <w:b w:val="0"/>
          <w:bCs w:val="0"/>
          <w:color w:val="auto"/>
          <w:kern w:val="2"/>
          <w:sz w:val="24"/>
          <w:szCs w:val="24"/>
          <w:highlight w:val="none"/>
          <w:lang w:val="en-US" w:eastAsia="zh-CN"/>
        </w:rPr>
        <w:t>开展1次监管人员专项技能提升课程培训，并提供日常不局限于现场、电话、邮件等形式的现场指导、问题解答，以及专业性技术支持服务。</w:t>
      </w:r>
    </w:p>
    <w:p w14:paraId="71D5D8B7">
      <w:pPr>
        <w:pStyle w:val="11"/>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b w:val="0"/>
          <w:bCs w:val="0"/>
          <w:color w:val="auto"/>
          <w:kern w:val="2"/>
          <w:sz w:val="24"/>
          <w:szCs w:val="24"/>
          <w:highlight w:val="none"/>
          <w:lang w:val="en-US" w:eastAsia="zh-CN"/>
        </w:rPr>
      </w:pPr>
      <w:r>
        <w:rPr>
          <w:rFonts w:hint="eastAsia" w:ascii="仿宋" w:hAnsi="仿宋" w:eastAsia="仿宋" w:cs="仿宋"/>
          <w:b w:val="0"/>
          <w:bCs w:val="0"/>
          <w:color w:val="auto"/>
          <w:kern w:val="2"/>
          <w:sz w:val="24"/>
          <w:szCs w:val="24"/>
          <w:highlight w:val="none"/>
          <w:lang w:val="en-US" w:eastAsia="zh-CN"/>
        </w:rPr>
        <w:t>7.应急管理建设服务</w:t>
      </w:r>
    </w:p>
    <w:p w14:paraId="799CE6EF">
      <w:pPr>
        <w:pStyle w:val="11"/>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b w:val="0"/>
          <w:bCs w:val="0"/>
          <w:color w:val="auto"/>
          <w:kern w:val="2"/>
          <w:sz w:val="24"/>
          <w:szCs w:val="24"/>
          <w:highlight w:val="none"/>
          <w:lang w:val="en-US" w:eastAsia="zh-CN"/>
        </w:rPr>
      </w:pPr>
      <w:r>
        <w:rPr>
          <w:rFonts w:hint="eastAsia" w:ascii="仿宋" w:hAnsi="仿宋" w:eastAsia="仿宋" w:cs="仿宋"/>
          <w:b w:val="0"/>
          <w:bCs w:val="0"/>
          <w:color w:val="auto"/>
          <w:kern w:val="2"/>
          <w:sz w:val="24"/>
          <w:szCs w:val="24"/>
          <w:highlight w:val="none"/>
          <w:lang w:val="en-US" w:eastAsia="zh-CN"/>
        </w:rPr>
        <w:t>结合柯桥区特种设备使用特点，协助监管部门开展特种设备应急演练不少于1次，为应急演练计划、准备、实施、评估总结、持续改进等过程提供专业技术服务。</w:t>
      </w:r>
    </w:p>
    <w:p w14:paraId="4F452B14">
      <w:pPr>
        <w:pStyle w:val="12"/>
        <w:rPr>
          <w:rFonts w:hint="eastAsia" w:ascii="仿宋" w:hAnsi="仿宋" w:eastAsia="仿宋" w:cs="仿宋"/>
          <w:b w:val="0"/>
          <w:bCs w:val="0"/>
          <w:color w:val="auto"/>
          <w:kern w:val="2"/>
          <w:sz w:val="24"/>
          <w:szCs w:val="24"/>
          <w:highlight w:val="none"/>
          <w:lang w:val="en-US" w:eastAsia="zh-CN"/>
        </w:rPr>
      </w:pPr>
      <w:r>
        <w:rPr>
          <w:rFonts w:hint="eastAsia" w:ascii="仿宋" w:hAnsi="仿宋" w:eastAsia="仿宋" w:cs="仿宋"/>
          <w:b w:val="0"/>
          <w:bCs w:val="0"/>
          <w:color w:val="auto"/>
          <w:kern w:val="2"/>
          <w:sz w:val="24"/>
          <w:szCs w:val="24"/>
          <w:highlight w:val="none"/>
          <w:lang w:val="en-US" w:eastAsia="zh-CN"/>
        </w:rPr>
        <w:t>8.服务质量保障</w:t>
      </w:r>
    </w:p>
    <w:p w14:paraId="360EC60C">
      <w:pPr>
        <w:pStyle w:val="3"/>
        <w:numPr>
          <w:ilvl w:val="0"/>
          <w:numId w:val="0"/>
        </w:numPr>
        <w:spacing w:before="0" w:after="0" w:line="360" w:lineRule="auto"/>
        <w:ind w:firstLine="482" w:firstLineChars="200"/>
        <w:rPr>
          <w:rFonts w:hint="eastAsia" w:ascii="仿宋" w:hAnsi="仿宋" w:eastAsia="仿宋" w:cs="仿宋"/>
          <w:color w:val="auto"/>
          <w:sz w:val="24"/>
          <w:szCs w:val="24"/>
          <w:highlight w:val="none"/>
        </w:rPr>
      </w:pPr>
      <w:r>
        <w:rPr>
          <w:rFonts w:hint="eastAsia" w:ascii="仿宋" w:hAnsi="仿宋" w:eastAsia="仿宋" w:cs="仿宋"/>
          <w:i w:val="0"/>
          <w:iCs w:val="0"/>
          <w:caps w:val="0"/>
          <w:color w:val="auto"/>
          <w:spacing w:val="0"/>
          <w:sz w:val="24"/>
          <w:szCs w:val="24"/>
          <w:highlight w:val="none"/>
          <w:shd w:val="clear"/>
        </w:rPr>
        <w:t>中标方应认真履行服务，不折不扣的完成评估工作。自评估结束后三年内，若被评估企业发生特种设备一般事故，应一次性扣除中标价格的10%；发生重大以上事故，一次性扣除中标价格的50%。因使用单位安全管理主体责任未落实、人的不安全行为、自排查日期之后新增（或改造、修理）的特种设备、未登记注册的特种设备以及新增隐患点所引发的特种设备事故，中标方不承担相应责任。</w:t>
      </w:r>
    </w:p>
    <w:p w14:paraId="2A0CEC15">
      <w:pPr>
        <w:rPr>
          <w:rFonts w:hint="eastAsia"/>
          <w:color w:val="auto"/>
          <w:highlight w:val="none"/>
        </w:rPr>
        <w:sectPr>
          <w:footerReference r:id="rId8" w:type="default"/>
          <w:pgSz w:w="11907" w:h="16840"/>
          <w:pgMar w:top="1474" w:right="1814" w:bottom="1474" w:left="1814" w:header="851" w:footer="851" w:gutter="0"/>
          <w:pgNumType w:fmt="decimal"/>
          <w:cols w:space="720" w:num="1"/>
        </w:sectPr>
      </w:pPr>
    </w:p>
    <w:p w14:paraId="66534AD0">
      <w:pPr>
        <w:keepNext w:val="0"/>
        <w:keepLines w:val="0"/>
        <w:pageBreakBefore w:val="0"/>
        <w:widowControl w:val="0"/>
        <w:numPr>
          <w:ilvl w:val="0"/>
          <w:numId w:val="0"/>
        </w:numPr>
        <w:kinsoku/>
        <w:wordWrap/>
        <w:overflowPunct/>
        <w:topLinePunct w:val="0"/>
        <w:autoSpaceDE/>
        <w:autoSpaceDN/>
        <w:bidi w:val="0"/>
        <w:adjustRightInd/>
        <w:snapToGrid w:val="0"/>
        <w:jc w:val="both"/>
        <w:textAlignment w:val="auto"/>
        <w:rPr>
          <w:rFonts w:hint="default" w:ascii="方正小标宋简体" w:hAnsi="方正小标宋简体" w:eastAsia="方正小标宋简体" w:cs="方正小标宋简体"/>
          <w:color w:val="auto"/>
          <w:kern w:val="0"/>
          <w:sz w:val="24"/>
          <w:szCs w:val="24"/>
          <w:highlight w:val="none"/>
          <w:lang w:val="en-US" w:eastAsia="zh-CN"/>
        </w:rPr>
      </w:pPr>
      <w:r>
        <w:rPr>
          <w:rFonts w:hint="eastAsia" w:ascii="方正小标宋简体" w:hAnsi="方正小标宋简体" w:eastAsia="方正小标宋简体" w:cs="方正小标宋简体"/>
          <w:color w:val="auto"/>
          <w:kern w:val="0"/>
          <w:sz w:val="24"/>
          <w:szCs w:val="24"/>
          <w:highlight w:val="none"/>
          <w:lang w:val="en-US" w:eastAsia="zh-CN"/>
        </w:rPr>
        <w:t>附件</w:t>
      </w:r>
    </w:p>
    <w:p w14:paraId="28A7A58B">
      <w:pPr>
        <w:jc w:val="center"/>
        <w:rPr>
          <w:rFonts w:hint="eastAsia" w:ascii="仿宋" w:hAnsi="仿宋" w:eastAsia="仿宋" w:cs="仿宋"/>
          <w:b/>
          <w:bCs/>
          <w:color w:val="auto"/>
          <w:sz w:val="24"/>
          <w:szCs w:val="24"/>
          <w:highlight w:val="none"/>
        </w:rPr>
      </w:pPr>
    </w:p>
    <w:p w14:paraId="689241A0">
      <w:pPr>
        <w:jc w:val="center"/>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企业</w:t>
      </w:r>
      <w:r>
        <w:rPr>
          <w:rFonts w:hint="eastAsia" w:ascii="仿宋" w:hAnsi="仿宋" w:eastAsia="仿宋" w:cs="仿宋"/>
          <w:b/>
          <w:bCs/>
          <w:color w:val="auto"/>
          <w:sz w:val="24"/>
          <w:szCs w:val="24"/>
          <w:highlight w:val="none"/>
          <w:lang w:val="en-US" w:eastAsia="zh-CN"/>
        </w:rPr>
        <w:t>技术服务</w:t>
      </w:r>
      <w:r>
        <w:rPr>
          <w:rFonts w:hint="eastAsia" w:ascii="仿宋" w:hAnsi="仿宋" w:eastAsia="仿宋" w:cs="仿宋"/>
          <w:b/>
          <w:bCs/>
          <w:color w:val="auto"/>
          <w:sz w:val="24"/>
          <w:szCs w:val="24"/>
          <w:highlight w:val="none"/>
        </w:rPr>
        <w:t>告知函</w:t>
      </w:r>
    </w:p>
    <w:p w14:paraId="6E5A2BF8">
      <w:pPr>
        <w:jc w:val="center"/>
        <w:rPr>
          <w:rFonts w:hint="eastAsia" w:ascii="仿宋" w:hAnsi="仿宋" w:eastAsia="仿宋" w:cs="仿宋"/>
          <w:b w:val="0"/>
          <w:bCs w:val="0"/>
          <w:color w:val="auto"/>
          <w:sz w:val="24"/>
          <w:szCs w:val="24"/>
          <w:highlight w:val="none"/>
        </w:rPr>
      </w:pPr>
    </w:p>
    <w:p w14:paraId="33C51DF9">
      <w:pPr>
        <w:jc w:val="center"/>
        <w:rPr>
          <w:rFonts w:hint="eastAsia" w:ascii="仿宋" w:hAnsi="仿宋" w:eastAsia="仿宋" w:cs="仿宋"/>
          <w:b w:val="0"/>
          <w:bCs w:val="0"/>
          <w:color w:val="auto"/>
          <w:sz w:val="24"/>
          <w:szCs w:val="24"/>
          <w:highlight w:val="none"/>
        </w:rPr>
      </w:pPr>
    </w:p>
    <w:p w14:paraId="46B2C545">
      <w:pPr>
        <w:spacing w:line="360" w:lineRule="auto"/>
        <w:ind w:firstLine="480" w:firstLineChars="20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依据特种设备安全技术规范TSG08-2017及绍兴</w:t>
      </w:r>
      <w:r>
        <w:rPr>
          <w:rFonts w:hint="eastAsia" w:ascii="仿宋" w:hAnsi="仿宋" w:eastAsia="仿宋" w:cs="仿宋"/>
          <w:b w:val="0"/>
          <w:bCs w:val="0"/>
          <w:color w:val="auto"/>
          <w:sz w:val="24"/>
          <w:szCs w:val="24"/>
          <w:highlight w:val="none"/>
          <w:lang w:eastAsia="zh-CN"/>
        </w:rPr>
        <w:t>柯桥</w:t>
      </w:r>
      <w:r>
        <w:rPr>
          <w:rFonts w:hint="eastAsia" w:ascii="仿宋" w:hAnsi="仿宋" w:eastAsia="仿宋" w:cs="仿宋"/>
          <w:b w:val="0"/>
          <w:bCs w:val="0"/>
          <w:color w:val="auto"/>
          <w:sz w:val="24"/>
          <w:szCs w:val="24"/>
          <w:highlight w:val="none"/>
        </w:rPr>
        <w:t>区</w:t>
      </w:r>
      <w:r>
        <w:rPr>
          <w:rFonts w:hint="eastAsia" w:ascii="仿宋" w:hAnsi="仿宋" w:eastAsia="仿宋" w:cs="仿宋"/>
          <w:b w:val="0"/>
          <w:bCs w:val="0"/>
          <w:color w:val="auto"/>
          <w:sz w:val="24"/>
          <w:szCs w:val="24"/>
          <w:highlight w:val="none"/>
          <w:lang w:val="en-US" w:eastAsia="zh-CN"/>
        </w:rPr>
        <w:t>市场监督管理局</w:t>
      </w:r>
      <w:r>
        <w:rPr>
          <w:rFonts w:hint="eastAsia" w:ascii="仿宋" w:hAnsi="仿宋" w:eastAsia="仿宋" w:cs="仿宋"/>
          <w:b w:val="0"/>
          <w:bCs w:val="0"/>
          <w:color w:val="auto"/>
          <w:sz w:val="24"/>
          <w:szCs w:val="24"/>
          <w:highlight w:val="none"/>
        </w:rPr>
        <w:t>要求，请准备以下资料和事项∶</w:t>
      </w:r>
    </w:p>
    <w:p w14:paraId="219B606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lang w:val="en-US" w:eastAsia="zh-CN"/>
        </w:rPr>
        <w:t>1</w:t>
      </w:r>
      <w:r>
        <w:rPr>
          <w:rFonts w:hint="eastAsia" w:ascii="仿宋" w:hAnsi="仿宋" w:eastAsia="仿宋" w:cs="仿宋"/>
          <w:b w:val="0"/>
          <w:bCs w:val="0"/>
          <w:color w:val="auto"/>
          <w:sz w:val="24"/>
          <w:szCs w:val="24"/>
          <w:highlight w:val="none"/>
        </w:rPr>
        <w:t>.特种设备安全管理制度。</w:t>
      </w:r>
    </w:p>
    <w:p w14:paraId="5410A90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lang w:val="en-US" w:eastAsia="zh-CN"/>
        </w:rPr>
        <w:t>2</w:t>
      </w:r>
      <w:r>
        <w:rPr>
          <w:rFonts w:hint="eastAsia" w:ascii="仿宋" w:hAnsi="仿宋" w:eastAsia="仿宋" w:cs="仿宋"/>
          <w:b w:val="0"/>
          <w:bCs w:val="0"/>
          <w:color w:val="auto"/>
          <w:sz w:val="24"/>
          <w:szCs w:val="24"/>
          <w:highlight w:val="none"/>
        </w:rPr>
        <w:t>.特种设备安全教育培训记录。</w:t>
      </w:r>
    </w:p>
    <w:p w14:paraId="6561BC7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lang w:val="en-US" w:eastAsia="zh-CN"/>
        </w:rPr>
        <w:t>3</w:t>
      </w:r>
      <w:r>
        <w:rPr>
          <w:rFonts w:hint="eastAsia" w:ascii="仿宋" w:hAnsi="仿宋" w:eastAsia="仿宋" w:cs="仿宋"/>
          <w:b w:val="0"/>
          <w:bCs w:val="0"/>
          <w:color w:val="auto"/>
          <w:sz w:val="24"/>
          <w:szCs w:val="24"/>
          <w:highlight w:val="none"/>
        </w:rPr>
        <w:t>.特种设备使用登记证及设备出厂资料。</w:t>
      </w:r>
    </w:p>
    <w:p w14:paraId="7AE9B38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5.特种设备有效期内定检报告。</w:t>
      </w:r>
    </w:p>
    <w:p w14:paraId="4DD03C5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6.特种设备定期自行检查记录（日常点检、月检）。</w:t>
      </w:r>
    </w:p>
    <w:p w14:paraId="72481B4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7.特种设备运行故障和事故记录及事故处理报告（或检修记录）。</w:t>
      </w:r>
    </w:p>
    <w:p w14:paraId="5A82500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8.特种设备台账、安全附件台账、作业人员台账。</w:t>
      </w:r>
    </w:p>
    <w:p w14:paraId="62BEB31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9.特种设备事故应急专项预案事故应急演练记录（附照片）。</w:t>
      </w:r>
    </w:p>
    <w:p w14:paraId="4643FFD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10.特种设备安全管理员证（原件）。</w:t>
      </w:r>
    </w:p>
    <w:p w14:paraId="02AE4E0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11.特种设备作业人员证件（原件）。</w:t>
      </w:r>
    </w:p>
    <w:p w14:paraId="189F346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12.特种设备作业环境自查报告（起重机械、叉车等特种设备作业区域安全排查）。</w:t>
      </w:r>
    </w:p>
    <w:p w14:paraId="0FC43AF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13.巡查现场企业负责人或特种设备分管负责人必须参加首次会议。</w:t>
      </w:r>
    </w:p>
    <w:p w14:paraId="394D83FA">
      <w:pPr>
        <w:spacing w:line="360" w:lineRule="auto"/>
        <w:ind w:firstLine="480" w:firstLineChars="20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w:t>
      </w:r>
      <w:r>
        <w:rPr>
          <w:rFonts w:hint="eastAsia" w:ascii="仿宋" w:hAnsi="仿宋" w:eastAsia="仿宋" w:cs="仿宋"/>
          <w:b w:val="0"/>
          <w:bCs w:val="0"/>
          <w:color w:val="auto"/>
          <w:sz w:val="24"/>
          <w:szCs w:val="24"/>
          <w:highlight w:val="none"/>
          <w:lang w:val="en-US" w:eastAsia="zh-CN"/>
        </w:rPr>
        <w:t>技术服务</w:t>
      </w:r>
      <w:r>
        <w:rPr>
          <w:rFonts w:hint="eastAsia" w:ascii="仿宋" w:hAnsi="仿宋" w:eastAsia="仿宋" w:cs="仿宋"/>
          <w:b w:val="0"/>
          <w:bCs w:val="0"/>
          <w:color w:val="auto"/>
          <w:sz w:val="24"/>
          <w:szCs w:val="24"/>
          <w:highlight w:val="none"/>
        </w:rPr>
        <w:t>人员发放企业时，留自己的联络方式便于企业咨询）</w:t>
      </w:r>
    </w:p>
    <w:p w14:paraId="612BE36C">
      <w:pPr>
        <w:rPr>
          <w:rFonts w:hint="eastAsia" w:ascii="仿宋"/>
          <w:color w:val="auto"/>
          <w:highlight w:val="none"/>
        </w:rPr>
      </w:pPr>
      <w:r>
        <w:rPr>
          <w:rFonts w:hint="eastAsia" w:ascii="仿宋"/>
          <w:color w:val="auto"/>
          <w:highlight w:val="none"/>
        </w:rPr>
        <w:br w:type="page"/>
      </w:r>
    </w:p>
    <w:p w14:paraId="32597E3F">
      <w:pPr>
        <w:spacing w:before="88" w:line="176" w:lineRule="auto"/>
        <w:jc w:val="center"/>
        <w:outlineLvl w:val="0"/>
        <w:rPr>
          <w:rFonts w:ascii="微软雅黑" w:hAnsi="微软雅黑" w:eastAsia="微软雅黑" w:cs="微软雅黑"/>
          <w:color w:val="auto"/>
          <w:sz w:val="48"/>
          <w:szCs w:val="48"/>
          <w:highlight w:val="none"/>
        </w:rPr>
      </w:pPr>
      <w:r>
        <w:rPr>
          <w:rFonts w:ascii="微软雅黑" w:hAnsi="微软雅黑" w:eastAsia="微软雅黑" w:cs="微软雅黑"/>
          <w:color w:val="auto"/>
          <w:spacing w:val="-2"/>
          <w:sz w:val="48"/>
          <w:szCs w:val="48"/>
          <w:highlight w:val="none"/>
        </w:rPr>
        <w:t>特种设备</w:t>
      </w:r>
      <w:r>
        <w:rPr>
          <w:rFonts w:hint="eastAsia" w:ascii="微软雅黑" w:hAnsi="微软雅黑" w:eastAsia="微软雅黑" w:cs="微软雅黑"/>
          <w:color w:val="auto"/>
          <w:spacing w:val="-2"/>
          <w:sz w:val="48"/>
          <w:szCs w:val="48"/>
          <w:highlight w:val="none"/>
          <w:lang w:val="en-US" w:eastAsia="zh-CN"/>
        </w:rPr>
        <w:t>技术服务记录</w:t>
      </w:r>
      <w:r>
        <w:rPr>
          <w:rFonts w:ascii="微软雅黑" w:hAnsi="微软雅黑" w:eastAsia="微软雅黑" w:cs="微软雅黑"/>
          <w:color w:val="auto"/>
          <w:spacing w:val="-2"/>
          <w:sz w:val="48"/>
          <w:szCs w:val="48"/>
          <w:highlight w:val="none"/>
        </w:rPr>
        <w:t>表</w:t>
      </w:r>
    </w:p>
    <w:p w14:paraId="70A3C49E">
      <w:pPr>
        <w:spacing w:line="65" w:lineRule="exact"/>
        <w:rPr>
          <w:color w:val="auto"/>
          <w:highlight w:val="none"/>
        </w:rPr>
      </w:pPr>
    </w:p>
    <w:tbl>
      <w:tblPr>
        <w:tblStyle w:val="34"/>
        <w:tblW w:w="8970"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99"/>
        <w:gridCol w:w="899"/>
        <w:gridCol w:w="899"/>
        <w:gridCol w:w="899"/>
        <w:gridCol w:w="899"/>
        <w:gridCol w:w="899"/>
        <w:gridCol w:w="899"/>
        <w:gridCol w:w="899"/>
        <w:gridCol w:w="1049"/>
        <w:gridCol w:w="1129"/>
      </w:tblGrid>
      <w:tr w14:paraId="782FA4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4" w:hRule="atLeast"/>
        </w:trPr>
        <w:tc>
          <w:tcPr>
            <w:tcW w:w="499" w:type="dxa"/>
            <w:vMerge w:val="restart"/>
            <w:tcBorders>
              <w:bottom w:val="nil"/>
            </w:tcBorders>
            <w:vAlign w:val="top"/>
          </w:tcPr>
          <w:p w14:paraId="51914DA9">
            <w:pPr>
              <w:pStyle w:val="33"/>
              <w:spacing w:line="416" w:lineRule="auto"/>
              <w:rPr>
                <w:rFonts w:hint="eastAsia" w:ascii="宋体" w:hAnsi="宋体" w:eastAsia="宋体" w:cs="宋体"/>
                <w:color w:val="auto"/>
                <w:highlight w:val="none"/>
              </w:rPr>
            </w:pPr>
          </w:p>
          <w:p w14:paraId="4D4E0BE8">
            <w:pPr>
              <w:spacing w:before="77" w:line="177" w:lineRule="auto"/>
              <w:ind w:left="62"/>
              <w:rPr>
                <w:rFonts w:hint="eastAsia" w:ascii="宋体" w:hAnsi="宋体" w:eastAsia="宋体" w:cs="宋体"/>
                <w:color w:val="auto"/>
                <w:sz w:val="18"/>
                <w:szCs w:val="18"/>
                <w:highlight w:val="none"/>
              </w:rPr>
            </w:pPr>
            <w:r>
              <w:rPr>
                <w:rFonts w:hint="eastAsia" w:ascii="宋体" w:hAnsi="宋体" w:eastAsia="宋体" w:cs="宋体"/>
                <w:color w:val="auto"/>
                <w:spacing w:val="-2"/>
                <w:sz w:val="18"/>
                <w:szCs w:val="18"/>
                <w:highlight w:val="none"/>
              </w:rPr>
              <w:t>基本</w:t>
            </w:r>
          </w:p>
          <w:p w14:paraId="630D55E3">
            <w:pPr>
              <w:spacing w:before="26" w:line="175" w:lineRule="auto"/>
              <w:ind w:left="60"/>
              <w:rPr>
                <w:rFonts w:hint="eastAsia" w:ascii="宋体" w:hAnsi="宋体" w:eastAsia="宋体" w:cs="宋体"/>
                <w:color w:val="auto"/>
                <w:sz w:val="18"/>
                <w:szCs w:val="18"/>
                <w:highlight w:val="none"/>
              </w:rPr>
            </w:pPr>
            <w:r>
              <w:rPr>
                <w:rFonts w:hint="eastAsia" w:ascii="宋体" w:hAnsi="宋体" w:eastAsia="宋体" w:cs="宋体"/>
                <w:color w:val="auto"/>
                <w:spacing w:val="-2"/>
                <w:sz w:val="18"/>
                <w:szCs w:val="18"/>
                <w:highlight w:val="none"/>
              </w:rPr>
              <w:t>情况</w:t>
            </w:r>
          </w:p>
        </w:tc>
        <w:tc>
          <w:tcPr>
            <w:tcW w:w="1798" w:type="dxa"/>
            <w:gridSpan w:val="2"/>
            <w:vMerge w:val="restart"/>
            <w:tcBorders>
              <w:bottom w:val="nil"/>
            </w:tcBorders>
            <w:vAlign w:val="top"/>
          </w:tcPr>
          <w:p w14:paraId="686D8FD6">
            <w:pPr>
              <w:pStyle w:val="33"/>
              <w:spacing w:line="270" w:lineRule="auto"/>
              <w:rPr>
                <w:rFonts w:hint="eastAsia" w:ascii="宋体" w:hAnsi="宋体" w:eastAsia="宋体" w:cs="宋体"/>
                <w:color w:val="auto"/>
                <w:highlight w:val="none"/>
              </w:rPr>
            </w:pPr>
          </w:p>
          <w:p w14:paraId="042873DE">
            <w:pPr>
              <w:pStyle w:val="33"/>
              <w:spacing w:line="271" w:lineRule="auto"/>
              <w:rPr>
                <w:rFonts w:hint="eastAsia" w:ascii="宋体" w:hAnsi="宋体" w:eastAsia="宋体" w:cs="宋体"/>
                <w:color w:val="auto"/>
                <w:highlight w:val="none"/>
              </w:rPr>
            </w:pPr>
          </w:p>
          <w:p w14:paraId="5D642111">
            <w:pPr>
              <w:spacing w:before="78" w:line="176" w:lineRule="auto"/>
              <w:ind w:left="358"/>
              <w:rPr>
                <w:rFonts w:hint="eastAsia" w:ascii="宋体" w:hAnsi="宋体" w:eastAsia="宋体" w:cs="宋体"/>
                <w:color w:val="auto"/>
                <w:sz w:val="18"/>
                <w:szCs w:val="18"/>
                <w:highlight w:val="none"/>
              </w:rPr>
            </w:pPr>
            <w:r>
              <w:rPr>
                <w:rFonts w:hint="eastAsia" w:ascii="宋体" w:hAnsi="宋体" w:eastAsia="宋体" w:cs="宋体"/>
                <w:color w:val="auto"/>
                <w:spacing w:val="-2"/>
                <w:sz w:val="18"/>
                <w:szCs w:val="18"/>
                <w:highlight w:val="none"/>
              </w:rPr>
              <w:t>使用单位情况</w:t>
            </w:r>
          </w:p>
        </w:tc>
        <w:tc>
          <w:tcPr>
            <w:tcW w:w="1798" w:type="dxa"/>
            <w:gridSpan w:val="2"/>
            <w:vAlign w:val="top"/>
          </w:tcPr>
          <w:p w14:paraId="6955D303">
            <w:pPr>
              <w:spacing w:before="82" w:line="176" w:lineRule="auto"/>
              <w:ind w:left="451"/>
              <w:rPr>
                <w:rFonts w:hint="eastAsia" w:ascii="宋体" w:hAnsi="宋体" w:eastAsia="宋体" w:cs="宋体"/>
                <w:color w:val="auto"/>
                <w:sz w:val="18"/>
                <w:szCs w:val="18"/>
                <w:highlight w:val="none"/>
              </w:rPr>
            </w:pPr>
            <w:r>
              <w:rPr>
                <w:rFonts w:hint="eastAsia" w:ascii="宋体" w:hAnsi="宋体" w:eastAsia="宋体" w:cs="宋体"/>
                <w:color w:val="auto"/>
                <w:spacing w:val="-8"/>
                <w:sz w:val="18"/>
                <w:szCs w:val="18"/>
                <w:highlight w:val="none"/>
              </w:rPr>
              <w:t>单位名称：</w:t>
            </w:r>
          </w:p>
        </w:tc>
        <w:tc>
          <w:tcPr>
            <w:tcW w:w="4875" w:type="dxa"/>
            <w:gridSpan w:val="5"/>
            <w:vAlign w:val="top"/>
          </w:tcPr>
          <w:p w14:paraId="307D5FF4">
            <w:pPr>
              <w:pStyle w:val="33"/>
              <w:rPr>
                <w:rFonts w:hint="eastAsia" w:ascii="宋体" w:hAnsi="宋体" w:eastAsia="宋体" w:cs="宋体"/>
                <w:color w:val="auto"/>
                <w:highlight w:val="none"/>
              </w:rPr>
            </w:pPr>
          </w:p>
        </w:tc>
      </w:tr>
      <w:tr w14:paraId="5EC849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9" w:hRule="atLeast"/>
        </w:trPr>
        <w:tc>
          <w:tcPr>
            <w:tcW w:w="499" w:type="dxa"/>
            <w:vMerge w:val="continue"/>
            <w:tcBorders>
              <w:top w:val="nil"/>
              <w:bottom w:val="nil"/>
            </w:tcBorders>
            <w:vAlign w:val="top"/>
          </w:tcPr>
          <w:p w14:paraId="272606C8">
            <w:pPr>
              <w:pStyle w:val="33"/>
              <w:rPr>
                <w:rFonts w:hint="eastAsia" w:ascii="宋体" w:hAnsi="宋体" w:eastAsia="宋体" w:cs="宋体"/>
                <w:color w:val="auto"/>
                <w:highlight w:val="none"/>
              </w:rPr>
            </w:pPr>
          </w:p>
        </w:tc>
        <w:tc>
          <w:tcPr>
            <w:tcW w:w="1798" w:type="dxa"/>
            <w:gridSpan w:val="2"/>
            <w:vMerge w:val="continue"/>
            <w:tcBorders>
              <w:top w:val="nil"/>
              <w:bottom w:val="nil"/>
            </w:tcBorders>
            <w:vAlign w:val="top"/>
          </w:tcPr>
          <w:p w14:paraId="12EE8F3B">
            <w:pPr>
              <w:pStyle w:val="33"/>
              <w:rPr>
                <w:rFonts w:hint="eastAsia" w:ascii="宋体" w:hAnsi="宋体" w:eastAsia="宋体" w:cs="宋体"/>
                <w:color w:val="auto"/>
                <w:highlight w:val="none"/>
              </w:rPr>
            </w:pPr>
          </w:p>
        </w:tc>
        <w:tc>
          <w:tcPr>
            <w:tcW w:w="1798" w:type="dxa"/>
            <w:gridSpan w:val="2"/>
            <w:vAlign w:val="top"/>
          </w:tcPr>
          <w:p w14:paraId="1D45A6AE">
            <w:pPr>
              <w:spacing w:before="79" w:line="178" w:lineRule="auto"/>
              <w:ind w:left="94"/>
              <w:rPr>
                <w:rFonts w:hint="eastAsia" w:ascii="宋体" w:hAnsi="宋体" w:eastAsia="宋体" w:cs="宋体"/>
                <w:color w:val="auto"/>
                <w:sz w:val="18"/>
                <w:szCs w:val="18"/>
                <w:highlight w:val="none"/>
              </w:rPr>
            </w:pPr>
            <w:r>
              <w:rPr>
                <w:rFonts w:hint="eastAsia" w:ascii="宋体" w:hAnsi="宋体" w:eastAsia="宋体" w:cs="宋体"/>
                <w:color w:val="auto"/>
                <w:spacing w:val="-6"/>
                <w:sz w:val="18"/>
                <w:szCs w:val="18"/>
                <w:highlight w:val="none"/>
              </w:rPr>
              <w:t>统一社会信用代码：</w:t>
            </w:r>
          </w:p>
        </w:tc>
        <w:tc>
          <w:tcPr>
            <w:tcW w:w="2697" w:type="dxa"/>
            <w:gridSpan w:val="3"/>
            <w:vAlign w:val="top"/>
          </w:tcPr>
          <w:p w14:paraId="2463F149">
            <w:pPr>
              <w:pStyle w:val="33"/>
              <w:rPr>
                <w:rFonts w:hint="eastAsia" w:ascii="宋体" w:hAnsi="宋体" w:eastAsia="宋体" w:cs="宋体"/>
                <w:color w:val="auto"/>
                <w:highlight w:val="none"/>
              </w:rPr>
            </w:pPr>
          </w:p>
        </w:tc>
        <w:tc>
          <w:tcPr>
            <w:tcW w:w="1049" w:type="dxa"/>
            <w:vAlign w:val="top"/>
          </w:tcPr>
          <w:p w14:paraId="24755038">
            <w:pPr>
              <w:spacing w:before="80" w:line="175" w:lineRule="auto"/>
              <w:ind w:left="171"/>
              <w:rPr>
                <w:rFonts w:hint="eastAsia" w:ascii="宋体" w:hAnsi="宋体" w:eastAsia="宋体" w:cs="宋体"/>
                <w:color w:val="auto"/>
                <w:sz w:val="18"/>
                <w:szCs w:val="18"/>
                <w:highlight w:val="none"/>
              </w:rPr>
            </w:pPr>
            <w:r>
              <w:rPr>
                <w:rFonts w:hint="eastAsia" w:ascii="宋体" w:hAnsi="宋体" w:eastAsia="宋体" w:cs="宋体"/>
                <w:color w:val="auto"/>
                <w:spacing w:val="-2"/>
                <w:sz w:val="18"/>
                <w:szCs w:val="18"/>
                <w:highlight w:val="none"/>
              </w:rPr>
              <w:t>经营情况</w:t>
            </w:r>
          </w:p>
        </w:tc>
        <w:tc>
          <w:tcPr>
            <w:tcW w:w="1129" w:type="dxa"/>
            <w:vAlign w:val="top"/>
          </w:tcPr>
          <w:p w14:paraId="110B41D6">
            <w:pPr>
              <w:pStyle w:val="33"/>
              <w:rPr>
                <w:rFonts w:hint="eastAsia" w:ascii="宋体" w:hAnsi="宋体" w:eastAsia="宋体" w:cs="宋体"/>
                <w:color w:val="auto"/>
                <w:highlight w:val="none"/>
              </w:rPr>
            </w:pPr>
          </w:p>
        </w:tc>
      </w:tr>
      <w:tr w14:paraId="4C1537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9" w:hRule="atLeast"/>
        </w:trPr>
        <w:tc>
          <w:tcPr>
            <w:tcW w:w="499" w:type="dxa"/>
            <w:vMerge w:val="continue"/>
            <w:tcBorders>
              <w:top w:val="nil"/>
              <w:bottom w:val="nil"/>
            </w:tcBorders>
            <w:vAlign w:val="top"/>
          </w:tcPr>
          <w:p w14:paraId="737B0947">
            <w:pPr>
              <w:pStyle w:val="33"/>
              <w:rPr>
                <w:rFonts w:hint="eastAsia" w:ascii="宋体" w:hAnsi="宋体" w:eastAsia="宋体" w:cs="宋体"/>
                <w:color w:val="auto"/>
                <w:highlight w:val="none"/>
              </w:rPr>
            </w:pPr>
          </w:p>
        </w:tc>
        <w:tc>
          <w:tcPr>
            <w:tcW w:w="1798" w:type="dxa"/>
            <w:gridSpan w:val="2"/>
            <w:vMerge w:val="continue"/>
            <w:tcBorders>
              <w:top w:val="nil"/>
              <w:bottom w:val="nil"/>
            </w:tcBorders>
            <w:vAlign w:val="top"/>
          </w:tcPr>
          <w:p w14:paraId="0929ADB8">
            <w:pPr>
              <w:pStyle w:val="33"/>
              <w:rPr>
                <w:rFonts w:hint="eastAsia" w:ascii="宋体" w:hAnsi="宋体" w:eastAsia="宋体" w:cs="宋体"/>
                <w:color w:val="auto"/>
                <w:highlight w:val="none"/>
              </w:rPr>
            </w:pPr>
          </w:p>
        </w:tc>
        <w:tc>
          <w:tcPr>
            <w:tcW w:w="1798" w:type="dxa"/>
            <w:gridSpan w:val="2"/>
            <w:vAlign w:val="top"/>
          </w:tcPr>
          <w:p w14:paraId="754F9EF8">
            <w:pPr>
              <w:spacing w:before="79" w:line="176" w:lineRule="auto"/>
              <w:ind w:left="451"/>
              <w:rPr>
                <w:rFonts w:hint="eastAsia" w:ascii="宋体" w:hAnsi="宋体" w:eastAsia="宋体" w:cs="宋体"/>
                <w:color w:val="auto"/>
                <w:sz w:val="18"/>
                <w:szCs w:val="18"/>
                <w:highlight w:val="none"/>
              </w:rPr>
            </w:pPr>
            <w:r>
              <w:rPr>
                <w:rFonts w:hint="eastAsia" w:ascii="宋体" w:hAnsi="宋体" w:eastAsia="宋体" w:cs="宋体"/>
                <w:color w:val="auto"/>
                <w:spacing w:val="-8"/>
                <w:sz w:val="18"/>
                <w:szCs w:val="18"/>
                <w:highlight w:val="none"/>
              </w:rPr>
              <w:t>单位地址：</w:t>
            </w:r>
          </w:p>
        </w:tc>
        <w:tc>
          <w:tcPr>
            <w:tcW w:w="4875" w:type="dxa"/>
            <w:gridSpan w:val="5"/>
            <w:vAlign w:val="top"/>
          </w:tcPr>
          <w:p w14:paraId="3CE3F955">
            <w:pPr>
              <w:pStyle w:val="33"/>
              <w:rPr>
                <w:rFonts w:hint="eastAsia" w:ascii="宋体" w:hAnsi="宋体" w:eastAsia="宋体" w:cs="宋体"/>
                <w:color w:val="auto"/>
                <w:highlight w:val="none"/>
              </w:rPr>
            </w:pPr>
          </w:p>
        </w:tc>
      </w:tr>
      <w:tr w14:paraId="790933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9" w:hRule="atLeast"/>
        </w:trPr>
        <w:tc>
          <w:tcPr>
            <w:tcW w:w="499" w:type="dxa"/>
            <w:vMerge w:val="continue"/>
            <w:tcBorders>
              <w:top w:val="nil"/>
            </w:tcBorders>
            <w:vAlign w:val="top"/>
          </w:tcPr>
          <w:p w14:paraId="0EE7C0FF">
            <w:pPr>
              <w:pStyle w:val="33"/>
              <w:rPr>
                <w:rFonts w:hint="eastAsia" w:ascii="宋体" w:hAnsi="宋体" w:eastAsia="宋体" w:cs="宋体"/>
                <w:color w:val="auto"/>
                <w:highlight w:val="none"/>
              </w:rPr>
            </w:pPr>
          </w:p>
        </w:tc>
        <w:tc>
          <w:tcPr>
            <w:tcW w:w="1798" w:type="dxa"/>
            <w:gridSpan w:val="2"/>
            <w:vMerge w:val="continue"/>
            <w:tcBorders>
              <w:top w:val="nil"/>
            </w:tcBorders>
            <w:vAlign w:val="top"/>
          </w:tcPr>
          <w:p w14:paraId="4765A1BF">
            <w:pPr>
              <w:pStyle w:val="33"/>
              <w:rPr>
                <w:rFonts w:hint="eastAsia" w:ascii="宋体" w:hAnsi="宋体" w:eastAsia="宋体" w:cs="宋体"/>
                <w:color w:val="auto"/>
                <w:highlight w:val="none"/>
              </w:rPr>
            </w:pPr>
          </w:p>
        </w:tc>
        <w:tc>
          <w:tcPr>
            <w:tcW w:w="899" w:type="dxa"/>
            <w:vAlign w:val="top"/>
          </w:tcPr>
          <w:p w14:paraId="5E243CAE">
            <w:pPr>
              <w:spacing w:before="81" w:line="176" w:lineRule="auto"/>
              <w:ind w:left="90"/>
              <w:rPr>
                <w:rFonts w:hint="eastAsia" w:ascii="宋体" w:hAnsi="宋体" w:eastAsia="宋体" w:cs="宋体"/>
                <w:color w:val="auto"/>
                <w:sz w:val="18"/>
                <w:szCs w:val="18"/>
                <w:highlight w:val="none"/>
              </w:rPr>
            </w:pPr>
            <w:r>
              <w:rPr>
                <w:rFonts w:hint="eastAsia" w:ascii="宋体" w:hAnsi="宋体" w:eastAsia="宋体" w:cs="宋体"/>
                <w:color w:val="auto"/>
                <w:spacing w:val="-2"/>
                <w:sz w:val="18"/>
                <w:szCs w:val="18"/>
                <w:highlight w:val="none"/>
              </w:rPr>
              <w:t>所属区域</w:t>
            </w:r>
          </w:p>
        </w:tc>
        <w:tc>
          <w:tcPr>
            <w:tcW w:w="899" w:type="dxa"/>
            <w:vAlign w:val="top"/>
          </w:tcPr>
          <w:p w14:paraId="1B588DFD">
            <w:pPr>
              <w:pStyle w:val="33"/>
              <w:rPr>
                <w:rFonts w:hint="eastAsia" w:ascii="宋体" w:hAnsi="宋体" w:eastAsia="宋体" w:cs="宋体"/>
                <w:color w:val="auto"/>
                <w:highlight w:val="none"/>
              </w:rPr>
            </w:pPr>
          </w:p>
        </w:tc>
        <w:tc>
          <w:tcPr>
            <w:tcW w:w="899" w:type="dxa"/>
            <w:vAlign w:val="top"/>
          </w:tcPr>
          <w:p w14:paraId="26F5D480">
            <w:pPr>
              <w:spacing w:before="81" w:line="175" w:lineRule="auto"/>
              <w:ind w:left="92"/>
              <w:rPr>
                <w:rFonts w:hint="eastAsia" w:ascii="宋体" w:hAnsi="宋体" w:eastAsia="宋体" w:cs="宋体"/>
                <w:color w:val="auto"/>
                <w:sz w:val="18"/>
                <w:szCs w:val="18"/>
                <w:highlight w:val="none"/>
              </w:rPr>
            </w:pPr>
            <w:r>
              <w:rPr>
                <w:rFonts w:hint="eastAsia" w:ascii="宋体" w:hAnsi="宋体" w:eastAsia="宋体" w:cs="宋体"/>
                <w:color w:val="auto"/>
                <w:spacing w:val="-10"/>
                <w:sz w:val="18"/>
                <w:szCs w:val="18"/>
                <w:highlight w:val="none"/>
              </w:rPr>
              <w:t>联系人：</w:t>
            </w:r>
          </w:p>
        </w:tc>
        <w:tc>
          <w:tcPr>
            <w:tcW w:w="899" w:type="dxa"/>
            <w:vAlign w:val="top"/>
          </w:tcPr>
          <w:p w14:paraId="0F7F4647">
            <w:pPr>
              <w:pStyle w:val="33"/>
              <w:rPr>
                <w:rFonts w:hint="eastAsia" w:ascii="宋体" w:hAnsi="宋体" w:eastAsia="宋体" w:cs="宋体"/>
                <w:color w:val="auto"/>
                <w:highlight w:val="none"/>
              </w:rPr>
            </w:pPr>
          </w:p>
        </w:tc>
        <w:tc>
          <w:tcPr>
            <w:tcW w:w="899" w:type="dxa"/>
            <w:vAlign w:val="top"/>
          </w:tcPr>
          <w:p w14:paraId="2C35DF62">
            <w:pPr>
              <w:spacing w:before="82" w:line="174" w:lineRule="auto"/>
              <w:ind w:left="205"/>
              <w:rPr>
                <w:rFonts w:hint="eastAsia" w:ascii="宋体" w:hAnsi="宋体" w:eastAsia="宋体" w:cs="宋体"/>
                <w:color w:val="auto"/>
                <w:sz w:val="18"/>
                <w:szCs w:val="18"/>
                <w:highlight w:val="none"/>
              </w:rPr>
            </w:pPr>
            <w:r>
              <w:rPr>
                <w:rFonts w:hint="eastAsia" w:ascii="宋体" w:hAnsi="宋体" w:eastAsia="宋体" w:cs="宋体"/>
                <w:color w:val="auto"/>
                <w:spacing w:val="-16"/>
                <w:sz w:val="18"/>
                <w:szCs w:val="18"/>
                <w:highlight w:val="none"/>
              </w:rPr>
              <w:t>电话：</w:t>
            </w:r>
          </w:p>
        </w:tc>
        <w:tc>
          <w:tcPr>
            <w:tcW w:w="2178" w:type="dxa"/>
            <w:gridSpan w:val="2"/>
            <w:vAlign w:val="top"/>
          </w:tcPr>
          <w:p w14:paraId="3CE13580">
            <w:pPr>
              <w:pStyle w:val="33"/>
              <w:rPr>
                <w:rFonts w:hint="eastAsia" w:ascii="宋体" w:hAnsi="宋体" w:eastAsia="宋体" w:cs="宋体"/>
                <w:color w:val="auto"/>
                <w:highlight w:val="none"/>
              </w:rPr>
            </w:pPr>
          </w:p>
        </w:tc>
      </w:tr>
      <w:tr w14:paraId="5858DE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9" w:hRule="atLeast"/>
        </w:trPr>
        <w:tc>
          <w:tcPr>
            <w:tcW w:w="499" w:type="dxa"/>
            <w:vMerge w:val="restart"/>
            <w:tcBorders>
              <w:bottom w:val="nil"/>
            </w:tcBorders>
            <w:vAlign w:val="top"/>
          </w:tcPr>
          <w:p w14:paraId="2B8BDB76">
            <w:pPr>
              <w:pStyle w:val="33"/>
              <w:spacing w:line="276" w:lineRule="auto"/>
              <w:rPr>
                <w:rFonts w:hint="eastAsia" w:ascii="宋体" w:hAnsi="宋体" w:eastAsia="宋体" w:cs="宋体"/>
                <w:color w:val="auto"/>
                <w:highlight w:val="none"/>
              </w:rPr>
            </w:pPr>
          </w:p>
          <w:p w14:paraId="0AFD0CD8">
            <w:pPr>
              <w:pStyle w:val="33"/>
              <w:spacing w:line="276" w:lineRule="auto"/>
              <w:rPr>
                <w:rFonts w:hint="eastAsia" w:ascii="宋体" w:hAnsi="宋体" w:eastAsia="宋体" w:cs="宋体"/>
                <w:color w:val="auto"/>
                <w:highlight w:val="none"/>
              </w:rPr>
            </w:pPr>
          </w:p>
          <w:p w14:paraId="0CE96BAA">
            <w:pPr>
              <w:pStyle w:val="33"/>
              <w:spacing w:line="276" w:lineRule="auto"/>
              <w:rPr>
                <w:rFonts w:hint="eastAsia" w:ascii="宋体" w:hAnsi="宋体" w:eastAsia="宋体" w:cs="宋体"/>
                <w:color w:val="auto"/>
                <w:highlight w:val="none"/>
              </w:rPr>
            </w:pPr>
          </w:p>
          <w:p w14:paraId="1D001673">
            <w:pPr>
              <w:pStyle w:val="33"/>
              <w:spacing w:line="276" w:lineRule="auto"/>
              <w:rPr>
                <w:rFonts w:hint="eastAsia" w:ascii="宋体" w:hAnsi="宋体" w:eastAsia="宋体" w:cs="宋体"/>
                <w:color w:val="auto"/>
                <w:highlight w:val="none"/>
              </w:rPr>
            </w:pPr>
          </w:p>
          <w:p w14:paraId="3EE82B13">
            <w:pPr>
              <w:pStyle w:val="33"/>
              <w:spacing w:line="276" w:lineRule="auto"/>
              <w:rPr>
                <w:rFonts w:hint="eastAsia" w:ascii="宋体" w:hAnsi="宋体" w:eastAsia="宋体" w:cs="宋体"/>
                <w:color w:val="auto"/>
                <w:highlight w:val="none"/>
              </w:rPr>
            </w:pPr>
          </w:p>
          <w:p w14:paraId="0C481B0B">
            <w:pPr>
              <w:pStyle w:val="33"/>
              <w:spacing w:line="276" w:lineRule="auto"/>
              <w:rPr>
                <w:rFonts w:hint="eastAsia" w:ascii="宋体" w:hAnsi="宋体" w:eastAsia="宋体" w:cs="宋体"/>
                <w:color w:val="auto"/>
                <w:highlight w:val="none"/>
              </w:rPr>
            </w:pPr>
          </w:p>
          <w:p w14:paraId="14A0651A">
            <w:pPr>
              <w:spacing w:before="77" w:line="176" w:lineRule="auto"/>
              <w:ind w:left="70"/>
              <w:rPr>
                <w:rFonts w:hint="eastAsia" w:ascii="宋体" w:hAnsi="宋体" w:eastAsia="宋体" w:cs="宋体"/>
                <w:color w:val="auto"/>
                <w:sz w:val="18"/>
                <w:szCs w:val="18"/>
                <w:highlight w:val="none"/>
              </w:rPr>
            </w:pPr>
            <w:r>
              <w:rPr>
                <w:rFonts w:hint="eastAsia" w:ascii="宋体" w:hAnsi="宋体" w:eastAsia="宋体" w:cs="宋体"/>
                <w:color w:val="auto"/>
                <w:spacing w:val="-3"/>
                <w:sz w:val="18"/>
                <w:szCs w:val="18"/>
                <w:highlight w:val="none"/>
              </w:rPr>
              <w:t>单位</w:t>
            </w:r>
          </w:p>
          <w:p w14:paraId="5E9827D0">
            <w:pPr>
              <w:spacing w:before="27" w:line="177" w:lineRule="auto"/>
              <w:ind w:left="73"/>
              <w:rPr>
                <w:rFonts w:hint="eastAsia" w:ascii="宋体" w:hAnsi="宋体" w:eastAsia="宋体" w:cs="宋体"/>
                <w:color w:val="auto"/>
                <w:sz w:val="18"/>
                <w:szCs w:val="18"/>
                <w:highlight w:val="none"/>
              </w:rPr>
            </w:pPr>
            <w:r>
              <w:rPr>
                <w:rFonts w:hint="eastAsia" w:ascii="宋体" w:hAnsi="宋体" w:eastAsia="宋体" w:cs="宋体"/>
                <w:color w:val="auto"/>
                <w:spacing w:val="-3"/>
                <w:sz w:val="18"/>
                <w:szCs w:val="18"/>
                <w:highlight w:val="none"/>
              </w:rPr>
              <w:t>安全</w:t>
            </w:r>
          </w:p>
          <w:p w14:paraId="5C4D42D3">
            <w:pPr>
              <w:spacing w:before="26" w:line="177" w:lineRule="auto"/>
              <w:ind w:left="73"/>
              <w:rPr>
                <w:rFonts w:hint="eastAsia" w:ascii="宋体" w:hAnsi="宋体" w:eastAsia="宋体" w:cs="宋体"/>
                <w:color w:val="auto"/>
                <w:sz w:val="18"/>
                <w:szCs w:val="18"/>
                <w:highlight w:val="none"/>
              </w:rPr>
            </w:pPr>
            <w:r>
              <w:rPr>
                <w:rFonts w:hint="eastAsia" w:ascii="宋体" w:hAnsi="宋体" w:eastAsia="宋体" w:cs="宋体"/>
                <w:color w:val="auto"/>
                <w:spacing w:val="-3"/>
                <w:sz w:val="18"/>
                <w:szCs w:val="18"/>
                <w:highlight w:val="none"/>
              </w:rPr>
              <w:t>管理</w:t>
            </w:r>
          </w:p>
        </w:tc>
        <w:tc>
          <w:tcPr>
            <w:tcW w:w="899" w:type="dxa"/>
            <w:vMerge w:val="restart"/>
            <w:tcBorders>
              <w:bottom w:val="nil"/>
            </w:tcBorders>
            <w:vAlign w:val="top"/>
          </w:tcPr>
          <w:p w14:paraId="3C76C7B8">
            <w:pPr>
              <w:pStyle w:val="33"/>
              <w:spacing w:line="350" w:lineRule="auto"/>
              <w:rPr>
                <w:rFonts w:hint="eastAsia" w:ascii="宋体" w:hAnsi="宋体" w:eastAsia="宋体" w:cs="宋体"/>
                <w:color w:val="auto"/>
                <w:highlight w:val="none"/>
              </w:rPr>
            </w:pPr>
          </w:p>
          <w:p w14:paraId="2E7BEEB8">
            <w:pPr>
              <w:spacing w:before="82" w:line="179" w:lineRule="auto"/>
              <w:ind w:left="254"/>
              <w:rPr>
                <w:rFonts w:hint="eastAsia" w:ascii="宋体" w:hAnsi="宋体" w:eastAsia="宋体" w:cs="宋体"/>
                <w:color w:val="auto"/>
                <w:sz w:val="19"/>
                <w:szCs w:val="19"/>
                <w:highlight w:val="none"/>
              </w:rPr>
            </w:pPr>
            <w:r>
              <w:rPr>
                <w:rFonts w:hint="eastAsia" w:ascii="宋体" w:hAnsi="宋体" w:eastAsia="宋体" w:cs="宋体"/>
                <w:color w:val="auto"/>
                <w:sz w:val="19"/>
                <w:szCs w:val="19"/>
                <w:highlight w:val="none"/>
              </w:rPr>
              <w:t>制度</w:t>
            </w:r>
          </w:p>
        </w:tc>
        <w:tc>
          <w:tcPr>
            <w:tcW w:w="6443" w:type="dxa"/>
            <w:gridSpan w:val="7"/>
            <w:vAlign w:val="top"/>
          </w:tcPr>
          <w:p w14:paraId="56B897F0">
            <w:pPr>
              <w:spacing w:before="74" w:line="180" w:lineRule="auto"/>
              <w:ind w:left="62"/>
              <w:rPr>
                <w:rFonts w:hint="eastAsia" w:ascii="宋体" w:hAnsi="宋体" w:eastAsia="宋体" w:cs="宋体"/>
                <w:color w:val="auto"/>
                <w:sz w:val="19"/>
                <w:szCs w:val="19"/>
                <w:highlight w:val="none"/>
              </w:rPr>
            </w:pPr>
            <w:r>
              <w:rPr>
                <w:rFonts w:hint="eastAsia" w:ascii="宋体" w:hAnsi="宋体" w:eastAsia="宋体" w:cs="宋体"/>
                <w:color w:val="auto"/>
                <w:spacing w:val="4"/>
                <w:sz w:val="19"/>
                <w:szCs w:val="19"/>
                <w:highlight w:val="none"/>
              </w:rPr>
              <w:t>是否设置安全管理机构或配备专兼职管理人员</w:t>
            </w:r>
          </w:p>
        </w:tc>
        <w:tc>
          <w:tcPr>
            <w:tcW w:w="1129" w:type="dxa"/>
            <w:vAlign w:val="top"/>
          </w:tcPr>
          <w:p w14:paraId="63999492">
            <w:pPr>
              <w:pStyle w:val="33"/>
              <w:rPr>
                <w:rFonts w:hint="eastAsia" w:ascii="宋体" w:hAnsi="宋体" w:eastAsia="宋体" w:cs="宋体"/>
                <w:color w:val="auto"/>
                <w:highlight w:val="none"/>
              </w:rPr>
            </w:pPr>
          </w:p>
        </w:tc>
      </w:tr>
      <w:tr w14:paraId="1176BE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499" w:type="dxa"/>
            <w:vMerge w:val="continue"/>
            <w:tcBorders>
              <w:top w:val="nil"/>
              <w:bottom w:val="nil"/>
            </w:tcBorders>
            <w:vAlign w:val="top"/>
          </w:tcPr>
          <w:p w14:paraId="56B57193">
            <w:pPr>
              <w:pStyle w:val="33"/>
              <w:rPr>
                <w:rFonts w:hint="eastAsia" w:ascii="宋体" w:hAnsi="宋体" w:eastAsia="宋体" w:cs="宋体"/>
                <w:color w:val="auto"/>
                <w:highlight w:val="none"/>
              </w:rPr>
            </w:pPr>
          </w:p>
        </w:tc>
        <w:tc>
          <w:tcPr>
            <w:tcW w:w="899" w:type="dxa"/>
            <w:vMerge w:val="continue"/>
            <w:tcBorders>
              <w:top w:val="nil"/>
              <w:bottom w:val="nil"/>
            </w:tcBorders>
            <w:vAlign w:val="top"/>
          </w:tcPr>
          <w:p w14:paraId="32FD85F1">
            <w:pPr>
              <w:pStyle w:val="33"/>
              <w:rPr>
                <w:rFonts w:hint="eastAsia" w:ascii="宋体" w:hAnsi="宋体" w:eastAsia="宋体" w:cs="宋体"/>
                <w:color w:val="auto"/>
                <w:highlight w:val="none"/>
              </w:rPr>
            </w:pPr>
          </w:p>
        </w:tc>
        <w:tc>
          <w:tcPr>
            <w:tcW w:w="6443" w:type="dxa"/>
            <w:gridSpan w:val="7"/>
            <w:vAlign w:val="top"/>
          </w:tcPr>
          <w:p w14:paraId="25E1EA31">
            <w:pPr>
              <w:spacing w:before="74" w:line="182" w:lineRule="auto"/>
              <w:ind w:left="62"/>
              <w:rPr>
                <w:rFonts w:hint="eastAsia" w:ascii="宋体" w:hAnsi="宋体" w:eastAsia="宋体" w:cs="宋体"/>
                <w:color w:val="auto"/>
                <w:sz w:val="19"/>
                <w:szCs w:val="19"/>
                <w:highlight w:val="none"/>
              </w:rPr>
            </w:pPr>
            <w:r>
              <w:rPr>
                <w:rFonts w:hint="eastAsia" w:ascii="宋体" w:hAnsi="宋体" w:eastAsia="宋体" w:cs="宋体"/>
                <w:color w:val="auto"/>
                <w:spacing w:val="4"/>
                <w:sz w:val="19"/>
                <w:szCs w:val="19"/>
                <w:highlight w:val="none"/>
              </w:rPr>
              <w:t>是否按规定建立安全管理制度和岗位安全责任制度</w:t>
            </w:r>
          </w:p>
        </w:tc>
        <w:tc>
          <w:tcPr>
            <w:tcW w:w="1129" w:type="dxa"/>
            <w:vAlign w:val="top"/>
          </w:tcPr>
          <w:p w14:paraId="1845930A">
            <w:pPr>
              <w:pStyle w:val="33"/>
              <w:rPr>
                <w:rFonts w:hint="eastAsia" w:ascii="宋体" w:hAnsi="宋体" w:eastAsia="宋体" w:cs="宋体"/>
                <w:color w:val="auto"/>
                <w:highlight w:val="none"/>
              </w:rPr>
            </w:pPr>
          </w:p>
        </w:tc>
      </w:tr>
      <w:tr w14:paraId="58C0B7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499" w:type="dxa"/>
            <w:vMerge w:val="continue"/>
            <w:tcBorders>
              <w:top w:val="nil"/>
              <w:bottom w:val="nil"/>
            </w:tcBorders>
            <w:vAlign w:val="top"/>
          </w:tcPr>
          <w:p w14:paraId="102909E7">
            <w:pPr>
              <w:pStyle w:val="33"/>
              <w:rPr>
                <w:rFonts w:hint="eastAsia" w:ascii="宋体" w:hAnsi="宋体" w:eastAsia="宋体" w:cs="宋体"/>
                <w:color w:val="auto"/>
                <w:highlight w:val="none"/>
              </w:rPr>
            </w:pPr>
          </w:p>
        </w:tc>
        <w:tc>
          <w:tcPr>
            <w:tcW w:w="899" w:type="dxa"/>
            <w:vMerge w:val="continue"/>
            <w:tcBorders>
              <w:top w:val="nil"/>
            </w:tcBorders>
            <w:vAlign w:val="top"/>
          </w:tcPr>
          <w:p w14:paraId="10354296">
            <w:pPr>
              <w:pStyle w:val="33"/>
              <w:rPr>
                <w:rFonts w:hint="eastAsia" w:ascii="宋体" w:hAnsi="宋体" w:eastAsia="宋体" w:cs="宋体"/>
                <w:color w:val="auto"/>
                <w:highlight w:val="none"/>
              </w:rPr>
            </w:pPr>
          </w:p>
        </w:tc>
        <w:tc>
          <w:tcPr>
            <w:tcW w:w="6443" w:type="dxa"/>
            <w:gridSpan w:val="7"/>
            <w:vAlign w:val="top"/>
          </w:tcPr>
          <w:p w14:paraId="4C834C01">
            <w:pPr>
              <w:spacing w:before="74" w:line="181" w:lineRule="auto"/>
              <w:ind w:left="62"/>
              <w:rPr>
                <w:rFonts w:hint="eastAsia" w:ascii="宋体" w:hAnsi="宋体" w:eastAsia="宋体" w:cs="宋体"/>
                <w:color w:val="auto"/>
                <w:sz w:val="19"/>
                <w:szCs w:val="19"/>
                <w:highlight w:val="none"/>
              </w:rPr>
            </w:pPr>
            <w:r>
              <w:rPr>
                <w:rFonts w:hint="eastAsia" w:ascii="宋体" w:hAnsi="宋体" w:eastAsia="宋体" w:cs="宋体"/>
                <w:color w:val="auto"/>
                <w:spacing w:val="4"/>
                <w:sz w:val="19"/>
                <w:szCs w:val="19"/>
                <w:highlight w:val="none"/>
              </w:rPr>
              <w:t>是否制定事故应急专项预案并有演练记录</w:t>
            </w:r>
          </w:p>
        </w:tc>
        <w:tc>
          <w:tcPr>
            <w:tcW w:w="1129" w:type="dxa"/>
            <w:vAlign w:val="top"/>
          </w:tcPr>
          <w:p w14:paraId="34D24CBE">
            <w:pPr>
              <w:pStyle w:val="33"/>
              <w:rPr>
                <w:rFonts w:hint="eastAsia" w:ascii="宋体" w:hAnsi="宋体" w:eastAsia="宋体" w:cs="宋体"/>
                <w:color w:val="auto"/>
                <w:highlight w:val="none"/>
              </w:rPr>
            </w:pPr>
          </w:p>
        </w:tc>
      </w:tr>
      <w:tr w14:paraId="18D509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499" w:type="dxa"/>
            <w:vMerge w:val="continue"/>
            <w:tcBorders>
              <w:top w:val="nil"/>
              <w:bottom w:val="nil"/>
            </w:tcBorders>
            <w:vAlign w:val="top"/>
          </w:tcPr>
          <w:p w14:paraId="79215AD4">
            <w:pPr>
              <w:pStyle w:val="33"/>
              <w:rPr>
                <w:rFonts w:hint="eastAsia" w:ascii="宋体" w:hAnsi="宋体" w:eastAsia="宋体" w:cs="宋体"/>
                <w:color w:val="auto"/>
                <w:highlight w:val="none"/>
              </w:rPr>
            </w:pPr>
          </w:p>
        </w:tc>
        <w:tc>
          <w:tcPr>
            <w:tcW w:w="899" w:type="dxa"/>
            <w:vMerge w:val="restart"/>
            <w:tcBorders>
              <w:bottom w:val="nil"/>
            </w:tcBorders>
            <w:vAlign w:val="top"/>
          </w:tcPr>
          <w:p w14:paraId="4B0C2A5A">
            <w:pPr>
              <w:pStyle w:val="33"/>
              <w:spacing w:line="352" w:lineRule="auto"/>
              <w:rPr>
                <w:rFonts w:hint="eastAsia" w:ascii="宋体" w:hAnsi="宋体" w:eastAsia="宋体" w:cs="宋体"/>
                <w:color w:val="auto"/>
                <w:highlight w:val="none"/>
              </w:rPr>
            </w:pPr>
          </w:p>
          <w:p w14:paraId="29A87FFD">
            <w:pPr>
              <w:spacing w:before="82" w:line="179" w:lineRule="auto"/>
              <w:ind w:left="61"/>
              <w:rPr>
                <w:rFonts w:hint="eastAsia" w:ascii="宋体" w:hAnsi="宋体" w:eastAsia="宋体" w:cs="宋体"/>
                <w:color w:val="auto"/>
                <w:sz w:val="19"/>
                <w:szCs w:val="19"/>
                <w:highlight w:val="none"/>
              </w:rPr>
            </w:pPr>
            <w:r>
              <w:rPr>
                <w:rFonts w:hint="eastAsia" w:ascii="宋体" w:hAnsi="宋体" w:eastAsia="宋体" w:cs="宋体"/>
                <w:color w:val="auto"/>
                <w:spacing w:val="2"/>
                <w:sz w:val="19"/>
                <w:szCs w:val="19"/>
                <w:highlight w:val="none"/>
              </w:rPr>
              <w:t>设备档案</w:t>
            </w:r>
          </w:p>
        </w:tc>
        <w:tc>
          <w:tcPr>
            <w:tcW w:w="6443" w:type="dxa"/>
            <w:gridSpan w:val="7"/>
            <w:vAlign w:val="top"/>
          </w:tcPr>
          <w:p w14:paraId="6C5B5FB2">
            <w:pPr>
              <w:spacing w:before="75" w:line="179" w:lineRule="auto"/>
              <w:ind w:left="62"/>
              <w:rPr>
                <w:rFonts w:hint="eastAsia" w:ascii="宋体" w:hAnsi="宋体" w:eastAsia="宋体" w:cs="宋体"/>
                <w:color w:val="auto"/>
                <w:sz w:val="19"/>
                <w:szCs w:val="19"/>
                <w:highlight w:val="none"/>
              </w:rPr>
            </w:pPr>
            <w:r>
              <w:rPr>
                <w:rFonts w:hint="eastAsia" w:ascii="宋体" w:hAnsi="宋体" w:eastAsia="宋体" w:cs="宋体"/>
                <w:color w:val="auto"/>
                <w:spacing w:val="4"/>
                <w:sz w:val="19"/>
                <w:szCs w:val="19"/>
                <w:highlight w:val="none"/>
              </w:rPr>
              <w:t>是否建立设备档案，档案是否齐全</w:t>
            </w:r>
          </w:p>
        </w:tc>
        <w:tc>
          <w:tcPr>
            <w:tcW w:w="1129" w:type="dxa"/>
            <w:vAlign w:val="top"/>
          </w:tcPr>
          <w:p w14:paraId="366B46E4">
            <w:pPr>
              <w:pStyle w:val="33"/>
              <w:rPr>
                <w:rFonts w:hint="eastAsia" w:ascii="宋体" w:hAnsi="宋体" w:eastAsia="宋体" w:cs="宋体"/>
                <w:color w:val="auto"/>
                <w:highlight w:val="none"/>
              </w:rPr>
            </w:pPr>
          </w:p>
        </w:tc>
      </w:tr>
      <w:tr w14:paraId="12AA6C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499" w:type="dxa"/>
            <w:vMerge w:val="continue"/>
            <w:tcBorders>
              <w:top w:val="nil"/>
              <w:bottom w:val="nil"/>
            </w:tcBorders>
            <w:vAlign w:val="top"/>
          </w:tcPr>
          <w:p w14:paraId="7A4FBB5D">
            <w:pPr>
              <w:pStyle w:val="33"/>
              <w:rPr>
                <w:rFonts w:hint="eastAsia" w:ascii="宋体" w:hAnsi="宋体" w:eastAsia="宋体" w:cs="宋体"/>
                <w:color w:val="auto"/>
                <w:highlight w:val="none"/>
              </w:rPr>
            </w:pPr>
          </w:p>
        </w:tc>
        <w:tc>
          <w:tcPr>
            <w:tcW w:w="899" w:type="dxa"/>
            <w:vMerge w:val="continue"/>
            <w:tcBorders>
              <w:top w:val="nil"/>
              <w:bottom w:val="nil"/>
            </w:tcBorders>
            <w:vAlign w:val="top"/>
          </w:tcPr>
          <w:p w14:paraId="76BA9CEC">
            <w:pPr>
              <w:pStyle w:val="33"/>
              <w:rPr>
                <w:rFonts w:hint="eastAsia" w:ascii="宋体" w:hAnsi="宋体" w:eastAsia="宋体" w:cs="宋体"/>
                <w:color w:val="auto"/>
                <w:highlight w:val="none"/>
              </w:rPr>
            </w:pPr>
          </w:p>
        </w:tc>
        <w:tc>
          <w:tcPr>
            <w:tcW w:w="6443" w:type="dxa"/>
            <w:gridSpan w:val="7"/>
            <w:vAlign w:val="top"/>
          </w:tcPr>
          <w:p w14:paraId="1D0B84DC">
            <w:pPr>
              <w:spacing w:before="75" w:line="179" w:lineRule="auto"/>
              <w:ind w:left="59"/>
              <w:rPr>
                <w:rFonts w:hint="eastAsia" w:ascii="宋体" w:hAnsi="宋体" w:eastAsia="宋体" w:cs="宋体"/>
                <w:color w:val="auto"/>
                <w:sz w:val="19"/>
                <w:szCs w:val="19"/>
                <w:highlight w:val="none"/>
              </w:rPr>
            </w:pPr>
            <w:r>
              <w:rPr>
                <w:rFonts w:hint="eastAsia" w:ascii="宋体" w:hAnsi="宋体" w:eastAsia="宋体" w:cs="宋体"/>
                <w:color w:val="auto"/>
                <w:spacing w:val="4"/>
                <w:sz w:val="19"/>
                <w:szCs w:val="19"/>
                <w:highlight w:val="none"/>
              </w:rPr>
              <w:t>所抽查设备是否在定期检验有效期内、是否登记注册</w:t>
            </w:r>
          </w:p>
        </w:tc>
        <w:tc>
          <w:tcPr>
            <w:tcW w:w="1129" w:type="dxa"/>
            <w:vAlign w:val="top"/>
          </w:tcPr>
          <w:p w14:paraId="2D907AEE">
            <w:pPr>
              <w:pStyle w:val="33"/>
              <w:rPr>
                <w:rFonts w:hint="eastAsia" w:ascii="宋体" w:hAnsi="宋体" w:eastAsia="宋体" w:cs="宋体"/>
                <w:color w:val="auto"/>
                <w:highlight w:val="none"/>
              </w:rPr>
            </w:pPr>
          </w:p>
        </w:tc>
      </w:tr>
      <w:tr w14:paraId="6D0594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499" w:type="dxa"/>
            <w:vMerge w:val="continue"/>
            <w:tcBorders>
              <w:top w:val="nil"/>
              <w:bottom w:val="nil"/>
            </w:tcBorders>
            <w:vAlign w:val="top"/>
          </w:tcPr>
          <w:p w14:paraId="2C09F530">
            <w:pPr>
              <w:pStyle w:val="33"/>
              <w:rPr>
                <w:rFonts w:hint="eastAsia" w:ascii="宋体" w:hAnsi="宋体" w:eastAsia="宋体" w:cs="宋体"/>
                <w:color w:val="auto"/>
                <w:highlight w:val="none"/>
              </w:rPr>
            </w:pPr>
          </w:p>
        </w:tc>
        <w:tc>
          <w:tcPr>
            <w:tcW w:w="899" w:type="dxa"/>
            <w:vMerge w:val="continue"/>
            <w:tcBorders>
              <w:top w:val="nil"/>
            </w:tcBorders>
            <w:vAlign w:val="top"/>
          </w:tcPr>
          <w:p w14:paraId="0FE04383">
            <w:pPr>
              <w:pStyle w:val="33"/>
              <w:rPr>
                <w:rFonts w:hint="eastAsia" w:ascii="宋体" w:hAnsi="宋体" w:eastAsia="宋体" w:cs="宋体"/>
                <w:color w:val="auto"/>
                <w:highlight w:val="none"/>
              </w:rPr>
            </w:pPr>
          </w:p>
        </w:tc>
        <w:tc>
          <w:tcPr>
            <w:tcW w:w="6443" w:type="dxa"/>
            <w:gridSpan w:val="7"/>
            <w:vAlign w:val="top"/>
          </w:tcPr>
          <w:p w14:paraId="6A9F2FC8">
            <w:pPr>
              <w:spacing w:before="75" w:line="179" w:lineRule="auto"/>
              <w:ind w:left="59"/>
              <w:rPr>
                <w:rFonts w:hint="eastAsia" w:ascii="宋体" w:hAnsi="宋体" w:eastAsia="宋体" w:cs="宋体"/>
                <w:color w:val="auto"/>
                <w:sz w:val="19"/>
                <w:szCs w:val="19"/>
                <w:highlight w:val="none"/>
              </w:rPr>
            </w:pPr>
            <w:r>
              <w:rPr>
                <w:rFonts w:hint="eastAsia" w:ascii="宋体" w:hAnsi="宋体" w:eastAsia="宋体" w:cs="宋体"/>
                <w:color w:val="auto"/>
                <w:spacing w:val="5"/>
                <w:sz w:val="19"/>
                <w:szCs w:val="19"/>
                <w:highlight w:val="none"/>
              </w:rPr>
              <w:t>所抽查的设备是否按规定进行日常维护保养或者定</w:t>
            </w:r>
            <w:r>
              <w:rPr>
                <w:rFonts w:hint="eastAsia" w:ascii="宋体" w:hAnsi="宋体" w:eastAsia="宋体" w:cs="宋体"/>
                <w:color w:val="auto"/>
                <w:spacing w:val="4"/>
                <w:sz w:val="19"/>
                <w:szCs w:val="19"/>
                <w:highlight w:val="none"/>
              </w:rPr>
              <w:t>期自行检查并有记录</w:t>
            </w:r>
          </w:p>
        </w:tc>
        <w:tc>
          <w:tcPr>
            <w:tcW w:w="1129" w:type="dxa"/>
            <w:vAlign w:val="top"/>
          </w:tcPr>
          <w:p w14:paraId="2A61DAF2">
            <w:pPr>
              <w:pStyle w:val="33"/>
              <w:rPr>
                <w:rFonts w:hint="eastAsia" w:ascii="宋体" w:hAnsi="宋体" w:eastAsia="宋体" w:cs="宋体"/>
                <w:color w:val="auto"/>
                <w:highlight w:val="none"/>
              </w:rPr>
            </w:pPr>
          </w:p>
        </w:tc>
      </w:tr>
      <w:tr w14:paraId="5E4C5C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499" w:type="dxa"/>
            <w:vMerge w:val="continue"/>
            <w:tcBorders>
              <w:top w:val="nil"/>
              <w:bottom w:val="nil"/>
            </w:tcBorders>
            <w:vAlign w:val="top"/>
          </w:tcPr>
          <w:p w14:paraId="5F5C6AAA">
            <w:pPr>
              <w:pStyle w:val="33"/>
              <w:rPr>
                <w:rFonts w:hint="eastAsia" w:ascii="宋体" w:hAnsi="宋体" w:eastAsia="宋体" w:cs="宋体"/>
                <w:color w:val="auto"/>
                <w:highlight w:val="none"/>
              </w:rPr>
            </w:pPr>
          </w:p>
        </w:tc>
        <w:tc>
          <w:tcPr>
            <w:tcW w:w="899" w:type="dxa"/>
            <w:vMerge w:val="restart"/>
            <w:tcBorders>
              <w:bottom w:val="nil"/>
            </w:tcBorders>
            <w:vAlign w:val="top"/>
          </w:tcPr>
          <w:p w14:paraId="4BB71E25">
            <w:pPr>
              <w:spacing w:before="256" w:line="178" w:lineRule="auto"/>
              <w:ind w:left="60"/>
              <w:rPr>
                <w:rFonts w:hint="eastAsia" w:ascii="宋体" w:hAnsi="宋体" w:eastAsia="宋体" w:cs="宋体"/>
                <w:color w:val="auto"/>
                <w:sz w:val="19"/>
                <w:szCs w:val="19"/>
                <w:highlight w:val="none"/>
              </w:rPr>
            </w:pPr>
            <w:r>
              <w:rPr>
                <w:rFonts w:hint="eastAsia" w:ascii="宋体" w:hAnsi="宋体" w:eastAsia="宋体" w:cs="宋体"/>
                <w:color w:val="auto"/>
                <w:spacing w:val="2"/>
                <w:sz w:val="19"/>
                <w:szCs w:val="19"/>
                <w:highlight w:val="none"/>
              </w:rPr>
              <w:t>人员档案</w:t>
            </w:r>
          </w:p>
        </w:tc>
        <w:tc>
          <w:tcPr>
            <w:tcW w:w="6443" w:type="dxa"/>
            <w:gridSpan w:val="7"/>
            <w:vAlign w:val="top"/>
          </w:tcPr>
          <w:p w14:paraId="2B78E711">
            <w:pPr>
              <w:spacing w:before="75" w:line="179" w:lineRule="auto"/>
              <w:ind w:left="58"/>
              <w:rPr>
                <w:rFonts w:hint="eastAsia" w:ascii="宋体" w:hAnsi="宋体" w:eastAsia="宋体" w:cs="宋体"/>
                <w:color w:val="auto"/>
                <w:sz w:val="19"/>
                <w:szCs w:val="19"/>
                <w:highlight w:val="none"/>
              </w:rPr>
            </w:pPr>
            <w:r>
              <w:rPr>
                <w:rFonts w:hint="eastAsia" w:ascii="宋体" w:hAnsi="宋体" w:eastAsia="宋体" w:cs="宋体"/>
                <w:color w:val="auto"/>
                <w:spacing w:val="4"/>
                <w:sz w:val="19"/>
                <w:szCs w:val="19"/>
                <w:highlight w:val="none"/>
              </w:rPr>
              <w:t>抽查安全管理人员和作业人员证件是否在有效期内</w:t>
            </w:r>
          </w:p>
        </w:tc>
        <w:tc>
          <w:tcPr>
            <w:tcW w:w="1129" w:type="dxa"/>
            <w:vAlign w:val="top"/>
          </w:tcPr>
          <w:p w14:paraId="63E78A81">
            <w:pPr>
              <w:pStyle w:val="33"/>
              <w:rPr>
                <w:rFonts w:hint="eastAsia" w:ascii="宋体" w:hAnsi="宋体" w:eastAsia="宋体" w:cs="宋体"/>
                <w:color w:val="auto"/>
                <w:highlight w:val="none"/>
              </w:rPr>
            </w:pPr>
          </w:p>
        </w:tc>
      </w:tr>
      <w:tr w14:paraId="6DA611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499" w:type="dxa"/>
            <w:vMerge w:val="continue"/>
            <w:tcBorders>
              <w:top w:val="nil"/>
              <w:bottom w:val="nil"/>
            </w:tcBorders>
            <w:vAlign w:val="top"/>
          </w:tcPr>
          <w:p w14:paraId="28F9EB8A">
            <w:pPr>
              <w:pStyle w:val="33"/>
              <w:rPr>
                <w:rFonts w:hint="eastAsia" w:ascii="宋体" w:hAnsi="宋体" w:eastAsia="宋体" w:cs="宋体"/>
                <w:color w:val="auto"/>
                <w:highlight w:val="none"/>
              </w:rPr>
            </w:pPr>
          </w:p>
        </w:tc>
        <w:tc>
          <w:tcPr>
            <w:tcW w:w="899" w:type="dxa"/>
            <w:vMerge w:val="continue"/>
            <w:tcBorders>
              <w:top w:val="nil"/>
            </w:tcBorders>
            <w:vAlign w:val="top"/>
          </w:tcPr>
          <w:p w14:paraId="1016A0E7">
            <w:pPr>
              <w:pStyle w:val="33"/>
              <w:rPr>
                <w:rFonts w:hint="eastAsia" w:ascii="宋体" w:hAnsi="宋体" w:eastAsia="宋体" w:cs="宋体"/>
                <w:color w:val="auto"/>
                <w:highlight w:val="none"/>
              </w:rPr>
            </w:pPr>
          </w:p>
        </w:tc>
        <w:tc>
          <w:tcPr>
            <w:tcW w:w="6443" w:type="dxa"/>
            <w:gridSpan w:val="7"/>
            <w:vAlign w:val="top"/>
          </w:tcPr>
          <w:p w14:paraId="08950344">
            <w:pPr>
              <w:spacing w:before="75" w:line="179" w:lineRule="auto"/>
              <w:ind w:left="62"/>
              <w:rPr>
                <w:rFonts w:hint="eastAsia" w:ascii="宋体" w:hAnsi="宋体" w:eastAsia="宋体" w:cs="宋体"/>
                <w:color w:val="auto"/>
                <w:sz w:val="19"/>
                <w:szCs w:val="19"/>
                <w:highlight w:val="none"/>
              </w:rPr>
            </w:pPr>
            <w:r>
              <w:rPr>
                <w:rFonts w:hint="eastAsia" w:ascii="宋体" w:hAnsi="宋体" w:eastAsia="宋体" w:cs="宋体"/>
                <w:color w:val="auto"/>
                <w:spacing w:val="4"/>
                <w:sz w:val="19"/>
                <w:szCs w:val="19"/>
                <w:highlight w:val="none"/>
              </w:rPr>
              <w:t>是否有特种设备作业人员培训记录</w:t>
            </w:r>
          </w:p>
        </w:tc>
        <w:tc>
          <w:tcPr>
            <w:tcW w:w="1129" w:type="dxa"/>
            <w:vAlign w:val="top"/>
          </w:tcPr>
          <w:p w14:paraId="4D4C5099">
            <w:pPr>
              <w:pStyle w:val="33"/>
              <w:rPr>
                <w:rFonts w:hint="eastAsia" w:ascii="宋体" w:hAnsi="宋体" w:eastAsia="宋体" w:cs="宋体"/>
                <w:color w:val="auto"/>
                <w:highlight w:val="none"/>
              </w:rPr>
            </w:pPr>
          </w:p>
        </w:tc>
      </w:tr>
      <w:tr w14:paraId="626C8F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499" w:type="dxa"/>
            <w:vMerge w:val="continue"/>
            <w:tcBorders>
              <w:top w:val="nil"/>
              <w:bottom w:val="nil"/>
            </w:tcBorders>
            <w:vAlign w:val="top"/>
          </w:tcPr>
          <w:p w14:paraId="21635926">
            <w:pPr>
              <w:pStyle w:val="33"/>
              <w:rPr>
                <w:rFonts w:hint="eastAsia" w:ascii="宋体" w:hAnsi="宋体" w:eastAsia="宋体" w:cs="宋体"/>
                <w:color w:val="auto"/>
                <w:highlight w:val="none"/>
              </w:rPr>
            </w:pPr>
          </w:p>
        </w:tc>
        <w:tc>
          <w:tcPr>
            <w:tcW w:w="899" w:type="dxa"/>
            <w:vMerge w:val="restart"/>
            <w:tcBorders>
              <w:bottom w:val="nil"/>
            </w:tcBorders>
            <w:vAlign w:val="top"/>
          </w:tcPr>
          <w:p w14:paraId="74E27E7D">
            <w:pPr>
              <w:spacing w:before="276" w:line="182" w:lineRule="auto"/>
              <w:ind w:left="45"/>
              <w:rPr>
                <w:rFonts w:hint="eastAsia" w:ascii="宋体" w:hAnsi="宋体" w:eastAsia="宋体" w:cs="宋体"/>
                <w:color w:val="auto"/>
                <w:sz w:val="19"/>
                <w:szCs w:val="19"/>
                <w:highlight w:val="none"/>
              </w:rPr>
            </w:pPr>
            <w:r>
              <w:rPr>
                <w:rFonts w:hint="eastAsia" w:ascii="宋体" w:hAnsi="宋体" w:eastAsia="宋体" w:cs="宋体"/>
                <w:color w:val="auto"/>
                <w:spacing w:val="6"/>
                <w:sz w:val="19"/>
                <w:szCs w:val="19"/>
                <w:highlight w:val="none"/>
              </w:rPr>
              <w:t>“两个责</w:t>
            </w:r>
          </w:p>
          <w:p w14:paraId="7ABEE41A">
            <w:pPr>
              <w:spacing w:before="28" w:line="212" w:lineRule="auto"/>
              <w:ind w:left="57" w:right="57"/>
              <w:rPr>
                <w:rFonts w:hint="eastAsia" w:ascii="宋体" w:hAnsi="宋体" w:eastAsia="宋体" w:cs="宋体"/>
                <w:color w:val="auto"/>
                <w:sz w:val="19"/>
                <w:szCs w:val="19"/>
                <w:highlight w:val="none"/>
              </w:rPr>
            </w:pPr>
            <w:r>
              <w:rPr>
                <w:rFonts w:hint="eastAsia" w:ascii="宋体" w:hAnsi="宋体" w:eastAsia="宋体" w:cs="宋体"/>
                <w:color w:val="auto"/>
                <w:spacing w:val="3"/>
                <w:sz w:val="19"/>
                <w:szCs w:val="19"/>
                <w:highlight w:val="none"/>
              </w:rPr>
              <w:t>任”落实</w:t>
            </w:r>
            <w:r>
              <w:rPr>
                <w:rFonts w:hint="eastAsia" w:ascii="宋体" w:hAnsi="宋体" w:eastAsia="宋体" w:cs="宋体"/>
                <w:color w:val="auto"/>
                <w:sz w:val="19"/>
                <w:szCs w:val="19"/>
                <w:highlight w:val="none"/>
              </w:rPr>
              <w:t xml:space="preserve"> </w:t>
            </w:r>
            <w:r>
              <w:rPr>
                <w:rFonts w:hint="eastAsia" w:ascii="宋体" w:hAnsi="宋体" w:eastAsia="宋体" w:cs="宋体"/>
                <w:color w:val="auto"/>
                <w:spacing w:val="1"/>
                <w:sz w:val="19"/>
                <w:szCs w:val="19"/>
                <w:highlight w:val="none"/>
              </w:rPr>
              <w:t>情况</w:t>
            </w:r>
          </w:p>
        </w:tc>
        <w:tc>
          <w:tcPr>
            <w:tcW w:w="6443" w:type="dxa"/>
            <w:gridSpan w:val="7"/>
            <w:vAlign w:val="top"/>
          </w:tcPr>
          <w:p w14:paraId="00E6EE7F">
            <w:pPr>
              <w:spacing w:before="82" w:line="176" w:lineRule="auto"/>
              <w:ind w:left="61"/>
              <w:rPr>
                <w:rFonts w:hint="eastAsia" w:ascii="宋体" w:hAnsi="宋体" w:eastAsia="宋体" w:cs="宋体"/>
                <w:color w:val="auto"/>
                <w:sz w:val="18"/>
                <w:szCs w:val="18"/>
                <w:highlight w:val="none"/>
              </w:rPr>
            </w:pPr>
            <w:r>
              <w:rPr>
                <w:rFonts w:hint="eastAsia" w:ascii="宋体" w:hAnsi="宋体" w:eastAsia="宋体" w:cs="宋体"/>
                <w:color w:val="auto"/>
                <w:spacing w:val="-1"/>
                <w:sz w:val="18"/>
                <w:szCs w:val="18"/>
                <w:highlight w:val="none"/>
              </w:rPr>
              <w:t>是否书面任命安全总监和安全员</w:t>
            </w:r>
          </w:p>
        </w:tc>
        <w:tc>
          <w:tcPr>
            <w:tcW w:w="1129" w:type="dxa"/>
            <w:vAlign w:val="top"/>
          </w:tcPr>
          <w:p w14:paraId="2E7D6767">
            <w:pPr>
              <w:pStyle w:val="33"/>
              <w:rPr>
                <w:rFonts w:hint="eastAsia" w:ascii="宋体" w:hAnsi="宋体" w:eastAsia="宋体" w:cs="宋体"/>
                <w:color w:val="auto"/>
                <w:highlight w:val="none"/>
              </w:rPr>
            </w:pPr>
          </w:p>
        </w:tc>
      </w:tr>
      <w:tr w14:paraId="64A696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1" w:hRule="atLeast"/>
        </w:trPr>
        <w:tc>
          <w:tcPr>
            <w:tcW w:w="499" w:type="dxa"/>
            <w:vMerge w:val="continue"/>
            <w:tcBorders>
              <w:top w:val="nil"/>
              <w:bottom w:val="nil"/>
            </w:tcBorders>
            <w:vAlign w:val="top"/>
          </w:tcPr>
          <w:p w14:paraId="1CF745BC">
            <w:pPr>
              <w:pStyle w:val="33"/>
              <w:rPr>
                <w:rFonts w:hint="eastAsia" w:ascii="宋体" w:hAnsi="宋体" w:eastAsia="宋体" w:cs="宋体"/>
                <w:color w:val="auto"/>
                <w:highlight w:val="none"/>
              </w:rPr>
            </w:pPr>
          </w:p>
        </w:tc>
        <w:tc>
          <w:tcPr>
            <w:tcW w:w="899" w:type="dxa"/>
            <w:vMerge w:val="continue"/>
            <w:tcBorders>
              <w:top w:val="nil"/>
              <w:bottom w:val="nil"/>
            </w:tcBorders>
            <w:vAlign w:val="top"/>
          </w:tcPr>
          <w:p w14:paraId="016B1AC6">
            <w:pPr>
              <w:pStyle w:val="33"/>
              <w:rPr>
                <w:rFonts w:hint="eastAsia" w:ascii="宋体" w:hAnsi="宋体" w:eastAsia="宋体" w:cs="宋体"/>
                <w:color w:val="auto"/>
                <w:highlight w:val="none"/>
              </w:rPr>
            </w:pPr>
          </w:p>
        </w:tc>
        <w:tc>
          <w:tcPr>
            <w:tcW w:w="6443" w:type="dxa"/>
            <w:gridSpan w:val="7"/>
            <w:vAlign w:val="top"/>
          </w:tcPr>
          <w:p w14:paraId="6E417C81">
            <w:pPr>
              <w:spacing w:before="71" w:line="194" w:lineRule="auto"/>
              <w:ind w:left="61" w:right="81"/>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是否制定《特种设备安全风险管控清单》《特种设备安</w:t>
            </w:r>
            <w:r>
              <w:rPr>
                <w:rFonts w:hint="eastAsia" w:ascii="宋体" w:hAnsi="宋体" w:eastAsia="宋体" w:cs="宋体"/>
                <w:color w:val="auto"/>
                <w:spacing w:val="-1"/>
                <w:sz w:val="18"/>
                <w:szCs w:val="18"/>
                <w:highlight w:val="none"/>
              </w:rPr>
              <w:t>全总监职责》《特种设备</w:t>
            </w:r>
            <w:r>
              <w:rPr>
                <w:rFonts w:hint="eastAsia" w:ascii="宋体" w:hAnsi="宋体" w:eastAsia="宋体" w:cs="宋体"/>
                <w:color w:val="auto"/>
                <w:sz w:val="18"/>
                <w:szCs w:val="18"/>
                <w:highlight w:val="none"/>
              </w:rPr>
              <w:t xml:space="preserve"> </w:t>
            </w:r>
            <w:r>
              <w:rPr>
                <w:rFonts w:hint="eastAsia" w:ascii="宋体" w:hAnsi="宋体" w:eastAsia="宋体" w:cs="宋体"/>
                <w:color w:val="auto"/>
                <w:spacing w:val="-1"/>
                <w:sz w:val="18"/>
                <w:szCs w:val="18"/>
                <w:highlight w:val="none"/>
              </w:rPr>
              <w:t>安全员守则》等制度文件</w:t>
            </w:r>
          </w:p>
        </w:tc>
        <w:tc>
          <w:tcPr>
            <w:tcW w:w="1129" w:type="dxa"/>
            <w:vAlign w:val="top"/>
          </w:tcPr>
          <w:p w14:paraId="5BFF78C5">
            <w:pPr>
              <w:pStyle w:val="33"/>
              <w:rPr>
                <w:rFonts w:hint="eastAsia" w:ascii="宋体" w:hAnsi="宋体" w:eastAsia="宋体" w:cs="宋体"/>
                <w:color w:val="auto"/>
                <w:highlight w:val="none"/>
              </w:rPr>
            </w:pPr>
          </w:p>
        </w:tc>
      </w:tr>
      <w:tr w14:paraId="7DDF30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499" w:type="dxa"/>
            <w:vMerge w:val="continue"/>
            <w:tcBorders>
              <w:top w:val="nil"/>
            </w:tcBorders>
            <w:vAlign w:val="top"/>
          </w:tcPr>
          <w:p w14:paraId="695EFA04">
            <w:pPr>
              <w:pStyle w:val="33"/>
              <w:rPr>
                <w:rFonts w:hint="eastAsia" w:ascii="宋体" w:hAnsi="宋体" w:eastAsia="宋体" w:cs="宋体"/>
                <w:color w:val="auto"/>
                <w:highlight w:val="none"/>
              </w:rPr>
            </w:pPr>
          </w:p>
        </w:tc>
        <w:tc>
          <w:tcPr>
            <w:tcW w:w="899" w:type="dxa"/>
            <w:vMerge w:val="continue"/>
            <w:tcBorders>
              <w:top w:val="nil"/>
            </w:tcBorders>
            <w:vAlign w:val="top"/>
          </w:tcPr>
          <w:p w14:paraId="79AA1C14">
            <w:pPr>
              <w:pStyle w:val="33"/>
              <w:rPr>
                <w:rFonts w:hint="eastAsia" w:ascii="宋体" w:hAnsi="宋体" w:eastAsia="宋体" w:cs="宋体"/>
                <w:color w:val="auto"/>
                <w:highlight w:val="none"/>
              </w:rPr>
            </w:pPr>
          </w:p>
        </w:tc>
        <w:tc>
          <w:tcPr>
            <w:tcW w:w="6443" w:type="dxa"/>
            <w:gridSpan w:val="7"/>
            <w:vAlign w:val="top"/>
          </w:tcPr>
          <w:p w14:paraId="7DA1623A">
            <w:pPr>
              <w:spacing w:before="84" w:line="178" w:lineRule="auto"/>
              <w:ind w:left="61"/>
              <w:rPr>
                <w:rFonts w:hint="eastAsia" w:ascii="宋体" w:hAnsi="宋体" w:eastAsia="宋体" w:cs="宋体"/>
                <w:color w:val="auto"/>
                <w:sz w:val="18"/>
                <w:szCs w:val="18"/>
                <w:highlight w:val="none"/>
              </w:rPr>
            </w:pPr>
            <w:r>
              <w:rPr>
                <w:rFonts w:hint="eastAsia" w:ascii="宋体" w:hAnsi="宋体" w:eastAsia="宋体" w:cs="宋体"/>
                <w:color w:val="auto"/>
                <w:spacing w:val="-1"/>
                <w:sz w:val="18"/>
                <w:szCs w:val="18"/>
                <w:highlight w:val="none"/>
              </w:rPr>
              <w:t>是否建立并落实日管控、周排查、月调度等工作机制</w:t>
            </w:r>
          </w:p>
        </w:tc>
        <w:tc>
          <w:tcPr>
            <w:tcW w:w="1129" w:type="dxa"/>
            <w:vAlign w:val="top"/>
          </w:tcPr>
          <w:p w14:paraId="6776EFFE">
            <w:pPr>
              <w:pStyle w:val="33"/>
              <w:rPr>
                <w:rFonts w:hint="eastAsia" w:ascii="宋体" w:hAnsi="宋体" w:eastAsia="宋体" w:cs="宋体"/>
                <w:color w:val="auto"/>
                <w:highlight w:val="none"/>
              </w:rPr>
            </w:pPr>
          </w:p>
        </w:tc>
      </w:tr>
      <w:tr w14:paraId="6F3A24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1" w:hRule="atLeast"/>
        </w:trPr>
        <w:tc>
          <w:tcPr>
            <w:tcW w:w="499" w:type="dxa"/>
            <w:vMerge w:val="restart"/>
            <w:tcBorders>
              <w:bottom w:val="nil"/>
            </w:tcBorders>
            <w:vAlign w:val="top"/>
          </w:tcPr>
          <w:p w14:paraId="1D1FEC0D">
            <w:pPr>
              <w:pStyle w:val="33"/>
              <w:spacing w:line="292" w:lineRule="auto"/>
              <w:rPr>
                <w:rFonts w:hint="eastAsia" w:ascii="宋体" w:hAnsi="宋体" w:eastAsia="宋体" w:cs="宋体"/>
                <w:color w:val="auto"/>
                <w:highlight w:val="none"/>
              </w:rPr>
            </w:pPr>
          </w:p>
          <w:p w14:paraId="2847D52B">
            <w:pPr>
              <w:spacing w:before="77" w:line="175" w:lineRule="auto"/>
              <w:ind w:left="72"/>
              <w:rPr>
                <w:rFonts w:hint="eastAsia" w:ascii="宋体" w:hAnsi="宋体" w:eastAsia="宋体" w:cs="宋体"/>
                <w:color w:val="auto"/>
                <w:sz w:val="18"/>
                <w:szCs w:val="18"/>
                <w:highlight w:val="none"/>
              </w:rPr>
            </w:pPr>
            <w:r>
              <w:rPr>
                <w:rFonts w:hint="eastAsia" w:ascii="宋体" w:hAnsi="宋体" w:eastAsia="宋体" w:cs="宋体"/>
                <w:color w:val="auto"/>
                <w:spacing w:val="-2"/>
                <w:w w:val="99"/>
                <w:sz w:val="18"/>
                <w:szCs w:val="18"/>
                <w:highlight w:val="none"/>
              </w:rPr>
              <w:t>设备</w:t>
            </w:r>
          </w:p>
          <w:p w14:paraId="7B5D7AB2">
            <w:pPr>
              <w:spacing w:before="29" w:line="175" w:lineRule="auto"/>
              <w:ind w:left="68"/>
              <w:rPr>
                <w:rFonts w:hint="eastAsia" w:ascii="宋体" w:hAnsi="宋体" w:eastAsia="宋体" w:cs="宋体"/>
                <w:color w:val="auto"/>
                <w:sz w:val="18"/>
                <w:szCs w:val="18"/>
                <w:highlight w:val="none"/>
              </w:rPr>
            </w:pPr>
            <w:r>
              <w:rPr>
                <w:rFonts w:hint="eastAsia" w:ascii="宋体" w:hAnsi="宋体" w:eastAsia="宋体" w:cs="宋体"/>
                <w:color w:val="auto"/>
                <w:spacing w:val="-2"/>
                <w:sz w:val="18"/>
                <w:szCs w:val="18"/>
                <w:highlight w:val="none"/>
              </w:rPr>
              <w:t>情况</w:t>
            </w:r>
          </w:p>
        </w:tc>
        <w:tc>
          <w:tcPr>
            <w:tcW w:w="899" w:type="dxa"/>
            <w:vAlign w:val="top"/>
          </w:tcPr>
          <w:p w14:paraId="1EF1D794">
            <w:pPr>
              <w:spacing w:before="200" w:line="175" w:lineRule="auto"/>
              <w:ind w:left="90"/>
              <w:rPr>
                <w:rFonts w:hint="eastAsia" w:ascii="宋体" w:hAnsi="宋体" w:eastAsia="宋体" w:cs="宋体"/>
                <w:color w:val="auto"/>
                <w:sz w:val="18"/>
                <w:szCs w:val="18"/>
                <w:highlight w:val="none"/>
              </w:rPr>
            </w:pPr>
            <w:r>
              <w:rPr>
                <w:rFonts w:hint="eastAsia" w:ascii="宋体" w:hAnsi="宋体" w:eastAsia="宋体" w:cs="宋体"/>
                <w:color w:val="auto"/>
                <w:spacing w:val="-2"/>
                <w:sz w:val="18"/>
                <w:szCs w:val="18"/>
                <w:highlight w:val="none"/>
              </w:rPr>
              <w:t>设备种类</w:t>
            </w:r>
          </w:p>
        </w:tc>
        <w:tc>
          <w:tcPr>
            <w:tcW w:w="899" w:type="dxa"/>
            <w:vAlign w:val="top"/>
          </w:tcPr>
          <w:p w14:paraId="725E4C76">
            <w:pPr>
              <w:spacing w:before="73" w:line="174" w:lineRule="auto"/>
              <w:ind w:left="88"/>
              <w:rPr>
                <w:rFonts w:hint="eastAsia" w:ascii="宋体" w:hAnsi="宋体" w:eastAsia="宋体" w:cs="宋体"/>
                <w:color w:val="auto"/>
                <w:sz w:val="18"/>
                <w:szCs w:val="18"/>
                <w:highlight w:val="none"/>
              </w:rPr>
            </w:pPr>
            <w:r>
              <w:rPr>
                <w:rFonts w:hint="eastAsia" w:ascii="宋体" w:hAnsi="宋体" w:eastAsia="宋体" w:cs="宋体"/>
                <w:color w:val="auto"/>
                <w:spacing w:val="-2"/>
                <w:sz w:val="18"/>
                <w:szCs w:val="18"/>
                <w:highlight w:val="none"/>
              </w:rPr>
              <w:t>在用设备</w:t>
            </w:r>
          </w:p>
          <w:p w14:paraId="0D27673B">
            <w:pPr>
              <w:spacing w:before="29" w:line="175" w:lineRule="auto"/>
              <w:ind w:left="270"/>
              <w:rPr>
                <w:rFonts w:hint="eastAsia" w:ascii="宋体" w:hAnsi="宋体" w:eastAsia="宋体" w:cs="宋体"/>
                <w:color w:val="auto"/>
                <w:sz w:val="18"/>
                <w:szCs w:val="18"/>
                <w:highlight w:val="none"/>
              </w:rPr>
            </w:pPr>
            <w:r>
              <w:rPr>
                <w:rFonts w:hint="eastAsia" w:ascii="宋体" w:hAnsi="宋体" w:eastAsia="宋体" w:cs="宋体"/>
                <w:color w:val="auto"/>
                <w:spacing w:val="-3"/>
                <w:sz w:val="18"/>
                <w:szCs w:val="18"/>
                <w:highlight w:val="none"/>
              </w:rPr>
              <w:t>数量</w:t>
            </w:r>
          </w:p>
        </w:tc>
        <w:tc>
          <w:tcPr>
            <w:tcW w:w="899" w:type="dxa"/>
            <w:vAlign w:val="top"/>
          </w:tcPr>
          <w:p w14:paraId="0A4F8460">
            <w:pPr>
              <w:spacing w:before="76" w:line="173" w:lineRule="auto"/>
              <w:ind w:left="90"/>
              <w:rPr>
                <w:rFonts w:hint="eastAsia" w:ascii="宋体" w:hAnsi="宋体" w:eastAsia="宋体" w:cs="宋体"/>
                <w:color w:val="auto"/>
                <w:sz w:val="18"/>
                <w:szCs w:val="18"/>
                <w:highlight w:val="none"/>
              </w:rPr>
            </w:pPr>
            <w:r>
              <w:rPr>
                <w:rFonts w:hint="eastAsia" w:ascii="宋体" w:hAnsi="宋体" w:eastAsia="宋体" w:cs="宋体"/>
                <w:color w:val="auto"/>
                <w:spacing w:val="-2"/>
                <w:sz w:val="18"/>
                <w:szCs w:val="18"/>
                <w:highlight w:val="none"/>
              </w:rPr>
              <w:t>注册登记</w:t>
            </w:r>
          </w:p>
          <w:p w14:paraId="06E76F37">
            <w:pPr>
              <w:spacing w:before="28" w:line="175" w:lineRule="auto"/>
              <w:ind w:left="271"/>
              <w:rPr>
                <w:rFonts w:hint="eastAsia" w:ascii="宋体" w:hAnsi="宋体" w:eastAsia="宋体" w:cs="宋体"/>
                <w:color w:val="auto"/>
                <w:sz w:val="18"/>
                <w:szCs w:val="18"/>
                <w:highlight w:val="none"/>
              </w:rPr>
            </w:pPr>
            <w:r>
              <w:rPr>
                <w:rFonts w:hint="eastAsia" w:ascii="宋体" w:hAnsi="宋体" w:eastAsia="宋体" w:cs="宋体"/>
                <w:color w:val="auto"/>
                <w:spacing w:val="-3"/>
                <w:sz w:val="18"/>
                <w:szCs w:val="18"/>
                <w:highlight w:val="none"/>
              </w:rPr>
              <w:t>数量</w:t>
            </w:r>
          </w:p>
        </w:tc>
        <w:tc>
          <w:tcPr>
            <w:tcW w:w="899" w:type="dxa"/>
            <w:vAlign w:val="top"/>
          </w:tcPr>
          <w:p w14:paraId="758E3A44">
            <w:pPr>
              <w:spacing w:before="74" w:line="193" w:lineRule="auto"/>
              <w:ind w:left="179" w:right="84" w:hanging="86"/>
              <w:rPr>
                <w:rFonts w:hint="eastAsia" w:ascii="宋体" w:hAnsi="宋体" w:eastAsia="宋体" w:cs="宋体"/>
                <w:color w:val="auto"/>
                <w:sz w:val="18"/>
                <w:szCs w:val="18"/>
                <w:highlight w:val="none"/>
              </w:rPr>
            </w:pPr>
            <w:r>
              <w:rPr>
                <w:rFonts w:hint="eastAsia" w:ascii="宋体" w:hAnsi="宋体" w:eastAsia="宋体" w:cs="宋体"/>
                <w:color w:val="auto"/>
                <w:spacing w:val="-3"/>
                <w:sz w:val="18"/>
                <w:szCs w:val="18"/>
                <w:highlight w:val="none"/>
              </w:rPr>
              <w:t>未注册登</w:t>
            </w:r>
            <w:r>
              <w:rPr>
                <w:rFonts w:hint="eastAsia" w:ascii="宋体" w:hAnsi="宋体" w:eastAsia="宋体" w:cs="宋体"/>
                <w:color w:val="auto"/>
                <w:spacing w:val="1"/>
                <w:sz w:val="18"/>
                <w:szCs w:val="18"/>
                <w:highlight w:val="none"/>
              </w:rPr>
              <w:t xml:space="preserve"> </w:t>
            </w:r>
            <w:r>
              <w:rPr>
                <w:rFonts w:hint="eastAsia" w:ascii="宋体" w:hAnsi="宋体" w:eastAsia="宋体" w:cs="宋体"/>
                <w:color w:val="auto"/>
                <w:spacing w:val="-2"/>
                <w:sz w:val="18"/>
                <w:szCs w:val="18"/>
                <w:highlight w:val="none"/>
              </w:rPr>
              <w:t>记数量</w:t>
            </w:r>
          </w:p>
        </w:tc>
        <w:tc>
          <w:tcPr>
            <w:tcW w:w="899" w:type="dxa"/>
            <w:vAlign w:val="top"/>
          </w:tcPr>
          <w:p w14:paraId="471C2ACA">
            <w:pPr>
              <w:spacing w:before="199" w:line="175" w:lineRule="auto"/>
              <w:ind w:left="91"/>
              <w:rPr>
                <w:rFonts w:hint="eastAsia" w:ascii="宋体" w:hAnsi="宋体" w:eastAsia="宋体" w:cs="宋体"/>
                <w:color w:val="auto"/>
                <w:sz w:val="18"/>
                <w:szCs w:val="18"/>
                <w:highlight w:val="none"/>
              </w:rPr>
            </w:pPr>
            <w:r>
              <w:rPr>
                <w:rFonts w:hint="eastAsia" w:ascii="宋体" w:hAnsi="宋体" w:eastAsia="宋体" w:cs="宋体"/>
                <w:color w:val="auto"/>
                <w:spacing w:val="-2"/>
                <w:sz w:val="18"/>
                <w:szCs w:val="18"/>
                <w:highlight w:val="none"/>
              </w:rPr>
              <w:t>抽查数量</w:t>
            </w:r>
          </w:p>
        </w:tc>
        <w:tc>
          <w:tcPr>
            <w:tcW w:w="899" w:type="dxa"/>
            <w:vAlign w:val="top"/>
          </w:tcPr>
          <w:p w14:paraId="46D68102">
            <w:pPr>
              <w:spacing w:before="71" w:line="194" w:lineRule="auto"/>
              <w:ind w:left="185" w:right="82" w:hanging="92"/>
              <w:rPr>
                <w:rFonts w:hint="eastAsia" w:ascii="宋体" w:hAnsi="宋体" w:eastAsia="宋体" w:cs="宋体"/>
                <w:color w:val="auto"/>
                <w:sz w:val="18"/>
                <w:szCs w:val="18"/>
                <w:highlight w:val="none"/>
              </w:rPr>
            </w:pPr>
            <w:r>
              <w:rPr>
                <w:rFonts w:hint="eastAsia" w:ascii="宋体" w:hAnsi="宋体" w:eastAsia="宋体" w:cs="宋体"/>
                <w:color w:val="auto"/>
                <w:spacing w:val="-2"/>
                <w:sz w:val="18"/>
                <w:szCs w:val="18"/>
                <w:highlight w:val="none"/>
              </w:rPr>
              <w:t>检验有效</w:t>
            </w:r>
            <w:r>
              <w:rPr>
                <w:rFonts w:hint="eastAsia" w:ascii="宋体" w:hAnsi="宋体" w:eastAsia="宋体" w:cs="宋体"/>
                <w:color w:val="auto"/>
                <w:sz w:val="18"/>
                <w:szCs w:val="18"/>
                <w:highlight w:val="none"/>
              </w:rPr>
              <w:t xml:space="preserve"> </w:t>
            </w:r>
            <w:r>
              <w:rPr>
                <w:rFonts w:hint="eastAsia" w:ascii="宋体" w:hAnsi="宋体" w:eastAsia="宋体" w:cs="宋体"/>
                <w:color w:val="auto"/>
                <w:spacing w:val="-3"/>
                <w:sz w:val="18"/>
                <w:szCs w:val="18"/>
                <w:highlight w:val="none"/>
              </w:rPr>
              <w:t>期数量</w:t>
            </w:r>
          </w:p>
        </w:tc>
        <w:tc>
          <w:tcPr>
            <w:tcW w:w="899" w:type="dxa"/>
            <w:vAlign w:val="top"/>
          </w:tcPr>
          <w:p w14:paraId="730902EC">
            <w:pPr>
              <w:spacing w:before="72" w:line="176" w:lineRule="auto"/>
              <w:ind w:left="93"/>
              <w:rPr>
                <w:rFonts w:hint="eastAsia" w:ascii="宋体" w:hAnsi="宋体" w:eastAsia="宋体" w:cs="宋体"/>
                <w:color w:val="auto"/>
                <w:sz w:val="18"/>
                <w:szCs w:val="18"/>
                <w:highlight w:val="none"/>
              </w:rPr>
            </w:pPr>
            <w:r>
              <w:rPr>
                <w:rFonts w:hint="eastAsia" w:ascii="宋体" w:hAnsi="宋体" w:eastAsia="宋体" w:cs="宋体"/>
                <w:color w:val="auto"/>
                <w:spacing w:val="-2"/>
                <w:sz w:val="18"/>
                <w:szCs w:val="18"/>
                <w:highlight w:val="none"/>
              </w:rPr>
              <w:t>超期未检</w:t>
            </w:r>
          </w:p>
          <w:p w14:paraId="26000671">
            <w:pPr>
              <w:spacing w:before="28" w:line="175" w:lineRule="auto"/>
              <w:ind w:left="275"/>
              <w:rPr>
                <w:rFonts w:hint="eastAsia" w:ascii="宋体" w:hAnsi="宋体" w:eastAsia="宋体" w:cs="宋体"/>
                <w:color w:val="auto"/>
                <w:sz w:val="18"/>
                <w:szCs w:val="18"/>
                <w:highlight w:val="none"/>
              </w:rPr>
            </w:pPr>
            <w:r>
              <w:rPr>
                <w:rFonts w:hint="eastAsia" w:ascii="宋体" w:hAnsi="宋体" w:eastAsia="宋体" w:cs="宋体"/>
                <w:color w:val="auto"/>
                <w:spacing w:val="-3"/>
                <w:sz w:val="18"/>
                <w:szCs w:val="18"/>
                <w:highlight w:val="none"/>
              </w:rPr>
              <w:t>数量</w:t>
            </w:r>
          </w:p>
        </w:tc>
        <w:tc>
          <w:tcPr>
            <w:tcW w:w="1049" w:type="dxa"/>
            <w:vAlign w:val="top"/>
          </w:tcPr>
          <w:p w14:paraId="728BD662">
            <w:pPr>
              <w:spacing w:before="72" w:line="175" w:lineRule="auto"/>
              <w:ind w:left="80"/>
              <w:rPr>
                <w:rFonts w:hint="eastAsia" w:ascii="宋体" w:hAnsi="宋体" w:eastAsia="宋体" w:cs="宋体"/>
                <w:color w:val="auto"/>
                <w:sz w:val="18"/>
                <w:szCs w:val="18"/>
                <w:highlight w:val="none"/>
              </w:rPr>
            </w:pPr>
            <w:r>
              <w:rPr>
                <w:rFonts w:hint="eastAsia" w:ascii="宋体" w:hAnsi="宋体" w:eastAsia="宋体" w:cs="宋体"/>
                <w:color w:val="auto"/>
                <w:spacing w:val="-2"/>
                <w:sz w:val="18"/>
                <w:szCs w:val="18"/>
                <w:highlight w:val="none"/>
              </w:rPr>
              <w:t>作业人员是</w:t>
            </w:r>
          </w:p>
          <w:p w14:paraId="499DBD17">
            <w:pPr>
              <w:spacing w:before="30" w:line="176" w:lineRule="auto"/>
              <w:ind w:left="265"/>
              <w:rPr>
                <w:rFonts w:hint="eastAsia" w:ascii="宋体" w:hAnsi="宋体" w:eastAsia="宋体" w:cs="宋体"/>
                <w:color w:val="auto"/>
                <w:sz w:val="18"/>
                <w:szCs w:val="18"/>
                <w:highlight w:val="none"/>
              </w:rPr>
            </w:pPr>
            <w:r>
              <w:rPr>
                <w:rFonts w:hint="eastAsia" w:ascii="宋体" w:hAnsi="宋体" w:eastAsia="宋体" w:cs="宋体"/>
                <w:color w:val="auto"/>
                <w:spacing w:val="-3"/>
                <w:sz w:val="18"/>
                <w:szCs w:val="18"/>
                <w:highlight w:val="none"/>
              </w:rPr>
              <w:t>否持证</w:t>
            </w:r>
          </w:p>
        </w:tc>
        <w:tc>
          <w:tcPr>
            <w:tcW w:w="1129" w:type="dxa"/>
            <w:vAlign w:val="top"/>
          </w:tcPr>
          <w:p w14:paraId="588F2543">
            <w:pPr>
              <w:spacing w:before="73" w:line="177" w:lineRule="auto"/>
              <w:ind w:left="122"/>
              <w:rPr>
                <w:rFonts w:hint="eastAsia" w:ascii="宋体" w:hAnsi="宋体" w:eastAsia="宋体" w:cs="宋体"/>
                <w:color w:val="auto"/>
                <w:sz w:val="18"/>
                <w:szCs w:val="18"/>
                <w:highlight w:val="none"/>
              </w:rPr>
            </w:pPr>
            <w:r>
              <w:rPr>
                <w:rFonts w:hint="eastAsia" w:ascii="宋体" w:hAnsi="宋体" w:eastAsia="宋体" w:cs="宋体"/>
                <w:color w:val="auto"/>
                <w:spacing w:val="-2"/>
                <w:sz w:val="18"/>
                <w:szCs w:val="18"/>
                <w:highlight w:val="none"/>
              </w:rPr>
              <w:t>安全附件检</w:t>
            </w:r>
          </w:p>
          <w:p w14:paraId="036E5FF0">
            <w:pPr>
              <w:spacing w:before="26" w:line="175" w:lineRule="auto"/>
              <w:ind w:left="302"/>
              <w:rPr>
                <w:rFonts w:hint="eastAsia" w:ascii="宋体" w:hAnsi="宋体" w:eastAsia="宋体" w:cs="宋体"/>
                <w:color w:val="auto"/>
                <w:sz w:val="18"/>
                <w:szCs w:val="18"/>
                <w:highlight w:val="none"/>
              </w:rPr>
            </w:pPr>
            <w:r>
              <w:rPr>
                <w:rFonts w:hint="eastAsia" w:ascii="宋体" w:hAnsi="宋体" w:eastAsia="宋体" w:cs="宋体"/>
                <w:color w:val="auto"/>
                <w:spacing w:val="-3"/>
                <w:sz w:val="18"/>
                <w:szCs w:val="18"/>
                <w:highlight w:val="none"/>
              </w:rPr>
              <w:t>定情况</w:t>
            </w:r>
          </w:p>
        </w:tc>
      </w:tr>
      <w:tr w14:paraId="567095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1" w:hRule="atLeast"/>
        </w:trPr>
        <w:tc>
          <w:tcPr>
            <w:tcW w:w="499" w:type="dxa"/>
            <w:vMerge w:val="continue"/>
            <w:tcBorders>
              <w:top w:val="nil"/>
            </w:tcBorders>
            <w:vAlign w:val="top"/>
          </w:tcPr>
          <w:p w14:paraId="488FD984">
            <w:pPr>
              <w:pStyle w:val="33"/>
              <w:rPr>
                <w:rFonts w:hint="eastAsia" w:ascii="宋体" w:hAnsi="宋体" w:eastAsia="宋体" w:cs="宋体"/>
                <w:color w:val="auto"/>
                <w:highlight w:val="none"/>
              </w:rPr>
            </w:pPr>
          </w:p>
        </w:tc>
        <w:tc>
          <w:tcPr>
            <w:tcW w:w="899" w:type="dxa"/>
            <w:vAlign w:val="top"/>
          </w:tcPr>
          <w:p w14:paraId="33A8CE6E">
            <w:pPr>
              <w:pStyle w:val="33"/>
              <w:rPr>
                <w:rFonts w:hint="eastAsia" w:ascii="宋体" w:hAnsi="宋体" w:eastAsia="宋体" w:cs="宋体"/>
                <w:color w:val="auto"/>
                <w:highlight w:val="none"/>
              </w:rPr>
            </w:pPr>
          </w:p>
        </w:tc>
        <w:tc>
          <w:tcPr>
            <w:tcW w:w="899" w:type="dxa"/>
            <w:vAlign w:val="top"/>
          </w:tcPr>
          <w:p w14:paraId="161A42CD">
            <w:pPr>
              <w:pStyle w:val="33"/>
              <w:rPr>
                <w:rFonts w:hint="eastAsia" w:ascii="宋体" w:hAnsi="宋体" w:eastAsia="宋体" w:cs="宋体"/>
                <w:color w:val="auto"/>
                <w:highlight w:val="none"/>
              </w:rPr>
            </w:pPr>
          </w:p>
        </w:tc>
        <w:tc>
          <w:tcPr>
            <w:tcW w:w="899" w:type="dxa"/>
            <w:vAlign w:val="top"/>
          </w:tcPr>
          <w:p w14:paraId="75224F8E">
            <w:pPr>
              <w:pStyle w:val="33"/>
              <w:rPr>
                <w:rFonts w:hint="eastAsia" w:ascii="宋体" w:hAnsi="宋体" w:eastAsia="宋体" w:cs="宋体"/>
                <w:color w:val="auto"/>
                <w:highlight w:val="none"/>
              </w:rPr>
            </w:pPr>
          </w:p>
        </w:tc>
        <w:tc>
          <w:tcPr>
            <w:tcW w:w="899" w:type="dxa"/>
            <w:vAlign w:val="top"/>
          </w:tcPr>
          <w:p w14:paraId="03476ACB">
            <w:pPr>
              <w:pStyle w:val="33"/>
              <w:rPr>
                <w:rFonts w:hint="eastAsia" w:ascii="宋体" w:hAnsi="宋体" w:eastAsia="宋体" w:cs="宋体"/>
                <w:color w:val="auto"/>
                <w:highlight w:val="none"/>
              </w:rPr>
            </w:pPr>
          </w:p>
        </w:tc>
        <w:tc>
          <w:tcPr>
            <w:tcW w:w="899" w:type="dxa"/>
            <w:vAlign w:val="top"/>
          </w:tcPr>
          <w:p w14:paraId="51928A9C">
            <w:pPr>
              <w:pStyle w:val="33"/>
              <w:rPr>
                <w:rFonts w:hint="eastAsia" w:ascii="宋体" w:hAnsi="宋体" w:eastAsia="宋体" w:cs="宋体"/>
                <w:color w:val="auto"/>
                <w:highlight w:val="none"/>
              </w:rPr>
            </w:pPr>
          </w:p>
        </w:tc>
        <w:tc>
          <w:tcPr>
            <w:tcW w:w="899" w:type="dxa"/>
            <w:vAlign w:val="top"/>
          </w:tcPr>
          <w:p w14:paraId="5E5C141E">
            <w:pPr>
              <w:pStyle w:val="33"/>
              <w:rPr>
                <w:rFonts w:hint="eastAsia" w:ascii="宋体" w:hAnsi="宋体" w:eastAsia="宋体" w:cs="宋体"/>
                <w:color w:val="auto"/>
                <w:highlight w:val="none"/>
              </w:rPr>
            </w:pPr>
          </w:p>
        </w:tc>
        <w:tc>
          <w:tcPr>
            <w:tcW w:w="899" w:type="dxa"/>
            <w:vAlign w:val="top"/>
          </w:tcPr>
          <w:p w14:paraId="6836EC95">
            <w:pPr>
              <w:pStyle w:val="33"/>
              <w:rPr>
                <w:rFonts w:hint="eastAsia" w:ascii="宋体" w:hAnsi="宋体" w:eastAsia="宋体" w:cs="宋体"/>
                <w:color w:val="auto"/>
                <w:highlight w:val="none"/>
              </w:rPr>
            </w:pPr>
          </w:p>
        </w:tc>
        <w:tc>
          <w:tcPr>
            <w:tcW w:w="1049" w:type="dxa"/>
            <w:vAlign w:val="top"/>
          </w:tcPr>
          <w:p w14:paraId="47DC098E">
            <w:pPr>
              <w:pStyle w:val="33"/>
              <w:rPr>
                <w:rFonts w:hint="eastAsia" w:ascii="宋体" w:hAnsi="宋体" w:eastAsia="宋体" w:cs="宋体"/>
                <w:color w:val="auto"/>
                <w:highlight w:val="none"/>
              </w:rPr>
            </w:pPr>
          </w:p>
        </w:tc>
        <w:tc>
          <w:tcPr>
            <w:tcW w:w="1129" w:type="dxa"/>
            <w:vAlign w:val="top"/>
          </w:tcPr>
          <w:p w14:paraId="40ADE5B3">
            <w:pPr>
              <w:pStyle w:val="33"/>
              <w:rPr>
                <w:rFonts w:hint="eastAsia" w:ascii="宋体" w:hAnsi="宋体" w:eastAsia="宋体" w:cs="宋体"/>
                <w:color w:val="auto"/>
                <w:highlight w:val="none"/>
              </w:rPr>
            </w:pPr>
          </w:p>
        </w:tc>
      </w:tr>
      <w:tr w14:paraId="47B6F4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499" w:type="dxa"/>
            <w:vMerge w:val="restart"/>
            <w:tcBorders>
              <w:bottom w:val="nil"/>
            </w:tcBorders>
            <w:vAlign w:val="top"/>
          </w:tcPr>
          <w:p w14:paraId="59B02D5F">
            <w:pPr>
              <w:pStyle w:val="33"/>
              <w:spacing w:line="356" w:lineRule="auto"/>
              <w:rPr>
                <w:rFonts w:hint="eastAsia" w:ascii="宋体" w:hAnsi="宋体" w:eastAsia="宋体" w:cs="宋体"/>
                <w:color w:val="auto"/>
                <w:highlight w:val="none"/>
              </w:rPr>
            </w:pPr>
          </w:p>
          <w:p w14:paraId="04DB3940">
            <w:pPr>
              <w:spacing w:before="27" w:line="175" w:lineRule="auto"/>
              <w:ind w:left="68"/>
              <w:rPr>
                <w:rFonts w:hint="eastAsia" w:ascii="宋体" w:hAnsi="宋体" w:eastAsia="宋体" w:cs="宋体"/>
                <w:color w:val="auto"/>
                <w:sz w:val="18"/>
                <w:szCs w:val="18"/>
                <w:highlight w:val="none"/>
                <w:lang w:eastAsia="zh-CN"/>
              </w:rPr>
            </w:pPr>
            <w:r>
              <w:rPr>
                <w:rFonts w:hint="eastAsia" w:ascii="宋体" w:hAnsi="宋体" w:eastAsia="宋体" w:cs="宋体"/>
                <w:color w:val="auto"/>
                <w:spacing w:val="-2"/>
                <w:sz w:val="18"/>
                <w:szCs w:val="18"/>
                <w:highlight w:val="none"/>
                <w:lang w:val="en-US" w:eastAsia="zh-CN"/>
              </w:rPr>
              <w:t>相关问题</w:t>
            </w:r>
          </w:p>
        </w:tc>
        <w:tc>
          <w:tcPr>
            <w:tcW w:w="899" w:type="dxa"/>
            <w:vAlign w:val="top"/>
          </w:tcPr>
          <w:p w14:paraId="1DFE8CE3">
            <w:pPr>
              <w:spacing w:before="85" w:line="176" w:lineRule="auto"/>
              <w:ind w:left="61"/>
              <w:rPr>
                <w:rFonts w:hint="eastAsia" w:ascii="宋体" w:hAnsi="宋体" w:eastAsia="宋体" w:cs="宋体"/>
                <w:color w:val="auto"/>
                <w:sz w:val="18"/>
                <w:szCs w:val="18"/>
                <w:highlight w:val="none"/>
              </w:rPr>
            </w:pPr>
            <w:r>
              <w:rPr>
                <w:rFonts w:hint="eastAsia" w:ascii="宋体" w:hAnsi="宋体" w:eastAsia="宋体" w:cs="宋体"/>
                <w:color w:val="auto"/>
                <w:spacing w:val="-2"/>
                <w:sz w:val="18"/>
                <w:szCs w:val="18"/>
                <w:highlight w:val="none"/>
              </w:rPr>
              <w:t>管理问题</w:t>
            </w:r>
          </w:p>
        </w:tc>
        <w:tc>
          <w:tcPr>
            <w:tcW w:w="7572" w:type="dxa"/>
            <w:gridSpan w:val="8"/>
            <w:vAlign w:val="top"/>
          </w:tcPr>
          <w:p w14:paraId="4ADC9490">
            <w:pPr>
              <w:spacing w:before="85" w:line="175" w:lineRule="auto"/>
              <w:ind w:left="2349"/>
              <w:rPr>
                <w:rFonts w:hint="eastAsia" w:ascii="宋体" w:hAnsi="宋体" w:eastAsia="宋体" w:cs="宋体"/>
                <w:color w:val="auto"/>
                <w:sz w:val="18"/>
                <w:szCs w:val="18"/>
                <w:highlight w:val="none"/>
              </w:rPr>
            </w:pPr>
            <w:r>
              <w:rPr>
                <w:rFonts w:hint="eastAsia" w:ascii="宋体" w:hAnsi="宋体" w:eastAsia="宋体" w:cs="宋体"/>
                <w:color w:val="auto"/>
                <w:spacing w:val="-1"/>
                <w:sz w:val="18"/>
                <w:szCs w:val="18"/>
                <w:highlight w:val="none"/>
              </w:rPr>
              <w:t>见“单位安全管理”中“不符合”项</w:t>
            </w:r>
          </w:p>
        </w:tc>
      </w:tr>
      <w:tr w14:paraId="5639FC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499" w:type="dxa"/>
            <w:vMerge w:val="continue"/>
            <w:tcBorders>
              <w:top w:val="nil"/>
              <w:bottom w:val="nil"/>
            </w:tcBorders>
            <w:vAlign w:val="top"/>
          </w:tcPr>
          <w:p w14:paraId="3982DF88">
            <w:pPr>
              <w:pStyle w:val="33"/>
              <w:rPr>
                <w:rFonts w:hint="eastAsia" w:ascii="宋体" w:hAnsi="宋体" w:eastAsia="宋体" w:cs="宋体"/>
                <w:color w:val="auto"/>
                <w:highlight w:val="none"/>
              </w:rPr>
            </w:pPr>
          </w:p>
        </w:tc>
        <w:tc>
          <w:tcPr>
            <w:tcW w:w="899" w:type="dxa"/>
            <w:vMerge w:val="restart"/>
            <w:tcBorders>
              <w:bottom w:val="nil"/>
            </w:tcBorders>
            <w:vAlign w:val="top"/>
          </w:tcPr>
          <w:p w14:paraId="78C31DBE">
            <w:pPr>
              <w:pStyle w:val="33"/>
              <w:spacing w:line="241" w:lineRule="auto"/>
              <w:rPr>
                <w:rFonts w:hint="eastAsia" w:ascii="宋体" w:hAnsi="宋体" w:eastAsia="宋体" w:cs="宋体"/>
                <w:color w:val="auto"/>
                <w:highlight w:val="none"/>
              </w:rPr>
            </w:pPr>
          </w:p>
          <w:p w14:paraId="0254E739">
            <w:pPr>
              <w:pStyle w:val="33"/>
              <w:spacing w:line="241" w:lineRule="auto"/>
              <w:rPr>
                <w:rFonts w:hint="eastAsia" w:ascii="宋体" w:hAnsi="宋体" w:eastAsia="宋体" w:cs="宋体"/>
                <w:color w:val="auto"/>
                <w:highlight w:val="none"/>
              </w:rPr>
            </w:pPr>
          </w:p>
          <w:p w14:paraId="77E06560">
            <w:pPr>
              <w:spacing w:before="78" w:line="174" w:lineRule="auto"/>
              <w:ind w:left="90"/>
              <w:rPr>
                <w:rFonts w:hint="eastAsia" w:ascii="宋体" w:hAnsi="宋体" w:eastAsia="宋体" w:cs="宋体"/>
                <w:color w:val="auto"/>
                <w:sz w:val="18"/>
                <w:szCs w:val="18"/>
                <w:highlight w:val="none"/>
              </w:rPr>
            </w:pPr>
            <w:r>
              <w:rPr>
                <w:rFonts w:hint="eastAsia" w:ascii="宋体" w:hAnsi="宋体" w:eastAsia="宋体" w:cs="宋体"/>
                <w:color w:val="auto"/>
                <w:spacing w:val="-2"/>
                <w:sz w:val="18"/>
                <w:szCs w:val="18"/>
                <w:highlight w:val="none"/>
              </w:rPr>
              <w:t>设备问题</w:t>
            </w:r>
          </w:p>
        </w:tc>
        <w:tc>
          <w:tcPr>
            <w:tcW w:w="899" w:type="dxa"/>
            <w:vAlign w:val="top"/>
          </w:tcPr>
          <w:p w14:paraId="53CC1F3E">
            <w:pPr>
              <w:spacing w:before="87" w:line="174" w:lineRule="auto"/>
              <w:ind w:left="268"/>
              <w:rPr>
                <w:rFonts w:hint="eastAsia" w:ascii="宋体" w:hAnsi="宋体" w:eastAsia="宋体" w:cs="宋体"/>
                <w:color w:val="auto"/>
                <w:sz w:val="18"/>
                <w:szCs w:val="18"/>
                <w:highlight w:val="none"/>
              </w:rPr>
            </w:pPr>
            <w:r>
              <w:rPr>
                <w:rFonts w:hint="eastAsia" w:ascii="宋体" w:hAnsi="宋体" w:eastAsia="宋体" w:cs="宋体"/>
                <w:color w:val="auto"/>
                <w:spacing w:val="-2"/>
                <w:sz w:val="18"/>
                <w:szCs w:val="18"/>
                <w:highlight w:val="none"/>
              </w:rPr>
              <w:t>序号</w:t>
            </w:r>
          </w:p>
        </w:tc>
        <w:tc>
          <w:tcPr>
            <w:tcW w:w="899" w:type="dxa"/>
            <w:vAlign w:val="top"/>
          </w:tcPr>
          <w:p w14:paraId="598E33E9">
            <w:pPr>
              <w:spacing w:before="86" w:line="175" w:lineRule="auto"/>
              <w:ind w:left="62"/>
              <w:rPr>
                <w:rFonts w:hint="eastAsia" w:ascii="宋体" w:hAnsi="宋体" w:eastAsia="宋体" w:cs="宋体"/>
                <w:color w:val="auto"/>
                <w:sz w:val="18"/>
                <w:szCs w:val="18"/>
                <w:highlight w:val="none"/>
              </w:rPr>
            </w:pPr>
            <w:r>
              <w:rPr>
                <w:rFonts w:hint="eastAsia" w:ascii="宋体" w:hAnsi="宋体" w:eastAsia="宋体" w:cs="宋体"/>
                <w:color w:val="auto"/>
                <w:spacing w:val="-2"/>
                <w:sz w:val="18"/>
                <w:szCs w:val="18"/>
                <w:highlight w:val="none"/>
              </w:rPr>
              <w:t>设备种类</w:t>
            </w:r>
          </w:p>
        </w:tc>
        <w:tc>
          <w:tcPr>
            <w:tcW w:w="4645" w:type="dxa"/>
            <w:gridSpan w:val="5"/>
            <w:vAlign w:val="top"/>
          </w:tcPr>
          <w:p w14:paraId="4738E80E">
            <w:pPr>
              <w:spacing w:before="88" w:line="174" w:lineRule="auto"/>
              <w:ind w:left="1787"/>
              <w:rPr>
                <w:rFonts w:hint="eastAsia" w:ascii="宋体" w:hAnsi="宋体" w:eastAsia="宋体" w:cs="宋体"/>
                <w:color w:val="auto"/>
                <w:sz w:val="18"/>
                <w:szCs w:val="18"/>
                <w:highlight w:val="none"/>
              </w:rPr>
            </w:pPr>
            <w:r>
              <w:rPr>
                <w:rFonts w:hint="eastAsia" w:ascii="宋体" w:hAnsi="宋体" w:eastAsia="宋体" w:cs="宋体"/>
                <w:color w:val="auto"/>
                <w:spacing w:val="-2"/>
                <w:sz w:val="18"/>
                <w:szCs w:val="18"/>
                <w:highlight w:val="none"/>
              </w:rPr>
              <w:t>现场问题明细</w:t>
            </w:r>
          </w:p>
        </w:tc>
        <w:tc>
          <w:tcPr>
            <w:tcW w:w="1129" w:type="dxa"/>
            <w:vAlign w:val="top"/>
          </w:tcPr>
          <w:p w14:paraId="20373388">
            <w:pPr>
              <w:spacing w:before="86" w:line="175" w:lineRule="auto"/>
              <w:ind w:left="219"/>
              <w:rPr>
                <w:rFonts w:hint="eastAsia" w:ascii="宋体" w:hAnsi="宋体" w:eastAsia="宋体" w:cs="宋体"/>
                <w:color w:val="auto"/>
                <w:sz w:val="18"/>
                <w:szCs w:val="18"/>
                <w:highlight w:val="none"/>
              </w:rPr>
            </w:pPr>
            <w:r>
              <w:rPr>
                <w:rFonts w:hint="eastAsia" w:ascii="宋体" w:hAnsi="宋体" w:eastAsia="宋体" w:cs="宋体"/>
                <w:color w:val="auto"/>
                <w:spacing w:val="-4"/>
                <w:sz w:val="18"/>
                <w:szCs w:val="18"/>
                <w:highlight w:val="none"/>
              </w:rPr>
              <w:t>隐患分类</w:t>
            </w:r>
          </w:p>
        </w:tc>
      </w:tr>
      <w:tr w14:paraId="007A0C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1" w:hRule="atLeast"/>
        </w:trPr>
        <w:tc>
          <w:tcPr>
            <w:tcW w:w="499" w:type="dxa"/>
            <w:vMerge w:val="continue"/>
            <w:tcBorders>
              <w:top w:val="nil"/>
            </w:tcBorders>
            <w:vAlign w:val="top"/>
          </w:tcPr>
          <w:p w14:paraId="5D9E7854">
            <w:pPr>
              <w:pStyle w:val="33"/>
              <w:rPr>
                <w:rFonts w:hint="eastAsia" w:ascii="宋体" w:hAnsi="宋体" w:eastAsia="宋体" w:cs="宋体"/>
                <w:color w:val="auto"/>
                <w:highlight w:val="none"/>
              </w:rPr>
            </w:pPr>
          </w:p>
        </w:tc>
        <w:tc>
          <w:tcPr>
            <w:tcW w:w="899" w:type="dxa"/>
            <w:vMerge w:val="continue"/>
            <w:tcBorders>
              <w:top w:val="nil"/>
            </w:tcBorders>
            <w:vAlign w:val="top"/>
          </w:tcPr>
          <w:p w14:paraId="32045780">
            <w:pPr>
              <w:pStyle w:val="33"/>
              <w:rPr>
                <w:rFonts w:hint="eastAsia" w:ascii="宋体" w:hAnsi="宋体" w:eastAsia="宋体" w:cs="宋体"/>
                <w:color w:val="auto"/>
                <w:highlight w:val="none"/>
              </w:rPr>
            </w:pPr>
          </w:p>
        </w:tc>
        <w:tc>
          <w:tcPr>
            <w:tcW w:w="899" w:type="dxa"/>
            <w:vAlign w:val="top"/>
          </w:tcPr>
          <w:p w14:paraId="17C9E4E6">
            <w:pPr>
              <w:pStyle w:val="33"/>
              <w:rPr>
                <w:rFonts w:hint="eastAsia" w:ascii="宋体" w:hAnsi="宋体" w:eastAsia="宋体" w:cs="宋体"/>
                <w:color w:val="auto"/>
                <w:highlight w:val="none"/>
              </w:rPr>
            </w:pPr>
          </w:p>
        </w:tc>
        <w:tc>
          <w:tcPr>
            <w:tcW w:w="899" w:type="dxa"/>
            <w:vAlign w:val="top"/>
          </w:tcPr>
          <w:p w14:paraId="2AD70A4B">
            <w:pPr>
              <w:pStyle w:val="33"/>
              <w:rPr>
                <w:rFonts w:hint="eastAsia" w:ascii="宋体" w:hAnsi="宋体" w:eastAsia="宋体" w:cs="宋体"/>
                <w:color w:val="auto"/>
                <w:highlight w:val="none"/>
              </w:rPr>
            </w:pPr>
          </w:p>
        </w:tc>
        <w:tc>
          <w:tcPr>
            <w:tcW w:w="4645" w:type="dxa"/>
            <w:gridSpan w:val="5"/>
            <w:vAlign w:val="top"/>
          </w:tcPr>
          <w:p w14:paraId="56FD905E">
            <w:pPr>
              <w:pStyle w:val="33"/>
              <w:rPr>
                <w:rFonts w:hint="eastAsia" w:ascii="宋体" w:hAnsi="宋体" w:eastAsia="宋体" w:cs="宋体"/>
                <w:color w:val="auto"/>
                <w:highlight w:val="none"/>
              </w:rPr>
            </w:pPr>
          </w:p>
        </w:tc>
        <w:tc>
          <w:tcPr>
            <w:tcW w:w="1129" w:type="dxa"/>
            <w:vAlign w:val="top"/>
          </w:tcPr>
          <w:p w14:paraId="2CF00943">
            <w:pPr>
              <w:pStyle w:val="33"/>
              <w:rPr>
                <w:rFonts w:hint="eastAsia" w:ascii="宋体" w:hAnsi="宋体" w:eastAsia="宋体" w:cs="宋体"/>
                <w:color w:val="auto"/>
                <w:highlight w:val="none"/>
              </w:rPr>
            </w:pPr>
          </w:p>
        </w:tc>
      </w:tr>
      <w:tr w14:paraId="2F79D8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499" w:type="dxa"/>
            <w:vAlign w:val="top"/>
          </w:tcPr>
          <w:p w14:paraId="3A49CB93">
            <w:pPr>
              <w:spacing w:before="86" w:line="177" w:lineRule="auto"/>
              <w:ind w:left="70"/>
              <w:rPr>
                <w:rFonts w:hint="eastAsia" w:ascii="宋体" w:hAnsi="宋体" w:eastAsia="宋体" w:cs="宋体"/>
                <w:color w:val="auto"/>
                <w:sz w:val="18"/>
                <w:szCs w:val="18"/>
                <w:highlight w:val="none"/>
              </w:rPr>
            </w:pPr>
            <w:r>
              <w:rPr>
                <w:rFonts w:hint="eastAsia" w:ascii="宋体" w:hAnsi="宋体" w:eastAsia="宋体" w:cs="宋体"/>
                <w:color w:val="auto"/>
                <w:spacing w:val="-2"/>
                <w:sz w:val="18"/>
                <w:szCs w:val="18"/>
                <w:highlight w:val="none"/>
              </w:rPr>
              <w:t>整改</w:t>
            </w:r>
          </w:p>
        </w:tc>
        <w:tc>
          <w:tcPr>
            <w:tcW w:w="1798" w:type="dxa"/>
            <w:gridSpan w:val="2"/>
            <w:vAlign w:val="top"/>
          </w:tcPr>
          <w:p w14:paraId="759E0BD2">
            <w:pPr>
              <w:spacing w:before="86" w:line="176" w:lineRule="auto"/>
              <w:ind w:left="369"/>
              <w:rPr>
                <w:rFonts w:hint="eastAsia" w:ascii="宋体" w:hAnsi="宋体" w:eastAsia="宋体" w:cs="宋体"/>
                <w:color w:val="auto"/>
                <w:sz w:val="18"/>
                <w:szCs w:val="18"/>
                <w:highlight w:val="none"/>
              </w:rPr>
            </w:pPr>
            <w:r>
              <w:rPr>
                <w:rFonts w:hint="eastAsia" w:ascii="宋体" w:hAnsi="宋体" w:eastAsia="宋体" w:cs="宋体"/>
                <w:color w:val="auto"/>
                <w:spacing w:val="-3"/>
                <w:sz w:val="18"/>
                <w:szCs w:val="18"/>
                <w:highlight w:val="none"/>
              </w:rPr>
              <w:t>隐患整改期限</w:t>
            </w:r>
          </w:p>
        </w:tc>
        <w:tc>
          <w:tcPr>
            <w:tcW w:w="3596" w:type="dxa"/>
            <w:gridSpan w:val="4"/>
            <w:vAlign w:val="top"/>
          </w:tcPr>
          <w:p w14:paraId="7D44E328">
            <w:pPr>
              <w:spacing w:before="87" w:line="176" w:lineRule="auto"/>
              <w:ind w:left="1862"/>
              <w:rPr>
                <w:rFonts w:hint="eastAsia" w:ascii="宋体" w:hAnsi="宋体" w:eastAsia="宋体" w:cs="宋体"/>
                <w:color w:val="auto"/>
                <w:sz w:val="18"/>
                <w:szCs w:val="18"/>
                <w:highlight w:val="none"/>
              </w:rPr>
            </w:pPr>
            <w:r>
              <w:rPr>
                <w:rFonts w:hint="eastAsia" w:ascii="宋体" w:hAnsi="宋体" w:eastAsia="宋体" w:cs="宋体"/>
                <w:color w:val="auto"/>
                <w:spacing w:val="-2"/>
                <w:sz w:val="18"/>
                <w:szCs w:val="18"/>
                <w:highlight w:val="none"/>
              </w:rPr>
              <w:t>前整改完成</w:t>
            </w:r>
          </w:p>
        </w:tc>
        <w:tc>
          <w:tcPr>
            <w:tcW w:w="899" w:type="dxa"/>
            <w:vAlign w:val="top"/>
          </w:tcPr>
          <w:p w14:paraId="4FFEDF58">
            <w:pPr>
              <w:spacing w:before="87" w:line="176" w:lineRule="auto"/>
              <w:ind w:left="64"/>
              <w:rPr>
                <w:rFonts w:hint="eastAsia" w:ascii="宋体" w:hAnsi="宋体" w:eastAsia="宋体" w:cs="宋体"/>
                <w:color w:val="auto"/>
                <w:sz w:val="18"/>
                <w:szCs w:val="18"/>
                <w:highlight w:val="none"/>
              </w:rPr>
            </w:pPr>
            <w:r>
              <w:rPr>
                <w:rFonts w:hint="eastAsia" w:ascii="宋体" w:hAnsi="宋体" w:eastAsia="宋体" w:cs="宋体"/>
                <w:color w:val="auto"/>
                <w:spacing w:val="-2"/>
                <w:sz w:val="18"/>
                <w:szCs w:val="18"/>
                <w:highlight w:val="none"/>
              </w:rPr>
              <w:t>整改情况</w:t>
            </w:r>
          </w:p>
        </w:tc>
        <w:tc>
          <w:tcPr>
            <w:tcW w:w="2178" w:type="dxa"/>
            <w:gridSpan w:val="2"/>
            <w:vAlign w:val="top"/>
          </w:tcPr>
          <w:p w14:paraId="1881298E">
            <w:pPr>
              <w:pStyle w:val="33"/>
              <w:rPr>
                <w:rFonts w:hint="eastAsia" w:ascii="宋体" w:hAnsi="宋体" w:eastAsia="宋体" w:cs="宋体"/>
                <w:color w:val="auto"/>
                <w:highlight w:val="none"/>
              </w:rPr>
            </w:pPr>
          </w:p>
        </w:tc>
      </w:tr>
      <w:tr w14:paraId="61B215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33" w:hRule="atLeast"/>
        </w:trPr>
        <w:tc>
          <w:tcPr>
            <w:tcW w:w="499" w:type="dxa"/>
            <w:vAlign w:val="top"/>
          </w:tcPr>
          <w:p w14:paraId="2A62756B">
            <w:pPr>
              <w:pStyle w:val="33"/>
              <w:spacing w:line="419" w:lineRule="auto"/>
              <w:rPr>
                <w:rFonts w:hint="eastAsia" w:ascii="宋体" w:hAnsi="宋体" w:eastAsia="宋体" w:cs="宋体"/>
                <w:color w:val="auto"/>
                <w:highlight w:val="none"/>
              </w:rPr>
            </w:pPr>
          </w:p>
          <w:p w14:paraId="47189E2C">
            <w:pPr>
              <w:spacing w:before="78" w:line="177" w:lineRule="auto"/>
              <w:ind w:left="69"/>
              <w:rPr>
                <w:rFonts w:hint="eastAsia" w:ascii="宋体" w:hAnsi="宋体" w:eastAsia="宋体" w:cs="宋体"/>
                <w:color w:val="auto"/>
                <w:sz w:val="18"/>
                <w:szCs w:val="18"/>
                <w:highlight w:val="none"/>
                <w:lang w:val="en-US" w:eastAsia="zh-CN"/>
              </w:rPr>
            </w:pPr>
            <w:r>
              <w:rPr>
                <w:rFonts w:hint="eastAsia" w:ascii="宋体" w:hAnsi="宋体" w:eastAsia="宋体" w:cs="宋体"/>
                <w:color w:val="auto"/>
                <w:sz w:val="18"/>
                <w:szCs w:val="18"/>
                <w:highlight w:val="none"/>
                <w:lang w:val="en-US" w:eastAsia="zh-CN"/>
              </w:rPr>
              <w:t>现场</w:t>
            </w:r>
          </w:p>
          <w:p w14:paraId="47296409">
            <w:pPr>
              <w:spacing w:before="28" w:line="175" w:lineRule="auto"/>
              <w:ind w:left="70"/>
              <w:rPr>
                <w:rFonts w:hint="eastAsia" w:ascii="宋体" w:hAnsi="宋体" w:eastAsia="宋体" w:cs="宋体"/>
                <w:color w:val="auto"/>
                <w:sz w:val="18"/>
                <w:szCs w:val="18"/>
                <w:highlight w:val="none"/>
              </w:rPr>
            </w:pPr>
            <w:r>
              <w:rPr>
                <w:rFonts w:hint="eastAsia" w:ascii="宋体" w:hAnsi="宋体" w:eastAsia="宋体" w:cs="宋体"/>
                <w:color w:val="auto"/>
                <w:spacing w:val="-2"/>
                <w:sz w:val="18"/>
                <w:szCs w:val="18"/>
                <w:highlight w:val="none"/>
              </w:rPr>
              <w:t>照片</w:t>
            </w:r>
          </w:p>
        </w:tc>
        <w:tc>
          <w:tcPr>
            <w:tcW w:w="8471" w:type="dxa"/>
            <w:gridSpan w:val="9"/>
            <w:vAlign w:val="top"/>
          </w:tcPr>
          <w:p w14:paraId="53B157BE">
            <w:pPr>
              <w:pStyle w:val="33"/>
              <w:rPr>
                <w:rFonts w:hint="eastAsia" w:ascii="宋体" w:hAnsi="宋体" w:eastAsia="宋体" w:cs="宋体"/>
                <w:color w:val="auto"/>
                <w:highlight w:val="none"/>
              </w:rPr>
            </w:pPr>
          </w:p>
        </w:tc>
      </w:tr>
    </w:tbl>
    <w:p w14:paraId="2C1758BA">
      <w:pPr>
        <w:spacing w:before="254" w:line="182" w:lineRule="auto"/>
        <w:ind w:left="447"/>
        <w:rPr>
          <w:rFonts w:hint="eastAsia" w:ascii="宋体" w:hAnsi="宋体" w:eastAsia="宋体" w:cs="宋体"/>
          <w:color w:val="auto"/>
          <w:sz w:val="19"/>
          <w:szCs w:val="19"/>
          <w:highlight w:val="none"/>
        </w:rPr>
      </w:pPr>
      <w:r>
        <w:rPr>
          <w:rFonts w:hint="eastAsia" w:ascii="宋体" w:hAnsi="宋体" w:eastAsia="宋体" w:cs="宋体"/>
          <w:color w:val="auto"/>
          <w:sz w:val="18"/>
          <w:szCs w:val="18"/>
          <w:highlight w:val="none"/>
          <w:lang w:val="en-US" w:eastAsia="zh-CN"/>
        </w:rPr>
        <w:t>技术服务</w:t>
      </w:r>
      <w:r>
        <w:rPr>
          <w:rFonts w:hint="eastAsia" w:ascii="宋体" w:hAnsi="宋体" w:eastAsia="宋体" w:cs="宋体"/>
          <w:color w:val="auto"/>
          <w:sz w:val="18"/>
          <w:szCs w:val="18"/>
          <w:highlight w:val="none"/>
        </w:rPr>
        <w:t xml:space="preserve">人员：                  </w:t>
      </w:r>
      <w:r>
        <w:rPr>
          <w:rFonts w:hint="eastAsia" w:ascii="宋体" w:hAnsi="宋体" w:eastAsia="宋体" w:cs="宋体"/>
          <w:color w:val="auto"/>
          <w:spacing w:val="-1"/>
          <w:sz w:val="18"/>
          <w:szCs w:val="18"/>
          <w:highlight w:val="none"/>
        </w:rPr>
        <w:t xml:space="preserve">                            </w:t>
      </w:r>
      <w:r>
        <w:rPr>
          <w:rFonts w:hint="eastAsia" w:ascii="宋体" w:hAnsi="宋体" w:eastAsia="宋体" w:cs="宋体"/>
          <w:color w:val="auto"/>
          <w:spacing w:val="-1"/>
          <w:sz w:val="19"/>
          <w:szCs w:val="19"/>
          <w:highlight w:val="none"/>
        </w:rPr>
        <w:t>现场负责人签字：</w:t>
      </w:r>
    </w:p>
    <w:p w14:paraId="23F2AE13">
      <w:pPr>
        <w:spacing w:before="303" w:line="173" w:lineRule="auto"/>
        <w:ind w:firstLine="438" w:firstLineChars="300"/>
        <w:rPr>
          <w:rFonts w:hint="eastAsia" w:ascii="宋体" w:hAnsi="宋体" w:eastAsia="宋体" w:cs="宋体"/>
          <w:color w:val="auto"/>
          <w:sz w:val="18"/>
          <w:szCs w:val="18"/>
          <w:highlight w:val="none"/>
        </w:rPr>
      </w:pPr>
      <w:r>
        <w:rPr>
          <w:rFonts w:hint="eastAsia" w:ascii="宋体" w:hAnsi="宋体" w:eastAsia="宋体" w:cs="宋体"/>
          <w:color w:val="auto"/>
          <w:spacing w:val="-17"/>
          <w:sz w:val="18"/>
          <w:szCs w:val="18"/>
          <w:highlight w:val="none"/>
        </w:rPr>
        <w:t>日期：</w:t>
      </w:r>
      <w:r>
        <w:rPr>
          <w:rFonts w:hint="eastAsia" w:ascii="宋体" w:hAnsi="宋体" w:eastAsia="宋体" w:cs="宋体"/>
          <w:color w:val="auto"/>
          <w:sz w:val="18"/>
          <w:szCs w:val="18"/>
          <w:highlight w:val="none"/>
        </w:rPr>
        <w:t xml:space="preserve">                                                       </w:t>
      </w:r>
      <w:r>
        <w:rPr>
          <w:rFonts w:hint="eastAsia" w:ascii="宋体" w:hAnsi="宋体" w:eastAsia="宋体" w:cs="宋体"/>
          <w:color w:val="auto"/>
          <w:spacing w:val="-17"/>
          <w:sz w:val="18"/>
          <w:szCs w:val="18"/>
          <w:highlight w:val="none"/>
        </w:rPr>
        <w:t>日期：</w:t>
      </w:r>
    </w:p>
    <w:p w14:paraId="3C5BF6A2">
      <w:pPr>
        <w:pStyle w:val="2"/>
        <w:rPr>
          <w:rFonts w:hint="eastAsia"/>
          <w:color w:val="auto"/>
          <w:highlight w:val="none"/>
        </w:rPr>
      </w:pPr>
    </w:p>
    <w:p w14:paraId="0ED32F40">
      <w:pPr>
        <w:keepNext w:val="0"/>
        <w:keepLines w:val="0"/>
        <w:pageBreakBefore/>
        <w:widowControl w:val="0"/>
        <w:numPr>
          <w:ilvl w:val="0"/>
          <w:numId w:val="0"/>
        </w:numPr>
        <w:kinsoku/>
        <w:wordWrap/>
        <w:overflowPunct/>
        <w:topLinePunct w:val="0"/>
        <w:autoSpaceDE/>
        <w:autoSpaceDN/>
        <w:bidi w:val="0"/>
        <w:adjustRightInd/>
        <w:snapToGrid w:val="0"/>
        <w:jc w:val="center"/>
        <w:textAlignment w:val="auto"/>
        <w:rPr>
          <w:rFonts w:hint="default" w:ascii="方正小标宋简体" w:hAnsi="方正小标宋简体" w:eastAsia="方正小标宋简体" w:cs="方正小标宋简体"/>
          <w:color w:val="auto"/>
          <w:kern w:val="0"/>
          <w:sz w:val="44"/>
          <w:szCs w:val="44"/>
          <w:highlight w:val="none"/>
          <w:lang w:val="en-US" w:eastAsia="zh-CN"/>
        </w:rPr>
      </w:pPr>
      <w:r>
        <w:rPr>
          <w:rFonts w:hint="eastAsia" w:ascii="方正小标宋简体" w:hAnsi="方正小标宋简体" w:eastAsia="方正小标宋简体" w:cs="方正小标宋简体"/>
          <w:color w:val="auto"/>
          <w:kern w:val="0"/>
          <w:sz w:val="44"/>
          <w:szCs w:val="44"/>
          <w:highlight w:val="none"/>
          <w:lang w:val="en-US" w:eastAsia="zh-CN"/>
        </w:rPr>
        <w:t>特种设备隐患问题回执记录</w:t>
      </w:r>
    </w:p>
    <w:tbl>
      <w:tblPr>
        <w:tblStyle w:val="15"/>
        <w:tblpPr w:leftFromText="180" w:rightFromText="180" w:vertAnchor="text" w:horzAnchor="page" w:tblpX="1383" w:tblpY="130"/>
        <w:tblOverlap w:val="never"/>
        <w:tblW w:w="9299" w:type="dxa"/>
        <w:tblInd w:w="0" w:type="dxa"/>
        <w:tblLayout w:type="fixed"/>
        <w:tblCellMar>
          <w:top w:w="15" w:type="dxa"/>
          <w:left w:w="15" w:type="dxa"/>
          <w:bottom w:w="15" w:type="dxa"/>
          <w:right w:w="15" w:type="dxa"/>
        </w:tblCellMar>
      </w:tblPr>
      <w:tblGrid>
        <w:gridCol w:w="370"/>
        <w:gridCol w:w="1178"/>
        <w:gridCol w:w="412"/>
        <w:gridCol w:w="236"/>
        <w:gridCol w:w="1057"/>
        <w:gridCol w:w="642"/>
        <w:gridCol w:w="1877"/>
        <w:gridCol w:w="1323"/>
        <w:gridCol w:w="192"/>
        <w:gridCol w:w="2012"/>
      </w:tblGrid>
      <w:tr w14:paraId="6FBC66B1">
        <w:tblPrEx>
          <w:tblCellMar>
            <w:top w:w="15" w:type="dxa"/>
            <w:left w:w="15" w:type="dxa"/>
            <w:bottom w:w="15" w:type="dxa"/>
            <w:right w:w="15" w:type="dxa"/>
          </w:tblCellMar>
        </w:tblPrEx>
        <w:trPr>
          <w:trHeight w:val="1029" w:hRule="atLeast"/>
        </w:trPr>
        <w:tc>
          <w:tcPr>
            <w:tcW w:w="2196" w:type="dxa"/>
            <w:gridSpan w:val="4"/>
            <w:tcBorders>
              <w:top w:val="single" w:color="000000" w:sz="4" w:space="0"/>
              <w:left w:val="single" w:color="000000" w:sz="4" w:space="0"/>
              <w:bottom w:val="single" w:color="000000" w:sz="4" w:space="0"/>
              <w:right w:val="single" w:color="000000" w:sz="4" w:space="0"/>
            </w:tcBorders>
            <w:vAlign w:val="center"/>
          </w:tcPr>
          <w:p w14:paraId="27EF4A99">
            <w:pPr>
              <w:keepNext w:val="0"/>
              <w:keepLines w:val="0"/>
              <w:pageBreakBefore w:val="0"/>
              <w:widowControl/>
              <w:kinsoku/>
              <w:wordWrap/>
              <w:overflowPunct/>
              <w:topLinePunct w:val="0"/>
              <w:autoSpaceDE/>
              <w:autoSpaceDN/>
              <w:bidi w:val="0"/>
              <w:adjustRightInd/>
              <w:snapToGrid w:val="0"/>
              <w:spacing w:line="240" w:lineRule="auto"/>
              <w:jc w:val="center"/>
              <w:textAlignment w:val="center"/>
              <w:rPr>
                <w:rFonts w:hint="eastAsia" w:ascii="仿宋" w:hAnsi="仿宋" w:eastAsia="仿宋" w:cs="仿宋"/>
                <w:b/>
                <w:bCs/>
                <w:color w:val="auto"/>
                <w:kern w:val="0"/>
                <w:sz w:val="28"/>
                <w:szCs w:val="28"/>
                <w:highlight w:val="none"/>
              </w:rPr>
            </w:pPr>
            <w:r>
              <w:rPr>
                <w:rFonts w:hint="eastAsia" w:ascii="仿宋" w:hAnsi="仿宋" w:eastAsia="仿宋" w:cs="仿宋"/>
                <w:b/>
                <w:bCs/>
                <w:color w:val="auto"/>
                <w:kern w:val="0"/>
                <w:sz w:val="28"/>
                <w:szCs w:val="28"/>
                <w:highlight w:val="none"/>
                <w:lang w:eastAsia="zh-CN"/>
              </w:rPr>
              <w:t>特种设备单位</w:t>
            </w:r>
            <w:r>
              <w:rPr>
                <w:rFonts w:hint="eastAsia" w:ascii="仿宋" w:hAnsi="仿宋" w:eastAsia="仿宋" w:cs="仿宋"/>
                <w:b/>
                <w:bCs/>
                <w:color w:val="auto"/>
                <w:kern w:val="0"/>
                <w:sz w:val="28"/>
                <w:szCs w:val="28"/>
                <w:highlight w:val="none"/>
              </w:rPr>
              <w:t>名称</w:t>
            </w:r>
          </w:p>
          <w:p w14:paraId="6F79A1FA">
            <w:pPr>
              <w:keepNext w:val="0"/>
              <w:keepLines w:val="0"/>
              <w:pageBreakBefore w:val="0"/>
              <w:widowControl/>
              <w:kinsoku/>
              <w:wordWrap/>
              <w:overflowPunct/>
              <w:topLinePunct w:val="0"/>
              <w:autoSpaceDE/>
              <w:autoSpaceDN/>
              <w:bidi w:val="0"/>
              <w:adjustRightInd/>
              <w:snapToGrid w:val="0"/>
              <w:spacing w:line="240" w:lineRule="auto"/>
              <w:jc w:val="center"/>
              <w:textAlignment w:val="center"/>
              <w:rPr>
                <w:rFonts w:hint="eastAsia" w:ascii="仿宋" w:hAnsi="仿宋" w:eastAsia="仿宋" w:cs="仿宋"/>
                <w:color w:val="auto"/>
                <w:sz w:val="28"/>
                <w:szCs w:val="28"/>
                <w:highlight w:val="none"/>
              </w:rPr>
            </w:pPr>
            <w:r>
              <w:rPr>
                <w:rFonts w:hint="eastAsia" w:ascii="仿宋" w:hAnsi="仿宋" w:eastAsia="仿宋" w:cs="仿宋"/>
                <w:b/>
                <w:bCs/>
                <w:color w:val="auto"/>
                <w:kern w:val="0"/>
                <w:sz w:val="28"/>
                <w:szCs w:val="28"/>
                <w:highlight w:val="none"/>
              </w:rPr>
              <w:t>（盖公章）</w:t>
            </w:r>
          </w:p>
        </w:tc>
        <w:tc>
          <w:tcPr>
            <w:tcW w:w="7103"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16160AA7">
            <w:pPr>
              <w:keepNext w:val="0"/>
              <w:keepLines w:val="0"/>
              <w:widowControl/>
              <w:suppressLineNumbers w:val="0"/>
              <w:jc w:val="center"/>
              <w:textAlignment w:val="center"/>
              <w:rPr>
                <w:rFonts w:hint="eastAsia" w:ascii="宋体" w:hAnsi="宋体" w:eastAsia="宋体" w:cs="宋体"/>
                <w:i w:val="0"/>
                <w:iCs w:val="0"/>
                <w:color w:val="auto"/>
                <w:kern w:val="2"/>
                <w:sz w:val="28"/>
                <w:szCs w:val="28"/>
                <w:highlight w:val="none"/>
                <w:u w:val="none"/>
                <w:lang w:val="en-US" w:eastAsia="zh-CN" w:bidi="ar-SA"/>
              </w:rPr>
            </w:pPr>
          </w:p>
        </w:tc>
      </w:tr>
      <w:tr w14:paraId="59334F41">
        <w:tblPrEx>
          <w:tblCellMar>
            <w:top w:w="15" w:type="dxa"/>
            <w:left w:w="15" w:type="dxa"/>
            <w:bottom w:w="15" w:type="dxa"/>
            <w:right w:w="15" w:type="dxa"/>
          </w:tblCellMar>
        </w:tblPrEx>
        <w:trPr>
          <w:trHeight w:val="481" w:hRule="atLeast"/>
        </w:trPr>
        <w:tc>
          <w:tcPr>
            <w:tcW w:w="1548" w:type="dxa"/>
            <w:gridSpan w:val="2"/>
            <w:tcBorders>
              <w:top w:val="single" w:color="000000" w:sz="4" w:space="0"/>
              <w:left w:val="single" w:color="000000" w:sz="4" w:space="0"/>
              <w:bottom w:val="single" w:color="000000" w:sz="4" w:space="0"/>
              <w:right w:val="single" w:color="000000" w:sz="4" w:space="0"/>
            </w:tcBorders>
            <w:vAlign w:val="center"/>
          </w:tcPr>
          <w:p w14:paraId="6C5290FC">
            <w:pPr>
              <w:keepNext w:val="0"/>
              <w:keepLines w:val="0"/>
              <w:pageBreakBefore w:val="0"/>
              <w:widowControl/>
              <w:kinsoku/>
              <w:wordWrap/>
              <w:overflowPunct/>
              <w:topLinePunct w:val="0"/>
              <w:autoSpaceDE/>
              <w:autoSpaceDN/>
              <w:bidi w:val="0"/>
              <w:adjustRightInd/>
              <w:snapToGrid w:val="0"/>
              <w:spacing w:line="240" w:lineRule="auto"/>
              <w:jc w:val="center"/>
              <w:textAlignment w:val="center"/>
              <w:rPr>
                <w:rFonts w:hint="eastAsia" w:ascii="仿宋" w:hAnsi="仿宋" w:eastAsia="仿宋" w:cs="仿宋"/>
                <w:color w:val="auto"/>
                <w:sz w:val="28"/>
                <w:szCs w:val="28"/>
                <w:highlight w:val="none"/>
              </w:rPr>
            </w:pPr>
            <w:r>
              <w:rPr>
                <w:rFonts w:hint="eastAsia" w:ascii="仿宋" w:hAnsi="仿宋" w:eastAsia="仿宋" w:cs="仿宋"/>
                <w:b/>
                <w:bCs/>
                <w:color w:val="auto"/>
                <w:kern w:val="0"/>
                <w:sz w:val="28"/>
                <w:szCs w:val="28"/>
                <w:highlight w:val="none"/>
              </w:rPr>
              <w:t>联系人姓名</w:t>
            </w:r>
          </w:p>
        </w:tc>
        <w:tc>
          <w:tcPr>
            <w:tcW w:w="170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CE42250">
            <w:pPr>
              <w:keepNext w:val="0"/>
              <w:keepLines w:val="0"/>
              <w:widowControl/>
              <w:suppressLineNumbers w:val="0"/>
              <w:jc w:val="center"/>
              <w:textAlignment w:val="center"/>
              <w:rPr>
                <w:rFonts w:hint="eastAsia" w:ascii="宋体" w:hAnsi="宋体" w:eastAsia="宋体" w:cs="宋体"/>
                <w:i w:val="0"/>
                <w:iCs w:val="0"/>
                <w:color w:val="auto"/>
                <w:kern w:val="2"/>
                <w:sz w:val="28"/>
                <w:szCs w:val="28"/>
                <w:highlight w:val="none"/>
                <w:u w:val="none"/>
                <w:lang w:val="en-US" w:eastAsia="zh-CN" w:bidi="ar-SA"/>
              </w:rPr>
            </w:pPr>
          </w:p>
        </w:tc>
        <w:tc>
          <w:tcPr>
            <w:tcW w:w="642" w:type="dxa"/>
            <w:tcBorders>
              <w:top w:val="single" w:color="000000" w:sz="4" w:space="0"/>
              <w:left w:val="single" w:color="000000" w:sz="4" w:space="0"/>
              <w:bottom w:val="single" w:color="000000" w:sz="4" w:space="0"/>
              <w:right w:val="single" w:color="000000" w:sz="4" w:space="0"/>
            </w:tcBorders>
            <w:vAlign w:val="center"/>
          </w:tcPr>
          <w:p w14:paraId="6C46953C">
            <w:pPr>
              <w:keepNext w:val="0"/>
              <w:keepLines w:val="0"/>
              <w:pageBreakBefore w:val="0"/>
              <w:kinsoku/>
              <w:wordWrap/>
              <w:overflowPunct/>
              <w:topLinePunct w:val="0"/>
              <w:autoSpaceDE/>
              <w:autoSpaceDN/>
              <w:bidi w:val="0"/>
              <w:adjustRightInd/>
              <w:snapToGrid w:val="0"/>
              <w:spacing w:line="240" w:lineRule="auto"/>
              <w:rPr>
                <w:rFonts w:hint="eastAsia" w:ascii="仿宋" w:hAnsi="仿宋" w:eastAsia="仿宋" w:cs="仿宋"/>
                <w:color w:val="auto"/>
                <w:sz w:val="28"/>
                <w:szCs w:val="28"/>
                <w:highlight w:val="none"/>
              </w:rPr>
            </w:pPr>
            <w:r>
              <w:rPr>
                <w:rFonts w:hint="eastAsia" w:ascii="仿宋" w:hAnsi="仿宋" w:eastAsia="仿宋" w:cs="仿宋"/>
                <w:b/>
                <w:bCs/>
                <w:color w:val="auto"/>
                <w:kern w:val="0"/>
                <w:sz w:val="28"/>
                <w:szCs w:val="28"/>
                <w:highlight w:val="none"/>
              </w:rPr>
              <w:t>职务</w:t>
            </w:r>
          </w:p>
        </w:tc>
        <w:tc>
          <w:tcPr>
            <w:tcW w:w="1877" w:type="dxa"/>
            <w:tcBorders>
              <w:top w:val="single" w:color="000000" w:sz="4" w:space="0"/>
              <w:left w:val="single" w:color="000000" w:sz="4" w:space="0"/>
              <w:bottom w:val="single" w:color="000000" w:sz="4" w:space="0"/>
              <w:right w:val="single" w:color="000000" w:sz="4" w:space="0"/>
            </w:tcBorders>
            <w:vAlign w:val="center"/>
          </w:tcPr>
          <w:p w14:paraId="0C8BFD48">
            <w:pPr>
              <w:keepNext w:val="0"/>
              <w:keepLines w:val="0"/>
              <w:pageBreakBefore w:val="0"/>
              <w:kinsoku/>
              <w:wordWrap/>
              <w:overflowPunct/>
              <w:topLinePunct w:val="0"/>
              <w:autoSpaceDE/>
              <w:autoSpaceDN/>
              <w:bidi w:val="0"/>
              <w:adjustRightInd/>
              <w:snapToGrid w:val="0"/>
              <w:spacing w:line="240" w:lineRule="auto"/>
              <w:rPr>
                <w:rFonts w:hint="eastAsia" w:ascii="仿宋" w:hAnsi="仿宋" w:eastAsia="仿宋" w:cs="仿宋"/>
                <w:color w:val="auto"/>
                <w:sz w:val="28"/>
                <w:szCs w:val="28"/>
                <w:highlight w:val="none"/>
                <w:lang w:val="en-US" w:eastAsia="zh-CN"/>
              </w:rPr>
            </w:pPr>
          </w:p>
        </w:tc>
        <w:tc>
          <w:tcPr>
            <w:tcW w:w="1323" w:type="dxa"/>
            <w:tcBorders>
              <w:top w:val="single" w:color="000000" w:sz="4" w:space="0"/>
              <w:left w:val="single" w:color="000000" w:sz="4" w:space="0"/>
              <w:bottom w:val="single" w:color="000000" w:sz="4" w:space="0"/>
              <w:right w:val="single" w:color="000000" w:sz="4" w:space="0"/>
            </w:tcBorders>
            <w:vAlign w:val="center"/>
          </w:tcPr>
          <w:p w14:paraId="2A286FC8">
            <w:pPr>
              <w:keepNext w:val="0"/>
              <w:keepLines w:val="0"/>
              <w:pageBreakBefore w:val="0"/>
              <w:kinsoku/>
              <w:wordWrap/>
              <w:overflowPunct/>
              <w:topLinePunct w:val="0"/>
              <w:autoSpaceDE/>
              <w:autoSpaceDN/>
              <w:bidi w:val="0"/>
              <w:adjustRightInd/>
              <w:snapToGrid w:val="0"/>
              <w:spacing w:line="240" w:lineRule="auto"/>
              <w:rPr>
                <w:rFonts w:hint="eastAsia" w:ascii="仿宋" w:hAnsi="仿宋" w:eastAsia="仿宋" w:cs="仿宋"/>
                <w:color w:val="auto"/>
                <w:sz w:val="28"/>
                <w:szCs w:val="28"/>
                <w:highlight w:val="none"/>
              </w:rPr>
            </w:pPr>
            <w:r>
              <w:rPr>
                <w:rFonts w:hint="eastAsia" w:ascii="仿宋" w:hAnsi="仿宋" w:eastAsia="仿宋" w:cs="仿宋"/>
                <w:b/>
                <w:bCs/>
                <w:color w:val="auto"/>
                <w:kern w:val="0"/>
                <w:sz w:val="28"/>
                <w:szCs w:val="28"/>
                <w:highlight w:val="none"/>
              </w:rPr>
              <w:t>手机号码</w:t>
            </w:r>
          </w:p>
        </w:tc>
        <w:tc>
          <w:tcPr>
            <w:tcW w:w="2204" w:type="dxa"/>
            <w:gridSpan w:val="2"/>
            <w:tcBorders>
              <w:top w:val="single" w:color="000000" w:sz="4" w:space="0"/>
              <w:left w:val="single" w:color="000000" w:sz="4" w:space="0"/>
              <w:bottom w:val="single" w:color="000000" w:sz="4" w:space="0"/>
              <w:right w:val="single" w:color="000000" w:sz="4" w:space="0"/>
            </w:tcBorders>
            <w:vAlign w:val="center"/>
          </w:tcPr>
          <w:p w14:paraId="409DCC04">
            <w:pPr>
              <w:keepNext w:val="0"/>
              <w:keepLines w:val="0"/>
              <w:pageBreakBefore w:val="0"/>
              <w:kinsoku/>
              <w:wordWrap/>
              <w:overflowPunct/>
              <w:topLinePunct w:val="0"/>
              <w:autoSpaceDE/>
              <w:autoSpaceDN/>
              <w:bidi w:val="0"/>
              <w:adjustRightInd/>
              <w:snapToGrid w:val="0"/>
              <w:spacing w:line="240" w:lineRule="auto"/>
              <w:rPr>
                <w:rFonts w:hint="eastAsia" w:ascii="仿宋" w:hAnsi="仿宋" w:eastAsia="仿宋" w:cs="仿宋"/>
                <w:color w:val="auto"/>
                <w:sz w:val="28"/>
                <w:szCs w:val="28"/>
                <w:highlight w:val="none"/>
              </w:rPr>
            </w:pPr>
          </w:p>
        </w:tc>
      </w:tr>
      <w:tr w14:paraId="41585C69">
        <w:tblPrEx>
          <w:tblCellMar>
            <w:top w:w="15" w:type="dxa"/>
            <w:left w:w="15" w:type="dxa"/>
            <w:bottom w:w="15" w:type="dxa"/>
            <w:right w:w="15" w:type="dxa"/>
          </w:tblCellMar>
        </w:tblPrEx>
        <w:trPr>
          <w:trHeight w:val="389" w:hRule="atLeast"/>
        </w:trPr>
        <w:tc>
          <w:tcPr>
            <w:tcW w:w="370" w:type="dxa"/>
            <w:vMerge w:val="restart"/>
            <w:tcBorders>
              <w:top w:val="single" w:color="000000" w:sz="4" w:space="0"/>
              <w:left w:val="single" w:color="000000" w:sz="4" w:space="0"/>
              <w:right w:val="single" w:color="000000" w:sz="4" w:space="0"/>
            </w:tcBorders>
            <w:vAlign w:val="center"/>
          </w:tcPr>
          <w:p w14:paraId="7892963C">
            <w:pPr>
              <w:keepNext w:val="0"/>
              <w:keepLines w:val="0"/>
              <w:pageBreakBefore w:val="0"/>
              <w:widowControl/>
              <w:kinsoku/>
              <w:wordWrap/>
              <w:overflowPunct/>
              <w:topLinePunct w:val="0"/>
              <w:autoSpaceDE/>
              <w:autoSpaceDN/>
              <w:bidi w:val="0"/>
              <w:adjustRightInd/>
              <w:snapToGrid w:val="0"/>
              <w:spacing w:line="240" w:lineRule="auto"/>
              <w:jc w:val="center"/>
              <w:textAlignment w:val="center"/>
              <w:rPr>
                <w:rFonts w:hint="eastAsia" w:ascii="仿宋" w:hAnsi="仿宋" w:eastAsia="仿宋" w:cs="仿宋"/>
                <w:color w:val="auto"/>
                <w:sz w:val="28"/>
                <w:szCs w:val="28"/>
                <w:highlight w:val="none"/>
              </w:rPr>
            </w:pPr>
            <w:r>
              <w:rPr>
                <w:rFonts w:hint="eastAsia" w:ascii="仿宋" w:hAnsi="仿宋" w:eastAsia="仿宋" w:cs="仿宋"/>
                <w:b/>
                <w:bCs/>
                <w:color w:val="auto"/>
                <w:kern w:val="0"/>
                <w:sz w:val="28"/>
                <w:szCs w:val="28"/>
                <w:highlight w:val="none"/>
              </w:rPr>
              <w:t>存在问题和整改情况</w:t>
            </w:r>
          </w:p>
        </w:tc>
        <w:tc>
          <w:tcPr>
            <w:tcW w:w="5402" w:type="dxa"/>
            <w:gridSpan w:val="6"/>
            <w:tcBorders>
              <w:top w:val="single" w:color="000000" w:sz="4" w:space="0"/>
              <w:left w:val="single" w:color="000000" w:sz="4" w:space="0"/>
              <w:bottom w:val="single" w:color="000000" w:sz="4" w:space="0"/>
              <w:right w:val="single" w:color="000000" w:sz="4" w:space="0"/>
            </w:tcBorders>
            <w:vAlign w:val="center"/>
          </w:tcPr>
          <w:p w14:paraId="03EF76A8">
            <w:pPr>
              <w:keepNext w:val="0"/>
              <w:keepLines w:val="0"/>
              <w:pageBreakBefore w:val="0"/>
              <w:widowControl/>
              <w:kinsoku/>
              <w:wordWrap/>
              <w:overflowPunct/>
              <w:topLinePunct w:val="0"/>
              <w:autoSpaceDE/>
              <w:autoSpaceDN/>
              <w:bidi w:val="0"/>
              <w:adjustRightInd/>
              <w:snapToGrid w:val="0"/>
              <w:spacing w:line="240" w:lineRule="auto"/>
              <w:jc w:val="center"/>
              <w:textAlignment w:val="center"/>
              <w:rPr>
                <w:rFonts w:hint="eastAsia" w:ascii="仿宋" w:hAnsi="仿宋" w:eastAsia="仿宋" w:cs="仿宋"/>
                <w:b/>
                <w:bCs/>
                <w:color w:val="auto"/>
                <w:sz w:val="28"/>
                <w:szCs w:val="28"/>
                <w:highlight w:val="none"/>
              </w:rPr>
            </w:pPr>
            <w:r>
              <w:rPr>
                <w:rFonts w:hint="eastAsia" w:ascii="仿宋" w:hAnsi="仿宋" w:eastAsia="仿宋" w:cs="仿宋"/>
                <w:b/>
                <w:bCs/>
                <w:color w:val="auto"/>
                <w:kern w:val="0"/>
                <w:sz w:val="28"/>
                <w:szCs w:val="28"/>
                <w:highlight w:val="none"/>
              </w:rPr>
              <w:t>存在主要问题</w:t>
            </w:r>
          </w:p>
        </w:tc>
        <w:tc>
          <w:tcPr>
            <w:tcW w:w="1515" w:type="dxa"/>
            <w:gridSpan w:val="2"/>
            <w:tcBorders>
              <w:top w:val="single" w:color="000000" w:sz="4" w:space="0"/>
              <w:left w:val="single" w:color="000000" w:sz="4" w:space="0"/>
              <w:bottom w:val="single" w:color="000000" w:sz="4" w:space="0"/>
              <w:right w:val="single" w:color="000000" w:sz="4" w:space="0"/>
            </w:tcBorders>
            <w:vAlign w:val="center"/>
          </w:tcPr>
          <w:p w14:paraId="5392A94E">
            <w:pPr>
              <w:keepNext w:val="0"/>
              <w:keepLines w:val="0"/>
              <w:pageBreakBefore w:val="0"/>
              <w:widowControl/>
              <w:kinsoku/>
              <w:wordWrap/>
              <w:overflowPunct/>
              <w:topLinePunct w:val="0"/>
              <w:autoSpaceDE/>
              <w:autoSpaceDN/>
              <w:bidi w:val="0"/>
              <w:adjustRightInd/>
              <w:snapToGrid w:val="0"/>
              <w:spacing w:line="240" w:lineRule="auto"/>
              <w:jc w:val="center"/>
              <w:textAlignment w:val="center"/>
              <w:rPr>
                <w:rFonts w:hint="eastAsia" w:ascii="仿宋" w:hAnsi="仿宋" w:eastAsia="仿宋" w:cs="仿宋"/>
                <w:b/>
                <w:bCs/>
                <w:color w:val="auto"/>
                <w:sz w:val="28"/>
                <w:szCs w:val="28"/>
                <w:highlight w:val="none"/>
              </w:rPr>
            </w:pPr>
            <w:r>
              <w:rPr>
                <w:rFonts w:hint="eastAsia" w:ascii="仿宋" w:hAnsi="仿宋" w:eastAsia="仿宋" w:cs="仿宋"/>
                <w:b/>
                <w:bCs/>
                <w:color w:val="auto"/>
                <w:kern w:val="0"/>
                <w:sz w:val="28"/>
                <w:szCs w:val="28"/>
                <w:highlight w:val="none"/>
              </w:rPr>
              <w:t>整改情况</w:t>
            </w:r>
          </w:p>
        </w:tc>
        <w:tc>
          <w:tcPr>
            <w:tcW w:w="2012" w:type="dxa"/>
            <w:tcBorders>
              <w:top w:val="single" w:color="000000" w:sz="4" w:space="0"/>
              <w:left w:val="single" w:color="000000" w:sz="4" w:space="0"/>
              <w:bottom w:val="single" w:color="000000" w:sz="4" w:space="0"/>
              <w:right w:val="single" w:color="000000" w:sz="4" w:space="0"/>
            </w:tcBorders>
            <w:vAlign w:val="center"/>
          </w:tcPr>
          <w:p w14:paraId="04E712A1">
            <w:pPr>
              <w:keepNext w:val="0"/>
              <w:keepLines w:val="0"/>
              <w:pageBreakBefore w:val="0"/>
              <w:widowControl/>
              <w:kinsoku/>
              <w:wordWrap/>
              <w:overflowPunct/>
              <w:topLinePunct w:val="0"/>
              <w:autoSpaceDE/>
              <w:autoSpaceDN/>
              <w:bidi w:val="0"/>
              <w:adjustRightInd/>
              <w:snapToGrid w:val="0"/>
              <w:spacing w:line="240" w:lineRule="auto"/>
              <w:jc w:val="center"/>
              <w:textAlignment w:val="center"/>
              <w:rPr>
                <w:rFonts w:hint="eastAsia" w:ascii="仿宋" w:hAnsi="仿宋" w:eastAsia="仿宋" w:cs="仿宋"/>
                <w:b/>
                <w:bCs/>
                <w:color w:val="auto"/>
                <w:sz w:val="28"/>
                <w:szCs w:val="28"/>
                <w:highlight w:val="none"/>
              </w:rPr>
            </w:pPr>
            <w:r>
              <w:rPr>
                <w:rFonts w:hint="eastAsia" w:ascii="仿宋" w:hAnsi="仿宋" w:eastAsia="仿宋" w:cs="仿宋"/>
                <w:b/>
                <w:bCs/>
                <w:color w:val="auto"/>
                <w:kern w:val="0"/>
                <w:sz w:val="28"/>
                <w:szCs w:val="28"/>
                <w:highlight w:val="none"/>
              </w:rPr>
              <w:t>佐证材料</w:t>
            </w:r>
          </w:p>
        </w:tc>
      </w:tr>
      <w:tr w14:paraId="652F3B22">
        <w:tblPrEx>
          <w:tblCellMar>
            <w:top w:w="15" w:type="dxa"/>
            <w:left w:w="15" w:type="dxa"/>
            <w:bottom w:w="15" w:type="dxa"/>
            <w:right w:w="15" w:type="dxa"/>
          </w:tblCellMar>
        </w:tblPrEx>
        <w:trPr>
          <w:trHeight w:val="683" w:hRule="atLeast"/>
        </w:trPr>
        <w:tc>
          <w:tcPr>
            <w:tcW w:w="370" w:type="dxa"/>
            <w:vMerge w:val="continue"/>
            <w:tcBorders>
              <w:left w:val="single" w:color="000000" w:sz="4" w:space="0"/>
              <w:right w:val="single" w:color="000000" w:sz="4" w:space="0"/>
            </w:tcBorders>
            <w:vAlign w:val="center"/>
          </w:tcPr>
          <w:p w14:paraId="5CCAAF25">
            <w:pPr>
              <w:keepNext w:val="0"/>
              <w:keepLines w:val="0"/>
              <w:pageBreakBefore w:val="0"/>
              <w:kinsoku/>
              <w:wordWrap/>
              <w:overflowPunct/>
              <w:topLinePunct w:val="0"/>
              <w:autoSpaceDE/>
              <w:autoSpaceDN/>
              <w:bidi w:val="0"/>
              <w:adjustRightInd/>
              <w:snapToGrid w:val="0"/>
              <w:spacing w:line="240" w:lineRule="auto"/>
              <w:jc w:val="center"/>
              <w:rPr>
                <w:rFonts w:hint="eastAsia" w:ascii="仿宋" w:hAnsi="仿宋" w:eastAsia="仿宋" w:cs="仿宋"/>
                <w:color w:val="auto"/>
                <w:sz w:val="28"/>
                <w:szCs w:val="28"/>
                <w:highlight w:val="none"/>
              </w:rPr>
            </w:pPr>
          </w:p>
        </w:tc>
        <w:tc>
          <w:tcPr>
            <w:tcW w:w="5402" w:type="dxa"/>
            <w:gridSpan w:val="6"/>
            <w:tcBorders>
              <w:top w:val="single" w:color="000000" w:sz="4" w:space="0"/>
              <w:left w:val="single" w:color="000000" w:sz="4" w:space="0"/>
              <w:bottom w:val="single" w:color="000000" w:sz="4" w:space="0"/>
              <w:right w:val="single" w:color="000000" w:sz="4" w:space="0"/>
            </w:tcBorders>
            <w:vAlign w:val="center"/>
          </w:tcPr>
          <w:p w14:paraId="3B061A4F">
            <w:pPr>
              <w:keepNext w:val="0"/>
              <w:keepLines w:val="0"/>
              <w:pageBreakBefore w:val="0"/>
              <w:kinsoku/>
              <w:wordWrap/>
              <w:overflowPunct/>
              <w:topLinePunct w:val="0"/>
              <w:autoSpaceDE/>
              <w:autoSpaceDN/>
              <w:bidi w:val="0"/>
              <w:adjustRightInd/>
              <w:snapToGrid w:val="0"/>
              <w:spacing w:line="240" w:lineRule="auto"/>
              <w:rPr>
                <w:rFonts w:hint="eastAsia" w:ascii="仿宋" w:hAnsi="仿宋" w:eastAsia="仿宋" w:cs="仿宋"/>
                <w:color w:val="auto"/>
                <w:sz w:val="28"/>
                <w:szCs w:val="28"/>
                <w:highlight w:val="none"/>
              </w:rPr>
            </w:pPr>
          </w:p>
        </w:tc>
        <w:tc>
          <w:tcPr>
            <w:tcW w:w="1515" w:type="dxa"/>
            <w:gridSpan w:val="2"/>
            <w:tcBorders>
              <w:top w:val="single" w:color="000000" w:sz="4" w:space="0"/>
              <w:left w:val="single" w:color="000000" w:sz="4" w:space="0"/>
              <w:bottom w:val="single" w:color="000000" w:sz="4" w:space="0"/>
              <w:right w:val="single" w:color="000000" w:sz="4" w:space="0"/>
            </w:tcBorders>
            <w:vAlign w:val="center"/>
          </w:tcPr>
          <w:p w14:paraId="07A62810">
            <w:pPr>
              <w:keepNext w:val="0"/>
              <w:keepLines w:val="0"/>
              <w:pageBreakBefore w:val="0"/>
              <w:kinsoku/>
              <w:wordWrap/>
              <w:overflowPunct/>
              <w:topLinePunct w:val="0"/>
              <w:autoSpaceDE/>
              <w:autoSpaceDN/>
              <w:bidi w:val="0"/>
              <w:adjustRightInd/>
              <w:snapToGrid w:val="0"/>
              <w:spacing w:line="240" w:lineRule="auto"/>
              <w:jc w:val="center"/>
              <w:rPr>
                <w:rFonts w:hint="eastAsia" w:ascii="仿宋" w:hAnsi="仿宋" w:eastAsia="仿宋" w:cs="仿宋"/>
                <w:color w:val="auto"/>
                <w:sz w:val="28"/>
                <w:szCs w:val="28"/>
                <w:highlight w:val="none"/>
                <w:lang w:val="en-US" w:eastAsia="zh-CN"/>
              </w:rPr>
            </w:pPr>
          </w:p>
        </w:tc>
        <w:tc>
          <w:tcPr>
            <w:tcW w:w="2012" w:type="dxa"/>
            <w:tcBorders>
              <w:top w:val="single" w:color="000000" w:sz="4" w:space="0"/>
              <w:left w:val="single" w:color="000000" w:sz="4" w:space="0"/>
              <w:bottom w:val="single" w:color="000000" w:sz="4" w:space="0"/>
              <w:right w:val="single" w:color="000000" w:sz="4" w:space="0"/>
            </w:tcBorders>
            <w:vAlign w:val="center"/>
          </w:tcPr>
          <w:p w14:paraId="453A63B8">
            <w:pPr>
              <w:keepNext w:val="0"/>
              <w:keepLines w:val="0"/>
              <w:pageBreakBefore w:val="0"/>
              <w:kinsoku/>
              <w:wordWrap/>
              <w:overflowPunct/>
              <w:topLinePunct w:val="0"/>
              <w:autoSpaceDE/>
              <w:autoSpaceDN/>
              <w:bidi w:val="0"/>
              <w:adjustRightInd/>
              <w:snapToGrid w:val="0"/>
              <w:spacing w:line="240" w:lineRule="auto"/>
              <w:jc w:val="center"/>
              <w:rPr>
                <w:rFonts w:hint="default" w:ascii="仿宋" w:hAnsi="仿宋" w:eastAsia="仿宋" w:cs="仿宋"/>
                <w:color w:val="auto"/>
                <w:sz w:val="28"/>
                <w:szCs w:val="28"/>
                <w:highlight w:val="none"/>
                <w:lang w:val="en-US" w:eastAsia="zh-CN"/>
              </w:rPr>
            </w:pPr>
          </w:p>
        </w:tc>
      </w:tr>
      <w:tr w14:paraId="7A134FC0">
        <w:tblPrEx>
          <w:tblCellMar>
            <w:top w:w="15" w:type="dxa"/>
            <w:left w:w="15" w:type="dxa"/>
            <w:bottom w:w="15" w:type="dxa"/>
            <w:right w:w="15" w:type="dxa"/>
          </w:tblCellMar>
        </w:tblPrEx>
        <w:trPr>
          <w:trHeight w:val="683" w:hRule="atLeast"/>
        </w:trPr>
        <w:tc>
          <w:tcPr>
            <w:tcW w:w="370" w:type="dxa"/>
            <w:vMerge w:val="continue"/>
            <w:tcBorders>
              <w:left w:val="single" w:color="000000" w:sz="4" w:space="0"/>
              <w:right w:val="single" w:color="000000" w:sz="4" w:space="0"/>
            </w:tcBorders>
            <w:vAlign w:val="center"/>
          </w:tcPr>
          <w:p w14:paraId="78E0597D">
            <w:pPr>
              <w:keepNext w:val="0"/>
              <w:keepLines w:val="0"/>
              <w:pageBreakBefore w:val="0"/>
              <w:kinsoku/>
              <w:wordWrap/>
              <w:overflowPunct/>
              <w:topLinePunct w:val="0"/>
              <w:autoSpaceDE/>
              <w:autoSpaceDN/>
              <w:bidi w:val="0"/>
              <w:adjustRightInd/>
              <w:snapToGrid w:val="0"/>
              <w:spacing w:line="240" w:lineRule="auto"/>
              <w:jc w:val="center"/>
              <w:rPr>
                <w:rFonts w:hint="eastAsia" w:ascii="仿宋" w:hAnsi="仿宋" w:eastAsia="仿宋" w:cs="仿宋"/>
                <w:color w:val="auto"/>
                <w:sz w:val="28"/>
                <w:szCs w:val="28"/>
                <w:highlight w:val="none"/>
              </w:rPr>
            </w:pPr>
          </w:p>
        </w:tc>
        <w:tc>
          <w:tcPr>
            <w:tcW w:w="5402" w:type="dxa"/>
            <w:gridSpan w:val="6"/>
            <w:tcBorders>
              <w:top w:val="single" w:color="000000" w:sz="4" w:space="0"/>
              <w:left w:val="single" w:color="000000" w:sz="4" w:space="0"/>
              <w:bottom w:val="single" w:color="000000" w:sz="4" w:space="0"/>
              <w:right w:val="single" w:color="000000" w:sz="4" w:space="0"/>
            </w:tcBorders>
            <w:vAlign w:val="center"/>
          </w:tcPr>
          <w:p w14:paraId="26428046">
            <w:pPr>
              <w:keepNext w:val="0"/>
              <w:keepLines w:val="0"/>
              <w:pageBreakBefore w:val="0"/>
              <w:kinsoku/>
              <w:wordWrap/>
              <w:overflowPunct/>
              <w:topLinePunct w:val="0"/>
              <w:autoSpaceDE/>
              <w:autoSpaceDN/>
              <w:bidi w:val="0"/>
              <w:adjustRightInd/>
              <w:snapToGrid w:val="0"/>
              <w:spacing w:line="240" w:lineRule="auto"/>
              <w:rPr>
                <w:rFonts w:hint="eastAsia" w:ascii="仿宋" w:hAnsi="仿宋" w:eastAsia="仿宋" w:cs="仿宋"/>
                <w:color w:val="auto"/>
                <w:sz w:val="28"/>
                <w:szCs w:val="28"/>
                <w:highlight w:val="none"/>
              </w:rPr>
            </w:pPr>
          </w:p>
        </w:tc>
        <w:tc>
          <w:tcPr>
            <w:tcW w:w="1515" w:type="dxa"/>
            <w:gridSpan w:val="2"/>
            <w:tcBorders>
              <w:top w:val="single" w:color="000000" w:sz="4" w:space="0"/>
              <w:left w:val="single" w:color="000000" w:sz="4" w:space="0"/>
              <w:bottom w:val="single" w:color="000000" w:sz="4" w:space="0"/>
              <w:right w:val="single" w:color="000000" w:sz="4" w:space="0"/>
            </w:tcBorders>
            <w:vAlign w:val="center"/>
          </w:tcPr>
          <w:p w14:paraId="419186EC">
            <w:pPr>
              <w:keepNext w:val="0"/>
              <w:keepLines w:val="0"/>
              <w:pageBreakBefore w:val="0"/>
              <w:kinsoku/>
              <w:wordWrap/>
              <w:overflowPunct/>
              <w:topLinePunct w:val="0"/>
              <w:autoSpaceDE/>
              <w:autoSpaceDN/>
              <w:bidi w:val="0"/>
              <w:adjustRightInd/>
              <w:snapToGrid w:val="0"/>
              <w:spacing w:line="240" w:lineRule="auto"/>
              <w:jc w:val="center"/>
              <w:rPr>
                <w:rFonts w:hint="eastAsia" w:ascii="仿宋" w:hAnsi="仿宋" w:eastAsia="仿宋" w:cs="仿宋"/>
                <w:color w:val="auto"/>
                <w:sz w:val="28"/>
                <w:szCs w:val="28"/>
                <w:highlight w:val="none"/>
                <w:lang w:val="en-US" w:eastAsia="zh-CN"/>
              </w:rPr>
            </w:pPr>
          </w:p>
        </w:tc>
        <w:tc>
          <w:tcPr>
            <w:tcW w:w="2012" w:type="dxa"/>
            <w:tcBorders>
              <w:top w:val="single" w:color="000000" w:sz="4" w:space="0"/>
              <w:left w:val="single" w:color="000000" w:sz="4" w:space="0"/>
              <w:bottom w:val="single" w:color="000000" w:sz="4" w:space="0"/>
              <w:right w:val="single" w:color="000000" w:sz="4" w:space="0"/>
            </w:tcBorders>
            <w:vAlign w:val="center"/>
          </w:tcPr>
          <w:p w14:paraId="16E0F7B3">
            <w:pPr>
              <w:keepNext w:val="0"/>
              <w:keepLines w:val="0"/>
              <w:pageBreakBefore w:val="0"/>
              <w:kinsoku/>
              <w:wordWrap/>
              <w:overflowPunct/>
              <w:topLinePunct w:val="0"/>
              <w:autoSpaceDE/>
              <w:autoSpaceDN/>
              <w:bidi w:val="0"/>
              <w:adjustRightInd/>
              <w:snapToGrid w:val="0"/>
              <w:spacing w:line="240" w:lineRule="auto"/>
              <w:jc w:val="center"/>
              <w:rPr>
                <w:rFonts w:hint="default" w:ascii="仿宋" w:hAnsi="仿宋" w:eastAsia="仿宋" w:cs="仿宋"/>
                <w:color w:val="auto"/>
                <w:sz w:val="28"/>
                <w:szCs w:val="28"/>
                <w:highlight w:val="none"/>
                <w:lang w:val="en-US" w:eastAsia="zh-CN"/>
              </w:rPr>
            </w:pPr>
          </w:p>
        </w:tc>
      </w:tr>
      <w:tr w14:paraId="25C22451">
        <w:tblPrEx>
          <w:tblCellMar>
            <w:top w:w="15" w:type="dxa"/>
            <w:left w:w="15" w:type="dxa"/>
            <w:bottom w:w="15" w:type="dxa"/>
            <w:right w:w="15" w:type="dxa"/>
          </w:tblCellMar>
        </w:tblPrEx>
        <w:trPr>
          <w:trHeight w:val="683" w:hRule="atLeast"/>
        </w:trPr>
        <w:tc>
          <w:tcPr>
            <w:tcW w:w="370" w:type="dxa"/>
            <w:vMerge w:val="continue"/>
            <w:tcBorders>
              <w:left w:val="single" w:color="000000" w:sz="4" w:space="0"/>
              <w:right w:val="single" w:color="000000" w:sz="4" w:space="0"/>
            </w:tcBorders>
            <w:vAlign w:val="center"/>
          </w:tcPr>
          <w:p w14:paraId="6907D48B">
            <w:pPr>
              <w:keepNext w:val="0"/>
              <w:keepLines w:val="0"/>
              <w:pageBreakBefore w:val="0"/>
              <w:kinsoku/>
              <w:wordWrap/>
              <w:overflowPunct/>
              <w:topLinePunct w:val="0"/>
              <w:autoSpaceDE/>
              <w:autoSpaceDN/>
              <w:bidi w:val="0"/>
              <w:adjustRightInd/>
              <w:snapToGrid w:val="0"/>
              <w:spacing w:line="240" w:lineRule="auto"/>
              <w:jc w:val="center"/>
              <w:rPr>
                <w:rFonts w:hint="eastAsia" w:ascii="仿宋" w:hAnsi="仿宋" w:eastAsia="仿宋" w:cs="仿宋"/>
                <w:color w:val="auto"/>
                <w:sz w:val="28"/>
                <w:szCs w:val="28"/>
                <w:highlight w:val="none"/>
              </w:rPr>
            </w:pPr>
          </w:p>
        </w:tc>
        <w:tc>
          <w:tcPr>
            <w:tcW w:w="5402" w:type="dxa"/>
            <w:gridSpan w:val="6"/>
            <w:tcBorders>
              <w:top w:val="single" w:color="000000" w:sz="4" w:space="0"/>
              <w:left w:val="single" w:color="000000" w:sz="4" w:space="0"/>
              <w:bottom w:val="single" w:color="000000" w:sz="4" w:space="0"/>
              <w:right w:val="single" w:color="000000" w:sz="4" w:space="0"/>
            </w:tcBorders>
            <w:vAlign w:val="center"/>
          </w:tcPr>
          <w:p w14:paraId="61806372">
            <w:pPr>
              <w:keepNext w:val="0"/>
              <w:keepLines w:val="0"/>
              <w:pageBreakBefore w:val="0"/>
              <w:kinsoku/>
              <w:wordWrap/>
              <w:overflowPunct/>
              <w:topLinePunct w:val="0"/>
              <w:autoSpaceDE/>
              <w:autoSpaceDN/>
              <w:bidi w:val="0"/>
              <w:adjustRightInd/>
              <w:snapToGrid w:val="0"/>
              <w:spacing w:line="240" w:lineRule="auto"/>
              <w:rPr>
                <w:rFonts w:hint="eastAsia" w:ascii="仿宋" w:hAnsi="仿宋" w:eastAsia="仿宋" w:cs="仿宋"/>
                <w:color w:val="auto"/>
                <w:sz w:val="28"/>
                <w:szCs w:val="28"/>
                <w:highlight w:val="none"/>
              </w:rPr>
            </w:pPr>
          </w:p>
        </w:tc>
        <w:tc>
          <w:tcPr>
            <w:tcW w:w="1515" w:type="dxa"/>
            <w:gridSpan w:val="2"/>
            <w:tcBorders>
              <w:top w:val="single" w:color="000000" w:sz="4" w:space="0"/>
              <w:left w:val="single" w:color="000000" w:sz="4" w:space="0"/>
              <w:bottom w:val="single" w:color="000000" w:sz="4" w:space="0"/>
              <w:right w:val="single" w:color="000000" w:sz="4" w:space="0"/>
            </w:tcBorders>
            <w:vAlign w:val="center"/>
          </w:tcPr>
          <w:p w14:paraId="7F92FBC4">
            <w:pPr>
              <w:keepNext w:val="0"/>
              <w:keepLines w:val="0"/>
              <w:pageBreakBefore w:val="0"/>
              <w:kinsoku/>
              <w:wordWrap/>
              <w:overflowPunct/>
              <w:topLinePunct w:val="0"/>
              <w:autoSpaceDE/>
              <w:autoSpaceDN/>
              <w:bidi w:val="0"/>
              <w:adjustRightInd/>
              <w:snapToGrid w:val="0"/>
              <w:spacing w:line="240" w:lineRule="auto"/>
              <w:rPr>
                <w:rFonts w:hint="eastAsia" w:ascii="仿宋" w:hAnsi="仿宋" w:eastAsia="仿宋" w:cs="仿宋"/>
                <w:color w:val="auto"/>
                <w:sz w:val="28"/>
                <w:szCs w:val="28"/>
                <w:highlight w:val="none"/>
              </w:rPr>
            </w:pPr>
          </w:p>
        </w:tc>
        <w:tc>
          <w:tcPr>
            <w:tcW w:w="2012" w:type="dxa"/>
            <w:tcBorders>
              <w:top w:val="single" w:color="000000" w:sz="4" w:space="0"/>
              <w:left w:val="single" w:color="000000" w:sz="4" w:space="0"/>
              <w:bottom w:val="single" w:color="000000" w:sz="4" w:space="0"/>
              <w:right w:val="single" w:color="000000" w:sz="4" w:space="0"/>
            </w:tcBorders>
            <w:vAlign w:val="center"/>
          </w:tcPr>
          <w:p w14:paraId="5B5AB55D">
            <w:pPr>
              <w:keepNext w:val="0"/>
              <w:keepLines w:val="0"/>
              <w:pageBreakBefore w:val="0"/>
              <w:kinsoku/>
              <w:wordWrap/>
              <w:overflowPunct/>
              <w:topLinePunct w:val="0"/>
              <w:autoSpaceDE/>
              <w:autoSpaceDN/>
              <w:bidi w:val="0"/>
              <w:adjustRightInd/>
              <w:snapToGrid w:val="0"/>
              <w:spacing w:line="240" w:lineRule="auto"/>
              <w:rPr>
                <w:rFonts w:hint="eastAsia" w:ascii="仿宋" w:hAnsi="仿宋" w:eastAsia="仿宋" w:cs="仿宋"/>
                <w:color w:val="auto"/>
                <w:sz w:val="28"/>
                <w:szCs w:val="28"/>
                <w:highlight w:val="none"/>
              </w:rPr>
            </w:pPr>
          </w:p>
        </w:tc>
      </w:tr>
      <w:tr w14:paraId="5228FA98">
        <w:tblPrEx>
          <w:tblCellMar>
            <w:top w:w="15" w:type="dxa"/>
            <w:left w:w="15" w:type="dxa"/>
            <w:bottom w:w="15" w:type="dxa"/>
            <w:right w:w="15" w:type="dxa"/>
          </w:tblCellMar>
        </w:tblPrEx>
        <w:trPr>
          <w:trHeight w:val="683" w:hRule="atLeast"/>
        </w:trPr>
        <w:tc>
          <w:tcPr>
            <w:tcW w:w="370" w:type="dxa"/>
            <w:vMerge w:val="continue"/>
            <w:tcBorders>
              <w:left w:val="single" w:color="000000" w:sz="4" w:space="0"/>
              <w:right w:val="single" w:color="000000" w:sz="4" w:space="0"/>
            </w:tcBorders>
            <w:vAlign w:val="center"/>
          </w:tcPr>
          <w:p w14:paraId="6F0E14F9">
            <w:pPr>
              <w:keepNext w:val="0"/>
              <w:keepLines w:val="0"/>
              <w:pageBreakBefore w:val="0"/>
              <w:kinsoku/>
              <w:wordWrap/>
              <w:overflowPunct/>
              <w:topLinePunct w:val="0"/>
              <w:autoSpaceDE/>
              <w:autoSpaceDN/>
              <w:bidi w:val="0"/>
              <w:adjustRightInd/>
              <w:snapToGrid w:val="0"/>
              <w:spacing w:line="240" w:lineRule="auto"/>
              <w:jc w:val="center"/>
              <w:rPr>
                <w:rFonts w:hint="eastAsia" w:ascii="仿宋" w:hAnsi="仿宋" w:eastAsia="仿宋" w:cs="仿宋"/>
                <w:color w:val="auto"/>
                <w:sz w:val="28"/>
                <w:szCs w:val="28"/>
                <w:highlight w:val="none"/>
              </w:rPr>
            </w:pPr>
          </w:p>
        </w:tc>
        <w:tc>
          <w:tcPr>
            <w:tcW w:w="5402" w:type="dxa"/>
            <w:gridSpan w:val="6"/>
            <w:tcBorders>
              <w:top w:val="single" w:color="000000" w:sz="4" w:space="0"/>
              <w:left w:val="single" w:color="000000" w:sz="4" w:space="0"/>
              <w:bottom w:val="single" w:color="000000" w:sz="4" w:space="0"/>
              <w:right w:val="single" w:color="000000" w:sz="4" w:space="0"/>
            </w:tcBorders>
            <w:vAlign w:val="center"/>
          </w:tcPr>
          <w:p w14:paraId="599772BD">
            <w:pPr>
              <w:keepNext w:val="0"/>
              <w:keepLines w:val="0"/>
              <w:pageBreakBefore w:val="0"/>
              <w:kinsoku/>
              <w:wordWrap/>
              <w:overflowPunct/>
              <w:topLinePunct w:val="0"/>
              <w:autoSpaceDE/>
              <w:autoSpaceDN/>
              <w:bidi w:val="0"/>
              <w:adjustRightInd/>
              <w:snapToGrid w:val="0"/>
              <w:spacing w:line="240" w:lineRule="auto"/>
              <w:rPr>
                <w:rFonts w:hint="eastAsia" w:ascii="仿宋" w:hAnsi="仿宋" w:eastAsia="仿宋" w:cs="仿宋"/>
                <w:color w:val="auto"/>
                <w:sz w:val="28"/>
                <w:szCs w:val="28"/>
                <w:highlight w:val="none"/>
              </w:rPr>
            </w:pPr>
          </w:p>
        </w:tc>
        <w:tc>
          <w:tcPr>
            <w:tcW w:w="1515" w:type="dxa"/>
            <w:gridSpan w:val="2"/>
            <w:tcBorders>
              <w:top w:val="single" w:color="000000" w:sz="4" w:space="0"/>
              <w:left w:val="single" w:color="000000" w:sz="4" w:space="0"/>
              <w:bottom w:val="single" w:color="000000" w:sz="4" w:space="0"/>
              <w:right w:val="single" w:color="000000" w:sz="4" w:space="0"/>
            </w:tcBorders>
            <w:vAlign w:val="center"/>
          </w:tcPr>
          <w:p w14:paraId="42B22BA2">
            <w:pPr>
              <w:keepNext w:val="0"/>
              <w:keepLines w:val="0"/>
              <w:pageBreakBefore w:val="0"/>
              <w:kinsoku/>
              <w:wordWrap/>
              <w:overflowPunct/>
              <w:topLinePunct w:val="0"/>
              <w:autoSpaceDE/>
              <w:autoSpaceDN/>
              <w:bidi w:val="0"/>
              <w:adjustRightInd/>
              <w:snapToGrid w:val="0"/>
              <w:spacing w:line="240" w:lineRule="auto"/>
              <w:rPr>
                <w:rFonts w:hint="eastAsia" w:ascii="仿宋" w:hAnsi="仿宋" w:eastAsia="仿宋" w:cs="仿宋"/>
                <w:color w:val="auto"/>
                <w:sz w:val="28"/>
                <w:szCs w:val="28"/>
                <w:highlight w:val="none"/>
              </w:rPr>
            </w:pPr>
          </w:p>
        </w:tc>
        <w:tc>
          <w:tcPr>
            <w:tcW w:w="2012" w:type="dxa"/>
            <w:tcBorders>
              <w:top w:val="single" w:color="000000" w:sz="4" w:space="0"/>
              <w:left w:val="single" w:color="000000" w:sz="4" w:space="0"/>
              <w:bottom w:val="single" w:color="000000" w:sz="4" w:space="0"/>
              <w:right w:val="single" w:color="000000" w:sz="4" w:space="0"/>
            </w:tcBorders>
            <w:vAlign w:val="center"/>
          </w:tcPr>
          <w:p w14:paraId="51A033BD">
            <w:pPr>
              <w:keepNext w:val="0"/>
              <w:keepLines w:val="0"/>
              <w:pageBreakBefore w:val="0"/>
              <w:kinsoku/>
              <w:wordWrap/>
              <w:overflowPunct/>
              <w:topLinePunct w:val="0"/>
              <w:autoSpaceDE/>
              <w:autoSpaceDN/>
              <w:bidi w:val="0"/>
              <w:adjustRightInd/>
              <w:snapToGrid w:val="0"/>
              <w:spacing w:line="240" w:lineRule="auto"/>
              <w:rPr>
                <w:rFonts w:hint="eastAsia" w:ascii="仿宋" w:hAnsi="仿宋" w:eastAsia="仿宋" w:cs="仿宋"/>
                <w:color w:val="auto"/>
                <w:sz w:val="28"/>
                <w:szCs w:val="28"/>
                <w:highlight w:val="none"/>
              </w:rPr>
            </w:pPr>
          </w:p>
        </w:tc>
      </w:tr>
      <w:tr w14:paraId="4778E6BC">
        <w:tblPrEx>
          <w:tblCellMar>
            <w:top w:w="15" w:type="dxa"/>
            <w:left w:w="15" w:type="dxa"/>
            <w:bottom w:w="15" w:type="dxa"/>
            <w:right w:w="15" w:type="dxa"/>
          </w:tblCellMar>
        </w:tblPrEx>
        <w:trPr>
          <w:trHeight w:val="683" w:hRule="atLeast"/>
        </w:trPr>
        <w:tc>
          <w:tcPr>
            <w:tcW w:w="370" w:type="dxa"/>
            <w:vMerge w:val="continue"/>
            <w:tcBorders>
              <w:left w:val="single" w:color="000000" w:sz="4" w:space="0"/>
              <w:right w:val="single" w:color="000000" w:sz="4" w:space="0"/>
            </w:tcBorders>
            <w:vAlign w:val="center"/>
          </w:tcPr>
          <w:p w14:paraId="6420B7E7">
            <w:pPr>
              <w:keepNext w:val="0"/>
              <w:keepLines w:val="0"/>
              <w:pageBreakBefore w:val="0"/>
              <w:kinsoku/>
              <w:wordWrap/>
              <w:overflowPunct/>
              <w:topLinePunct w:val="0"/>
              <w:autoSpaceDE/>
              <w:autoSpaceDN/>
              <w:bidi w:val="0"/>
              <w:adjustRightInd/>
              <w:snapToGrid w:val="0"/>
              <w:spacing w:line="240" w:lineRule="auto"/>
              <w:jc w:val="center"/>
              <w:rPr>
                <w:rFonts w:hint="eastAsia" w:ascii="仿宋" w:hAnsi="仿宋" w:eastAsia="仿宋" w:cs="仿宋"/>
                <w:color w:val="auto"/>
                <w:sz w:val="28"/>
                <w:szCs w:val="28"/>
                <w:highlight w:val="none"/>
              </w:rPr>
            </w:pPr>
          </w:p>
        </w:tc>
        <w:tc>
          <w:tcPr>
            <w:tcW w:w="5402" w:type="dxa"/>
            <w:gridSpan w:val="6"/>
            <w:tcBorders>
              <w:top w:val="single" w:color="000000" w:sz="4" w:space="0"/>
              <w:left w:val="single" w:color="000000" w:sz="4" w:space="0"/>
              <w:bottom w:val="single" w:color="000000" w:sz="4" w:space="0"/>
              <w:right w:val="single" w:color="000000" w:sz="4" w:space="0"/>
            </w:tcBorders>
            <w:vAlign w:val="center"/>
          </w:tcPr>
          <w:p w14:paraId="32C1ED96">
            <w:pPr>
              <w:keepNext w:val="0"/>
              <w:keepLines w:val="0"/>
              <w:pageBreakBefore w:val="0"/>
              <w:kinsoku/>
              <w:wordWrap/>
              <w:overflowPunct/>
              <w:topLinePunct w:val="0"/>
              <w:autoSpaceDE/>
              <w:autoSpaceDN/>
              <w:bidi w:val="0"/>
              <w:adjustRightInd/>
              <w:snapToGrid w:val="0"/>
              <w:spacing w:line="240" w:lineRule="auto"/>
              <w:rPr>
                <w:rFonts w:hint="eastAsia" w:ascii="仿宋" w:hAnsi="仿宋" w:eastAsia="仿宋" w:cs="仿宋"/>
                <w:color w:val="auto"/>
                <w:sz w:val="28"/>
                <w:szCs w:val="28"/>
                <w:highlight w:val="none"/>
              </w:rPr>
            </w:pPr>
          </w:p>
        </w:tc>
        <w:tc>
          <w:tcPr>
            <w:tcW w:w="1515" w:type="dxa"/>
            <w:gridSpan w:val="2"/>
            <w:tcBorders>
              <w:top w:val="single" w:color="000000" w:sz="4" w:space="0"/>
              <w:left w:val="single" w:color="000000" w:sz="4" w:space="0"/>
              <w:bottom w:val="single" w:color="000000" w:sz="4" w:space="0"/>
              <w:right w:val="single" w:color="000000" w:sz="4" w:space="0"/>
            </w:tcBorders>
            <w:vAlign w:val="center"/>
          </w:tcPr>
          <w:p w14:paraId="7EA92D4B">
            <w:pPr>
              <w:keepNext w:val="0"/>
              <w:keepLines w:val="0"/>
              <w:pageBreakBefore w:val="0"/>
              <w:kinsoku/>
              <w:wordWrap/>
              <w:overflowPunct/>
              <w:topLinePunct w:val="0"/>
              <w:autoSpaceDE/>
              <w:autoSpaceDN/>
              <w:bidi w:val="0"/>
              <w:adjustRightInd/>
              <w:snapToGrid w:val="0"/>
              <w:spacing w:line="240" w:lineRule="auto"/>
              <w:rPr>
                <w:rFonts w:hint="eastAsia" w:ascii="仿宋" w:hAnsi="仿宋" w:eastAsia="仿宋" w:cs="仿宋"/>
                <w:color w:val="auto"/>
                <w:sz w:val="28"/>
                <w:szCs w:val="28"/>
                <w:highlight w:val="none"/>
              </w:rPr>
            </w:pPr>
          </w:p>
        </w:tc>
        <w:tc>
          <w:tcPr>
            <w:tcW w:w="2012" w:type="dxa"/>
            <w:tcBorders>
              <w:top w:val="single" w:color="000000" w:sz="4" w:space="0"/>
              <w:left w:val="single" w:color="000000" w:sz="4" w:space="0"/>
              <w:bottom w:val="single" w:color="000000" w:sz="4" w:space="0"/>
              <w:right w:val="single" w:color="000000" w:sz="4" w:space="0"/>
            </w:tcBorders>
            <w:vAlign w:val="center"/>
          </w:tcPr>
          <w:p w14:paraId="67AED400">
            <w:pPr>
              <w:keepNext w:val="0"/>
              <w:keepLines w:val="0"/>
              <w:pageBreakBefore w:val="0"/>
              <w:kinsoku/>
              <w:wordWrap/>
              <w:overflowPunct/>
              <w:topLinePunct w:val="0"/>
              <w:autoSpaceDE/>
              <w:autoSpaceDN/>
              <w:bidi w:val="0"/>
              <w:adjustRightInd/>
              <w:snapToGrid w:val="0"/>
              <w:spacing w:line="240" w:lineRule="auto"/>
              <w:rPr>
                <w:rFonts w:hint="eastAsia" w:ascii="仿宋" w:hAnsi="仿宋" w:eastAsia="仿宋" w:cs="仿宋"/>
                <w:color w:val="auto"/>
                <w:sz w:val="28"/>
                <w:szCs w:val="28"/>
                <w:highlight w:val="none"/>
              </w:rPr>
            </w:pPr>
          </w:p>
        </w:tc>
      </w:tr>
      <w:tr w14:paraId="65A846B2">
        <w:tblPrEx>
          <w:tblCellMar>
            <w:top w:w="15" w:type="dxa"/>
            <w:left w:w="15" w:type="dxa"/>
            <w:bottom w:w="15" w:type="dxa"/>
            <w:right w:w="15" w:type="dxa"/>
          </w:tblCellMar>
        </w:tblPrEx>
        <w:trPr>
          <w:trHeight w:val="683" w:hRule="atLeast"/>
        </w:trPr>
        <w:tc>
          <w:tcPr>
            <w:tcW w:w="370" w:type="dxa"/>
            <w:vMerge w:val="continue"/>
            <w:tcBorders>
              <w:left w:val="single" w:color="000000" w:sz="4" w:space="0"/>
              <w:right w:val="single" w:color="000000" w:sz="4" w:space="0"/>
            </w:tcBorders>
            <w:vAlign w:val="center"/>
          </w:tcPr>
          <w:p w14:paraId="32C2622A">
            <w:pPr>
              <w:keepNext w:val="0"/>
              <w:keepLines w:val="0"/>
              <w:pageBreakBefore w:val="0"/>
              <w:kinsoku/>
              <w:wordWrap/>
              <w:overflowPunct/>
              <w:topLinePunct w:val="0"/>
              <w:autoSpaceDE/>
              <w:autoSpaceDN/>
              <w:bidi w:val="0"/>
              <w:adjustRightInd/>
              <w:snapToGrid w:val="0"/>
              <w:spacing w:line="240" w:lineRule="auto"/>
              <w:jc w:val="center"/>
              <w:rPr>
                <w:rFonts w:hint="eastAsia" w:ascii="仿宋" w:hAnsi="仿宋" w:eastAsia="仿宋" w:cs="仿宋"/>
                <w:color w:val="auto"/>
                <w:sz w:val="28"/>
                <w:szCs w:val="28"/>
                <w:highlight w:val="none"/>
              </w:rPr>
            </w:pPr>
          </w:p>
        </w:tc>
        <w:tc>
          <w:tcPr>
            <w:tcW w:w="5402" w:type="dxa"/>
            <w:gridSpan w:val="6"/>
            <w:tcBorders>
              <w:top w:val="single" w:color="000000" w:sz="4" w:space="0"/>
              <w:left w:val="single" w:color="000000" w:sz="4" w:space="0"/>
              <w:bottom w:val="single" w:color="000000" w:sz="4" w:space="0"/>
              <w:right w:val="single" w:color="000000" w:sz="4" w:space="0"/>
            </w:tcBorders>
            <w:vAlign w:val="center"/>
          </w:tcPr>
          <w:p w14:paraId="13596040">
            <w:pPr>
              <w:keepNext w:val="0"/>
              <w:keepLines w:val="0"/>
              <w:pageBreakBefore w:val="0"/>
              <w:kinsoku/>
              <w:wordWrap/>
              <w:overflowPunct/>
              <w:topLinePunct w:val="0"/>
              <w:autoSpaceDE/>
              <w:autoSpaceDN/>
              <w:bidi w:val="0"/>
              <w:adjustRightInd/>
              <w:snapToGrid w:val="0"/>
              <w:spacing w:line="240" w:lineRule="auto"/>
              <w:rPr>
                <w:rFonts w:hint="eastAsia" w:ascii="仿宋" w:hAnsi="仿宋" w:eastAsia="仿宋" w:cs="仿宋"/>
                <w:color w:val="auto"/>
                <w:sz w:val="28"/>
                <w:szCs w:val="28"/>
                <w:highlight w:val="none"/>
              </w:rPr>
            </w:pPr>
          </w:p>
        </w:tc>
        <w:tc>
          <w:tcPr>
            <w:tcW w:w="1515" w:type="dxa"/>
            <w:gridSpan w:val="2"/>
            <w:tcBorders>
              <w:top w:val="single" w:color="000000" w:sz="4" w:space="0"/>
              <w:left w:val="single" w:color="000000" w:sz="4" w:space="0"/>
              <w:bottom w:val="single" w:color="000000" w:sz="4" w:space="0"/>
              <w:right w:val="single" w:color="000000" w:sz="4" w:space="0"/>
            </w:tcBorders>
            <w:vAlign w:val="center"/>
          </w:tcPr>
          <w:p w14:paraId="3528BACF">
            <w:pPr>
              <w:keepNext w:val="0"/>
              <w:keepLines w:val="0"/>
              <w:pageBreakBefore w:val="0"/>
              <w:kinsoku/>
              <w:wordWrap/>
              <w:overflowPunct/>
              <w:topLinePunct w:val="0"/>
              <w:autoSpaceDE/>
              <w:autoSpaceDN/>
              <w:bidi w:val="0"/>
              <w:adjustRightInd/>
              <w:snapToGrid w:val="0"/>
              <w:spacing w:line="240" w:lineRule="auto"/>
              <w:rPr>
                <w:rFonts w:hint="eastAsia" w:ascii="仿宋" w:hAnsi="仿宋" w:eastAsia="仿宋" w:cs="仿宋"/>
                <w:color w:val="auto"/>
                <w:sz w:val="28"/>
                <w:szCs w:val="28"/>
                <w:highlight w:val="none"/>
              </w:rPr>
            </w:pPr>
          </w:p>
        </w:tc>
        <w:tc>
          <w:tcPr>
            <w:tcW w:w="2012" w:type="dxa"/>
            <w:tcBorders>
              <w:top w:val="single" w:color="000000" w:sz="4" w:space="0"/>
              <w:left w:val="single" w:color="000000" w:sz="4" w:space="0"/>
              <w:bottom w:val="single" w:color="000000" w:sz="4" w:space="0"/>
              <w:right w:val="single" w:color="000000" w:sz="4" w:space="0"/>
            </w:tcBorders>
            <w:vAlign w:val="center"/>
          </w:tcPr>
          <w:p w14:paraId="7AE60921">
            <w:pPr>
              <w:keepNext w:val="0"/>
              <w:keepLines w:val="0"/>
              <w:pageBreakBefore w:val="0"/>
              <w:kinsoku/>
              <w:wordWrap/>
              <w:overflowPunct/>
              <w:topLinePunct w:val="0"/>
              <w:autoSpaceDE/>
              <w:autoSpaceDN/>
              <w:bidi w:val="0"/>
              <w:adjustRightInd/>
              <w:snapToGrid w:val="0"/>
              <w:spacing w:line="240" w:lineRule="auto"/>
              <w:rPr>
                <w:rFonts w:hint="eastAsia" w:ascii="仿宋" w:hAnsi="仿宋" w:eastAsia="仿宋" w:cs="仿宋"/>
                <w:color w:val="auto"/>
                <w:sz w:val="28"/>
                <w:szCs w:val="28"/>
                <w:highlight w:val="none"/>
              </w:rPr>
            </w:pPr>
          </w:p>
        </w:tc>
      </w:tr>
      <w:tr w14:paraId="2F6B39E4">
        <w:tblPrEx>
          <w:tblCellMar>
            <w:top w:w="15" w:type="dxa"/>
            <w:left w:w="15" w:type="dxa"/>
            <w:bottom w:w="15" w:type="dxa"/>
            <w:right w:w="15" w:type="dxa"/>
          </w:tblCellMar>
        </w:tblPrEx>
        <w:trPr>
          <w:trHeight w:val="683" w:hRule="atLeast"/>
        </w:trPr>
        <w:tc>
          <w:tcPr>
            <w:tcW w:w="370" w:type="dxa"/>
            <w:vMerge w:val="continue"/>
            <w:tcBorders>
              <w:left w:val="single" w:color="000000" w:sz="4" w:space="0"/>
              <w:right w:val="single" w:color="000000" w:sz="4" w:space="0"/>
            </w:tcBorders>
            <w:vAlign w:val="center"/>
          </w:tcPr>
          <w:p w14:paraId="07646CB1">
            <w:pPr>
              <w:keepNext w:val="0"/>
              <w:keepLines w:val="0"/>
              <w:pageBreakBefore w:val="0"/>
              <w:kinsoku/>
              <w:wordWrap/>
              <w:overflowPunct/>
              <w:topLinePunct w:val="0"/>
              <w:autoSpaceDE/>
              <w:autoSpaceDN/>
              <w:bidi w:val="0"/>
              <w:adjustRightInd/>
              <w:snapToGrid w:val="0"/>
              <w:spacing w:line="240" w:lineRule="auto"/>
              <w:jc w:val="center"/>
              <w:rPr>
                <w:rFonts w:hint="eastAsia" w:ascii="仿宋" w:hAnsi="仿宋" w:eastAsia="仿宋" w:cs="仿宋"/>
                <w:color w:val="auto"/>
                <w:sz w:val="28"/>
                <w:szCs w:val="28"/>
                <w:highlight w:val="none"/>
              </w:rPr>
            </w:pPr>
          </w:p>
        </w:tc>
        <w:tc>
          <w:tcPr>
            <w:tcW w:w="5402" w:type="dxa"/>
            <w:gridSpan w:val="6"/>
            <w:tcBorders>
              <w:top w:val="single" w:color="000000" w:sz="4" w:space="0"/>
              <w:left w:val="single" w:color="000000" w:sz="4" w:space="0"/>
              <w:bottom w:val="single" w:color="000000" w:sz="4" w:space="0"/>
              <w:right w:val="single" w:color="000000" w:sz="4" w:space="0"/>
            </w:tcBorders>
            <w:vAlign w:val="center"/>
          </w:tcPr>
          <w:p w14:paraId="5F61ECF5">
            <w:pPr>
              <w:keepNext w:val="0"/>
              <w:keepLines w:val="0"/>
              <w:pageBreakBefore w:val="0"/>
              <w:kinsoku/>
              <w:wordWrap/>
              <w:overflowPunct/>
              <w:topLinePunct w:val="0"/>
              <w:autoSpaceDE/>
              <w:autoSpaceDN/>
              <w:bidi w:val="0"/>
              <w:adjustRightInd/>
              <w:snapToGrid w:val="0"/>
              <w:spacing w:line="240" w:lineRule="auto"/>
              <w:rPr>
                <w:rFonts w:hint="eastAsia" w:ascii="仿宋" w:hAnsi="仿宋" w:eastAsia="仿宋" w:cs="仿宋"/>
                <w:color w:val="auto"/>
                <w:sz w:val="28"/>
                <w:szCs w:val="28"/>
                <w:highlight w:val="none"/>
              </w:rPr>
            </w:pPr>
          </w:p>
        </w:tc>
        <w:tc>
          <w:tcPr>
            <w:tcW w:w="1515" w:type="dxa"/>
            <w:gridSpan w:val="2"/>
            <w:tcBorders>
              <w:top w:val="single" w:color="000000" w:sz="4" w:space="0"/>
              <w:left w:val="single" w:color="000000" w:sz="4" w:space="0"/>
              <w:bottom w:val="single" w:color="000000" w:sz="4" w:space="0"/>
              <w:right w:val="single" w:color="000000" w:sz="4" w:space="0"/>
            </w:tcBorders>
            <w:vAlign w:val="center"/>
          </w:tcPr>
          <w:p w14:paraId="3BA74D75">
            <w:pPr>
              <w:keepNext w:val="0"/>
              <w:keepLines w:val="0"/>
              <w:pageBreakBefore w:val="0"/>
              <w:kinsoku/>
              <w:wordWrap/>
              <w:overflowPunct/>
              <w:topLinePunct w:val="0"/>
              <w:autoSpaceDE/>
              <w:autoSpaceDN/>
              <w:bidi w:val="0"/>
              <w:adjustRightInd/>
              <w:snapToGrid w:val="0"/>
              <w:spacing w:line="240" w:lineRule="auto"/>
              <w:rPr>
                <w:rFonts w:hint="eastAsia" w:ascii="仿宋" w:hAnsi="仿宋" w:eastAsia="仿宋" w:cs="仿宋"/>
                <w:color w:val="auto"/>
                <w:sz w:val="28"/>
                <w:szCs w:val="28"/>
                <w:highlight w:val="none"/>
              </w:rPr>
            </w:pPr>
          </w:p>
        </w:tc>
        <w:tc>
          <w:tcPr>
            <w:tcW w:w="2012" w:type="dxa"/>
            <w:tcBorders>
              <w:top w:val="single" w:color="000000" w:sz="4" w:space="0"/>
              <w:left w:val="single" w:color="000000" w:sz="4" w:space="0"/>
              <w:bottom w:val="single" w:color="000000" w:sz="4" w:space="0"/>
              <w:right w:val="single" w:color="000000" w:sz="4" w:space="0"/>
            </w:tcBorders>
            <w:vAlign w:val="center"/>
          </w:tcPr>
          <w:p w14:paraId="3A714AD5">
            <w:pPr>
              <w:keepNext w:val="0"/>
              <w:keepLines w:val="0"/>
              <w:pageBreakBefore w:val="0"/>
              <w:kinsoku/>
              <w:wordWrap/>
              <w:overflowPunct/>
              <w:topLinePunct w:val="0"/>
              <w:autoSpaceDE/>
              <w:autoSpaceDN/>
              <w:bidi w:val="0"/>
              <w:adjustRightInd/>
              <w:snapToGrid w:val="0"/>
              <w:spacing w:line="240" w:lineRule="auto"/>
              <w:rPr>
                <w:rFonts w:hint="eastAsia" w:ascii="仿宋" w:hAnsi="仿宋" w:eastAsia="仿宋" w:cs="仿宋"/>
                <w:color w:val="auto"/>
                <w:sz w:val="28"/>
                <w:szCs w:val="28"/>
                <w:highlight w:val="none"/>
              </w:rPr>
            </w:pPr>
          </w:p>
        </w:tc>
      </w:tr>
      <w:tr w14:paraId="3130150C">
        <w:tblPrEx>
          <w:tblCellMar>
            <w:top w:w="15" w:type="dxa"/>
            <w:left w:w="15" w:type="dxa"/>
            <w:bottom w:w="15" w:type="dxa"/>
            <w:right w:w="15" w:type="dxa"/>
          </w:tblCellMar>
        </w:tblPrEx>
        <w:trPr>
          <w:trHeight w:val="683" w:hRule="atLeast"/>
        </w:trPr>
        <w:tc>
          <w:tcPr>
            <w:tcW w:w="370" w:type="dxa"/>
            <w:vMerge w:val="continue"/>
            <w:tcBorders>
              <w:left w:val="single" w:color="000000" w:sz="4" w:space="0"/>
              <w:right w:val="single" w:color="000000" w:sz="4" w:space="0"/>
            </w:tcBorders>
            <w:vAlign w:val="center"/>
          </w:tcPr>
          <w:p w14:paraId="46E09B54">
            <w:pPr>
              <w:keepNext w:val="0"/>
              <w:keepLines w:val="0"/>
              <w:pageBreakBefore w:val="0"/>
              <w:kinsoku/>
              <w:wordWrap/>
              <w:overflowPunct/>
              <w:topLinePunct w:val="0"/>
              <w:autoSpaceDE/>
              <w:autoSpaceDN/>
              <w:bidi w:val="0"/>
              <w:adjustRightInd/>
              <w:snapToGrid w:val="0"/>
              <w:spacing w:line="240" w:lineRule="auto"/>
              <w:jc w:val="center"/>
              <w:rPr>
                <w:rFonts w:hint="eastAsia" w:ascii="仿宋" w:hAnsi="仿宋" w:eastAsia="仿宋" w:cs="仿宋"/>
                <w:color w:val="auto"/>
                <w:sz w:val="28"/>
                <w:szCs w:val="28"/>
                <w:highlight w:val="none"/>
              </w:rPr>
            </w:pPr>
          </w:p>
        </w:tc>
        <w:tc>
          <w:tcPr>
            <w:tcW w:w="5402" w:type="dxa"/>
            <w:gridSpan w:val="6"/>
            <w:tcBorders>
              <w:top w:val="single" w:color="000000" w:sz="4" w:space="0"/>
              <w:left w:val="single" w:color="000000" w:sz="4" w:space="0"/>
              <w:bottom w:val="single" w:color="000000" w:sz="4" w:space="0"/>
              <w:right w:val="single" w:color="000000" w:sz="4" w:space="0"/>
            </w:tcBorders>
            <w:vAlign w:val="center"/>
          </w:tcPr>
          <w:p w14:paraId="1A857CB0">
            <w:pPr>
              <w:keepNext w:val="0"/>
              <w:keepLines w:val="0"/>
              <w:pageBreakBefore w:val="0"/>
              <w:kinsoku/>
              <w:wordWrap/>
              <w:overflowPunct/>
              <w:topLinePunct w:val="0"/>
              <w:autoSpaceDE/>
              <w:autoSpaceDN/>
              <w:bidi w:val="0"/>
              <w:adjustRightInd/>
              <w:snapToGrid w:val="0"/>
              <w:spacing w:line="240" w:lineRule="auto"/>
              <w:rPr>
                <w:rFonts w:hint="eastAsia" w:ascii="仿宋" w:hAnsi="仿宋" w:eastAsia="仿宋" w:cs="仿宋"/>
                <w:color w:val="auto"/>
                <w:sz w:val="28"/>
                <w:szCs w:val="28"/>
                <w:highlight w:val="none"/>
              </w:rPr>
            </w:pPr>
          </w:p>
        </w:tc>
        <w:tc>
          <w:tcPr>
            <w:tcW w:w="1515" w:type="dxa"/>
            <w:gridSpan w:val="2"/>
            <w:tcBorders>
              <w:top w:val="single" w:color="000000" w:sz="4" w:space="0"/>
              <w:left w:val="single" w:color="000000" w:sz="4" w:space="0"/>
              <w:bottom w:val="single" w:color="000000" w:sz="4" w:space="0"/>
              <w:right w:val="single" w:color="000000" w:sz="4" w:space="0"/>
            </w:tcBorders>
            <w:vAlign w:val="center"/>
          </w:tcPr>
          <w:p w14:paraId="7BE5DA77">
            <w:pPr>
              <w:keepNext w:val="0"/>
              <w:keepLines w:val="0"/>
              <w:pageBreakBefore w:val="0"/>
              <w:kinsoku/>
              <w:wordWrap/>
              <w:overflowPunct/>
              <w:topLinePunct w:val="0"/>
              <w:autoSpaceDE/>
              <w:autoSpaceDN/>
              <w:bidi w:val="0"/>
              <w:adjustRightInd/>
              <w:snapToGrid w:val="0"/>
              <w:spacing w:line="240" w:lineRule="auto"/>
              <w:rPr>
                <w:rFonts w:hint="eastAsia" w:ascii="仿宋" w:hAnsi="仿宋" w:eastAsia="仿宋" w:cs="仿宋"/>
                <w:color w:val="auto"/>
                <w:sz w:val="28"/>
                <w:szCs w:val="28"/>
                <w:highlight w:val="none"/>
              </w:rPr>
            </w:pPr>
          </w:p>
        </w:tc>
        <w:tc>
          <w:tcPr>
            <w:tcW w:w="2012" w:type="dxa"/>
            <w:tcBorders>
              <w:top w:val="single" w:color="000000" w:sz="4" w:space="0"/>
              <w:left w:val="single" w:color="000000" w:sz="4" w:space="0"/>
              <w:bottom w:val="single" w:color="000000" w:sz="4" w:space="0"/>
              <w:right w:val="single" w:color="000000" w:sz="4" w:space="0"/>
            </w:tcBorders>
            <w:vAlign w:val="center"/>
          </w:tcPr>
          <w:p w14:paraId="0298AFE7">
            <w:pPr>
              <w:keepNext w:val="0"/>
              <w:keepLines w:val="0"/>
              <w:pageBreakBefore w:val="0"/>
              <w:kinsoku/>
              <w:wordWrap/>
              <w:overflowPunct/>
              <w:topLinePunct w:val="0"/>
              <w:autoSpaceDE/>
              <w:autoSpaceDN/>
              <w:bidi w:val="0"/>
              <w:adjustRightInd/>
              <w:snapToGrid w:val="0"/>
              <w:spacing w:line="240" w:lineRule="auto"/>
              <w:rPr>
                <w:rFonts w:hint="eastAsia" w:ascii="仿宋" w:hAnsi="仿宋" w:eastAsia="仿宋" w:cs="仿宋"/>
                <w:color w:val="auto"/>
                <w:sz w:val="28"/>
                <w:szCs w:val="28"/>
                <w:highlight w:val="none"/>
              </w:rPr>
            </w:pPr>
          </w:p>
        </w:tc>
      </w:tr>
      <w:tr w14:paraId="7F06EC5E">
        <w:tblPrEx>
          <w:tblCellMar>
            <w:top w:w="15" w:type="dxa"/>
            <w:left w:w="15" w:type="dxa"/>
            <w:bottom w:w="15" w:type="dxa"/>
            <w:right w:w="15" w:type="dxa"/>
          </w:tblCellMar>
        </w:tblPrEx>
        <w:trPr>
          <w:trHeight w:val="683" w:hRule="atLeast"/>
        </w:trPr>
        <w:tc>
          <w:tcPr>
            <w:tcW w:w="370" w:type="dxa"/>
            <w:vMerge w:val="continue"/>
            <w:tcBorders>
              <w:left w:val="single" w:color="000000" w:sz="4" w:space="0"/>
              <w:bottom w:val="single" w:color="000000" w:sz="4" w:space="0"/>
              <w:right w:val="single" w:color="000000" w:sz="4" w:space="0"/>
            </w:tcBorders>
            <w:vAlign w:val="center"/>
          </w:tcPr>
          <w:p w14:paraId="766061EF">
            <w:pPr>
              <w:keepNext w:val="0"/>
              <w:keepLines w:val="0"/>
              <w:pageBreakBefore w:val="0"/>
              <w:kinsoku/>
              <w:wordWrap/>
              <w:overflowPunct/>
              <w:topLinePunct w:val="0"/>
              <w:autoSpaceDE/>
              <w:autoSpaceDN/>
              <w:bidi w:val="0"/>
              <w:adjustRightInd/>
              <w:snapToGrid w:val="0"/>
              <w:spacing w:line="240" w:lineRule="auto"/>
              <w:jc w:val="center"/>
              <w:rPr>
                <w:rFonts w:hint="eastAsia" w:ascii="仿宋" w:hAnsi="仿宋" w:eastAsia="仿宋" w:cs="仿宋"/>
                <w:color w:val="auto"/>
                <w:sz w:val="28"/>
                <w:szCs w:val="28"/>
                <w:highlight w:val="none"/>
              </w:rPr>
            </w:pPr>
          </w:p>
        </w:tc>
        <w:tc>
          <w:tcPr>
            <w:tcW w:w="5402" w:type="dxa"/>
            <w:gridSpan w:val="6"/>
            <w:tcBorders>
              <w:top w:val="single" w:color="000000" w:sz="4" w:space="0"/>
              <w:left w:val="single" w:color="000000" w:sz="4" w:space="0"/>
              <w:bottom w:val="single" w:color="000000" w:sz="4" w:space="0"/>
              <w:right w:val="single" w:color="000000" w:sz="4" w:space="0"/>
            </w:tcBorders>
            <w:vAlign w:val="center"/>
          </w:tcPr>
          <w:p w14:paraId="349C208D">
            <w:pPr>
              <w:keepNext w:val="0"/>
              <w:keepLines w:val="0"/>
              <w:pageBreakBefore w:val="0"/>
              <w:kinsoku/>
              <w:wordWrap/>
              <w:overflowPunct/>
              <w:topLinePunct w:val="0"/>
              <w:autoSpaceDE/>
              <w:autoSpaceDN/>
              <w:bidi w:val="0"/>
              <w:adjustRightInd/>
              <w:snapToGrid w:val="0"/>
              <w:spacing w:line="240" w:lineRule="auto"/>
              <w:rPr>
                <w:rFonts w:hint="eastAsia" w:ascii="仿宋" w:hAnsi="仿宋" w:eastAsia="仿宋" w:cs="仿宋"/>
                <w:color w:val="auto"/>
                <w:sz w:val="28"/>
                <w:szCs w:val="28"/>
                <w:highlight w:val="none"/>
              </w:rPr>
            </w:pPr>
          </w:p>
        </w:tc>
        <w:tc>
          <w:tcPr>
            <w:tcW w:w="1515" w:type="dxa"/>
            <w:gridSpan w:val="2"/>
            <w:tcBorders>
              <w:top w:val="single" w:color="000000" w:sz="4" w:space="0"/>
              <w:left w:val="single" w:color="000000" w:sz="4" w:space="0"/>
              <w:bottom w:val="single" w:color="000000" w:sz="4" w:space="0"/>
              <w:right w:val="single" w:color="000000" w:sz="4" w:space="0"/>
            </w:tcBorders>
            <w:vAlign w:val="center"/>
          </w:tcPr>
          <w:p w14:paraId="2EF085DF">
            <w:pPr>
              <w:keepNext w:val="0"/>
              <w:keepLines w:val="0"/>
              <w:pageBreakBefore w:val="0"/>
              <w:kinsoku/>
              <w:wordWrap/>
              <w:overflowPunct/>
              <w:topLinePunct w:val="0"/>
              <w:autoSpaceDE/>
              <w:autoSpaceDN/>
              <w:bidi w:val="0"/>
              <w:adjustRightInd/>
              <w:snapToGrid w:val="0"/>
              <w:spacing w:line="240" w:lineRule="auto"/>
              <w:rPr>
                <w:rFonts w:hint="eastAsia" w:ascii="仿宋" w:hAnsi="仿宋" w:eastAsia="仿宋" w:cs="仿宋"/>
                <w:color w:val="auto"/>
                <w:sz w:val="28"/>
                <w:szCs w:val="28"/>
                <w:highlight w:val="none"/>
              </w:rPr>
            </w:pPr>
          </w:p>
        </w:tc>
        <w:tc>
          <w:tcPr>
            <w:tcW w:w="2012" w:type="dxa"/>
            <w:tcBorders>
              <w:top w:val="single" w:color="000000" w:sz="4" w:space="0"/>
              <w:left w:val="single" w:color="000000" w:sz="4" w:space="0"/>
              <w:bottom w:val="single" w:color="000000" w:sz="4" w:space="0"/>
              <w:right w:val="single" w:color="000000" w:sz="4" w:space="0"/>
            </w:tcBorders>
            <w:vAlign w:val="center"/>
          </w:tcPr>
          <w:p w14:paraId="51246E03">
            <w:pPr>
              <w:keepNext w:val="0"/>
              <w:keepLines w:val="0"/>
              <w:pageBreakBefore w:val="0"/>
              <w:kinsoku/>
              <w:wordWrap/>
              <w:overflowPunct/>
              <w:topLinePunct w:val="0"/>
              <w:autoSpaceDE/>
              <w:autoSpaceDN/>
              <w:bidi w:val="0"/>
              <w:adjustRightInd/>
              <w:snapToGrid w:val="0"/>
              <w:spacing w:line="240" w:lineRule="auto"/>
              <w:rPr>
                <w:rFonts w:hint="eastAsia" w:ascii="仿宋" w:hAnsi="仿宋" w:eastAsia="仿宋" w:cs="仿宋"/>
                <w:color w:val="auto"/>
                <w:sz w:val="28"/>
                <w:szCs w:val="28"/>
                <w:highlight w:val="none"/>
              </w:rPr>
            </w:pPr>
          </w:p>
        </w:tc>
      </w:tr>
      <w:tr w14:paraId="563BF679">
        <w:tblPrEx>
          <w:tblCellMar>
            <w:top w:w="15" w:type="dxa"/>
            <w:left w:w="15" w:type="dxa"/>
            <w:bottom w:w="15" w:type="dxa"/>
            <w:right w:w="15" w:type="dxa"/>
          </w:tblCellMar>
        </w:tblPrEx>
        <w:trPr>
          <w:trHeight w:val="1987" w:hRule="atLeast"/>
        </w:trPr>
        <w:tc>
          <w:tcPr>
            <w:tcW w:w="1960" w:type="dxa"/>
            <w:gridSpan w:val="3"/>
            <w:tcBorders>
              <w:top w:val="single" w:color="000000" w:sz="4" w:space="0"/>
              <w:left w:val="single" w:color="000000" w:sz="4" w:space="0"/>
              <w:bottom w:val="single" w:color="000000" w:sz="4" w:space="0"/>
              <w:right w:val="single" w:color="000000" w:sz="4" w:space="0"/>
            </w:tcBorders>
            <w:vAlign w:val="center"/>
          </w:tcPr>
          <w:p w14:paraId="2DA2320B">
            <w:pPr>
              <w:keepNext w:val="0"/>
              <w:keepLines w:val="0"/>
              <w:pageBreakBefore w:val="0"/>
              <w:kinsoku/>
              <w:wordWrap/>
              <w:overflowPunct/>
              <w:topLinePunct w:val="0"/>
              <w:autoSpaceDE/>
              <w:autoSpaceDN/>
              <w:bidi w:val="0"/>
              <w:adjustRightInd/>
              <w:snapToGrid w:val="0"/>
              <w:spacing w:line="240" w:lineRule="auto"/>
              <w:jc w:val="center"/>
              <w:textAlignment w:val="center"/>
              <w:rPr>
                <w:rFonts w:hint="default" w:ascii="仿宋" w:hAnsi="仿宋" w:eastAsia="仿宋" w:cs="仿宋"/>
                <w:b/>
                <w:bCs/>
                <w:color w:val="auto"/>
                <w:sz w:val="28"/>
                <w:szCs w:val="28"/>
                <w:highlight w:val="none"/>
                <w:lang w:val="en-US" w:eastAsia="zh-CN"/>
              </w:rPr>
            </w:pPr>
            <w:r>
              <w:rPr>
                <w:rFonts w:hint="eastAsia" w:ascii="仿宋" w:hAnsi="仿宋" w:eastAsia="仿宋" w:cs="仿宋"/>
                <w:b/>
                <w:bCs/>
                <w:color w:val="auto"/>
                <w:kern w:val="0"/>
                <w:sz w:val="28"/>
                <w:szCs w:val="28"/>
                <w:highlight w:val="none"/>
                <w:lang w:eastAsia="zh-CN"/>
              </w:rPr>
              <w:t>单位主要负责人</w:t>
            </w:r>
            <w:r>
              <w:rPr>
                <w:rFonts w:hint="eastAsia" w:ascii="仿宋" w:hAnsi="仿宋" w:eastAsia="仿宋" w:cs="仿宋"/>
                <w:b/>
                <w:bCs/>
                <w:color w:val="auto"/>
                <w:kern w:val="0"/>
                <w:sz w:val="28"/>
                <w:szCs w:val="28"/>
                <w:highlight w:val="none"/>
              </w:rPr>
              <w:t>确认意见</w:t>
            </w:r>
            <w:r>
              <w:rPr>
                <w:rFonts w:hint="eastAsia" w:ascii="仿宋" w:hAnsi="仿宋" w:eastAsia="仿宋" w:cs="仿宋"/>
                <w:b/>
                <w:bCs/>
                <w:color w:val="auto"/>
                <w:kern w:val="0"/>
                <w:sz w:val="28"/>
                <w:szCs w:val="28"/>
                <w:highlight w:val="none"/>
                <w:lang w:val="en-US" w:eastAsia="zh-CN"/>
              </w:rPr>
              <w:t>及</w:t>
            </w:r>
            <w:r>
              <w:rPr>
                <w:rFonts w:hint="eastAsia" w:ascii="仿宋" w:hAnsi="仿宋" w:eastAsia="仿宋" w:cs="仿宋"/>
                <w:b/>
                <w:bCs/>
                <w:color w:val="auto"/>
                <w:kern w:val="0"/>
                <w:sz w:val="28"/>
                <w:szCs w:val="28"/>
                <w:highlight w:val="none"/>
              </w:rPr>
              <w:t>签字</w:t>
            </w:r>
          </w:p>
        </w:tc>
        <w:tc>
          <w:tcPr>
            <w:tcW w:w="7339" w:type="dxa"/>
            <w:gridSpan w:val="7"/>
            <w:tcBorders>
              <w:top w:val="single" w:color="000000" w:sz="4" w:space="0"/>
              <w:left w:val="single" w:color="000000" w:sz="4" w:space="0"/>
              <w:bottom w:val="single" w:color="000000" w:sz="4" w:space="0"/>
              <w:right w:val="single" w:color="000000" w:sz="4" w:space="0"/>
            </w:tcBorders>
            <w:vAlign w:val="center"/>
          </w:tcPr>
          <w:p w14:paraId="6A07689D">
            <w:pPr>
              <w:keepNext w:val="0"/>
              <w:keepLines w:val="0"/>
              <w:pageBreakBefore w:val="0"/>
              <w:kinsoku/>
              <w:wordWrap/>
              <w:overflowPunct/>
              <w:topLinePunct w:val="0"/>
              <w:autoSpaceDE/>
              <w:autoSpaceDN/>
              <w:bidi w:val="0"/>
              <w:adjustRightInd/>
              <w:snapToGrid w:val="0"/>
              <w:spacing w:line="240" w:lineRule="auto"/>
              <w:jc w:val="center"/>
              <w:rPr>
                <w:rFonts w:hint="eastAsia" w:ascii="仿宋" w:hAnsi="仿宋" w:eastAsia="仿宋" w:cs="仿宋"/>
                <w:color w:val="auto"/>
                <w:sz w:val="28"/>
                <w:szCs w:val="28"/>
                <w:highlight w:val="none"/>
                <w:lang w:eastAsia="zh-CN"/>
              </w:rPr>
            </w:pPr>
          </w:p>
          <w:p w14:paraId="001DDC79">
            <w:pPr>
              <w:keepNext w:val="0"/>
              <w:keepLines w:val="0"/>
              <w:pageBreakBefore w:val="0"/>
              <w:kinsoku/>
              <w:wordWrap/>
              <w:overflowPunct/>
              <w:topLinePunct w:val="0"/>
              <w:autoSpaceDE/>
              <w:autoSpaceDN/>
              <w:bidi w:val="0"/>
              <w:adjustRightInd/>
              <w:snapToGrid w:val="0"/>
              <w:spacing w:line="240" w:lineRule="auto"/>
              <w:jc w:val="center"/>
              <w:rPr>
                <w:rFonts w:hint="eastAsia" w:ascii="仿宋" w:hAnsi="仿宋" w:eastAsia="仿宋" w:cs="仿宋"/>
                <w:color w:val="auto"/>
                <w:sz w:val="28"/>
                <w:szCs w:val="28"/>
                <w:highlight w:val="none"/>
                <w:lang w:eastAsia="zh-CN"/>
              </w:rPr>
            </w:pPr>
          </w:p>
          <w:p w14:paraId="396152AF">
            <w:pPr>
              <w:pStyle w:val="2"/>
              <w:rPr>
                <w:rFonts w:hint="eastAsia"/>
                <w:color w:val="auto"/>
                <w:highlight w:val="none"/>
                <w:lang w:eastAsia="zh-CN"/>
              </w:rPr>
            </w:pPr>
          </w:p>
          <w:p w14:paraId="590FA6FE">
            <w:pPr>
              <w:keepNext w:val="0"/>
              <w:keepLines w:val="0"/>
              <w:pageBreakBefore w:val="0"/>
              <w:kinsoku/>
              <w:wordWrap/>
              <w:overflowPunct/>
              <w:topLinePunct w:val="0"/>
              <w:autoSpaceDE/>
              <w:autoSpaceDN/>
              <w:bidi w:val="0"/>
              <w:adjustRightInd/>
              <w:snapToGrid w:val="0"/>
              <w:spacing w:line="240" w:lineRule="auto"/>
              <w:jc w:val="cente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lang w:val="en-US" w:eastAsia="zh-CN"/>
              </w:rPr>
              <w:t xml:space="preserve">                                      </w:t>
            </w:r>
            <w:r>
              <w:rPr>
                <w:rFonts w:hint="eastAsia" w:ascii="仿宋" w:hAnsi="仿宋" w:eastAsia="仿宋" w:cs="仿宋"/>
                <w:color w:val="auto"/>
                <w:sz w:val="28"/>
                <w:szCs w:val="28"/>
                <w:highlight w:val="none"/>
                <w:lang w:eastAsia="zh-CN"/>
              </w:rPr>
              <w:t>年</w:t>
            </w:r>
            <w:r>
              <w:rPr>
                <w:rFonts w:hint="eastAsia" w:ascii="仿宋" w:hAnsi="仿宋" w:eastAsia="仿宋" w:cs="仿宋"/>
                <w:color w:val="auto"/>
                <w:sz w:val="28"/>
                <w:szCs w:val="28"/>
                <w:highlight w:val="none"/>
                <w:lang w:val="en-US" w:eastAsia="zh-CN"/>
              </w:rPr>
              <w:t xml:space="preserve">  月  日</w:t>
            </w:r>
          </w:p>
        </w:tc>
      </w:tr>
    </w:tbl>
    <w:p w14:paraId="5E2C678A">
      <w:pPr>
        <w:pStyle w:val="2"/>
        <w:ind w:left="0" w:firstLine="0"/>
        <w:rPr>
          <w:rFonts w:hint="eastAsia"/>
          <w:color w:val="auto"/>
          <w:highlight w:val="none"/>
        </w:rPr>
        <w:sectPr>
          <w:headerReference r:id="rId10" w:type="first"/>
          <w:footerReference r:id="rId13" w:type="first"/>
          <w:footerReference r:id="rId11" w:type="default"/>
          <w:headerReference r:id="rId9" w:type="even"/>
          <w:footerReference r:id="rId12" w:type="even"/>
          <w:pgSz w:w="11906" w:h="16838"/>
          <w:pgMar w:top="1247" w:right="1418" w:bottom="1276" w:left="1418" w:header="851" w:footer="992" w:gutter="0"/>
          <w:pgBorders>
            <w:top w:val="none" w:sz="0" w:space="0"/>
            <w:left w:val="none" w:sz="0" w:space="0"/>
            <w:bottom w:val="none" w:sz="0" w:space="0"/>
            <w:right w:val="none" w:sz="0" w:space="0"/>
          </w:pgBorders>
          <w:pgNumType w:fmt="decimal"/>
          <w:cols w:space="720" w:num="1"/>
          <w:titlePg/>
          <w:docGrid w:linePitch="312" w:charSpace="0"/>
        </w:sectPr>
      </w:pPr>
    </w:p>
    <w:p w14:paraId="2F12B945">
      <w:pPr>
        <w:rPr>
          <w:rFonts w:hint="eastAsia"/>
          <w:color w:val="auto"/>
          <w:highlight w:val="none"/>
        </w:rPr>
      </w:pPr>
    </w:p>
    <w:p w14:paraId="033B89DB">
      <w:pPr>
        <w:rPr>
          <w:color w:val="auto"/>
          <w:highlight w:val="none"/>
        </w:rPr>
      </w:pPr>
    </w:p>
    <w:p w14:paraId="186BEDB2">
      <w:pPr>
        <w:snapToGrid w:val="0"/>
        <w:spacing w:line="360" w:lineRule="auto"/>
        <w:jc w:val="center"/>
        <w:rPr>
          <w:rFonts w:hint="eastAsia" w:ascii="仿宋" w:hAnsi="仿宋" w:eastAsia="仿宋" w:cs="仿宋"/>
          <w:b/>
          <w:color w:val="auto"/>
          <w:sz w:val="28"/>
          <w:szCs w:val="28"/>
          <w:highlight w:val="none"/>
        </w:rPr>
      </w:pPr>
      <w:r>
        <w:rPr>
          <w:rFonts w:hint="eastAsia" w:ascii="仿宋" w:hAnsi="仿宋" w:eastAsia="仿宋" w:cs="仿宋"/>
          <w:b/>
          <w:color w:val="auto"/>
          <w:sz w:val="32"/>
          <w:highlight w:val="none"/>
        </w:rPr>
        <w:t>二、商务要求</w:t>
      </w:r>
    </w:p>
    <w:p w14:paraId="0BB4E474">
      <w:pPr>
        <w:keepNext w:val="0"/>
        <w:keepLines w:val="0"/>
        <w:pageBreakBefore w:val="0"/>
        <w:widowControl/>
        <w:kinsoku/>
        <w:wordWrap/>
        <w:overflowPunct/>
        <w:topLinePunct w:val="0"/>
        <w:autoSpaceDE/>
        <w:autoSpaceDN/>
        <w:bidi w:val="0"/>
        <w:snapToGrid w:val="0"/>
        <w:spacing w:line="360" w:lineRule="auto"/>
        <w:ind w:firstLine="480" w:firstLineChars="200"/>
        <w:textAlignment w:val="auto"/>
        <w:rPr>
          <w:rFonts w:ascii="仿宋" w:eastAsia="仿宋"/>
          <w:b/>
          <w:bCs/>
          <w:color w:val="auto"/>
          <w:kern w:val="0"/>
          <w:sz w:val="24"/>
          <w:highlight w:val="none"/>
        </w:rPr>
      </w:pPr>
      <w:r>
        <w:rPr>
          <w:rFonts w:hint="eastAsia" w:ascii="仿宋" w:hAnsi="仿宋" w:eastAsia="仿宋" w:cs="仿宋"/>
          <w:color w:val="auto"/>
          <w:sz w:val="24"/>
          <w:highlight w:val="none"/>
        </w:rPr>
        <w:t>★</w:t>
      </w:r>
      <w:r>
        <w:rPr>
          <w:rFonts w:hint="eastAsia" w:ascii="仿宋" w:eastAsia="仿宋"/>
          <w:b/>
          <w:bCs/>
          <w:color w:val="auto"/>
          <w:kern w:val="0"/>
          <w:sz w:val="24"/>
          <w:highlight w:val="none"/>
        </w:rPr>
        <w:t>2.1服务期限</w:t>
      </w:r>
    </w:p>
    <w:p w14:paraId="39FADC82">
      <w:pPr>
        <w:pStyle w:val="11"/>
        <w:keepNext w:val="0"/>
        <w:keepLines w:val="0"/>
        <w:pageBreakBefore w:val="0"/>
        <w:widowControl w:val="0"/>
        <w:kinsoku/>
        <w:wordWrap/>
        <w:overflowPunct/>
        <w:topLinePunct w:val="0"/>
        <w:autoSpaceDE/>
        <w:autoSpaceDN/>
        <w:bidi w:val="0"/>
        <w:adjustRightInd w:val="0"/>
        <w:snapToGrid w:val="0"/>
        <w:spacing w:after="157" w:afterLines="50" w:line="440" w:lineRule="exact"/>
        <w:ind w:firstLine="480" w:firstLineChars="200"/>
        <w:textAlignment w:val="auto"/>
        <w:rPr>
          <w:rFonts w:hint="eastAsia" w:ascii="仿宋" w:hAnsi="仿宋" w:eastAsia="仿宋" w:cs="仿宋"/>
          <w:b w:val="0"/>
          <w:bCs w:val="0"/>
          <w:color w:val="auto"/>
          <w:kern w:val="2"/>
          <w:sz w:val="24"/>
          <w:szCs w:val="24"/>
          <w:highlight w:val="none"/>
          <w:lang w:val="en-US" w:eastAsia="zh-CN"/>
        </w:rPr>
      </w:pPr>
      <w:r>
        <w:rPr>
          <w:rFonts w:hint="eastAsia" w:ascii="仿宋" w:hAnsi="仿宋" w:eastAsia="仿宋" w:cs="仿宋"/>
          <w:b w:val="0"/>
          <w:bCs w:val="0"/>
          <w:color w:val="auto"/>
          <w:kern w:val="2"/>
          <w:sz w:val="24"/>
          <w:szCs w:val="24"/>
          <w:highlight w:val="none"/>
          <w:lang w:val="en-US" w:eastAsia="zh-CN"/>
        </w:rPr>
        <w:t>自合同签订之日起至2025年12月31日止。</w:t>
      </w:r>
    </w:p>
    <w:p w14:paraId="15B312AA">
      <w:pPr>
        <w:keepNext w:val="0"/>
        <w:keepLines w:val="0"/>
        <w:pageBreakBefore w:val="0"/>
        <w:widowControl/>
        <w:kinsoku/>
        <w:wordWrap/>
        <w:overflowPunct/>
        <w:topLinePunct w:val="0"/>
        <w:autoSpaceDE/>
        <w:autoSpaceDN/>
        <w:bidi w:val="0"/>
        <w:snapToGrid w:val="0"/>
        <w:spacing w:line="360" w:lineRule="auto"/>
        <w:ind w:firstLine="482" w:firstLineChars="200"/>
        <w:textAlignment w:val="auto"/>
        <w:rPr>
          <w:rFonts w:ascii="仿宋" w:eastAsia="仿宋"/>
          <w:b/>
          <w:bCs/>
          <w:color w:val="auto"/>
          <w:kern w:val="0"/>
          <w:sz w:val="24"/>
          <w:highlight w:val="none"/>
        </w:rPr>
      </w:pPr>
      <w:r>
        <w:rPr>
          <w:rFonts w:hint="eastAsia" w:ascii="仿宋" w:eastAsia="仿宋"/>
          <w:b/>
          <w:bCs/>
          <w:color w:val="auto"/>
          <w:kern w:val="0"/>
          <w:sz w:val="24"/>
          <w:highlight w:val="none"/>
        </w:rPr>
        <w:t>2.2</w:t>
      </w:r>
      <w:r>
        <w:rPr>
          <w:rFonts w:hint="eastAsia" w:ascii="仿宋" w:eastAsia="仿宋"/>
          <w:b/>
          <w:bCs/>
          <w:color w:val="auto"/>
          <w:kern w:val="0"/>
          <w:sz w:val="24"/>
          <w:highlight w:val="none"/>
          <w:lang w:val="en-US" w:eastAsia="zh-CN"/>
        </w:rPr>
        <w:t>服务</w:t>
      </w:r>
      <w:r>
        <w:rPr>
          <w:rFonts w:hint="eastAsia" w:ascii="仿宋" w:eastAsia="仿宋"/>
          <w:b/>
          <w:bCs/>
          <w:color w:val="auto"/>
          <w:kern w:val="0"/>
          <w:sz w:val="24"/>
          <w:highlight w:val="none"/>
        </w:rPr>
        <w:t>要求</w:t>
      </w:r>
    </w:p>
    <w:p w14:paraId="7DC92639">
      <w:pPr>
        <w:keepNext w:val="0"/>
        <w:keepLines w:val="0"/>
        <w:pageBreakBefore w:val="0"/>
        <w:widowControl/>
        <w:kinsoku/>
        <w:wordWrap/>
        <w:overflowPunct/>
        <w:topLinePunct w:val="0"/>
        <w:autoSpaceDE/>
        <w:autoSpaceDN/>
        <w:bidi w:val="0"/>
        <w:snapToGrid w:val="0"/>
        <w:spacing w:line="360" w:lineRule="auto"/>
        <w:ind w:firstLine="480" w:firstLineChars="200"/>
        <w:textAlignment w:val="auto"/>
        <w:rPr>
          <w:rFonts w:ascii="仿宋" w:eastAsia="仿宋"/>
          <w:color w:val="auto"/>
          <w:kern w:val="0"/>
          <w:sz w:val="24"/>
          <w:highlight w:val="none"/>
        </w:rPr>
      </w:pPr>
      <w:r>
        <w:rPr>
          <w:rFonts w:hint="eastAsia" w:ascii="仿宋" w:eastAsia="仿宋"/>
          <w:color w:val="auto"/>
          <w:kern w:val="0"/>
          <w:sz w:val="24"/>
          <w:highlight w:val="none"/>
        </w:rPr>
        <w:t>优质服务且必须符合国家法律法规和行业标准。</w:t>
      </w:r>
    </w:p>
    <w:p w14:paraId="12122524">
      <w:pPr>
        <w:keepNext w:val="0"/>
        <w:keepLines w:val="0"/>
        <w:pageBreakBefore w:val="0"/>
        <w:widowControl/>
        <w:kinsoku/>
        <w:wordWrap/>
        <w:overflowPunct/>
        <w:topLinePunct w:val="0"/>
        <w:autoSpaceDE/>
        <w:autoSpaceDN/>
        <w:bidi w:val="0"/>
        <w:snapToGrid w:val="0"/>
        <w:spacing w:line="360" w:lineRule="auto"/>
        <w:ind w:firstLine="480" w:firstLineChars="200"/>
        <w:textAlignment w:val="auto"/>
        <w:rPr>
          <w:rFonts w:ascii="仿宋" w:eastAsia="仿宋"/>
          <w:b/>
          <w:bCs/>
          <w:color w:val="auto"/>
          <w:sz w:val="24"/>
          <w:highlight w:val="none"/>
        </w:rPr>
      </w:pPr>
      <w:r>
        <w:rPr>
          <w:rFonts w:hint="eastAsia" w:ascii="仿宋" w:hAnsi="仿宋" w:eastAsia="仿宋" w:cs="仿宋"/>
          <w:color w:val="auto"/>
          <w:sz w:val="24"/>
          <w:highlight w:val="none"/>
        </w:rPr>
        <w:t>★</w:t>
      </w:r>
      <w:r>
        <w:rPr>
          <w:rFonts w:hint="eastAsia" w:ascii="仿宋" w:eastAsia="仿宋"/>
          <w:b/>
          <w:bCs/>
          <w:color w:val="auto"/>
          <w:sz w:val="24"/>
          <w:highlight w:val="none"/>
        </w:rPr>
        <w:t>2.3数量调整</w:t>
      </w:r>
    </w:p>
    <w:p w14:paraId="59DD2ABB">
      <w:pPr>
        <w:keepNext w:val="0"/>
        <w:keepLines w:val="0"/>
        <w:pageBreakBefore w:val="0"/>
        <w:widowControl/>
        <w:kinsoku/>
        <w:wordWrap/>
        <w:overflowPunct/>
        <w:topLinePunct w:val="0"/>
        <w:autoSpaceDE/>
        <w:autoSpaceDN/>
        <w:bidi w:val="0"/>
        <w:snapToGrid w:val="0"/>
        <w:spacing w:line="360" w:lineRule="auto"/>
        <w:ind w:firstLine="480" w:firstLineChars="200"/>
        <w:textAlignment w:val="auto"/>
        <w:rPr>
          <w:rFonts w:hint="eastAsia" w:ascii="仿宋" w:eastAsia="仿宋"/>
          <w:strike/>
          <w:dstrike w:val="0"/>
          <w:color w:val="auto"/>
          <w:kern w:val="0"/>
          <w:sz w:val="24"/>
          <w:highlight w:val="none"/>
          <w:lang w:eastAsia="zh-CN"/>
        </w:rPr>
      </w:pPr>
      <w:r>
        <w:rPr>
          <w:rFonts w:hint="eastAsia" w:ascii="仿宋" w:eastAsia="仿宋"/>
          <w:strike/>
          <w:dstrike w:val="0"/>
          <w:color w:val="auto"/>
          <w:kern w:val="0"/>
          <w:sz w:val="24"/>
          <w:highlight w:val="none"/>
          <w:lang w:eastAsia="zh-CN"/>
        </w:rPr>
        <w:t>采购人保留合同履行中调整部分服务的权力，投标人应对服务批次明细报价，按投标单价不变的前提下进行调整，双方不得拒绝。合同最终结算金额按实际使用量乘以投标单价进行计算，追加的采购金额不得超过原合同采购金额的10%。如遇本次招标没有涉及的服务时，由中标人提供申请，采购人确认后实施。</w:t>
      </w:r>
    </w:p>
    <w:p w14:paraId="0E0D8C4E">
      <w:pPr>
        <w:keepNext w:val="0"/>
        <w:keepLines w:val="0"/>
        <w:pageBreakBefore w:val="0"/>
        <w:widowControl/>
        <w:kinsoku/>
        <w:wordWrap/>
        <w:overflowPunct/>
        <w:topLinePunct w:val="0"/>
        <w:autoSpaceDE/>
        <w:autoSpaceDN/>
        <w:bidi w:val="0"/>
        <w:snapToGrid w:val="0"/>
        <w:spacing w:line="360" w:lineRule="auto"/>
        <w:ind w:firstLine="480" w:firstLineChars="200"/>
        <w:textAlignment w:val="auto"/>
        <w:rPr>
          <w:rFonts w:ascii="仿宋" w:eastAsia="仿宋"/>
          <w:b/>
          <w:bCs/>
          <w:color w:val="auto"/>
          <w:kern w:val="0"/>
          <w:sz w:val="24"/>
          <w:highlight w:val="none"/>
        </w:rPr>
      </w:pPr>
      <w:r>
        <w:rPr>
          <w:rFonts w:hint="eastAsia" w:ascii="仿宋" w:hAnsi="仿宋" w:eastAsia="仿宋" w:cs="仿宋"/>
          <w:color w:val="auto"/>
          <w:sz w:val="24"/>
          <w:highlight w:val="none"/>
        </w:rPr>
        <w:t>★</w:t>
      </w:r>
      <w:r>
        <w:rPr>
          <w:rFonts w:hint="eastAsia" w:ascii="仿宋" w:eastAsia="仿宋"/>
          <w:b/>
          <w:bCs/>
          <w:color w:val="auto"/>
          <w:kern w:val="0"/>
          <w:sz w:val="24"/>
          <w:highlight w:val="none"/>
        </w:rPr>
        <w:t>2.4付款方式</w:t>
      </w:r>
    </w:p>
    <w:p w14:paraId="41B7BBFE">
      <w:pPr>
        <w:keepNext w:val="0"/>
        <w:keepLines w:val="0"/>
        <w:pageBreakBefore w:val="0"/>
        <w:widowControl/>
        <w:shd w:val="clear" w:color="auto" w:fill="auto"/>
        <w:kinsoku/>
        <w:wordWrap/>
        <w:overflowPunct/>
        <w:topLinePunct w:val="0"/>
        <w:autoSpaceDE/>
        <w:autoSpaceDN/>
        <w:bidi w:val="0"/>
        <w:adjustRightInd/>
        <w:snapToGrid w:val="0"/>
        <w:spacing w:line="360" w:lineRule="auto"/>
        <w:ind w:firstLine="480" w:firstLineChars="200"/>
        <w:textAlignment w:val="auto"/>
        <w:rPr>
          <w:rFonts w:hint="eastAsia" w:ascii="仿宋" w:hAnsi="Times New Roman" w:eastAsia="仿宋" w:cs="Times New Roman"/>
          <w:b w:val="0"/>
          <w:bCs w:val="0"/>
          <w:color w:val="auto"/>
          <w:kern w:val="0"/>
          <w:sz w:val="24"/>
          <w:szCs w:val="24"/>
          <w:highlight w:val="none"/>
          <w:lang w:val="en-US" w:eastAsia="zh-CN"/>
        </w:rPr>
      </w:pPr>
      <w:r>
        <w:rPr>
          <w:rFonts w:hint="eastAsia" w:ascii="仿宋" w:hAnsi="Times New Roman" w:eastAsia="仿宋" w:cs="Times New Roman"/>
          <w:color w:val="auto"/>
          <w:kern w:val="0"/>
          <w:sz w:val="24"/>
          <w:highlight w:val="none"/>
        </w:rPr>
        <w:t>2.4</w:t>
      </w:r>
      <w:r>
        <w:rPr>
          <w:rFonts w:hint="eastAsia" w:ascii="仿宋" w:hAnsi="Times New Roman" w:eastAsia="仿宋" w:cs="Times New Roman"/>
          <w:color w:val="auto"/>
          <w:kern w:val="0"/>
          <w:sz w:val="24"/>
          <w:highlight w:val="none"/>
          <w:lang w:val="en-US" w:eastAsia="zh-CN"/>
        </w:rPr>
        <w:t>.1</w:t>
      </w:r>
      <w:r>
        <w:rPr>
          <w:rFonts w:hint="eastAsia" w:ascii="仿宋" w:hAnsi="Times New Roman" w:eastAsia="仿宋" w:cs="Times New Roman"/>
          <w:b w:val="0"/>
          <w:bCs w:val="0"/>
          <w:color w:val="auto"/>
          <w:kern w:val="0"/>
          <w:sz w:val="24"/>
          <w:szCs w:val="24"/>
          <w:highlight w:val="none"/>
          <w:lang w:val="en-US" w:eastAsia="zh-CN"/>
        </w:rPr>
        <w:t>合同签订后</w:t>
      </w:r>
      <w:r>
        <w:rPr>
          <w:rFonts w:hint="eastAsia" w:ascii="仿宋" w:eastAsia="仿宋" w:cs="Times New Roman"/>
          <w:b w:val="0"/>
          <w:bCs w:val="0"/>
          <w:color w:val="auto"/>
          <w:kern w:val="0"/>
          <w:sz w:val="24"/>
          <w:szCs w:val="24"/>
          <w:highlight w:val="none"/>
          <w:lang w:val="en-US" w:eastAsia="zh-CN"/>
        </w:rPr>
        <w:t>具备实施条件后</w:t>
      </w:r>
      <w:r>
        <w:rPr>
          <w:rFonts w:hint="eastAsia" w:ascii="仿宋" w:hAnsi="Times New Roman" w:eastAsia="仿宋" w:cs="Times New Roman"/>
          <w:b w:val="0"/>
          <w:bCs w:val="0"/>
          <w:color w:val="auto"/>
          <w:kern w:val="0"/>
          <w:sz w:val="24"/>
          <w:szCs w:val="24"/>
          <w:highlight w:val="none"/>
          <w:lang w:val="en-US" w:eastAsia="zh-CN"/>
        </w:rPr>
        <w:t>支付合同价40%预付款；合同约定的全部工作完成后，支付合同价的60%余款。如存在未保质保量、未按期完成约定的工作事项的，或存在违反合同约定的情形的，或在履行期间，已完成检查的单位发生特种设备安全事故的，将依一定的比例扣除费用。</w:t>
      </w:r>
    </w:p>
    <w:p w14:paraId="5CDCC0E8">
      <w:pPr>
        <w:widowControl/>
        <w:snapToGrid w:val="0"/>
        <w:spacing w:line="440" w:lineRule="exact"/>
        <w:ind w:firstLine="482" w:firstLineChars="200"/>
        <w:rPr>
          <w:rFonts w:ascii="仿宋" w:eastAsia="仿宋"/>
          <w:b/>
          <w:bCs/>
          <w:color w:val="auto"/>
          <w:kern w:val="0"/>
          <w:sz w:val="24"/>
          <w:highlight w:val="none"/>
        </w:rPr>
      </w:pPr>
      <w:r>
        <w:rPr>
          <w:rFonts w:hint="eastAsia" w:ascii="仿宋" w:eastAsia="仿宋"/>
          <w:b/>
          <w:bCs/>
          <w:color w:val="auto"/>
          <w:kern w:val="0"/>
          <w:sz w:val="24"/>
          <w:highlight w:val="none"/>
        </w:rPr>
        <w:t>2.5结算原则</w:t>
      </w:r>
    </w:p>
    <w:p w14:paraId="4D2718C1">
      <w:pPr>
        <w:adjustRightInd/>
        <w:spacing w:line="440" w:lineRule="exact"/>
        <w:ind w:firstLine="480" w:firstLineChars="200"/>
        <w:jc w:val="left"/>
        <w:rPr>
          <w:rFonts w:hint="eastAsia" w:ascii="仿宋" w:eastAsia="仿宋"/>
          <w:color w:val="auto"/>
          <w:kern w:val="0"/>
          <w:sz w:val="24"/>
          <w:highlight w:val="none"/>
        </w:rPr>
      </w:pPr>
      <w:r>
        <w:rPr>
          <w:rFonts w:ascii="仿宋" w:eastAsia="仿宋"/>
          <w:color w:val="auto"/>
          <w:kern w:val="0"/>
          <w:sz w:val="24"/>
          <w:highlight w:val="none"/>
        </w:rPr>
        <w:t>2</w:t>
      </w:r>
      <w:r>
        <w:rPr>
          <w:rFonts w:hint="eastAsia" w:ascii="仿宋" w:eastAsia="仿宋"/>
          <w:color w:val="auto"/>
          <w:kern w:val="0"/>
          <w:sz w:val="24"/>
          <w:highlight w:val="none"/>
        </w:rPr>
        <w:t>.5.1招标文件、招标答疑会纪要、中标人的中标报价等作为结算依据；</w:t>
      </w:r>
    </w:p>
    <w:p w14:paraId="4BC7BCBB">
      <w:pPr>
        <w:keepNext w:val="0"/>
        <w:keepLines w:val="0"/>
        <w:pageBreakBefore w:val="0"/>
        <w:kinsoku/>
        <w:wordWrap/>
        <w:overflowPunct/>
        <w:topLinePunct w:val="0"/>
        <w:autoSpaceDE/>
        <w:autoSpaceDN/>
        <w:bidi w:val="0"/>
        <w:adjustRightInd/>
        <w:spacing w:line="420" w:lineRule="exact"/>
        <w:ind w:firstLine="480" w:firstLineChars="200"/>
        <w:jc w:val="left"/>
        <w:textAlignment w:val="auto"/>
        <w:rPr>
          <w:rFonts w:hint="eastAsia" w:ascii="仿宋" w:eastAsia="仿宋"/>
          <w:color w:val="auto"/>
          <w:kern w:val="0"/>
          <w:sz w:val="24"/>
          <w:highlight w:val="none"/>
        </w:rPr>
      </w:pPr>
      <w:r>
        <w:rPr>
          <w:rFonts w:hint="eastAsia" w:ascii="仿宋" w:eastAsia="仿宋"/>
          <w:color w:val="auto"/>
          <w:kern w:val="0"/>
          <w:sz w:val="24"/>
          <w:highlight w:val="none"/>
        </w:rPr>
        <w:t>2.</w:t>
      </w:r>
      <w:r>
        <w:rPr>
          <w:rFonts w:hint="eastAsia" w:ascii="仿宋" w:eastAsia="仿宋"/>
          <w:color w:val="auto"/>
          <w:kern w:val="0"/>
          <w:sz w:val="24"/>
          <w:highlight w:val="none"/>
          <w:lang w:val="en-US" w:eastAsia="zh-CN"/>
        </w:rPr>
        <w:t>5</w:t>
      </w:r>
      <w:r>
        <w:rPr>
          <w:rFonts w:hint="eastAsia" w:ascii="仿宋" w:eastAsia="仿宋"/>
          <w:color w:val="auto"/>
          <w:kern w:val="0"/>
          <w:sz w:val="24"/>
          <w:highlight w:val="none"/>
        </w:rPr>
        <w:t>.1中标总价一次性包干，不再调整。</w:t>
      </w:r>
    </w:p>
    <w:p w14:paraId="2CDCCCE2">
      <w:pPr>
        <w:widowControl/>
        <w:snapToGrid w:val="0"/>
        <w:spacing w:line="440" w:lineRule="exact"/>
        <w:ind w:firstLine="480" w:firstLineChars="200"/>
        <w:rPr>
          <w:rFonts w:hint="eastAsia" w:ascii="仿宋" w:hAnsi="仿宋" w:eastAsia="仿宋"/>
          <w:color w:val="auto"/>
          <w:sz w:val="24"/>
          <w:highlight w:val="none"/>
        </w:rPr>
      </w:pPr>
      <w:r>
        <w:rPr>
          <w:rFonts w:hint="eastAsia" w:ascii="仿宋" w:hAnsi="仿宋" w:eastAsia="仿宋" w:cs="仿宋"/>
          <w:color w:val="auto"/>
          <w:sz w:val="24"/>
          <w:highlight w:val="none"/>
        </w:rPr>
        <w:t>★</w:t>
      </w:r>
      <w:r>
        <w:rPr>
          <w:rFonts w:hint="eastAsia" w:ascii="仿宋" w:eastAsia="仿宋"/>
          <w:b/>
          <w:bCs/>
          <w:color w:val="auto"/>
          <w:kern w:val="0"/>
          <w:sz w:val="24"/>
          <w:highlight w:val="none"/>
        </w:rPr>
        <w:t>2.</w:t>
      </w:r>
      <w:r>
        <w:rPr>
          <w:rFonts w:hint="eastAsia" w:ascii="仿宋" w:eastAsia="仿宋"/>
          <w:b/>
          <w:bCs/>
          <w:color w:val="auto"/>
          <w:kern w:val="0"/>
          <w:sz w:val="24"/>
          <w:highlight w:val="none"/>
          <w:lang w:val="en-US" w:eastAsia="zh-CN"/>
        </w:rPr>
        <w:t>6</w:t>
      </w:r>
      <w:r>
        <w:rPr>
          <w:rFonts w:hint="eastAsia" w:ascii="仿宋" w:eastAsia="仿宋"/>
          <w:b/>
          <w:bCs/>
          <w:color w:val="auto"/>
          <w:kern w:val="0"/>
          <w:sz w:val="24"/>
          <w:highlight w:val="none"/>
        </w:rPr>
        <w:t>其他要求</w:t>
      </w:r>
    </w:p>
    <w:p w14:paraId="6E089EF9">
      <w:pPr>
        <w:spacing w:line="440" w:lineRule="exact"/>
        <w:ind w:firstLine="480" w:firstLineChars="200"/>
        <w:rPr>
          <w:rFonts w:hint="eastAsia" w:ascii="仿宋" w:eastAsia="仿宋"/>
          <w:color w:val="auto"/>
          <w:kern w:val="0"/>
          <w:sz w:val="24"/>
          <w:highlight w:val="none"/>
        </w:rPr>
      </w:pPr>
      <w:r>
        <w:rPr>
          <w:rFonts w:hint="eastAsia" w:ascii="仿宋" w:eastAsia="仿宋"/>
          <w:color w:val="auto"/>
          <w:kern w:val="0"/>
          <w:sz w:val="24"/>
          <w:highlight w:val="none"/>
        </w:rPr>
        <w:t>2.</w:t>
      </w:r>
      <w:r>
        <w:rPr>
          <w:rFonts w:hint="eastAsia" w:ascii="仿宋" w:eastAsia="仿宋"/>
          <w:color w:val="auto"/>
          <w:kern w:val="0"/>
          <w:sz w:val="24"/>
          <w:highlight w:val="none"/>
          <w:lang w:val="en-US" w:eastAsia="zh-CN"/>
        </w:rPr>
        <w:t>6</w:t>
      </w:r>
      <w:r>
        <w:rPr>
          <w:rFonts w:hint="eastAsia" w:ascii="仿宋" w:eastAsia="仿宋"/>
          <w:color w:val="auto"/>
          <w:kern w:val="0"/>
          <w:sz w:val="24"/>
          <w:highlight w:val="none"/>
        </w:rPr>
        <w:t>.1安全责任：成交供应商按有关规定采取严格的安全措施，承担由于自身安全措施不力造成的事故责任和因此发生的费用及后果，成交供应商服务人员的人身安全由成交供应商负责。成交供应商应为服务人员购买人身意外伤害险及与项目实施有关的一切保险。凡在实施过程中发生安全责任事故或其他责任事故，均由成交供应商承担责任。</w:t>
      </w:r>
    </w:p>
    <w:p w14:paraId="3884E52F">
      <w:pPr>
        <w:rPr>
          <w:rFonts w:hint="eastAsia" w:ascii="仿宋"/>
          <w:color w:val="auto"/>
          <w:highlight w:val="none"/>
        </w:rPr>
        <w:sectPr>
          <w:pgSz w:w="11906" w:h="16838"/>
          <w:pgMar w:top="1247" w:right="1418" w:bottom="1276" w:left="1418" w:header="851" w:footer="992" w:gutter="0"/>
          <w:pgBorders>
            <w:top w:val="none" w:sz="0" w:space="0"/>
            <w:left w:val="none" w:sz="0" w:space="0"/>
            <w:bottom w:val="none" w:sz="0" w:space="0"/>
            <w:right w:val="none" w:sz="0" w:space="0"/>
          </w:pgBorders>
          <w:pgNumType w:fmt="decimal"/>
          <w:cols w:space="720" w:num="1"/>
          <w:titlePg/>
          <w:docGrid w:linePitch="312" w:charSpace="0"/>
        </w:sectPr>
      </w:pPr>
    </w:p>
    <w:p w14:paraId="77B71128">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w:t>
      </w:r>
      <w:r>
        <w:rPr>
          <w:rFonts w:hint="eastAsia" w:ascii="仿宋" w:hAnsi="仿宋" w:eastAsia="仿宋" w:cs="仿宋"/>
          <w:b/>
          <w:color w:val="auto"/>
          <w:sz w:val="36"/>
          <w:szCs w:val="36"/>
          <w:highlight w:val="none"/>
          <w:lang w:eastAsia="zh-CN"/>
        </w:rPr>
        <w:t>四</w:t>
      </w:r>
      <w:r>
        <w:rPr>
          <w:rFonts w:hint="eastAsia" w:ascii="仿宋" w:hAnsi="仿宋" w:eastAsia="仿宋" w:cs="仿宋"/>
          <w:b/>
          <w:color w:val="auto"/>
          <w:sz w:val="36"/>
          <w:szCs w:val="36"/>
          <w:highlight w:val="none"/>
        </w:rPr>
        <w:t>部分 拟签订的合同文本</w:t>
      </w:r>
    </w:p>
    <w:p w14:paraId="16584E2A">
      <w:pPr>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合同编号：</w:t>
      </w:r>
      <w:r>
        <w:rPr>
          <w:rFonts w:hint="eastAsia" w:ascii="仿宋" w:hAnsi="仿宋" w:eastAsia="仿宋" w:cs="仿宋"/>
          <w:color w:val="auto"/>
          <w:sz w:val="24"/>
          <w:highlight w:val="none"/>
          <w:u w:val="single"/>
        </w:rPr>
        <w:t xml:space="preserve">           </w:t>
      </w:r>
    </w:p>
    <w:p w14:paraId="2D775702">
      <w:pPr>
        <w:spacing w:line="480" w:lineRule="auto"/>
        <w:jc w:val="center"/>
        <w:rPr>
          <w:rFonts w:hint="eastAsia" w:ascii="仿宋" w:hAnsi="仿宋" w:eastAsia="仿宋" w:cs="仿宋"/>
          <w:b/>
          <w:color w:val="auto"/>
          <w:sz w:val="28"/>
          <w:szCs w:val="28"/>
          <w:highlight w:val="none"/>
        </w:rPr>
      </w:pPr>
    </w:p>
    <w:p w14:paraId="25CADE95">
      <w:pPr>
        <w:spacing w:line="480" w:lineRule="auto"/>
        <w:jc w:val="center"/>
        <w:rPr>
          <w:rFonts w:hint="eastAsia" w:ascii="仿宋" w:hAnsi="仿宋" w:eastAsia="仿宋" w:cs="仿宋"/>
          <w:b/>
          <w:color w:val="auto"/>
          <w:sz w:val="24"/>
          <w:highlight w:val="none"/>
        </w:rPr>
      </w:pPr>
    </w:p>
    <w:p w14:paraId="3791020F">
      <w:pPr>
        <w:spacing w:line="480" w:lineRule="auto"/>
        <w:jc w:val="center"/>
        <w:rPr>
          <w:rFonts w:hint="eastAsia" w:ascii="仿宋" w:hAnsi="仿宋" w:eastAsia="仿宋" w:cs="仿宋"/>
          <w:b/>
          <w:color w:val="auto"/>
          <w:sz w:val="24"/>
          <w:highlight w:val="none"/>
        </w:rPr>
      </w:pPr>
    </w:p>
    <w:p w14:paraId="72BF9C4B">
      <w:pPr>
        <w:spacing w:line="480" w:lineRule="auto"/>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政府采购合同参考范本</w:t>
      </w:r>
    </w:p>
    <w:p w14:paraId="3F1A03CD">
      <w:pPr>
        <w:spacing w:line="480" w:lineRule="auto"/>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（服务类）</w:t>
      </w:r>
    </w:p>
    <w:p w14:paraId="7E2F9EE0">
      <w:pPr>
        <w:pStyle w:val="22"/>
        <w:ind w:firstLine="2843" w:firstLineChars="1180"/>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第一部分 合同书</w:t>
      </w:r>
    </w:p>
    <w:p w14:paraId="033562AA">
      <w:pPr>
        <w:spacing w:before="120" w:line="22" w:lineRule="atLeast"/>
        <w:rPr>
          <w:rFonts w:hint="eastAsia" w:ascii="仿宋" w:hAnsi="仿宋" w:eastAsia="仿宋" w:cs="仿宋"/>
          <w:color w:val="auto"/>
          <w:sz w:val="24"/>
          <w:highlight w:val="none"/>
        </w:rPr>
      </w:pPr>
    </w:p>
    <w:p w14:paraId="0E6DA7D6">
      <w:pPr>
        <w:pStyle w:val="4"/>
        <w:rPr>
          <w:rFonts w:hint="eastAsia" w:ascii="仿宋" w:hAnsi="仿宋" w:eastAsia="仿宋" w:cs="仿宋"/>
          <w:color w:val="auto"/>
          <w:highlight w:val="none"/>
        </w:rPr>
      </w:pPr>
    </w:p>
    <w:p w14:paraId="6B552D30">
      <w:pPr>
        <w:spacing w:before="120" w:line="22" w:lineRule="atLeast"/>
        <w:ind w:left="96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项目名称：</w:t>
      </w:r>
      <w:r>
        <w:rPr>
          <w:rFonts w:hint="eastAsia" w:ascii="仿宋" w:hAnsi="仿宋" w:eastAsia="仿宋" w:cs="仿宋"/>
          <w:color w:val="auto"/>
          <w:sz w:val="24"/>
          <w:highlight w:val="none"/>
          <w:u w:val="single"/>
        </w:rPr>
        <w:t xml:space="preserve">                                   </w:t>
      </w:r>
    </w:p>
    <w:p w14:paraId="59B279B6">
      <w:pPr>
        <w:pStyle w:val="23"/>
        <w:spacing w:before="120" w:line="22" w:lineRule="atLeast"/>
        <w:rPr>
          <w:rFonts w:hint="eastAsia" w:ascii="仿宋" w:hAnsi="仿宋" w:eastAsia="仿宋" w:cs="仿宋"/>
          <w:color w:val="auto"/>
          <w:szCs w:val="24"/>
          <w:highlight w:val="none"/>
        </w:rPr>
      </w:pPr>
    </w:p>
    <w:p w14:paraId="349CEAF6">
      <w:pPr>
        <w:pStyle w:val="23"/>
        <w:spacing w:before="120" w:line="22" w:lineRule="atLeast"/>
        <w:rPr>
          <w:rFonts w:hint="eastAsia" w:ascii="仿宋" w:hAnsi="仿宋" w:eastAsia="仿宋" w:cs="仿宋"/>
          <w:color w:val="auto"/>
          <w:szCs w:val="24"/>
          <w:highlight w:val="none"/>
        </w:rPr>
      </w:pPr>
    </w:p>
    <w:p w14:paraId="7C668448">
      <w:pPr>
        <w:rPr>
          <w:rFonts w:hint="eastAsia" w:ascii="仿宋" w:hAnsi="仿宋" w:eastAsia="仿宋" w:cs="仿宋"/>
          <w:color w:val="auto"/>
          <w:sz w:val="24"/>
          <w:highlight w:val="none"/>
        </w:rPr>
      </w:pPr>
    </w:p>
    <w:p w14:paraId="072B72A6">
      <w:pPr>
        <w:spacing w:before="120" w:line="22" w:lineRule="atLeast"/>
        <w:ind w:left="960"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甲方：</w:t>
      </w:r>
      <w:r>
        <w:rPr>
          <w:rFonts w:hint="eastAsia" w:ascii="仿宋" w:hAnsi="仿宋" w:eastAsia="仿宋" w:cs="仿宋"/>
          <w:color w:val="auto"/>
          <w:sz w:val="24"/>
          <w:highlight w:val="none"/>
          <w:u w:val="single"/>
        </w:rPr>
        <w:t xml:space="preserve">                                       </w:t>
      </w:r>
    </w:p>
    <w:p w14:paraId="59C5FD1C">
      <w:pPr>
        <w:spacing w:before="120" w:line="22" w:lineRule="atLeast"/>
        <w:rPr>
          <w:rFonts w:hint="eastAsia" w:ascii="仿宋" w:hAnsi="仿宋" w:eastAsia="仿宋" w:cs="仿宋"/>
          <w:color w:val="auto"/>
          <w:sz w:val="24"/>
          <w:highlight w:val="none"/>
        </w:rPr>
      </w:pPr>
    </w:p>
    <w:p w14:paraId="618B4900">
      <w:pPr>
        <w:spacing w:before="120" w:line="22" w:lineRule="atLeast"/>
        <w:ind w:left="960"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乙方：</w:t>
      </w:r>
      <w:r>
        <w:rPr>
          <w:rFonts w:hint="eastAsia" w:ascii="仿宋" w:hAnsi="仿宋" w:eastAsia="仿宋" w:cs="仿宋"/>
          <w:color w:val="auto"/>
          <w:sz w:val="24"/>
          <w:highlight w:val="none"/>
          <w:u w:val="single"/>
        </w:rPr>
        <w:t xml:space="preserve">                                       </w:t>
      </w:r>
    </w:p>
    <w:p w14:paraId="188AA6C1">
      <w:pPr>
        <w:spacing w:before="120" w:line="22" w:lineRule="atLeast"/>
        <w:rPr>
          <w:rFonts w:hint="eastAsia" w:ascii="仿宋" w:hAnsi="仿宋" w:eastAsia="仿宋" w:cs="仿宋"/>
          <w:color w:val="auto"/>
          <w:sz w:val="24"/>
          <w:highlight w:val="none"/>
        </w:rPr>
      </w:pPr>
    </w:p>
    <w:p w14:paraId="7A782C0B">
      <w:pPr>
        <w:spacing w:before="120" w:line="22" w:lineRule="atLeast"/>
        <w:ind w:firstLine="1440" w:firstLineChars="6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签订地：</w:t>
      </w:r>
      <w:r>
        <w:rPr>
          <w:rFonts w:hint="eastAsia" w:ascii="仿宋" w:hAnsi="仿宋" w:eastAsia="仿宋" w:cs="仿宋"/>
          <w:color w:val="auto"/>
          <w:sz w:val="24"/>
          <w:highlight w:val="none"/>
          <w:u w:val="single"/>
        </w:rPr>
        <w:t xml:space="preserve">                                     </w:t>
      </w:r>
    </w:p>
    <w:p w14:paraId="0B0102AB">
      <w:pPr>
        <w:spacing w:before="120" w:line="22" w:lineRule="atLeast"/>
        <w:rPr>
          <w:rFonts w:hint="eastAsia" w:ascii="仿宋" w:hAnsi="仿宋" w:eastAsia="仿宋" w:cs="仿宋"/>
          <w:color w:val="auto"/>
          <w:sz w:val="24"/>
          <w:highlight w:val="none"/>
        </w:rPr>
      </w:pPr>
    </w:p>
    <w:p w14:paraId="3E663585">
      <w:pPr>
        <w:spacing w:before="120" w:line="22" w:lineRule="atLeast"/>
        <w:ind w:firstLine="1440" w:firstLineChars="6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签订日期：</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日</w:t>
      </w:r>
    </w:p>
    <w:p w14:paraId="4CE72DDF">
      <w:pPr>
        <w:widowControl/>
        <w:jc w:val="left"/>
        <w:rPr>
          <w:rFonts w:hint="eastAsia" w:ascii="仿宋" w:hAnsi="仿宋" w:eastAsia="仿宋" w:cs="仿宋"/>
          <w:color w:val="auto"/>
          <w:kern w:val="0"/>
          <w:sz w:val="24"/>
          <w:highlight w:val="none"/>
        </w:rPr>
        <w:sectPr>
          <w:pgSz w:w="11907" w:h="16840"/>
          <w:pgMar w:top="1474" w:right="1814" w:bottom="1474" w:left="1814" w:header="851" w:footer="851" w:gutter="0"/>
          <w:pgNumType w:fmt="decimal"/>
          <w:cols w:space="720" w:num="1"/>
        </w:sectPr>
      </w:pPr>
    </w:p>
    <w:p w14:paraId="583437A7">
      <w:pPr>
        <w:rPr>
          <w:rFonts w:hint="eastAsia" w:ascii="仿宋" w:hAnsi="仿宋" w:eastAsia="仿宋" w:cs="仿宋"/>
          <w:b/>
          <w:color w:val="auto"/>
          <w:sz w:val="24"/>
          <w:highlight w:val="none"/>
        </w:rPr>
      </w:pPr>
    </w:p>
    <w:p w14:paraId="3C364BB8">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年</w:t>
      </w: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月</w:t>
      </w: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日</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（采购人）   </w:t>
      </w:r>
      <w:r>
        <w:rPr>
          <w:rFonts w:hint="eastAsia" w:ascii="仿宋" w:hAnsi="仿宋" w:eastAsia="仿宋" w:cs="仿宋"/>
          <w:color w:val="auto"/>
          <w:sz w:val="24"/>
          <w:highlight w:val="none"/>
        </w:rPr>
        <w:t>以</w:t>
      </w:r>
      <w:r>
        <w:rPr>
          <w:rFonts w:hint="eastAsia" w:ascii="仿宋" w:hAnsi="仿宋" w:eastAsia="仿宋" w:cs="仿宋"/>
          <w:color w:val="auto"/>
          <w:sz w:val="24"/>
          <w:highlight w:val="none"/>
          <w:u w:val="single"/>
        </w:rPr>
        <w:t xml:space="preserve">   （政府采购方式）  </w:t>
      </w:r>
      <w:r>
        <w:rPr>
          <w:rFonts w:hint="eastAsia" w:ascii="仿宋" w:hAnsi="仿宋" w:eastAsia="仿宋" w:cs="仿宋"/>
          <w:color w:val="auto"/>
          <w:sz w:val="24"/>
          <w:highlight w:val="none"/>
        </w:rPr>
        <w:t>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eastAsia="zh-CN"/>
        </w:rPr>
        <w:t>（项目名称）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项目进行了采购。经</w:t>
      </w:r>
      <w:r>
        <w:rPr>
          <w:rFonts w:hint="eastAsia" w:ascii="仿宋" w:hAnsi="仿宋" w:eastAsia="仿宋" w:cs="仿宋"/>
          <w:color w:val="auto"/>
          <w:sz w:val="24"/>
          <w:highlight w:val="none"/>
          <w:u w:val="single"/>
        </w:rPr>
        <w:t xml:space="preserve">   （相关评定主体名称）   </w:t>
      </w:r>
      <w:r>
        <w:rPr>
          <w:rFonts w:hint="eastAsia" w:ascii="仿宋" w:hAnsi="仿宋" w:eastAsia="仿宋" w:cs="仿宋"/>
          <w:color w:val="auto"/>
          <w:sz w:val="24"/>
          <w:highlight w:val="none"/>
        </w:rPr>
        <w:t>评定，</w:t>
      </w:r>
      <w:r>
        <w:rPr>
          <w:rFonts w:hint="eastAsia" w:ascii="仿宋" w:hAnsi="仿宋" w:eastAsia="仿宋" w:cs="仿宋"/>
          <w:color w:val="auto"/>
          <w:sz w:val="24"/>
          <w:highlight w:val="none"/>
          <w:u w:val="single"/>
        </w:rPr>
        <w:t xml:space="preserve">   （中标或者成交供应商名称） </w:t>
      </w:r>
      <w:r>
        <w:rPr>
          <w:rFonts w:hint="eastAsia" w:ascii="仿宋" w:hAnsi="仿宋" w:eastAsia="仿宋" w:cs="仿宋"/>
          <w:color w:val="auto"/>
          <w:sz w:val="24"/>
          <w:highlight w:val="none"/>
        </w:rPr>
        <w:t>为该项目中标或者成交供应商。现于中标或者成交通知书发出之日起</w:t>
      </w:r>
      <w:r>
        <w:rPr>
          <w:rFonts w:hint="eastAsia" w:ascii="仿宋" w:hAnsi="仿宋" w:eastAsia="仿宋" w:cs="仿宋"/>
          <w:color w:val="auto"/>
          <w:sz w:val="24"/>
          <w:highlight w:val="none"/>
          <w:lang w:val="en-US" w:eastAsia="zh-CN"/>
        </w:rPr>
        <w:t>30</w:t>
      </w:r>
      <w:r>
        <w:rPr>
          <w:rFonts w:hint="eastAsia" w:ascii="仿宋" w:hAnsi="仿宋" w:eastAsia="仿宋" w:cs="仿宋"/>
          <w:color w:val="auto"/>
          <w:sz w:val="24"/>
          <w:highlight w:val="none"/>
        </w:rPr>
        <w:t>日内，按照采购文件确定的事项签订本合同。</w:t>
      </w:r>
    </w:p>
    <w:p w14:paraId="6657E33A">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zh-CN"/>
        </w:rPr>
        <w:t>根据《中华人民共和国民法典》《中华人民共和国政府采购法》等相关法律法规之规定，按照平等、自愿、公平和诚实信用的原则，经</w:t>
      </w:r>
      <w:r>
        <w:rPr>
          <w:rFonts w:hint="eastAsia" w:ascii="仿宋" w:hAnsi="仿宋" w:eastAsia="仿宋" w:cs="仿宋"/>
          <w:color w:val="auto"/>
          <w:sz w:val="24"/>
          <w:highlight w:val="none"/>
          <w:u w:val="single"/>
        </w:rPr>
        <w:t xml:space="preserve">   （采购人）   </w:t>
      </w:r>
      <w:r>
        <w:rPr>
          <w:rFonts w:hint="eastAsia" w:ascii="仿宋" w:hAnsi="仿宋" w:eastAsia="仿宋" w:cs="仿宋"/>
          <w:color w:val="auto"/>
          <w:sz w:val="24"/>
          <w:highlight w:val="none"/>
          <w:lang w:val="zh-CN"/>
        </w:rPr>
        <w:t>(以下简称：甲方)和</w:t>
      </w:r>
      <w:r>
        <w:rPr>
          <w:rFonts w:hint="eastAsia" w:ascii="仿宋" w:hAnsi="仿宋" w:eastAsia="仿宋" w:cs="仿宋"/>
          <w:color w:val="auto"/>
          <w:sz w:val="24"/>
          <w:highlight w:val="none"/>
          <w:u w:val="single"/>
        </w:rPr>
        <w:t xml:space="preserve">   （中或者成交标供应商名称）   </w:t>
      </w:r>
      <w:r>
        <w:rPr>
          <w:rFonts w:hint="eastAsia" w:ascii="仿宋" w:hAnsi="仿宋" w:eastAsia="仿宋" w:cs="仿宋"/>
          <w:color w:val="auto"/>
          <w:sz w:val="24"/>
          <w:highlight w:val="none"/>
          <w:lang w:val="zh-CN"/>
        </w:rPr>
        <w:t>(以下简称：乙方)协商一致，约定以下合同</w:t>
      </w:r>
      <w:r>
        <w:rPr>
          <w:rFonts w:hint="eastAsia" w:ascii="仿宋" w:hAnsi="仿宋" w:eastAsia="仿宋" w:cs="仿宋"/>
          <w:color w:val="auto"/>
          <w:sz w:val="24"/>
          <w:highlight w:val="none"/>
        </w:rPr>
        <w:t>条款，以兹共同遵守、全面履行。</w:t>
      </w:r>
    </w:p>
    <w:p w14:paraId="3BBF40E7">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color w:val="auto"/>
          <w:sz w:val="24"/>
          <w:highlight w:val="none"/>
        </w:rPr>
      </w:pPr>
      <w:bookmarkStart w:id="50" w:name="_Toc20421"/>
      <w:bookmarkStart w:id="51" w:name="_Toc19273"/>
      <w:bookmarkStart w:id="52" w:name="_Toc15367"/>
      <w:bookmarkStart w:id="53" w:name="_Toc22967"/>
      <w:bookmarkStart w:id="54" w:name="_Toc28855"/>
      <w:r>
        <w:rPr>
          <w:rFonts w:hint="eastAsia" w:ascii="仿宋" w:hAnsi="仿宋" w:eastAsia="仿宋" w:cs="仿宋"/>
          <w:b/>
          <w:color w:val="auto"/>
          <w:sz w:val="24"/>
          <w:highlight w:val="none"/>
        </w:rPr>
        <w:t>1.1 合同组成部分</w:t>
      </w:r>
      <w:bookmarkEnd w:id="50"/>
      <w:bookmarkEnd w:id="51"/>
      <w:bookmarkEnd w:id="52"/>
      <w:bookmarkEnd w:id="53"/>
      <w:bookmarkEnd w:id="54"/>
    </w:p>
    <w:p w14:paraId="4E7F027A">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下列文件为本合同的组成部分，并构成一个整体，需综合解释、相互补充。如果下列文件内容出现不一致的情形，那么在保证按照采购文件确定的事项的前提下，组成本合同的多个文件的优先适用顺序如下：</w:t>
      </w:r>
    </w:p>
    <w:p w14:paraId="434DED17">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1.1.1 本合同及其补充合同、变更协议；</w:t>
      </w:r>
    </w:p>
    <w:p w14:paraId="3FD04C52">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1.1.2 中标或者成交通知书；</w:t>
      </w:r>
    </w:p>
    <w:p w14:paraId="3E2C8662">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1.1.3 投标或者响应文件（含澄清或者说明文件）；</w:t>
      </w:r>
    </w:p>
    <w:p w14:paraId="525F751C">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1.1.4 采购文件（含澄清或者修改文件）；</w:t>
      </w:r>
    </w:p>
    <w:p w14:paraId="404F9052">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1.1.5 其他相关采购文件。</w:t>
      </w:r>
    </w:p>
    <w:p w14:paraId="1447B746">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highlight w:val="none"/>
        </w:rPr>
      </w:pPr>
      <w:bookmarkStart w:id="55" w:name="_Toc22185"/>
      <w:bookmarkStart w:id="56" w:name="_Toc18585"/>
      <w:bookmarkStart w:id="57" w:name="_Toc6311"/>
      <w:bookmarkStart w:id="58" w:name="_Toc2918"/>
      <w:bookmarkStart w:id="59" w:name="_Toc6773"/>
      <w:r>
        <w:rPr>
          <w:rFonts w:hint="eastAsia" w:ascii="仿宋" w:hAnsi="仿宋" w:eastAsia="仿宋" w:cs="仿宋"/>
          <w:b/>
          <w:color w:val="auto"/>
          <w:sz w:val="24"/>
          <w:highlight w:val="none"/>
        </w:rPr>
        <w:t>1.2 标的</w:t>
      </w:r>
      <w:bookmarkEnd w:id="55"/>
      <w:bookmarkEnd w:id="56"/>
      <w:bookmarkEnd w:id="57"/>
      <w:bookmarkEnd w:id="58"/>
      <w:bookmarkEnd w:id="59"/>
    </w:p>
    <w:p w14:paraId="1A5CBA86">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1.2.1 服务内容：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3CE823B9">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1.2.2 服务标准：</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1D079257">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1.2.3 技术保障：</w:t>
      </w:r>
      <w:r>
        <w:rPr>
          <w:rFonts w:hint="eastAsia" w:ascii="仿宋" w:hAnsi="仿宋" w:eastAsia="仿宋" w:cs="仿宋"/>
          <w:color w:val="auto"/>
          <w:sz w:val="24"/>
          <w:highlight w:val="none"/>
          <w:u w:val="single"/>
        </w:rPr>
        <w:t>　　　　　　　　　                      　      ；</w:t>
      </w:r>
    </w:p>
    <w:p w14:paraId="5AA9B695">
      <w:pPr>
        <w:pageBreakBefore w:val="0"/>
        <w:kinsoku/>
        <w:wordWrap/>
        <w:overflowPunct/>
        <w:topLinePunct w:val="0"/>
        <w:autoSpaceDE/>
        <w:autoSpaceDN/>
        <w:bidi w:val="0"/>
        <w:snapToGrid/>
        <w:spacing w:line="440" w:lineRule="exact"/>
        <w:ind w:left="0" w:leftChars="0" w:right="0" w:rightChars="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1.2.4 服务人员组成：</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06BD3735">
      <w:pPr>
        <w:pStyle w:val="24"/>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1.2.5合同</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（是/否）涉及货物。若涉及货物的，则：</w:t>
      </w:r>
    </w:p>
    <w:p w14:paraId="49A546A0">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bookmarkStart w:id="60" w:name="_Toc13918"/>
      <w:bookmarkStart w:id="61" w:name="_Toc1386"/>
      <w:bookmarkStart w:id="62" w:name="_Toc21124"/>
      <w:bookmarkStart w:id="63" w:name="_Toc5635"/>
      <w:bookmarkStart w:id="64" w:name="_Toc4929"/>
      <w:r>
        <w:rPr>
          <w:rFonts w:hint="eastAsia" w:ascii="仿宋" w:hAnsi="仿宋" w:eastAsia="仿宋" w:cs="仿宋"/>
          <w:color w:val="auto"/>
          <w:sz w:val="24"/>
          <w:highlight w:val="none"/>
        </w:rPr>
        <w:t>1.2.5.1 货物名称、品牌、规格型号、花色：</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4F2EFBF7">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1.2.5.2 货物数量：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1EA8FC02">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1.2.5.3 货物质量：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592F1462">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1.3 价款</w:t>
      </w:r>
      <w:bookmarkEnd w:id="60"/>
      <w:bookmarkEnd w:id="61"/>
      <w:bookmarkEnd w:id="62"/>
      <w:bookmarkEnd w:id="63"/>
      <w:bookmarkEnd w:id="64"/>
    </w:p>
    <w:p w14:paraId="3B1B9D0E">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本项目采用以下第</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条款规定的计价方式计价。</w:t>
      </w:r>
    </w:p>
    <w:p w14:paraId="7D2A8D62">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1.3.1总价合同，本合同总价（含税）为：￥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元（大写：</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元人民币）。</w:t>
      </w:r>
    </w:p>
    <w:p w14:paraId="0243B6A1">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分项价格：</w:t>
      </w:r>
    </w:p>
    <w:tbl>
      <w:tblPr>
        <w:tblStyle w:val="15"/>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14:paraId="08CB26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3B724CC5">
            <w:pPr>
              <w:pStyle w:val="25"/>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序号</w:t>
            </w:r>
          </w:p>
        </w:tc>
        <w:tc>
          <w:tcPr>
            <w:tcW w:w="3402" w:type="dxa"/>
            <w:vAlign w:val="center"/>
          </w:tcPr>
          <w:p w14:paraId="5E9C3C11">
            <w:pPr>
              <w:pStyle w:val="25"/>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分项名称</w:t>
            </w:r>
          </w:p>
        </w:tc>
        <w:tc>
          <w:tcPr>
            <w:tcW w:w="2552" w:type="dxa"/>
            <w:vAlign w:val="center"/>
          </w:tcPr>
          <w:p w14:paraId="06D0B504">
            <w:pPr>
              <w:pStyle w:val="25"/>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分项价格</w:t>
            </w:r>
          </w:p>
        </w:tc>
      </w:tr>
      <w:tr w14:paraId="663F34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199AA687">
            <w:pPr>
              <w:pStyle w:val="25"/>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3402" w:type="dxa"/>
            <w:vAlign w:val="center"/>
          </w:tcPr>
          <w:p w14:paraId="0A4A06A2">
            <w:pPr>
              <w:pStyle w:val="25"/>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2552" w:type="dxa"/>
            <w:vAlign w:val="center"/>
          </w:tcPr>
          <w:p w14:paraId="3916D463">
            <w:pPr>
              <w:pStyle w:val="25"/>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r>
      <w:tr w14:paraId="4B6ADA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72B394DF">
            <w:pPr>
              <w:pStyle w:val="25"/>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3402" w:type="dxa"/>
            <w:vAlign w:val="center"/>
          </w:tcPr>
          <w:p w14:paraId="100391F1">
            <w:pPr>
              <w:pStyle w:val="25"/>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2552" w:type="dxa"/>
            <w:vAlign w:val="center"/>
          </w:tcPr>
          <w:p w14:paraId="5F326B40">
            <w:pPr>
              <w:pStyle w:val="25"/>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r>
      <w:tr w14:paraId="63FAD7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286F0C19">
            <w:pPr>
              <w:pStyle w:val="25"/>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3402" w:type="dxa"/>
            <w:vAlign w:val="center"/>
          </w:tcPr>
          <w:p w14:paraId="64DCFD86">
            <w:pPr>
              <w:pStyle w:val="25"/>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2552" w:type="dxa"/>
            <w:vAlign w:val="center"/>
          </w:tcPr>
          <w:p w14:paraId="0F9765CD">
            <w:pPr>
              <w:pStyle w:val="25"/>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r>
      <w:tr w14:paraId="6072AC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795BB550">
            <w:pPr>
              <w:pStyle w:val="25"/>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3402" w:type="dxa"/>
            <w:vAlign w:val="center"/>
          </w:tcPr>
          <w:p w14:paraId="2F105E2B">
            <w:pPr>
              <w:pStyle w:val="25"/>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2552" w:type="dxa"/>
            <w:vAlign w:val="center"/>
          </w:tcPr>
          <w:p w14:paraId="2098B66C">
            <w:pPr>
              <w:pStyle w:val="25"/>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r>
      <w:tr w14:paraId="6ED2C0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vAlign w:val="center"/>
          </w:tcPr>
          <w:p w14:paraId="0783BAE6">
            <w:pPr>
              <w:pStyle w:val="25"/>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总价</w:t>
            </w:r>
          </w:p>
        </w:tc>
        <w:tc>
          <w:tcPr>
            <w:tcW w:w="2552" w:type="dxa"/>
            <w:vAlign w:val="center"/>
          </w:tcPr>
          <w:p w14:paraId="09F54552">
            <w:pPr>
              <w:pStyle w:val="25"/>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r>
    </w:tbl>
    <w:p w14:paraId="198EC1CF">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bookmarkStart w:id="65" w:name="_Toc14993"/>
      <w:bookmarkStart w:id="66" w:name="_Toc30506"/>
      <w:bookmarkStart w:id="67" w:name="_Toc30158"/>
      <w:bookmarkStart w:id="68" w:name="_Toc26916"/>
      <w:bookmarkStart w:id="69" w:name="_Toc3654"/>
      <w:r>
        <w:rPr>
          <w:rFonts w:hint="eastAsia" w:ascii="仿宋" w:hAnsi="仿宋" w:eastAsia="仿宋" w:cs="仿宋"/>
          <w:bCs/>
          <w:color w:val="auto"/>
          <w:sz w:val="24"/>
          <w:highlight w:val="none"/>
        </w:rPr>
        <w:t>1.3.2单价合同，本合同单价（含税）标准为：</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highlight w:val="none"/>
        </w:rPr>
        <w:t>。服务工作量的计量方式为：</w:t>
      </w:r>
      <w:r>
        <w:rPr>
          <w:rFonts w:hint="eastAsia" w:ascii="仿宋" w:hAnsi="仿宋" w:eastAsia="仿宋" w:cs="仿宋"/>
          <w:bCs/>
          <w:color w:val="auto"/>
          <w:sz w:val="24"/>
          <w:highlight w:val="none"/>
          <w:u w:val="single"/>
        </w:rPr>
        <w:t xml:space="preserve">       </w:t>
      </w:r>
      <w:r>
        <w:rPr>
          <w:rFonts w:hint="eastAsia" w:ascii="仿宋" w:hAnsi="仿宋" w:eastAsia="仿宋" w:cs="仿宋"/>
          <w:b/>
          <w:i/>
          <w:color w:val="auto"/>
          <w:sz w:val="24"/>
          <w:highlight w:val="none"/>
          <w:u w:val="single"/>
        </w:rPr>
        <w:t>合同专用条款</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highlight w:val="none"/>
        </w:rPr>
        <w:t>。单价合同，在合同履行期间内，根据实际完成的工作量据实结算，但结算总价上限不得超过预算金额或者双方确定的金额￥</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元（大写：</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元人民币）。</w:t>
      </w:r>
    </w:p>
    <w:p w14:paraId="645E8373">
      <w:pPr>
        <w:pStyle w:val="4"/>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highlight w:val="none"/>
          <w:lang w:val="en-US"/>
        </w:rPr>
      </w:pPr>
      <w:r>
        <w:rPr>
          <w:rFonts w:hint="eastAsia" w:ascii="仿宋" w:hAnsi="仿宋" w:eastAsia="仿宋" w:cs="仿宋"/>
          <w:b w:val="0"/>
          <w:bCs w:val="0"/>
          <w:color w:val="auto"/>
          <w:sz w:val="24"/>
          <w:highlight w:val="none"/>
          <w:lang w:val="en-US"/>
        </w:rPr>
        <w:t>1.3.3其他计价方式：</w:t>
      </w:r>
      <w:r>
        <w:rPr>
          <w:rFonts w:hint="eastAsia" w:ascii="仿宋" w:hAnsi="仿宋" w:eastAsia="仿宋" w:cs="仿宋"/>
          <w:b w:val="0"/>
          <w:bCs w:val="0"/>
          <w:color w:val="auto"/>
          <w:sz w:val="24"/>
          <w:highlight w:val="none"/>
          <w:u w:val="single"/>
          <w:lang w:val="en-US"/>
        </w:rPr>
        <w:t xml:space="preserve">                   </w:t>
      </w:r>
      <w:r>
        <w:rPr>
          <w:rFonts w:hint="eastAsia" w:ascii="仿宋" w:hAnsi="仿宋" w:eastAsia="仿宋" w:cs="仿宋"/>
          <w:b w:val="0"/>
          <w:bCs w:val="0"/>
          <w:color w:val="auto"/>
          <w:sz w:val="24"/>
          <w:highlight w:val="none"/>
        </w:rPr>
        <w:t>。</w:t>
      </w:r>
    </w:p>
    <w:bookmarkEnd w:id="65"/>
    <w:bookmarkEnd w:id="66"/>
    <w:bookmarkEnd w:id="67"/>
    <w:bookmarkEnd w:id="68"/>
    <w:bookmarkEnd w:id="69"/>
    <w:p w14:paraId="6A80E51F">
      <w:pPr>
        <w:pStyle w:val="24"/>
        <w:pageBreakBefore w:val="0"/>
        <w:kinsoku/>
        <w:wordWrap/>
        <w:overflowPunct/>
        <w:topLinePunct w:val="0"/>
        <w:autoSpaceDE/>
        <w:autoSpaceDN/>
        <w:bidi w:val="0"/>
        <w:snapToGrid/>
        <w:spacing w:before="0" w:beforeAutospacing="0" w:after="0" w:afterAutospacing="0" w:line="440" w:lineRule="exact"/>
        <w:ind w:left="0" w:leftChars="0" w:right="0" w:rightChars="0" w:firstLine="482" w:firstLineChars="200"/>
        <w:textAlignment w:val="auto"/>
        <w:rPr>
          <w:rFonts w:hint="eastAsia" w:ascii="仿宋" w:hAnsi="仿宋" w:eastAsia="仿宋" w:cs="仿宋"/>
          <w:b/>
          <w:color w:val="auto"/>
          <w:highlight w:val="none"/>
        </w:rPr>
      </w:pPr>
      <w:bookmarkStart w:id="70" w:name="_Toc22618"/>
      <w:bookmarkStart w:id="71" w:name="_Toc10340"/>
      <w:bookmarkStart w:id="72" w:name="_Toc1814"/>
      <w:bookmarkStart w:id="73" w:name="_Toc8772"/>
      <w:bookmarkStart w:id="74" w:name="_Toc3625"/>
      <w:bookmarkStart w:id="75" w:name="_Toc11108"/>
      <w:bookmarkStart w:id="76" w:name="_Toc4760"/>
      <w:bookmarkStart w:id="77" w:name="_Toc31421"/>
      <w:r>
        <w:rPr>
          <w:rFonts w:hint="eastAsia" w:ascii="仿宋" w:hAnsi="仿宋" w:eastAsia="仿宋" w:cs="仿宋"/>
          <w:b/>
          <w:color w:val="auto"/>
          <w:highlight w:val="none"/>
        </w:rPr>
        <w:t>1.4履约保证金</w:t>
      </w:r>
    </w:p>
    <w:p w14:paraId="67319EA4">
      <w:pPr>
        <w:pStyle w:val="24"/>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乙方</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（是/否）需要支付履约保证金。若需要支付履约保证金的，则：</w:t>
      </w:r>
    </w:p>
    <w:p w14:paraId="1BFDBA61">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1.4.1履约保证金的比例为合同金额的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14:paraId="4C65C0CF">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1.4.2履约保证金支付方式详见</w:t>
      </w:r>
      <w:r>
        <w:rPr>
          <w:rFonts w:hint="eastAsia" w:ascii="仿宋" w:hAnsi="仿宋" w:eastAsia="仿宋" w:cs="仿宋"/>
          <w:color w:val="auto"/>
          <w:kern w:val="0"/>
          <w:sz w:val="24"/>
          <w:highlight w:val="none"/>
          <w:u w:val="single"/>
        </w:rPr>
        <w:t xml:space="preserve">    </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14:paraId="78BE184E">
      <w:pPr>
        <w:pStyle w:val="4"/>
        <w:pageBreakBefore w:val="0"/>
        <w:tabs>
          <w:tab w:val="left" w:pos="0"/>
        </w:tabs>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highlight w:val="none"/>
          <w:lang w:val="en-US"/>
        </w:rPr>
      </w:pPr>
      <w:r>
        <w:rPr>
          <w:rFonts w:hint="eastAsia" w:ascii="仿宋" w:hAnsi="仿宋" w:eastAsia="仿宋" w:cs="仿宋"/>
          <w:b w:val="0"/>
          <w:bCs w:val="0"/>
          <w:color w:val="auto"/>
          <w:kern w:val="0"/>
          <w:sz w:val="24"/>
          <w:szCs w:val="24"/>
          <w:highlight w:val="none"/>
          <w:lang w:val="en-US"/>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14:paraId="526DD325">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1.4.4甲方在项目验收结束后及时退还履约保证金。甲方在项目通过验收之日起</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个工作日内将履约保证金无息退还乙方，逾期退还的，乙方可要求甲方支付违约金，违约金按每迟延退还一日的应退还而未退还金额的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u w:val="single"/>
          <w:lang w:val="en-US" w:eastAsia="zh-CN"/>
        </w:rPr>
        <w:t xml:space="preserve">   </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%计算，最高限额为本合同履约保证金的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u w:val="single"/>
          <w:lang w:val="en-US" w:eastAsia="zh-CN"/>
        </w:rPr>
        <w:t xml:space="preserve">  </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 xml:space="preserve"> %。</w:t>
      </w:r>
    </w:p>
    <w:p w14:paraId="27750659">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1.5</w:t>
      </w:r>
      <w:bookmarkEnd w:id="70"/>
      <w:bookmarkEnd w:id="71"/>
      <w:bookmarkEnd w:id="72"/>
      <w:r>
        <w:rPr>
          <w:rFonts w:hint="eastAsia" w:ascii="仿宋" w:hAnsi="仿宋" w:eastAsia="仿宋" w:cs="仿宋"/>
          <w:b/>
          <w:color w:val="auto"/>
          <w:sz w:val="24"/>
          <w:highlight w:val="none"/>
        </w:rPr>
        <w:t>预付款</w:t>
      </w:r>
    </w:p>
    <w:p w14:paraId="3B64BA70">
      <w:pPr>
        <w:pStyle w:val="24"/>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甲方</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（是/否）需要支付预付款。若需要支付预付款的，则：</w:t>
      </w:r>
    </w:p>
    <w:p w14:paraId="315FB465">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1.5.1预付款比例、支付方式、时间详见</w:t>
      </w:r>
      <w:r>
        <w:rPr>
          <w:rFonts w:hint="eastAsia" w:ascii="仿宋" w:hAnsi="仿宋" w:eastAsia="仿宋" w:cs="仿宋"/>
          <w:color w:val="auto"/>
          <w:kern w:val="0"/>
          <w:sz w:val="24"/>
          <w:highlight w:val="none"/>
          <w:u w:val="single"/>
        </w:rPr>
        <w:t xml:space="preserve">    </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14:paraId="3023ED22">
      <w:pPr>
        <w:pStyle w:val="24"/>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1.5.2预付款的扣回方式详见</w:t>
      </w:r>
      <w:r>
        <w:rPr>
          <w:rFonts w:hint="eastAsia" w:ascii="仿宋" w:hAnsi="仿宋" w:eastAsia="仿宋" w:cs="仿宋"/>
          <w:color w:val="auto"/>
          <w:highlight w:val="none"/>
          <w:u w:val="single"/>
        </w:rPr>
        <w:t xml:space="preserve">    </w:t>
      </w:r>
      <w:r>
        <w:rPr>
          <w:rFonts w:hint="eastAsia" w:ascii="仿宋" w:hAnsi="仿宋" w:eastAsia="仿宋" w:cs="仿宋"/>
          <w:b/>
          <w:i/>
          <w:color w:val="auto"/>
          <w:highlight w:val="none"/>
          <w:u w:val="single"/>
        </w:rPr>
        <w:t>合同专用条款</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w:t>
      </w:r>
    </w:p>
    <w:p w14:paraId="6B503F68">
      <w:pPr>
        <w:pStyle w:val="24"/>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u w:val="single"/>
        </w:rPr>
      </w:pPr>
      <w:r>
        <w:rPr>
          <w:rFonts w:hint="eastAsia" w:ascii="仿宋" w:hAnsi="仿宋" w:eastAsia="仿宋" w:cs="仿宋"/>
          <w:color w:val="auto"/>
          <w:highlight w:val="none"/>
        </w:rPr>
        <w:t>1.5.3预付款的担保措施详见</w:t>
      </w:r>
      <w:r>
        <w:rPr>
          <w:rFonts w:hint="eastAsia" w:ascii="仿宋" w:hAnsi="仿宋" w:eastAsia="仿宋" w:cs="仿宋"/>
          <w:color w:val="auto"/>
          <w:highlight w:val="none"/>
          <w:u w:val="single"/>
        </w:rPr>
        <w:t xml:space="preserve">    </w:t>
      </w:r>
      <w:r>
        <w:rPr>
          <w:rFonts w:hint="eastAsia" w:ascii="仿宋" w:hAnsi="仿宋" w:eastAsia="仿宋" w:cs="仿宋"/>
          <w:b/>
          <w:i/>
          <w:color w:val="auto"/>
          <w:highlight w:val="none"/>
          <w:u w:val="single"/>
        </w:rPr>
        <w:t>合同专用条款</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w:t>
      </w:r>
    </w:p>
    <w:p w14:paraId="55BCC4A6">
      <w:pPr>
        <w:pStyle w:val="24"/>
        <w:pageBreakBefore w:val="0"/>
        <w:kinsoku/>
        <w:wordWrap/>
        <w:overflowPunct/>
        <w:topLinePunct w:val="0"/>
        <w:autoSpaceDE/>
        <w:autoSpaceDN/>
        <w:bidi w:val="0"/>
        <w:snapToGrid/>
        <w:spacing w:before="0" w:beforeAutospacing="0" w:after="0" w:afterAutospacing="0" w:line="440" w:lineRule="exact"/>
        <w:ind w:left="0" w:leftChars="0" w:right="0" w:rightChars="0" w:firstLine="482" w:firstLineChars="200"/>
        <w:textAlignment w:val="auto"/>
        <w:rPr>
          <w:rFonts w:hint="eastAsia" w:ascii="仿宋" w:hAnsi="仿宋" w:eastAsia="仿宋" w:cs="仿宋"/>
          <w:b/>
          <w:bCs/>
          <w:color w:val="auto"/>
          <w:highlight w:val="none"/>
        </w:rPr>
      </w:pPr>
      <w:r>
        <w:rPr>
          <w:rFonts w:hint="eastAsia" w:ascii="仿宋" w:hAnsi="仿宋" w:eastAsia="仿宋" w:cs="仿宋"/>
          <w:b/>
          <w:bCs/>
          <w:color w:val="auto"/>
          <w:highlight w:val="none"/>
        </w:rPr>
        <w:t>1.6资金支付</w:t>
      </w:r>
    </w:p>
    <w:p w14:paraId="241DC3CE">
      <w:pPr>
        <w:pStyle w:val="24"/>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1.6.1甲方应严格履行合同，及时组织验收，验收合格后及时将合同款支付完毕。对于满足合同约定支付条件的，甲方自收到发票后</w:t>
      </w:r>
      <w:r>
        <w:rPr>
          <w:rFonts w:hint="eastAsia" w:ascii="仿宋" w:hAnsi="仿宋" w:eastAsia="仿宋" w:cs="仿宋"/>
          <w:color w:val="auto"/>
          <w:highlight w:val="none"/>
          <w:lang w:val="en-US" w:eastAsia="zh-CN"/>
        </w:rPr>
        <w:t>7</w:t>
      </w:r>
      <w:r>
        <w:rPr>
          <w:rFonts w:hint="eastAsia" w:ascii="仿宋" w:hAnsi="仿宋" w:eastAsia="仿宋" w:cs="仿宋"/>
          <w:color w:val="auto"/>
          <w:highlight w:val="none"/>
        </w:rPr>
        <w:t>个工作日内将资金支付到合同约定的乙方账户，有条件的甲方可以即时支付。甲方不得以机构变动、人员更替、政策调整、单位放假等为由延迟付款。</w:t>
      </w:r>
    </w:p>
    <w:p w14:paraId="3A9B21C4">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color w:val="auto"/>
          <w:sz w:val="24"/>
          <w:highlight w:val="none"/>
        </w:rPr>
      </w:pPr>
      <w:r>
        <w:rPr>
          <w:rFonts w:hint="eastAsia" w:ascii="仿宋" w:hAnsi="仿宋" w:eastAsia="仿宋" w:cs="仿宋"/>
          <w:color w:val="auto"/>
          <w:sz w:val="24"/>
          <w:highlight w:val="none"/>
        </w:rPr>
        <w:t>1.6.2资金支付的方式、时间和条件详见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67DC9178">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1.7 履行期限、地点和方式</w:t>
      </w:r>
      <w:bookmarkEnd w:id="73"/>
      <w:bookmarkEnd w:id="74"/>
      <w:bookmarkEnd w:id="75"/>
      <w:bookmarkEnd w:id="76"/>
      <w:bookmarkEnd w:id="77"/>
    </w:p>
    <w:p w14:paraId="55E493AF">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1.7.1 服务交付（实施）的时间（期限）：</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489B4493">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1.7.2 服务交付（实施）的地点（地域范围）：</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6322A20C">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1.7.3 服务交付（实施）的方式：</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39522C37">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bCs/>
          <w:color w:val="auto"/>
          <w:sz w:val="24"/>
          <w:highlight w:val="none"/>
        </w:rPr>
      </w:pPr>
      <w:bookmarkStart w:id="78" w:name="_Toc2375"/>
      <w:bookmarkStart w:id="79" w:name="_Toc24662"/>
      <w:bookmarkStart w:id="80" w:name="_Toc8586"/>
      <w:bookmarkStart w:id="81" w:name="_Toc5698"/>
      <w:bookmarkStart w:id="82" w:name="_Toc3079"/>
      <w:r>
        <w:rPr>
          <w:rFonts w:hint="eastAsia" w:ascii="仿宋" w:hAnsi="仿宋" w:eastAsia="仿宋" w:cs="仿宋"/>
          <w:bCs/>
          <w:color w:val="auto"/>
          <w:sz w:val="24"/>
          <w:highlight w:val="none"/>
        </w:rPr>
        <w:t>1.7.4若服务涉及货物的，则货物的：</w:t>
      </w:r>
    </w:p>
    <w:p w14:paraId="78AA7064">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1.7.4.1 交付期限：详见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50079FFA">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1.7.4.2 交付地点：</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5EE20DAA">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1.7.4.3 交付方式：</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4F461C93">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color w:val="auto"/>
          <w:sz w:val="24"/>
          <w:highlight w:val="none"/>
          <w:u w:val="single"/>
        </w:rPr>
      </w:pPr>
      <w:r>
        <w:rPr>
          <w:rFonts w:hint="eastAsia" w:ascii="仿宋" w:hAnsi="仿宋" w:eastAsia="仿宋" w:cs="仿宋"/>
          <w:b/>
          <w:color w:val="auto"/>
          <w:sz w:val="24"/>
          <w:highlight w:val="none"/>
        </w:rPr>
        <w:t>1.8违约责任</w:t>
      </w:r>
      <w:bookmarkEnd w:id="78"/>
      <w:bookmarkEnd w:id="79"/>
      <w:bookmarkEnd w:id="80"/>
      <w:bookmarkEnd w:id="81"/>
      <w:bookmarkEnd w:id="82"/>
    </w:p>
    <w:p w14:paraId="4BF71EFC">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1.8.1 除不可抗力外，如果乙方没有按照本合同约定的期限、地点和方式交付服务成果或者实施服务，那么甲方可要求乙方支付违约金，迟延履行违约金按每迟延履行一日的应提供而未提供服务价格的</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%计算，最高限额为本合同总价的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%；迟延履行的违约金计算数额达到前述最高限额之日起，甲方有权在要求乙方支付违约金的同时，书面通知乙方解除本合同；</w:t>
      </w:r>
    </w:p>
    <w:p w14:paraId="6AA2FA0B">
      <w:pPr>
        <w:pStyle w:val="4"/>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b w:val="0"/>
          <w:bCs w:val="0"/>
          <w:color w:val="auto"/>
          <w:sz w:val="24"/>
          <w:szCs w:val="24"/>
          <w:highlight w:val="none"/>
          <w:lang w:val="en-US"/>
        </w:rPr>
      </w:pPr>
      <w:r>
        <w:rPr>
          <w:rFonts w:hint="eastAsia" w:ascii="仿宋" w:hAnsi="仿宋" w:eastAsia="仿宋" w:cs="仿宋"/>
          <w:b w:val="0"/>
          <w:bCs w:val="0"/>
          <w:color w:val="auto"/>
          <w:sz w:val="24"/>
          <w:szCs w:val="24"/>
          <w:highlight w:val="none"/>
          <w:lang w:val="en-US"/>
        </w:rPr>
        <w:t>1.8.2服务中涉及的货物，除不可抗力外，如果乙方没有按照本合同约定的期限、地点和方式交付货物，那么甲方可要求乙方支付违约金，违约金按每迟延交付货物一日的应交付而未交付货物价格的</w:t>
      </w:r>
      <w:r>
        <w:rPr>
          <w:rFonts w:hint="eastAsia" w:ascii="仿宋" w:hAnsi="仿宋" w:eastAsia="仿宋" w:cs="仿宋"/>
          <w:b w:val="0"/>
          <w:bCs w:val="0"/>
          <w:color w:val="auto"/>
          <w:sz w:val="24"/>
          <w:szCs w:val="24"/>
          <w:highlight w:val="none"/>
          <w:u w:val="single"/>
          <w:lang w:val="en-US"/>
        </w:rPr>
        <w:t xml:space="preserve"> </w:t>
      </w:r>
      <w:r>
        <w:rPr>
          <w:rFonts w:hint="eastAsia" w:ascii="仿宋" w:eastAsia="仿宋" w:cs="仿宋"/>
          <w:b w:val="0"/>
          <w:bCs w:val="0"/>
          <w:color w:val="auto"/>
          <w:sz w:val="24"/>
          <w:szCs w:val="24"/>
          <w:highlight w:val="none"/>
          <w:u w:val="single"/>
          <w:lang w:val="en-US" w:eastAsia="zh-CN"/>
        </w:rPr>
        <w:t xml:space="preserve">     </w:t>
      </w:r>
      <w:r>
        <w:rPr>
          <w:rFonts w:hint="eastAsia" w:ascii="仿宋" w:hAnsi="仿宋" w:eastAsia="仿宋" w:cs="仿宋"/>
          <w:b w:val="0"/>
          <w:bCs w:val="0"/>
          <w:color w:val="auto"/>
          <w:sz w:val="24"/>
          <w:szCs w:val="24"/>
          <w:highlight w:val="none"/>
          <w:u w:val="single"/>
          <w:lang w:val="en-US"/>
        </w:rPr>
        <w:t xml:space="preserve"> </w:t>
      </w:r>
      <w:r>
        <w:rPr>
          <w:rFonts w:hint="eastAsia" w:ascii="仿宋" w:hAnsi="仿宋" w:eastAsia="仿宋" w:cs="仿宋"/>
          <w:b w:val="0"/>
          <w:bCs w:val="0"/>
          <w:color w:val="auto"/>
          <w:sz w:val="24"/>
          <w:szCs w:val="24"/>
          <w:highlight w:val="none"/>
          <w:lang w:val="en-US"/>
        </w:rPr>
        <w:t>%计算，最高限额为本合同总价的</w:t>
      </w:r>
      <w:r>
        <w:rPr>
          <w:rFonts w:hint="eastAsia" w:ascii="仿宋" w:hAnsi="仿宋" w:eastAsia="仿宋" w:cs="仿宋"/>
          <w:b w:val="0"/>
          <w:bCs w:val="0"/>
          <w:color w:val="auto"/>
          <w:sz w:val="24"/>
          <w:szCs w:val="24"/>
          <w:highlight w:val="none"/>
          <w:u w:val="single"/>
          <w:lang w:val="en-US"/>
        </w:rPr>
        <w:t xml:space="preserve"> </w:t>
      </w:r>
      <w:r>
        <w:rPr>
          <w:rFonts w:hint="eastAsia" w:ascii="仿宋" w:eastAsia="仿宋" w:cs="仿宋"/>
          <w:b w:val="0"/>
          <w:bCs w:val="0"/>
          <w:color w:val="auto"/>
          <w:sz w:val="24"/>
          <w:szCs w:val="24"/>
          <w:highlight w:val="none"/>
          <w:u w:val="single"/>
          <w:lang w:val="en-US" w:eastAsia="zh-CN"/>
        </w:rPr>
        <w:t xml:space="preserve">   </w:t>
      </w:r>
      <w:r>
        <w:rPr>
          <w:rFonts w:hint="eastAsia" w:ascii="仿宋" w:hAnsi="仿宋" w:eastAsia="仿宋" w:cs="仿宋"/>
          <w:b w:val="0"/>
          <w:bCs w:val="0"/>
          <w:color w:val="auto"/>
          <w:sz w:val="24"/>
          <w:szCs w:val="24"/>
          <w:highlight w:val="none"/>
          <w:u w:val="single"/>
          <w:lang w:val="en-US"/>
        </w:rPr>
        <w:t xml:space="preserve"> </w:t>
      </w:r>
      <w:r>
        <w:rPr>
          <w:rFonts w:hint="eastAsia" w:ascii="仿宋" w:hAnsi="仿宋" w:eastAsia="仿宋" w:cs="仿宋"/>
          <w:b w:val="0"/>
          <w:bCs w:val="0"/>
          <w:color w:val="auto"/>
          <w:sz w:val="24"/>
          <w:szCs w:val="24"/>
          <w:highlight w:val="none"/>
          <w:lang w:val="en-US"/>
        </w:rPr>
        <w:t>%；迟延交付货物的违约金计算数额达到前述最高限额之日起，甲方有权在要求乙方支付违约金的同时，书面通知乙方解除本合同；</w:t>
      </w:r>
    </w:p>
    <w:p w14:paraId="3DF52B77">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1.8.3除不可抗力外，如果甲方没有按照本合同约定的付款方式付款，那么乙方可要求甲方支付违约金，违约金按每迟延付款一日的应付而未付款的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%计算，最高限额为本合同总价的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%；迟延付款的违约金计算数额达到前述最高限额之日起，乙方有权在要求甲方支付违约金的同时，书面通知甲方解除本合同；</w:t>
      </w:r>
    </w:p>
    <w:p w14:paraId="45748E11">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bookmarkStart w:id="83" w:name="_Toc30329"/>
      <w:bookmarkStart w:id="84" w:name="_Toc18683"/>
      <w:bookmarkStart w:id="85" w:name="_Toc9497"/>
      <w:bookmarkStart w:id="86" w:name="_Toc26807"/>
      <w:bookmarkStart w:id="87" w:name="_Toc32454"/>
      <w:r>
        <w:rPr>
          <w:rFonts w:hint="eastAsia" w:ascii="仿宋" w:hAnsi="仿宋" w:eastAsia="仿宋" w:cs="仿宋"/>
          <w:color w:val="auto"/>
          <w:sz w:val="24"/>
          <w:highlight w:val="none"/>
        </w:rPr>
        <w:t>1.8.4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09F03AC0">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1.8.5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14:paraId="4C244FD4">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1.8.6如果出现政府采购监督管理部门在处理投诉事项期间，书面通知甲方暂停采购活动的情形，或者询问或质疑事项可能影响中标或者成交结果的，导致甲方中止履行合同的情形，均不视为甲方违约。</w:t>
      </w:r>
    </w:p>
    <w:p w14:paraId="11AE924F">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sz w:val="24"/>
          <w:highlight w:val="none"/>
        </w:rPr>
        <w:t>1.8.7违约责任</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另有约定的，从其约定。</w:t>
      </w:r>
    </w:p>
    <w:bookmarkEnd w:id="83"/>
    <w:bookmarkEnd w:id="84"/>
    <w:bookmarkEnd w:id="85"/>
    <w:bookmarkEnd w:id="86"/>
    <w:bookmarkEnd w:id="87"/>
    <w:p w14:paraId="466F34C0">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highlight w:val="none"/>
        </w:rPr>
      </w:pPr>
      <w:bookmarkStart w:id="88" w:name="_Toc15583"/>
      <w:bookmarkStart w:id="89" w:name="_Toc16021"/>
      <w:bookmarkStart w:id="90" w:name="_Toc28375"/>
      <w:r>
        <w:rPr>
          <w:rFonts w:hint="eastAsia" w:ascii="仿宋" w:hAnsi="仿宋" w:eastAsia="仿宋" w:cs="仿宋"/>
          <w:b/>
          <w:color w:val="auto"/>
          <w:sz w:val="24"/>
          <w:highlight w:val="none"/>
        </w:rPr>
        <w:t>1.9合同争议的解决</w:t>
      </w:r>
      <w:bookmarkEnd w:id="88"/>
      <w:bookmarkEnd w:id="89"/>
      <w:bookmarkEnd w:id="90"/>
    </w:p>
    <w:p w14:paraId="430D5502">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本合同履行过程中发生的任何争议，双方当事人均可通过和解或者调解解决；不愿和解、调解或者和解、调解不成的，将争议提交绍兴仲裁委员会</w:t>
      </w:r>
      <w:r>
        <w:rPr>
          <w:rFonts w:hint="eastAsia" w:ascii="仿宋" w:hAnsi="仿宋" w:eastAsia="仿宋" w:cs="仿宋"/>
          <w:color w:val="auto"/>
          <w:sz w:val="24"/>
          <w:highlight w:val="none"/>
          <w:lang w:eastAsia="zh-CN"/>
        </w:rPr>
        <w:t>柯桥分会</w:t>
      </w:r>
      <w:r>
        <w:rPr>
          <w:rFonts w:hint="eastAsia" w:ascii="仿宋" w:hAnsi="仿宋" w:eastAsia="仿宋" w:cs="仿宋"/>
          <w:color w:val="auto"/>
          <w:sz w:val="24"/>
          <w:highlight w:val="none"/>
        </w:rPr>
        <w:t>仲裁。</w:t>
      </w:r>
    </w:p>
    <w:p w14:paraId="506AEE1A">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highlight w:val="none"/>
        </w:rPr>
      </w:pPr>
      <w:bookmarkStart w:id="91" w:name="_Toc7245"/>
      <w:bookmarkStart w:id="92" w:name="_Toc15322"/>
      <w:bookmarkStart w:id="93" w:name="_Toc11173"/>
      <w:r>
        <w:rPr>
          <w:rFonts w:hint="eastAsia" w:ascii="仿宋" w:hAnsi="仿宋" w:eastAsia="仿宋" w:cs="仿宋"/>
          <w:b/>
          <w:color w:val="auto"/>
          <w:sz w:val="24"/>
          <w:highlight w:val="none"/>
        </w:rPr>
        <w:t>2.0 合同生效</w:t>
      </w:r>
      <w:bookmarkEnd w:id="91"/>
      <w:bookmarkEnd w:id="92"/>
      <w:bookmarkEnd w:id="93"/>
    </w:p>
    <w:p w14:paraId="56799684">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本合同自双方当事人盖章签字时生效。</w:t>
      </w:r>
    </w:p>
    <w:p w14:paraId="5C35D133">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b/>
          <w:color w:val="auto"/>
          <w:sz w:val="24"/>
          <w:highlight w:val="none"/>
          <w:lang w:val="zh-CN"/>
        </w:rPr>
        <w:t>甲方</w:t>
      </w:r>
      <w:r>
        <w:rPr>
          <w:rFonts w:hint="eastAsia" w:ascii="仿宋" w:hAnsi="仿宋" w:eastAsia="仿宋" w:cs="仿宋"/>
          <w:color w:val="auto"/>
          <w:sz w:val="24"/>
          <w:highlight w:val="none"/>
          <w:lang w:val="zh-CN"/>
        </w:rPr>
        <w:t xml:space="preserve">：                             </w:t>
      </w:r>
      <w:r>
        <w:rPr>
          <w:rFonts w:hint="eastAsia" w:ascii="仿宋" w:hAnsi="仿宋" w:eastAsia="仿宋" w:cs="仿宋"/>
          <w:b/>
          <w:color w:val="auto"/>
          <w:sz w:val="24"/>
          <w:highlight w:val="none"/>
          <w:lang w:val="zh-CN"/>
        </w:rPr>
        <w:t xml:space="preserve">      乙方</w:t>
      </w:r>
      <w:r>
        <w:rPr>
          <w:rFonts w:hint="eastAsia" w:ascii="仿宋" w:hAnsi="仿宋" w:eastAsia="仿宋" w:cs="仿宋"/>
          <w:color w:val="auto"/>
          <w:sz w:val="24"/>
          <w:highlight w:val="none"/>
          <w:lang w:val="zh-CN"/>
        </w:rPr>
        <w:t>：</w:t>
      </w:r>
    </w:p>
    <w:p w14:paraId="4DB0FE9E">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统一社会信用代码：                       统一社会信用代码或身份证号码：</w:t>
      </w:r>
    </w:p>
    <w:p w14:paraId="7F92CA2D">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住所：                                   住所：</w:t>
      </w:r>
    </w:p>
    <w:p w14:paraId="295C7096">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法定代表人或                             法定代表人或</w:t>
      </w:r>
    </w:p>
    <w:p w14:paraId="528AAB83">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 xml:space="preserve">授权代表（签字）：                       授权代表（签字）: </w:t>
      </w:r>
    </w:p>
    <w:p w14:paraId="39D3EF49">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联系人：                                 联系人：</w:t>
      </w:r>
    </w:p>
    <w:p w14:paraId="276B6B3B">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约定送达地址：                           约定送达地址：</w:t>
      </w:r>
    </w:p>
    <w:p w14:paraId="5416A01A">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邮政编码：                               邮政编码：</w:t>
      </w:r>
    </w:p>
    <w:p w14:paraId="10893D4C">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 xml:space="preserve">电话:                                    电话: </w:t>
      </w:r>
    </w:p>
    <w:p w14:paraId="13865810">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传真:                                    传真:</w:t>
      </w:r>
    </w:p>
    <w:p w14:paraId="6040C97C">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zh-CN"/>
        </w:rPr>
        <w:t>电子邮箱：                               电子邮箱：</w:t>
      </w:r>
    </w:p>
    <w:p w14:paraId="536C090B">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开户银行：                               开户银行： </w:t>
      </w:r>
    </w:p>
    <w:p w14:paraId="500AEB4B">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开户名称：                               开户名称： </w:t>
      </w:r>
    </w:p>
    <w:p w14:paraId="6839E787">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开户账号：</w:t>
      </w:r>
      <w:r>
        <w:rPr>
          <w:rFonts w:hint="eastAsia" w:ascii="仿宋" w:hAnsi="仿宋" w:eastAsia="仿宋" w:cs="仿宋"/>
          <w:color w:val="auto"/>
          <w:sz w:val="24"/>
          <w:highlight w:val="none"/>
          <w:lang w:val="zh-CN"/>
        </w:rPr>
        <w:t xml:space="preserve">                               </w:t>
      </w:r>
      <w:r>
        <w:rPr>
          <w:rFonts w:hint="eastAsia" w:ascii="仿宋" w:hAnsi="仿宋" w:eastAsia="仿宋" w:cs="仿宋"/>
          <w:color w:val="auto"/>
          <w:sz w:val="24"/>
          <w:highlight w:val="none"/>
        </w:rPr>
        <w:t>开户账号：</w:t>
      </w:r>
    </w:p>
    <w:p w14:paraId="2949B4EF">
      <w:pPr>
        <w:widowControl/>
        <w:adjustRightInd/>
        <w:jc w:val="left"/>
        <w:rPr>
          <w:rFonts w:hint="eastAsia" w:ascii="仿宋" w:hAnsi="仿宋" w:eastAsia="仿宋" w:cs="仿宋"/>
          <w:b/>
          <w:color w:val="auto"/>
          <w:sz w:val="24"/>
          <w:highlight w:val="none"/>
        </w:rPr>
      </w:pPr>
      <w:r>
        <w:rPr>
          <w:rFonts w:hint="eastAsia" w:ascii="仿宋" w:hAnsi="仿宋" w:eastAsia="仿宋" w:cs="仿宋"/>
          <w:b/>
          <w:color w:val="auto"/>
          <w:highlight w:val="none"/>
        </w:rPr>
        <w:br w:type="page"/>
      </w:r>
    </w:p>
    <w:p w14:paraId="6086E616">
      <w:pPr>
        <w:pStyle w:val="22"/>
        <w:spacing w:line="560" w:lineRule="exact"/>
        <w:ind w:firstLine="482"/>
        <w:jc w:val="center"/>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第二部分 合同一般条款</w:t>
      </w:r>
    </w:p>
    <w:p w14:paraId="0750DA3E">
      <w:pPr>
        <w:spacing w:line="560" w:lineRule="exact"/>
        <w:ind w:firstLine="482" w:firstLineChars="200"/>
        <w:outlineLvl w:val="0"/>
        <w:rPr>
          <w:rFonts w:hint="eastAsia" w:ascii="仿宋" w:hAnsi="仿宋" w:eastAsia="仿宋" w:cs="仿宋"/>
          <w:b/>
          <w:color w:val="auto"/>
          <w:sz w:val="24"/>
          <w:highlight w:val="none"/>
        </w:rPr>
      </w:pPr>
      <w:bookmarkStart w:id="94" w:name="_Toc25079"/>
      <w:bookmarkStart w:id="95" w:name="_Toc31297"/>
      <w:bookmarkStart w:id="96" w:name="_Toc5228"/>
      <w:bookmarkStart w:id="97" w:name="_Toc19680"/>
      <w:bookmarkStart w:id="98" w:name="_Toc14021"/>
      <w:r>
        <w:rPr>
          <w:rFonts w:hint="eastAsia" w:ascii="仿宋" w:hAnsi="仿宋" w:eastAsia="仿宋" w:cs="仿宋"/>
          <w:b/>
          <w:color w:val="auto"/>
          <w:sz w:val="24"/>
          <w:highlight w:val="none"/>
        </w:rPr>
        <w:t>2.1 定义</w:t>
      </w:r>
      <w:bookmarkEnd w:id="94"/>
      <w:bookmarkEnd w:id="95"/>
      <w:bookmarkEnd w:id="96"/>
      <w:bookmarkEnd w:id="97"/>
      <w:bookmarkEnd w:id="98"/>
    </w:p>
    <w:p w14:paraId="1DE731F8">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本合同中的下列词语应按以下内容进行解释：</w:t>
      </w:r>
    </w:p>
    <w:p w14:paraId="248B3D07">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 “合同”系指采购人和中标或成交供应商签订的载明双方当事人所达成的协议，并包括所有的附件、附录和构成合同的其他文件。</w:t>
      </w:r>
    </w:p>
    <w:p w14:paraId="5AB263A0">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2.1.2 “合同价”系指根据合同约定，中标或成交供应商在完全履行合同义务后，采购人应支付给中标或成交供应商的价格。</w:t>
      </w:r>
    </w:p>
    <w:p w14:paraId="67347BE0">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2.1.3 “服务”系指中标或成交供应商根据合同约定应向采购人履行的除货物和工程以外的其他政府采购对象，包括采购人自身需要的服务和向社会公众提供的公共服务。</w:t>
      </w:r>
    </w:p>
    <w:p w14:paraId="788C7DCC">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2.1.4 “甲方”系指与中标或成交供应商签署合同的采购人；采购人委托采购代理机构代表其与乙方签订合同的，采购人的授权委托书作为合同附件。</w:t>
      </w:r>
    </w:p>
    <w:p w14:paraId="5C124899">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2.1.5 “乙方”系指根据合同约定提供服务的中标或成交供应商；两个以上的自然人、法人或者其他组织组成一个联合体，以一个供应商的身份共同参加政府采购的，联合体各方均应为乙方或者与乙方相同地位的合同当事人，并就合同约定的事项对甲方承担连带责任。</w:t>
      </w:r>
    </w:p>
    <w:p w14:paraId="36AD9829">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2.1.6 “现场”系指合同约定提供服务的地点。</w:t>
      </w:r>
    </w:p>
    <w:p w14:paraId="2D880AC8">
      <w:pPr>
        <w:spacing w:line="560" w:lineRule="exact"/>
        <w:ind w:firstLine="482" w:firstLineChars="200"/>
        <w:outlineLvl w:val="0"/>
        <w:rPr>
          <w:rFonts w:hint="eastAsia" w:ascii="仿宋" w:hAnsi="仿宋" w:eastAsia="仿宋" w:cs="仿宋"/>
          <w:b/>
          <w:color w:val="auto"/>
          <w:sz w:val="24"/>
          <w:highlight w:val="none"/>
        </w:rPr>
      </w:pPr>
      <w:bookmarkStart w:id="99" w:name="_Toc3769"/>
      <w:bookmarkStart w:id="100" w:name="_Toc19539"/>
      <w:bookmarkStart w:id="101" w:name="_Toc23289"/>
      <w:bookmarkStart w:id="102" w:name="_Toc31402"/>
      <w:bookmarkStart w:id="103" w:name="_Toc16752"/>
      <w:r>
        <w:rPr>
          <w:rFonts w:hint="eastAsia" w:ascii="仿宋" w:hAnsi="仿宋" w:eastAsia="仿宋" w:cs="仿宋"/>
          <w:b/>
          <w:color w:val="auto"/>
          <w:sz w:val="24"/>
          <w:highlight w:val="none"/>
        </w:rPr>
        <w:t>2.2 技术规范</w:t>
      </w:r>
      <w:bookmarkEnd w:id="99"/>
      <w:bookmarkEnd w:id="100"/>
      <w:bookmarkEnd w:id="101"/>
      <w:bookmarkEnd w:id="102"/>
      <w:bookmarkEnd w:id="103"/>
    </w:p>
    <w:p w14:paraId="146692CE">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服务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14:paraId="29B40B5F">
      <w:pPr>
        <w:spacing w:line="560" w:lineRule="exact"/>
        <w:ind w:firstLine="482" w:firstLineChars="200"/>
        <w:outlineLvl w:val="0"/>
        <w:rPr>
          <w:rFonts w:hint="eastAsia" w:ascii="仿宋" w:hAnsi="仿宋" w:eastAsia="仿宋" w:cs="仿宋"/>
          <w:b/>
          <w:color w:val="auto"/>
          <w:sz w:val="24"/>
          <w:highlight w:val="none"/>
        </w:rPr>
      </w:pPr>
      <w:bookmarkStart w:id="104" w:name="_Toc9161"/>
      <w:bookmarkStart w:id="105" w:name="_Toc4133"/>
      <w:bookmarkStart w:id="106" w:name="_Toc27945"/>
      <w:bookmarkStart w:id="107" w:name="_Toc13673"/>
      <w:bookmarkStart w:id="108" w:name="_Toc12412"/>
      <w:r>
        <w:rPr>
          <w:rFonts w:hint="eastAsia" w:ascii="仿宋" w:hAnsi="仿宋" w:eastAsia="仿宋" w:cs="仿宋"/>
          <w:b/>
          <w:color w:val="auto"/>
          <w:sz w:val="24"/>
          <w:highlight w:val="none"/>
        </w:rPr>
        <w:t>2.3 知识产权</w:t>
      </w:r>
      <w:bookmarkEnd w:id="104"/>
      <w:bookmarkEnd w:id="105"/>
      <w:bookmarkEnd w:id="106"/>
      <w:bookmarkEnd w:id="107"/>
      <w:bookmarkEnd w:id="108"/>
    </w:p>
    <w:p w14:paraId="66D25540">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2.3.1 乙方应保证其提供的服务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14:paraId="4D241AFC">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2.3.2 合同涉及技术成果的归属和收益的分成办法的，详见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182A76DF">
      <w:pPr>
        <w:spacing w:line="56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2.4 履约检查和问题反馈</w:t>
      </w:r>
    </w:p>
    <w:p w14:paraId="512AC96A">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2.4.1甲方有权在其认为必要时，对乙方是否能够按照合同约定提供服务进行履约检查，以确保乙方所提供的服务能够依约满足甲方之项目需求，但不得因履约检查妨碍乙方的正常工作，乙方应予积极配合；</w:t>
      </w:r>
    </w:p>
    <w:p w14:paraId="01B7FD9D">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2.4.2 合同履行期间，甲方有权将履行过程中出现的问题反馈给乙方，双方当事人应以书面形式约定需要完善和改进的内容。</w:t>
      </w:r>
    </w:p>
    <w:p w14:paraId="6D3DCFA0">
      <w:pPr>
        <w:spacing w:line="560" w:lineRule="exact"/>
        <w:ind w:firstLine="482" w:firstLineChars="200"/>
        <w:outlineLvl w:val="0"/>
        <w:rPr>
          <w:rFonts w:hint="eastAsia" w:ascii="仿宋" w:hAnsi="仿宋" w:eastAsia="仿宋" w:cs="仿宋"/>
          <w:b/>
          <w:color w:val="auto"/>
          <w:sz w:val="24"/>
          <w:highlight w:val="none"/>
        </w:rPr>
      </w:pPr>
      <w:bookmarkStart w:id="109" w:name="_Toc32670"/>
      <w:bookmarkStart w:id="110" w:name="_Toc15447"/>
      <w:bookmarkStart w:id="111" w:name="_Toc26555"/>
      <w:bookmarkStart w:id="112" w:name="_Toc22011"/>
      <w:bookmarkStart w:id="113" w:name="_Toc31233"/>
      <w:r>
        <w:rPr>
          <w:rFonts w:hint="eastAsia" w:ascii="仿宋" w:hAnsi="仿宋" w:eastAsia="仿宋" w:cs="仿宋"/>
          <w:b/>
          <w:color w:val="auto"/>
          <w:sz w:val="24"/>
          <w:highlight w:val="none"/>
        </w:rPr>
        <w:t>2.5 结算方式和付款条件</w:t>
      </w:r>
      <w:bookmarkEnd w:id="109"/>
      <w:bookmarkEnd w:id="110"/>
      <w:bookmarkEnd w:id="111"/>
      <w:bookmarkEnd w:id="112"/>
      <w:bookmarkEnd w:id="113"/>
    </w:p>
    <w:p w14:paraId="7E3E23B7">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349B82BA">
      <w:pPr>
        <w:spacing w:line="560" w:lineRule="exact"/>
        <w:ind w:firstLine="482" w:firstLineChars="200"/>
        <w:outlineLvl w:val="0"/>
        <w:rPr>
          <w:rFonts w:hint="eastAsia" w:ascii="仿宋" w:hAnsi="仿宋" w:eastAsia="仿宋" w:cs="仿宋"/>
          <w:b/>
          <w:color w:val="auto"/>
          <w:sz w:val="24"/>
          <w:highlight w:val="none"/>
        </w:rPr>
      </w:pPr>
      <w:bookmarkStart w:id="114" w:name="_Toc16163"/>
      <w:bookmarkStart w:id="115" w:name="_Toc30507"/>
      <w:bookmarkStart w:id="116" w:name="_Toc13467"/>
      <w:bookmarkStart w:id="117" w:name="_Toc18990"/>
      <w:bookmarkStart w:id="118" w:name="_Toc13154"/>
      <w:r>
        <w:rPr>
          <w:rFonts w:hint="eastAsia" w:ascii="仿宋" w:hAnsi="仿宋" w:eastAsia="仿宋" w:cs="仿宋"/>
          <w:b/>
          <w:color w:val="auto"/>
          <w:sz w:val="24"/>
          <w:highlight w:val="none"/>
        </w:rPr>
        <w:t>2.6 技术资料和保密义务</w:t>
      </w:r>
      <w:bookmarkEnd w:id="114"/>
      <w:bookmarkEnd w:id="115"/>
      <w:bookmarkEnd w:id="116"/>
      <w:bookmarkEnd w:id="117"/>
      <w:bookmarkEnd w:id="118"/>
    </w:p>
    <w:p w14:paraId="336037C9">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2.6.1 乙方有权依据合同约定和项目需要，向甲方了解有关情况，调阅有关资料等，甲方应予积极配合；</w:t>
      </w:r>
    </w:p>
    <w:p w14:paraId="3367094D">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2.6.2 乙方有义务妥善保管和保护由甲方提供的前款信息和资料等；</w:t>
      </w:r>
    </w:p>
    <w:p w14:paraId="648AE393">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14:paraId="218F9FDC">
      <w:pPr>
        <w:spacing w:line="560" w:lineRule="exact"/>
        <w:ind w:firstLine="482" w:firstLineChars="200"/>
        <w:outlineLvl w:val="0"/>
        <w:rPr>
          <w:rFonts w:hint="eastAsia" w:ascii="仿宋" w:hAnsi="仿宋" w:eastAsia="仿宋" w:cs="仿宋"/>
          <w:b/>
          <w:color w:val="auto"/>
          <w:sz w:val="24"/>
          <w:highlight w:val="none"/>
        </w:rPr>
      </w:pPr>
      <w:bookmarkStart w:id="119" w:name="_Toc19069"/>
      <w:r>
        <w:rPr>
          <w:rFonts w:hint="eastAsia" w:ascii="仿宋" w:hAnsi="仿宋" w:eastAsia="仿宋" w:cs="仿宋"/>
          <w:b/>
          <w:color w:val="auto"/>
          <w:sz w:val="24"/>
          <w:highlight w:val="none"/>
        </w:rPr>
        <w:t>2.7 质量保证</w:t>
      </w:r>
      <w:bookmarkEnd w:id="119"/>
    </w:p>
    <w:p w14:paraId="5374F502">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2.7.1 乙方应建立和完善履行合同的内部质量保证体系，并提供相关内部规章制度给甲方，以便甲方进行监督检查；</w:t>
      </w:r>
    </w:p>
    <w:p w14:paraId="4D7A3750">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2.7.2 乙方应保证履行合同的人员数量和素质、软件和硬件设备的配置、场地、环境和设施等满足全面履行合同的要求，并应接受甲方的监督检查。</w:t>
      </w:r>
    </w:p>
    <w:p w14:paraId="55FCCE72">
      <w:pPr>
        <w:spacing w:line="560" w:lineRule="exact"/>
        <w:ind w:firstLine="482" w:firstLineChars="200"/>
        <w:outlineLvl w:val="0"/>
        <w:rPr>
          <w:rFonts w:hint="eastAsia" w:ascii="仿宋" w:hAnsi="仿宋" w:eastAsia="仿宋" w:cs="仿宋"/>
          <w:b/>
          <w:color w:val="auto"/>
          <w:sz w:val="24"/>
          <w:highlight w:val="none"/>
        </w:rPr>
      </w:pPr>
      <w:bookmarkStart w:id="120" w:name="_Toc22267"/>
      <w:r>
        <w:rPr>
          <w:rFonts w:hint="eastAsia" w:ascii="仿宋" w:hAnsi="仿宋" w:eastAsia="仿宋" w:cs="仿宋"/>
          <w:b/>
          <w:color w:val="auto"/>
          <w:sz w:val="24"/>
          <w:highlight w:val="none"/>
        </w:rPr>
        <w:t>2.8 延迟履行</w:t>
      </w:r>
      <w:bookmarkEnd w:id="120"/>
    </w:p>
    <w:p w14:paraId="198F0533">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甲乙双方签订合同后，乙方应按照合同约定履行合同义务，除不可抗力外，乙方不得延迟履行。在合同履行过程中，如果因不可抗力，乙方遇到不能按时提供服务的情况，应及时以书面形式将不能按时提供服务的理由、预期延误时间通知甲方；甲方收到乙方通知后，认为其理由正当的，可以书面形式酌情同意乙方可以延长履行的具体时间。</w:t>
      </w:r>
    </w:p>
    <w:p w14:paraId="4D716126">
      <w:pPr>
        <w:spacing w:line="560" w:lineRule="exact"/>
        <w:ind w:firstLine="482" w:firstLineChars="200"/>
        <w:outlineLvl w:val="0"/>
        <w:rPr>
          <w:rFonts w:hint="eastAsia" w:ascii="仿宋" w:hAnsi="仿宋" w:eastAsia="仿宋" w:cs="仿宋"/>
          <w:b/>
          <w:color w:val="auto"/>
          <w:sz w:val="24"/>
          <w:highlight w:val="none"/>
        </w:rPr>
      </w:pPr>
      <w:bookmarkStart w:id="121" w:name="_Toc10611"/>
      <w:r>
        <w:rPr>
          <w:rFonts w:hint="eastAsia" w:ascii="仿宋" w:hAnsi="仿宋" w:eastAsia="仿宋" w:cs="仿宋"/>
          <w:b/>
          <w:color w:val="auto"/>
          <w:sz w:val="24"/>
          <w:highlight w:val="none"/>
        </w:rPr>
        <w:t>2.9 合同变更</w:t>
      </w:r>
      <w:bookmarkEnd w:id="121"/>
    </w:p>
    <w:p w14:paraId="3C8CF873">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合同继续履行将损害国家利益和社会公共利益的，双方当事人应当以书面形式变更合同。有过错的一方应当承担赔偿责任，双方当事人都有过错的，各自承担相应的责任。</w:t>
      </w:r>
    </w:p>
    <w:p w14:paraId="7E801015">
      <w:pPr>
        <w:spacing w:line="560" w:lineRule="exact"/>
        <w:ind w:firstLine="482" w:firstLineChars="200"/>
        <w:outlineLvl w:val="0"/>
        <w:rPr>
          <w:rFonts w:hint="eastAsia" w:ascii="仿宋" w:hAnsi="仿宋" w:eastAsia="仿宋" w:cs="仿宋"/>
          <w:b/>
          <w:color w:val="auto"/>
          <w:sz w:val="24"/>
          <w:highlight w:val="none"/>
        </w:rPr>
      </w:pPr>
      <w:bookmarkStart w:id="122" w:name="_Toc26689"/>
      <w:bookmarkStart w:id="123" w:name="_Toc10663"/>
      <w:bookmarkStart w:id="124" w:name="_Toc21830"/>
      <w:bookmarkStart w:id="125" w:name="_Toc42"/>
      <w:bookmarkStart w:id="126" w:name="_Toc23368"/>
      <w:r>
        <w:rPr>
          <w:rFonts w:hint="eastAsia" w:ascii="仿宋" w:hAnsi="仿宋" w:eastAsia="仿宋" w:cs="仿宋"/>
          <w:b/>
          <w:color w:val="auto"/>
          <w:sz w:val="24"/>
          <w:highlight w:val="none"/>
        </w:rPr>
        <w:t>2.10 合同转让和分包</w:t>
      </w:r>
      <w:bookmarkEnd w:id="122"/>
      <w:bookmarkEnd w:id="123"/>
      <w:bookmarkEnd w:id="124"/>
      <w:bookmarkEnd w:id="125"/>
      <w:bookmarkEnd w:id="126"/>
    </w:p>
    <w:p w14:paraId="5C6BD5E4">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14:paraId="77B75B18">
      <w:pPr>
        <w:spacing w:line="560" w:lineRule="exact"/>
        <w:ind w:firstLine="482" w:firstLineChars="200"/>
        <w:outlineLvl w:val="0"/>
        <w:rPr>
          <w:rFonts w:hint="eastAsia" w:ascii="仿宋" w:hAnsi="仿宋" w:eastAsia="仿宋" w:cs="仿宋"/>
          <w:b/>
          <w:color w:val="auto"/>
          <w:sz w:val="24"/>
          <w:highlight w:val="none"/>
        </w:rPr>
      </w:pPr>
      <w:bookmarkStart w:id="127" w:name="_Toc26633"/>
      <w:bookmarkStart w:id="128" w:name="_Toc14371"/>
      <w:bookmarkStart w:id="129" w:name="_Toc25571"/>
      <w:bookmarkStart w:id="130" w:name="_Toc32494"/>
      <w:bookmarkStart w:id="131" w:name="_Toc4720"/>
      <w:r>
        <w:rPr>
          <w:rFonts w:hint="eastAsia" w:ascii="仿宋" w:hAnsi="仿宋" w:eastAsia="仿宋" w:cs="仿宋"/>
          <w:b/>
          <w:color w:val="auto"/>
          <w:sz w:val="24"/>
          <w:highlight w:val="none"/>
        </w:rPr>
        <w:t>2.11 不可抗力</w:t>
      </w:r>
      <w:bookmarkEnd w:id="127"/>
      <w:bookmarkEnd w:id="128"/>
      <w:bookmarkEnd w:id="129"/>
      <w:bookmarkEnd w:id="130"/>
      <w:bookmarkEnd w:id="131"/>
    </w:p>
    <w:p w14:paraId="71C7271D">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2.11.1如果任何一方遭遇法律规定的不可抗力，致使合同履行受阻时，履行合同的期限应予延长，延长的期限应相当于不可抗力所影响的时间；</w:t>
      </w:r>
    </w:p>
    <w:p w14:paraId="413890D8">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2.11.2 因不可抗力致使不能实现合同目的的，当事人可以解除合同；</w:t>
      </w:r>
    </w:p>
    <w:p w14:paraId="250E462D">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2.11.3 因不可抗力致使合同有变更必要的，双方当事人应在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约定时间内以书面形式变更合同；</w:t>
      </w:r>
    </w:p>
    <w:p w14:paraId="7F8AF367">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2.11.4受不可抗力影响的一方在不可抗力发生后，应在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约定时间内以书面形式通知对方当事人，并在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约定时间内，将有关部门出具的证明文件送达对方当事人。</w:t>
      </w:r>
    </w:p>
    <w:p w14:paraId="01643C45">
      <w:pPr>
        <w:spacing w:line="560" w:lineRule="exact"/>
        <w:ind w:firstLine="482" w:firstLineChars="200"/>
        <w:outlineLvl w:val="0"/>
        <w:rPr>
          <w:rFonts w:hint="eastAsia" w:ascii="仿宋" w:hAnsi="仿宋" w:eastAsia="仿宋" w:cs="仿宋"/>
          <w:b/>
          <w:color w:val="auto"/>
          <w:sz w:val="24"/>
          <w:highlight w:val="none"/>
        </w:rPr>
      </w:pPr>
      <w:bookmarkStart w:id="132" w:name="_Toc3638"/>
      <w:bookmarkStart w:id="133" w:name="_Toc14115"/>
      <w:bookmarkStart w:id="134" w:name="_Toc25783"/>
      <w:bookmarkStart w:id="135" w:name="_Toc23854"/>
      <w:bookmarkStart w:id="136" w:name="_Toc24465"/>
      <w:r>
        <w:rPr>
          <w:rFonts w:hint="eastAsia" w:ascii="仿宋" w:hAnsi="仿宋" w:eastAsia="仿宋" w:cs="仿宋"/>
          <w:b/>
          <w:color w:val="auto"/>
          <w:sz w:val="24"/>
          <w:highlight w:val="none"/>
        </w:rPr>
        <w:t>2.12 税费</w:t>
      </w:r>
      <w:bookmarkEnd w:id="132"/>
      <w:bookmarkEnd w:id="133"/>
      <w:bookmarkEnd w:id="134"/>
      <w:bookmarkEnd w:id="135"/>
      <w:bookmarkEnd w:id="136"/>
    </w:p>
    <w:p w14:paraId="3E6D2FDC">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与合同有关的一切税费，均按照中华人民共和国法律的相关规定缴纳。</w:t>
      </w:r>
    </w:p>
    <w:p w14:paraId="73961DAD">
      <w:pPr>
        <w:spacing w:line="560" w:lineRule="exact"/>
        <w:ind w:firstLine="482" w:firstLineChars="200"/>
        <w:outlineLvl w:val="0"/>
        <w:rPr>
          <w:rFonts w:hint="eastAsia" w:ascii="仿宋" w:hAnsi="仿宋" w:eastAsia="仿宋" w:cs="仿宋"/>
          <w:b/>
          <w:color w:val="auto"/>
          <w:sz w:val="24"/>
          <w:highlight w:val="none"/>
        </w:rPr>
      </w:pPr>
      <w:bookmarkStart w:id="137" w:name="_Toc7315"/>
      <w:bookmarkStart w:id="138" w:name="_Toc25525"/>
      <w:bookmarkStart w:id="139" w:name="_Toc30105"/>
      <w:bookmarkStart w:id="140" w:name="_Toc26883"/>
      <w:bookmarkStart w:id="141" w:name="_Toc14814"/>
      <w:r>
        <w:rPr>
          <w:rFonts w:hint="eastAsia" w:ascii="仿宋" w:hAnsi="仿宋" w:eastAsia="仿宋" w:cs="仿宋"/>
          <w:b/>
          <w:color w:val="auto"/>
          <w:sz w:val="24"/>
          <w:highlight w:val="none"/>
        </w:rPr>
        <w:t>2.13 乙方破产</w:t>
      </w:r>
      <w:bookmarkEnd w:id="137"/>
      <w:bookmarkEnd w:id="138"/>
      <w:bookmarkEnd w:id="139"/>
      <w:bookmarkEnd w:id="140"/>
      <w:bookmarkEnd w:id="141"/>
    </w:p>
    <w:p w14:paraId="3600D9B4">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7921253F">
      <w:pPr>
        <w:spacing w:line="560" w:lineRule="exact"/>
        <w:ind w:firstLine="482" w:firstLineChars="200"/>
        <w:outlineLvl w:val="0"/>
        <w:rPr>
          <w:rFonts w:hint="eastAsia" w:ascii="仿宋" w:hAnsi="仿宋" w:eastAsia="仿宋" w:cs="仿宋"/>
          <w:b/>
          <w:color w:val="auto"/>
          <w:sz w:val="24"/>
          <w:highlight w:val="none"/>
        </w:rPr>
      </w:pPr>
      <w:bookmarkStart w:id="142" w:name="_Toc2016"/>
      <w:bookmarkStart w:id="143" w:name="_Toc23323"/>
      <w:bookmarkStart w:id="144" w:name="_Toc1123"/>
      <w:r>
        <w:rPr>
          <w:rFonts w:hint="eastAsia" w:ascii="仿宋" w:hAnsi="仿宋" w:eastAsia="仿宋" w:cs="仿宋"/>
          <w:b/>
          <w:color w:val="auto"/>
          <w:sz w:val="24"/>
          <w:highlight w:val="none"/>
        </w:rPr>
        <w:t>2.14 合同中止、终止</w:t>
      </w:r>
      <w:bookmarkEnd w:id="142"/>
      <w:bookmarkEnd w:id="143"/>
      <w:bookmarkEnd w:id="144"/>
    </w:p>
    <w:p w14:paraId="53EBD42F">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2.14.1 双方当事人不得擅自中止或者终止合同；</w:t>
      </w:r>
    </w:p>
    <w:p w14:paraId="6B8E8298">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2.14.2合同继续履行将损害国家利益和社会公共利益的，双方当事人应当中止或者终止合同。有过错的一方应当承担赔偿责任，双方当事人都有过错的，各自承担相应的责任。</w:t>
      </w:r>
    </w:p>
    <w:p w14:paraId="65EAC379">
      <w:pPr>
        <w:spacing w:line="560" w:lineRule="exact"/>
        <w:ind w:firstLine="482" w:firstLineChars="200"/>
        <w:outlineLvl w:val="0"/>
        <w:rPr>
          <w:rFonts w:hint="eastAsia" w:ascii="仿宋" w:hAnsi="仿宋" w:eastAsia="仿宋" w:cs="仿宋"/>
          <w:b/>
          <w:color w:val="auto"/>
          <w:sz w:val="24"/>
          <w:highlight w:val="none"/>
        </w:rPr>
      </w:pPr>
      <w:bookmarkStart w:id="145" w:name="_Toc1969"/>
      <w:bookmarkStart w:id="146" w:name="_Toc17363"/>
      <w:bookmarkStart w:id="147" w:name="_Toc14525"/>
      <w:r>
        <w:rPr>
          <w:rFonts w:hint="eastAsia" w:ascii="仿宋" w:hAnsi="仿宋" w:eastAsia="仿宋" w:cs="仿宋"/>
          <w:b/>
          <w:color w:val="auto"/>
          <w:sz w:val="24"/>
          <w:highlight w:val="none"/>
        </w:rPr>
        <w:t>2.15 检验和验收</w:t>
      </w:r>
      <w:bookmarkEnd w:id="145"/>
      <w:bookmarkEnd w:id="146"/>
      <w:bookmarkEnd w:id="147"/>
    </w:p>
    <w:p w14:paraId="0A6E82EB">
      <w:pPr>
        <w:tabs>
          <w:tab w:val="left" w:pos="360"/>
          <w:tab w:val="left" w:pos="540"/>
          <w:tab w:val="left" w:pos="1080"/>
        </w:tabs>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2.15.1 乙方按照</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的约定，定期提交服务报告，甲方按照</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的约定进行定期验收；</w:t>
      </w:r>
    </w:p>
    <w:p w14:paraId="2942CF8E">
      <w:pPr>
        <w:tabs>
          <w:tab w:val="left" w:pos="360"/>
          <w:tab w:val="left" w:pos="540"/>
          <w:tab w:val="left" w:pos="1080"/>
        </w:tabs>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2.15.2 合同期满或者履行完毕后，甲方有权组织（包括依法邀请国家认可的质量检测机构参加）对乙方履约的验收，即：按照合同约定的标准，组织对乙方履约情况的验收，并出具验收书；向社会公众提供的公共服务项目，验收时应当邀请服务对象参与并出具意见，验收结果应当向社会公告；</w:t>
      </w:r>
    </w:p>
    <w:p w14:paraId="210750F6">
      <w:pPr>
        <w:tabs>
          <w:tab w:val="left" w:pos="360"/>
          <w:tab w:val="left" w:pos="540"/>
          <w:tab w:val="left" w:pos="1080"/>
        </w:tabs>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2.15.3 检验和验收标准、程序等具体内容以及前述验收书的效力详见</w:t>
      </w:r>
      <w:r>
        <w:rPr>
          <w:rFonts w:hint="eastAsia" w:ascii="仿宋" w:hAnsi="仿宋" w:eastAsia="仿宋" w:cs="仿宋"/>
          <w:b/>
          <w:i/>
          <w:color w:val="auto"/>
          <w:sz w:val="24"/>
          <w:highlight w:val="none"/>
          <w:u w:val="single"/>
        </w:rPr>
        <w:t>合同专用条款</w:t>
      </w:r>
      <w:r>
        <w:rPr>
          <w:rFonts w:hint="eastAsia" w:ascii="仿宋" w:hAnsi="仿宋" w:eastAsia="仿宋" w:cs="仿宋"/>
          <w:i/>
          <w:color w:val="auto"/>
          <w:sz w:val="24"/>
          <w:highlight w:val="none"/>
        </w:rPr>
        <w:t>。</w:t>
      </w:r>
    </w:p>
    <w:p w14:paraId="123CEA1A">
      <w:pPr>
        <w:spacing w:line="560" w:lineRule="exact"/>
        <w:ind w:firstLine="482" w:firstLineChars="200"/>
        <w:outlineLvl w:val="0"/>
        <w:rPr>
          <w:rFonts w:hint="eastAsia" w:ascii="仿宋" w:hAnsi="仿宋" w:eastAsia="仿宋" w:cs="仿宋"/>
          <w:b/>
          <w:color w:val="auto"/>
          <w:sz w:val="24"/>
          <w:highlight w:val="none"/>
        </w:rPr>
      </w:pPr>
      <w:bookmarkStart w:id="148" w:name="_Toc9808"/>
      <w:bookmarkStart w:id="149" w:name="_Toc25198"/>
      <w:bookmarkStart w:id="150" w:name="_Toc12666"/>
      <w:bookmarkStart w:id="151" w:name="_Toc2308"/>
      <w:bookmarkStart w:id="152" w:name="_Toc31892"/>
      <w:r>
        <w:rPr>
          <w:rFonts w:hint="eastAsia" w:ascii="仿宋" w:hAnsi="仿宋" w:eastAsia="仿宋" w:cs="仿宋"/>
          <w:b/>
          <w:color w:val="auto"/>
          <w:sz w:val="24"/>
          <w:highlight w:val="none"/>
        </w:rPr>
        <w:t>2.16 通知和送达</w:t>
      </w:r>
      <w:bookmarkEnd w:id="148"/>
      <w:bookmarkEnd w:id="149"/>
      <w:bookmarkEnd w:id="150"/>
      <w:bookmarkEnd w:id="151"/>
      <w:bookmarkEnd w:id="152"/>
    </w:p>
    <w:p w14:paraId="3BF7C0D0">
      <w:pPr>
        <w:spacing w:line="560" w:lineRule="exact"/>
        <w:ind w:firstLine="480" w:firstLineChars="200"/>
        <w:rPr>
          <w:rFonts w:hint="eastAsia" w:ascii="仿宋" w:hAnsi="仿宋" w:eastAsia="仿宋" w:cs="仿宋"/>
          <w:color w:val="auto"/>
          <w:sz w:val="24"/>
          <w:highlight w:val="none"/>
        </w:rPr>
      </w:pPr>
      <w:bookmarkStart w:id="153" w:name="_Toc18401"/>
      <w:bookmarkStart w:id="154" w:name="_Toc27674"/>
      <w:r>
        <w:rPr>
          <w:rFonts w:hint="eastAsia" w:ascii="仿宋" w:hAnsi="仿宋" w:eastAsia="仿宋" w:cs="仿宋"/>
          <w:color w:val="auto"/>
          <w:sz w:val="24"/>
          <w:highlight w:val="none"/>
        </w:rPr>
        <w:t>2.1</w:t>
      </w:r>
      <w:r>
        <w:rPr>
          <w:rFonts w:hint="default" w:ascii="仿宋" w:hAnsi="仿宋" w:eastAsia="仿宋" w:cs="仿宋"/>
          <w:color w:val="auto"/>
          <w:sz w:val="24"/>
          <w:highlight w:val="none"/>
          <w:lang w:val="en-US"/>
        </w:rPr>
        <w:t>6</w:t>
      </w:r>
      <w:r>
        <w:rPr>
          <w:rFonts w:hint="eastAsia" w:ascii="仿宋" w:hAnsi="仿宋" w:eastAsia="仿宋" w:cs="仿宋"/>
          <w:color w:val="auto"/>
          <w:sz w:val="24"/>
          <w:highlight w:val="none"/>
        </w:rPr>
        <w:t xml:space="preserve">.1任何一方因履行合同而以合同第一部分尾部所列明的传真或电子邮件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发出的所有通知、文件、材料，均视为已向对方当事人送达；任何一方变更上述送达方式或者地址的，应于</w:t>
      </w:r>
      <w:r>
        <w:rPr>
          <w:rFonts w:hint="eastAsia" w:ascii="仿宋" w:hAnsi="仿宋" w:eastAsia="仿宋" w:cs="仿宋"/>
          <w:color w:val="auto"/>
          <w:sz w:val="24"/>
          <w:highlight w:val="none"/>
          <w:u w:val="single"/>
        </w:rPr>
        <w:t>3</w:t>
      </w:r>
      <w:r>
        <w:rPr>
          <w:rFonts w:hint="eastAsia" w:ascii="仿宋" w:hAnsi="仿宋" w:eastAsia="仿宋" w:cs="仿宋"/>
          <w:color w:val="auto"/>
          <w:sz w:val="24"/>
          <w:highlight w:val="none"/>
        </w:rPr>
        <w:t>个工作日内书面通知对方当事人，在对方当事人收到有关变更通知之前，变更前的约定送达方式或者地址仍视为有效。</w:t>
      </w:r>
    </w:p>
    <w:p w14:paraId="66A1385B">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w:t>
      </w:r>
      <w:r>
        <w:rPr>
          <w:rFonts w:hint="default" w:ascii="仿宋" w:hAnsi="仿宋" w:eastAsia="仿宋" w:cs="仿宋"/>
          <w:color w:val="auto"/>
          <w:sz w:val="24"/>
          <w:highlight w:val="none"/>
          <w:lang w:val="en-US"/>
        </w:rPr>
        <w:t>6</w:t>
      </w:r>
      <w:r>
        <w:rPr>
          <w:rFonts w:hint="eastAsia" w:ascii="仿宋" w:hAnsi="仿宋" w:eastAsia="仿宋" w:cs="仿宋"/>
          <w:color w:val="auto"/>
          <w:sz w:val="24"/>
          <w:highlight w:val="none"/>
        </w:rPr>
        <w:t>.2以当面交付方式送达的，交付之时视为送达；以电子邮件方式送达的，发出电子邮件之时视为送达；以传真方式送达的，发出传真之时视为送达；以邮寄方式送达的，邮件挂号寄出或者交邮之日之次日视为送达。</w:t>
      </w:r>
      <w:bookmarkEnd w:id="153"/>
      <w:bookmarkEnd w:id="154"/>
    </w:p>
    <w:p w14:paraId="441831B9">
      <w:pPr>
        <w:spacing w:line="560" w:lineRule="exact"/>
        <w:ind w:firstLine="482" w:firstLineChars="200"/>
        <w:outlineLvl w:val="0"/>
        <w:rPr>
          <w:rFonts w:hint="eastAsia" w:ascii="仿宋" w:hAnsi="仿宋" w:eastAsia="仿宋" w:cs="仿宋"/>
          <w:b/>
          <w:color w:val="auto"/>
          <w:sz w:val="24"/>
          <w:highlight w:val="none"/>
        </w:rPr>
      </w:pPr>
      <w:bookmarkStart w:id="155" w:name="_Toc5063"/>
      <w:bookmarkStart w:id="156" w:name="_Toc12254"/>
      <w:bookmarkStart w:id="157" w:name="_Toc28906"/>
      <w:bookmarkStart w:id="158" w:name="_Toc20808"/>
      <w:bookmarkStart w:id="159" w:name="_Toc27644"/>
      <w:r>
        <w:rPr>
          <w:rFonts w:hint="eastAsia" w:ascii="仿宋" w:hAnsi="仿宋" w:eastAsia="仿宋" w:cs="仿宋"/>
          <w:b/>
          <w:color w:val="auto"/>
          <w:sz w:val="24"/>
          <w:highlight w:val="none"/>
        </w:rPr>
        <w:t>2.17 合同使用的文字和适用的法律</w:t>
      </w:r>
      <w:bookmarkEnd w:id="155"/>
      <w:bookmarkEnd w:id="156"/>
      <w:bookmarkEnd w:id="157"/>
      <w:bookmarkEnd w:id="158"/>
      <w:bookmarkEnd w:id="159"/>
    </w:p>
    <w:p w14:paraId="23871B90">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2.17.1 合同使用汉语书就、变更和解释；</w:t>
      </w:r>
    </w:p>
    <w:p w14:paraId="6090599B">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2.17.2 合同适用中华人民共和国法律。</w:t>
      </w:r>
    </w:p>
    <w:p w14:paraId="2F746D33">
      <w:pPr>
        <w:spacing w:line="560" w:lineRule="exact"/>
        <w:ind w:firstLine="482" w:firstLineChars="200"/>
        <w:outlineLvl w:val="0"/>
        <w:rPr>
          <w:rFonts w:hint="eastAsia" w:ascii="仿宋" w:hAnsi="仿宋" w:eastAsia="仿宋" w:cs="仿宋"/>
          <w:b/>
          <w:color w:val="auto"/>
          <w:sz w:val="24"/>
          <w:highlight w:val="none"/>
        </w:rPr>
      </w:pPr>
      <w:bookmarkStart w:id="160" w:name="_Toc18540"/>
      <w:bookmarkStart w:id="161" w:name="_Toc4355"/>
      <w:bookmarkStart w:id="162" w:name="_Toc30599"/>
      <w:r>
        <w:rPr>
          <w:rFonts w:hint="eastAsia" w:ascii="仿宋" w:hAnsi="仿宋" w:eastAsia="仿宋" w:cs="仿宋"/>
          <w:b/>
          <w:color w:val="auto"/>
          <w:sz w:val="24"/>
          <w:highlight w:val="none"/>
        </w:rPr>
        <w:t>2.18 计量单位</w:t>
      </w:r>
      <w:bookmarkEnd w:id="160"/>
      <w:bookmarkEnd w:id="161"/>
      <w:bookmarkEnd w:id="162"/>
    </w:p>
    <w:p w14:paraId="75510631">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除技术规范中另有规定外,合同的计量单位均使用国家法定计量单位。</w:t>
      </w:r>
    </w:p>
    <w:p w14:paraId="017629FD">
      <w:pPr>
        <w:spacing w:line="560" w:lineRule="exact"/>
        <w:ind w:firstLine="482" w:firstLineChars="200"/>
        <w:outlineLvl w:val="0"/>
        <w:rPr>
          <w:rFonts w:hint="eastAsia" w:ascii="仿宋" w:hAnsi="仿宋" w:eastAsia="仿宋" w:cs="仿宋"/>
          <w:b/>
          <w:color w:val="auto"/>
          <w:sz w:val="24"/>
          <w:highlight w:val="none"/>
        </w:rPr>
      </w:pPr>
      <w:bookmarkStart w:id="163" w:name="_Toc12773"/>
      <w:bookmarkStart w:id="164" w:name="_Toc10330"/>
      <w:bookmarkStart w:id="165" w:name="_Toc487900373"/>
      <w:bookmarkStart w:id="166" w:name="_Toc259093692"/>
      <w:bookmarkStart w:id="167" w:name="_Toc18567"/>
      <w:bookmarkStart w:id="168" w:name="_Toc279701263"/>
      <w:r>
        <w:rPr>
          <w:rFonts w:hint="eastAsia" w:ascii="仿宋" w:hAnsi="仿宋" w:eastAsia="仿宋" w:cs="仿宋"/>
          <w:b/>
          <w:color w:val="auto"/>
          <w:sz w:val="24"/>
          <w:highlight w:val="none"/>
        </w:rPr>
        <w:t>2.19 合同使用的文字和适用的法律</w:t>
      </w:r>
      <w:bookmarkEnd w:id="163"/>
      <w:bookmarkEnd w:id="164"/>
      <w:bookmarkEnd w:id="165"/>
      <w:bookmarkEnd w:id="166"/>
      <w:bookmarkEnd w:id="167"/>
      <w:bookmarkEnd w:id="168"/>
    </w:p>
    <w:p w14:paraId="2DFD1034">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2.19.1 合同使用汉语书就、变更和解释；</w:t>
      </w:r>
    </w:p>
    <w:p w14:paraId="447B38E3">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2.19.2 合同适用中华人民共和国法律。</w:t>
      </w:r>
    </w:p>
    <w:p w14:paraId="6DF9C576">
      <w:pPr>
        <w:spacing w:line="56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w:t>
      </w:r>
      <w:r>
        <w:rPr>
          <w:rFonts w:hint="eastAsia" w:ascii="仿宋" w:hAnsi="仿宋" w:eastAsia="仿宋" w:cs="仿宋"/>
          <w:b/>
          <w:color w:val="auto"/>
          <w:sz w:val="24"/>
          <w:highlight w:val="none"/>
          <w:lang w:val="en-US" w:eastAsia="zh-CN"/>
        </w:rPr>
        <w:t>20</w:t>
      </w:r>
      <w:r>
        <w:rPr>
          <w:rFonts w:hint="eastAsia" w:ascii="仿宋" w:hAnsi="仿宋" w:eastAsia="仿宋" w:cs="仿宋"/>
          <w:b/>
          <w:color w:val="auto"/>
          <w:sz w:val="24"/>
          <w:highlight w:val="none"/>
        </w:rPr>
        <w:t>合同份数</w:t>
      </w:r>
    </w:p>
    <w:p w14:paraId="5EFD5E06">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合同份数按</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规定，每份均具有同等法律效力。</w:t>
      </w:r>
    </w:p>
    <w:p w14:paraId="4D761327">
      <w:pPr>
        <w:keepNext w:val="0"/>
        <w:keepLines w:val="0"/>
        <w:pageBreakBefore w:val="0"/>
        <w:widowControl w:val="0"/>
        <w:kinsoku/>
        <w:wordWrap/>
        <w:overflowPunct/>
        <w:topLinePunct w:val="0"/>
        <w:autoSpaceDE/>
        <w:autoSpaceDN/>
        <w:bidi w:val="0"/>
        <w:adjustRightInd w:val="0"/>
        <w:snapToGrid/>
        <w:spacing w:line="440" w:lineRule="atLeast"/>
        <w:ind w:firstLine="420" w:firstLineChars="200"/>
        <w:jc w:val="center"/>
        <w:textAlignment w:val="auto"/>
        <w:outlineLvl w:val="0"/>
        <w:rPr>
          <w:rFonts w:hint="eastAsia" w:ascii="仿宋" w:hAnsi="仿宋" w:eastAsia="仿宋" w:cs="仿宋"/>
          <w:b/>
          <w:color w:val="auto"/>
          <w:sz w:val="24"/>
          <w:highlight w:val="none"/>
        </w:rPr>
      </w:pPr>
      <w:r>
        <w:rPr>
          <w:rFonts w:hint="eastAsia" w:ascii="仿宋" w:hAnsi="仿宋" w:eastAsia="仿宋" w:cs="仿宋"/>
          <w:color w:val="auto"/>
          <w:kern w:val="0"/>
          <w:highlight w:val="none"/>
        </w:rPr>
        <w:br w:type="page"/>
      </w:r>
      <w:bookmarkStart w:id="169" w:name="_Toc331685784"/>
      <w:r>
        <w:rPr>
          <w:rFonts w:hint="eastAsia" w:ascii="仿宋" w:hAnsi="仿宋" w:eastAsia="仿宋" w:cs="仿宋"/>
          <w:b/>
          <w:color w:val="auto"/>
          <w:sz w:val="24"/>
          <w:highlight w:val="none"/>
        </w:rPr>
        <w:t xml:space="preserve"> </w:t>
      </w:r>
      <w:bookmarkEnd w:id="169"/>
      <w:r>
        <w:rPr>
          <w:rFonts w:hint="eastAsia" w:ascii="仿宋" w:hAnsi="仿宋" w:eastAsia="仿宋" w:cs="仿宋"/>
          <w:b/>
          <w:color w:val="auto"/>
          <w:kern w:val="2"/>
          <w:sz w:val="24"/>
          <w:szCs w:val="24"/>
          <w:highlight w:val="none"/>
          <w:lang w:val="en-US" w:eastAsia="zh-CN" w:bidi="ar-SA"/>
        </w:rPr>
        <w:t>第三部分  合同专用条款</w:t>
      </w:r>
    </w:p>
    <w:p w14:paraId="5679047D">
      <w:pPr>
        <w:keepNext w:val="0"/>
        <w:keepLines w:val="0"/>
        <w:pageBreakBefore w:val="0"/>
        <w:widowControl w:val="0"/>
        <w:kinsoku/>
        <w:wordWrap/>
        <w:overflowPunct/>
        <w:topLinePunct w:val="0"/>
        <w:autoSpaceDE/>
        <w:autoSpaceDN/>
        <w:bidi w:val="0"/>
        <w:adjustRightInd w:val="0"/>
        <w:snapToGrid/>
        <w:spacing w:line="440" w:lineRule="atLeast"/>
        <w:ind w:left="-420" w:leftChars="-200" w:right="-420" w:rightChars="-20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sz w:val="24"/>
          <w:highlight w:val="none"/>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15"/>
        <w:tblW w:w="9126"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977"/>
        <w:gridCol w:w="8149"/>
      </w:tblGrid>
      <w:tr w14:paraId="4BC6ACF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0D98135F">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条款号</w:t>
            </w:r>
          </w:p>
        </w:tc>
        <w:tc>
          <w:tcPr>
            <w:tcW w:w="8149" w:type="dxa"/>
            <w:vAlign w:val="center"/>
          </w:tcPr>
          <w:p w14:paraId="26074EB3">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约定内容</w:t>
            </w:r>
          </w:p>
        </w:tc>
      </w:tr>
      <w:tr w14:paraId="25CEB31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11CA4EFB">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1.3.2</w:t>
            </w:r>
          </w:p>
        </w:tc>
        <w:tc>
          <w:tcPr>
            <w:tcW w:w="8149" w:type="dxa"/>
            <w:vAlign w:val="center"/>
          </w:tcPr>
          <w:p w14:paraId="13FCB745">
            <w:pPr>
              <w:spacing w:line="360" w:lineRule="auto"/>
              <w:rPr>
                <w:rFonts w:hint="eastAsia" w:ascii="仿宋" w:hAnsi="仿宋" w:eastAsia="仿宋" w:cs="仿宋"/>
                <w:color w:val="auto"/>
                <w:sz w:val="24"/>
                <w:highlight w:val="none"/>
              </w:rPr>
            </w:pPr>
          </w:p>
        </w:tc>
      </w:tr>
      <w:tr w14:paraId="60C8681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13E0FFE9">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1.4.2</w:t>
            </w:r>
          </w:p>
        </w:tc>
        <w:tc>
          <w:tcPr>
            <w:tcW w:w="8149" w:type="dxa"/>
            <w:vAlign w:val="center"/>
          </w:tcPr>
          <w:p w14:paraId="6E15FAA3">
            <w:pPr>
              <w:spacing w:line="360" w:lineRule="auto"/>
              <w:rPr>
                <w:rFonts w:hint="eastAsia" w:ascii="仿宋" w:hAnsi="仿宋" w:eastAsia="仿宋" w:cs="仿宋"/>
                <w:color w:val="auto"/>
                <w:sz w:val="24"/>
                <w:highlight w:val="none"/>
              </w:rPr>
            </w:pPr>
          </w:p>
        </w:tc>
      </w:tr>
      <w:tr w14:paraId="4BDB6F3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30270D1D">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1.5.1 </w:t>
            </w:r>
          </w:p>
        </w:tc>
        <w:tc>
          <w:tcPr>
            <w:tcW w:w="8149" w:type="dxa"/>
            <w:vAlign w:val="center"/>
          </w:tcPr>
          <w:p w14:paraId="42047A6B">
            <w:pPr>
              <w:spacing w:line="360" w:lineRule="auto"/>
              <w:rPr>
                <w:rFonts w:hint="eastAsia" w:ascii="仿宋" w:hAnsi="仿宋" w:eastAsia="仿宋" w:cs="仿宋"/>
                <w:color w:val="auto"/>
                <w:sz w:val="24"/>
                <w:highlight w:val="none"/>
              </w:rPr>
            </w:pPr>
          </w:p>
        </w:tc>
      </w:tr>
      <w:tr w14:paraId="6D613E5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6207FCCE">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1.5.2</w:t>
            </w:r>
          </w:p>
        </w:tc>
        <w:tc>
          <w:tcPr>
            <w:tcW w:w="8149" w:type="dxa"/>
            <w:vAlign w:val="center"/>
          </w:tcPr>
          <w:p w14:paraId="46071FB3">
            <w:pPr>
              <w:spacing w:line="360" w:lineRule="auto"/>
              <w:rPr>
                <w:rFonts w:hint="eastAsia" w:ascii="仿宋" w:hAnsi="仿宋" w:eastAsia="仿宋" w:cs="仿宋"/>
                <w:color w:val="auto"/>
                <w:sz w:val="24"/>
                <w:highlight w:val="none"/>
              </w:rPr>
            </w:pPr>
          </w:p>
        </w:tc>
      </w:tr>
      <w:tr w14:paraId="0BB77BC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65499FBD">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1.5.3 </w:t>
            </w:r>
          </w:p>
        </w:tc>
        <w:tc>
          <w:tcPr>
            <w:tcW w:w="8149" w:type="dxa"/>
            <w:vAlign w:val="center"/>
          </w:tcPr>
          <w:p w14:paraId="0F22CB14">
            <w:pPr>
              <w:spacing w:line="360" w:lineRule="auto"/>
              <w:rPr>
                <w:rFonts w:hint="eastAsia" w:ascii="仿宋" w:hAnsi="仿宋" w:eastAsia="仿宋" w:cs="仿宋"/>
                <w:color w:val="auto"/>
                <w:sz w:val="24"/>
                <w:highlight w:val="none"/>
              </w:rPr>
            </w:pPr>
          </w:p>
        </w:tc>
      </w:tr>
      <w:tr w14:paraId="47652CD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00674CFF">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1.6.2</w:t>
            </w:r>
          </w:p>
        </w:tc>
        <w:tc>
          <w:tcPr>
            <w:tcW w:w="8149" w:type="dxa"/>
            <w:vAlign w:val="center"/>
          </w:tcPr>
          <w:p w14:paraId="4D011AE6">
            <w:pPr>
              <w:spacing w:line="360" w:lineRule="auto"/>
              <w:rPr>
                <w:rFonts w:hint="eastAsia" w:ascii="仿宋" w:hAnsi="仿宋" w:eastAsia="仿宋" w:cs="仿宋"/>
                <w:color w:val="auto"/>
                <w:sz w:val="24"/>
                <w:highlight w:val="none"/>
              </w:rPr>
            </w:pPr>
          </w:p>
        </w:tc>
      </w:tr>
      <w:tr w14:paraId="7CB73AF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554F8527">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1.7.1</w:t>
            </w:r>
          </w:p>
        </w:tc>
        <w:tc>
          <w:tcPr>
            <w:tcW w:w="8149" w:type="dxa"/>
            <w:vAlign w:val="center"/>
          </w:tcPr>
          <w:p w14:paraId="2C86ED59">
            <w:pPr>
              <w:spacing w:line="360" w:lineRule="auto"/>
              <w:rPr>
                <w:rFonts w:hint="eastAsia" w:ascii="仿宋" w:hAnsi="仿宋" w:eastAsia="仿宋" w:cs="仿宋"/>
                <w:color w:val="auto"/>
                <w:sz w:val="24"/>
                <w:highlight w:val="none"/>
              </w:rPr>
            </w:pPr>
          </w:p>
        </w:tc>
      </w:tr>
      <w:tr w14:paraId="556DDBE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12DB8171">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1.7.2</w:t>
            </w:r>
          </w:p>
        </w:tc>
        <w:tc>
          <w:tcPr>
            <w:tcW w:w="8149" w:type="dxa"/>
            <w:vAlign w:val="center"/>
          </w:tcPr>
          <w:p w14:paraId="0D602327">
            <w:pPr>
              <w:spacing w:line="360" w:lineRule="auto"/>
              <w:rPr>
                <w:rFonts w:hint="eastAsia" w:ascii="仿宋" w:hAnsi="仿宋" w:eastAsia="仿宋" w:cs="仿宋"/>
                <w:color w:val="auto"/>
                <w:sz w:val="24"/>
                <w:highlight w:val="none"/>
              </w:rPr>
            </w:pPr>
          </w:p>
        </w:tc>
      </w:tr>
      <w:tr w14:paraId="34F3729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5C586E4B">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1.7.3</w:t>
            </w:r>
          </w:p>
        </w:tc>
        <w:tc>
          <w:tcPr>
            <w:tcW w:w="8149" w:type="dxa"/>
            <w:vAlign w:val="center"/>
          </w:tcPr>
          <w:p w14:paraId="5515D688">
            <w:pPr>
              <w:spacing w:line="360" w:lineRule="auto"/>
              <w:rPr>
                <w:rFonts w:hint="eastAsia" w:ascii="仿宋" w:hAnsi="仿宋" w:eastAsia="仿宋" w:cs="仿宋"/>
                <w:color w:val="auto"/>
                <w:sz w:val="24"/>
                <w:highlight w:val="none"/>
              </w:rPr>
            </w:pPr>
          </w:p>
        </w:tc>
      </w:tr>
      <w:tr w14:paraId="27AC5DE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685114ED">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1.7.4.1</w:t>
            </w:r>
          </w:p>
        </w:tc>
        <w:tc>
          <w:tcPr>
            <w:tcW w:w="8149" w:type="dxa"/>
            <w:vAlign w:val="center"/>
          </w:tcPr>
          <w:p w14:paraId="7EA1A4B2">
            <w:pPr>
              <w:spacing w:line="360" w:lineRule="auto"/>
              <w:rPr>
                <w:rFonts w:hint="eastAsia" w:ascii="仿宋" w:hAnsi="仿宋" w:eastAsia="仿宋" w:cs="仿宋"/>
                <w:color w:val="auto"/>
                <w:sz w:val="24"/>
                <w:highlight w:val="none"/>
              </w:rPr>
            </w:pPr>
          </w:p>
        </w:tc>
      </w:tr>
      <w:tr w14:paraId="3CC7D1E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78D4881D">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1.7.4.2</w:t>
            </w:r>
          </w:p>
        </w:tc>
        <w:tc>
          <w:tcPr>
            <w:tcW w:w="8149" w:type="dxa"/>
            <w:vAlign w:val="center"/>
          </w:tcPr>
          <w:p w14:paraId="08FF8D3C">
            <w:pPr>
              <w:spacing w:line="360" w:lineRule="auto"/>
              <w:rPr>
                <w:rFonts w:hint="eastAsia" w:ascii="仿宋" w:hAnsi="仿宋" w:eastAsia="仿宋" w:cs="仿宋"/>
                <w:color w:val="auto"/>
                <w:sz w:val="24"/>
                <w:highlight w:val="none"/>
              </w:rPr>
            </w:pPr>
          </w:p>
        </w:tc>
      </w:tr>
      <w:tr w14:paraId="47BEDEC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6CDD4895">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1.7.4.3</w:t>
            </w:r>
          </w:p>
        </w:tc>
        <w:tc>
          <w:tcPr>
            <w:tcW w:w="8149" w:type="dxa"/>
            <w:vAlign w:val="center"/>
          </w:tcPr>
          <w:p w14:paraId="40A3FE49">
            <w:pPr>
              <w:spacing w:line="360" w:lineRule="auto"/>
              <w:rPr>
                <w:rFonts w:hint="eastAsia" w:ascii="仿宋" w:hAnsi="仿宋" w:eastAsia="仿宋" w:cs="仿宋"/>
                <w:color w:val="auto"/>
                <w:sz w:val="24"/>
                <w:highlight w:val="none"/>
              </w:rPr>
            </w:pPr>
          </w:p>
        </w:tc>
      </w:tr>
      <w:tr w14:paraId="64AEA28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3B0D871D">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1.8.7</w:t>
            </w:r>
          </w:p>
        </w:tc>
        <w:tc>
          <w:tcPr>
            <w:tcW w:w="8149" w:type="dxa"/>
            <w:vAlign w:val="center"/>
          </w:tcPr>
          <w:p w14:paraId="3BD46A3F">
            <w:pPr>
              <w:spacing w:line="360" w:lineRule="auto"/>
              <w:rPr>
                <w:rFonts w:hint="eastAsia" w:ascii="仿宋" w:hAnsi="仿宋" w:eastAsia="仿宋" w:cs="仿宋"/>
                <w:color w:val="auto"/>
                <w:sz w:val="24"/>
                <w:highlight w:val="none"/>
              </w:rPr>
            </w:pPr>
          </w:p>
        </w:tc>
      </w:tr>
      <w:tr w14:paraId="464F69B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694452C0">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1.9.1</w:t>
            </w:r>
          </w:p>
        </w:tc>
        <w:tc>
          <w:tcPr>
            <w:tcW w:w="8149" w:type="dxa"/>
            <w:vAlign w:val="center"/>
          </w:tcPr>
          <w:p w14:paraId="2A8F84DB">
            <w:pPr>
              <w:spacing w:line="360" w:lineRule="auto"/>
              <w:rPr>
                <w:rFonts w:hint="eastAsia" w:ascii="仿宋" w:hAnsi="仿宋" w:eastAsia="仿宋" w:cs="仿宋"/>
                <w:color w:val="auto"/>
                <w:sz w:val="24"/>
                <w:highlight w:val="none"/>
              </w:rPr>
            </w:pPr>
          </w:p>
        </w:tc>
      </w:tr>
      <w:tr w14:paraId="15E2BA9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27CE4313">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1.9.2</w:t>
            </w:r>
          </w:p>
        </w:tc>
        <w:tc>
          <w:tcPr>
            <w:tcW w:w="8149" w:type="dxa"/>
            <w:vAlign w:val="center"/>
          </w:tcPr>
          <w:p w14:paraId="51AE45C7">
            <w:pPr>
              <w:spacing w:line="360" w:lineRule="auto"/>
              <w:rPr>
                <w:rFonts w:hint="eastAsia" w:ascii="仿宋" w:hAnsi="仿宋" w:eastAsia="仿宋" w:cs="仿宋"/>
                <w:color w:val="auto"/>
                <w:sz w:val="24"/>
                <w:highlight w:val="none"/>
              </w:rPr>
            </w:pPr>
          </w:p>
        </w:tc>
      </w:tr>
      <w:tr w14:paraId="6EF9991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42A96962">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2.3.2</w:t>
            </w:r>
          </w:p>
        </w:tc>
        <w:tc>
          <w:tcPr>
            <w:tcW w:w="8149" w:type="dxa"/>
            <w:vAlign w:val="center"/>
          </w:tcPr>
          <w:p w14:paraId="6BF31476">
            <w:pPr>
              <w:spacing w:line="360" w:lineRule="auto"/>
              <w:ind w:left="-420" w:leftChars="-200" w:right="-420" w:rightChars="-200" w:firstLine="480" w:firstLineChars="200"/>
              <w:rPr>
                <w:rFonts w:hint="eastAsia" w:ascii="仿宋" w:hAnsi="仿宋" w:eastAsia="仿宋" w:cs="仿宋"/>
                <w:color w:val="auto"/>
                <w:sz w:val="24"/>
                <w:highlight w:val="none"/>
              </w:rPr>
            </w:pPr>
          </w:p>
        </w:tc>
      </w:tr>
      <w:tr w14:paraId="2840539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18407F55">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2.5</w:t>
            </w:r>
          </w:p>
        </w:tc>
        <w:tc>
          <w:tcPr>
            <w:tcW w:w="8149" w:type="dxa"/>
            <w:vAlign w:val="center"/>
          </w:tcPr>
          <w:p w14:paraId="25B56CBA">
            <w:pPr>
              <w:spacing w:line="360" w:lineRule="auto"/>
              <w:ind w:left="-420" w:leftChars="-200" w:right="-420" w:rightChars="-200" w:firstLine="480" w:firstLineChars="200"/>
              <w:rPr>
                <w:rFonts w:hint="eastAsia" w:ascii="仿宋" w:hAnsi="仿宋" w:eastAsia="仿宋" w:cs="仿宋"/>
                <w:color w:val="auto"/>
                <w:sz w:val="24"/>
                <w:highlight w:val="none"/>
              </w:rPr>
            </w:pPr>
          </w:p>
        </w:tc>
      </w:tr>
      <w:tr w14:paraId="3D7AA0E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10CBE40F">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2.11.3</w:t>
            </w:r>
          </w:p>
        </w:tc>
        <w:tc>
          <w:tcPr>
            <w:tcW w:w="8149" w:type="dxa"/>
            <w:vAlign w:val="center"/>
          </w:tcPr>
          <w:p w14:paraId="1FA75BC4">
            <w:pPr>
              <w:spacing w:line="360" w:lineRule="auto"/>
              <w:rPr>
                <w:rFonts w:hint="eastAsia" w:ascii="仿宋" w:hAnsi="仿宋" w:eastAsia="仿宋" w:cs="仿宋"/>
                <w:color w:val="auto"/>
                <w:sz w:val="24"/>
                <w:highlight w:val="none"/>
              </w:rPr>
            </w:pPr>
          </w:p>
        </w:tc>
      </w:tr>
      <w:tr w14:paraId="21E3ADC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tcPr>
          <w:p w14:paraId="64990826">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2.11.4 </w:t>
            </w:r>
          </w:p>
        </w:tc>
        <w:tc>
          <w:tcPr>
            <w:tcW w:w="8149" w:type="dxa"/>
          </w:tcPr>
          <w:p w14:paraId="63DDA0C0">
            <w:pPr>
              <w:spacing w:line="360" w:lineRule="auto"/>
              <w:rPr>
                <w:rFonts w:hint="eastAsia" w:ascii="仿宋" w:hAnsi="仿宋" w:eastAsia="仿宋" w:cs="仿宋"/>
                <w:color w:val="auto"/>
                <w:sz w:val="24"/>
                <w:highlight w:val="none"/>
              </w:rPr>
            </w:pPr>
          </w:p>
        </w:tc>
      </w:tr>
      <w:tr w14:paraId="75C9802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1E572BE3">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2.15.1</w:t>
            </w:r>
          </w:p>
        </w:tc>
        <w:tc>
          <w:tcPr>
            <w:tcW w:w="8149" w:type="dxa"/>
            <w:vAlign w:val="center"/>
          </w:tcPr>
          <w:p w14:paraId="3F95B8A2">
            <w:pPr>
              <w:spacing w:line="360" w:lineRule="auto"/>
              <w:rPr>
                <w:rFonts w:hint="eastAsia" w:ascii="仿宋" w:hAnsi="仿宋" w:eastAsia="仿宋" w:cs="仿宋"/>
                <w:color w:val="auto"/>
                <w:sz w:val="24"/>
                <w:highlight w:val="none"/>
              </w:rPr>
            </w:pPr>
          </w:p>
        </w:tc>
      </w:tr>
      <w:tr w14:paraId="0A44FD1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2B619B6A">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2.15.3</w:t>
            </w:r>
          </w:p>
        </w:tc>
        <w:tc>
          <w:tcPr>
            <w:tcW w:w="8149" w:type="dxa"/>
            <w:vAlign w:val="center"/>
          </w:tcPr>
          <w:p w14:paraId="141F52C6">
            <w:pPr>
              <w:spacing w:line="360" w:lineRule="auto"/>
              <w:rPr>
                <w:rFonts w:hint="eastAsia" w:ascii="仿宋" w:hAnsi="仿宋" w:eastAsia="仿宋" w:cs="仿宋"/>
                <w:color w:val="auto"/>
                <w:sz w:val="24"/>
                <w:highlight w:val="none"/>
              </w:rPr>
            </w:pPr>
          </w:p>
        </w:tc>
      </w:tr>
      <w:tr w14:paraId="05047F4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tcPr>
          <w:p w14:paraId="3870427D">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2.19</w:t>
            </w:r>
          </w:p>
        </w:tc>
        <w:tc>
          <w:tcPr>
            <w:tcW w:w="8149" w:type="dxa"/>
          </w:tcPr>
          <w:p w14:paraId="4CD903FD">
            <w:pPr>
              <w:spacing w:line="360" w:lineRule="auto"/>
              <w:rPr>
                <w:rFonts w:hint="eastAsia" w:ascii="仿宋" w:hAnsi="仿宋" w:eastAsia="仿宋" w:cs="仿宋"/>
                <w:color w:val="auto"/>
                <w:sz w:val="24"/>
                <w:highlight w:val="none"/>
              </w:rPr>
            </w:pPr>
          </w:p>
        </w:tc>
      </w:tr>
    </w:tbl>
    <w:p w14:paraId="08CC6FDA">
      <w:pPr>
        <w:spacing w:line="360" w:lineRule="auto"/>
        <w:ind w:left="-420" w:leftChars="-200" w:right="-420" w:rightChars="-200" w:firstLine="480" w:firstLineChars="200"/>
        <w:rPr>
          <w:rFonts w:hint="eastAsia" w:ascii="仿宋" w:hAnsi="仿宋" w:eastAsia="仿宋" w:cs="仿宋"/>
          <w:color w:val="auto"/>
          <w:sz w:val="24"/>
          <w:highlight w:val="none"/>
        </w:rPr>
      </w:pPr>
    </w:p>
    <w:p w14:paraId="124EE3C6">
      <w:pPr>
        <w:spacing w:line="360" w:lineRule="auto"/>
        <w:ind w:left="-420" w:leftChars="-200" w:right="-420" w:rightChars="-200" w:firstLine="480" w:firstLineChars="200"/>
        <w:jc w:val="center"/>
        <w:outlineLvl w:val="0"/>
        <w:rPr>
          <w:rFonts w:hint="eastAsia" w:ascii="仿宋" w:hAnsi="仿宋" w:eastAsia="仿宋" w:cs="仿宋"/>
          <w:color w:val="auto"/>
          <w:sz w:val="24"/>
          <w:highlight w:val="none"/>
        </w:rPr>
      </w:pPr>
    </w:p>
    <w:p w14:paraId="39E47829">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14:paraId="3C336568">
      <w:pPr>
        <w:keepNext w:val="0"/>
        <w:keepLines w:val="0"/>
        <w:pageBreakBefore w:val="0"/>
        <w:widowControl w:val="0"/>
        <w:kinsoku/>
        <w:wordWrap/>
        <w:overflowPunct/>
        <w:topLinePunct w:val="0"/>
        <w:autoSpaceDE/>
        <w:autoSpaceDN/>
        <w:bidi w:val="0"/>
        <w:adjustRightInd w:val="0"/>
        <w:snapToGrid/>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1、评标方法：</w:t>
      </w:r>
    </w:p>
    <w:p w14:paraId="538B84B6">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14:paraId="62A1F0B0">
      <w:pPr>
        <w:keepNext w:val="0"/>
        <w:keepLines w:val="0"/>
        <w:pageBreakBefore w:val="0"/>
        <w:widowControl w:val="0"/>
        <w:kinsoku/>
        <w:wordWrap/>
        <w:overflowPunct/>
        <w:topLinePunct w:val="0"/>
        <w:autoSpaceDE/>
        <w:autoSpaceDN/>
        <w:bidi w:val="0"/>
        <w:adjustRightInd w:val="0"/>
        <w:snapToGrid/>
        <w:spacing w:line="440" w:lineRule="exact"/>
        <w:ind w:firstLine="482" w:firstLineChars="200"/>
        <w:jc w:val="left"/>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2.评分标准：</w:t>
      </w:r>
      <w:r>
        <w:rPr>
          <w:rFonts w:hint="eastAsia" w:ascii="仿宋" w:hAnsi="仿宋" w:eastAsia="仿宋" w:cs="仿宋"/>
          <w:color w:val="auto"/>
          <w:sz w:val="24"/>
          <w:highlight w:val="none"/>
        </w:rPr>
        <w:t>共100分，其中商务技术分</w:t>
      </w:r>
      <w:r>
        <w:rPr>
          <w:rFonts w:hint="eastAsia" w:ascii="仿宋" w:hAnsi="仿宋" w:eastAsia="仿宋" w:cs="仿宋"/>
          <w:color w:val="auto"/>
          <w:sz w:val="24"/>
          <w:highlight w:val="none"/>
          <w:u w:val="single"/>
          <w:lang w:val="en-US" w:eastAsia="zh-CN"/>
        </w:rPr>
        <w:t xml:space="preserve"> 90  </w:t>
      </w:r>
      <w:r>
        <w:rPr>
          <w:rFonts w:hint="eastAsia" w:ascii="仿宋" w:hAnsi="仿宋" w:eastAsia="仿宋" w:cs="仿宋"/>
          <w:color w:val="auto"/>
          <w:sz w:val="24"/>
          <w:highlight w:val="none"/>
        </w:rPr>
        <w:t>分，价格分</w:t>
      </w:r>
      <w:r>
        <w:rPr>
          <w:rFonts w:hint="eastAsia" w:ascii="仿宋" w:hAnsi="仿宋" w:eastAsia="仿宋" w:cs="仿宋"/>
          <w:color w:val="auto"/>
          <w:sz w:val="24"/>
          <w:highlight w:val="none"/>
          <w:u w:val="single"/>
          <w:lang w:val="en-US" w:eastAsia="zh-CN"/>
        </w:rPr>
        <w:t xml:space="preserve"> 10  </w:t>
      </w:r>
      <w:r>
        <w:rPr>
          <w:rFonts w:hint="eastAsia" w:ascii="仿宋" w:hAnsi="仿宋" w:eastAsia="仿宋" w:cs="仿宋"/>
          <w:color w:val="auto"/>
          <w:sz w:val="24"/>
          <w:highlight w:val="none"/>
        </w:rPr>
        <w:t>分。评分依下述所列为评标打分依据，分值如下（计算分值时，按其算术平均值保留小数2位）。</w:t>
      </w:r>
    </w:p>
    <w:p w14:paraId="2C7874CA">
      <w:pPr>
        <w:keepNext w:val="0"/>
        <w:keepLines w:val="0"/>
        <w:pageBreakBefore w:val="0"/>
        <w:widowControl w:val="0"/>
        <w:kinsoku/>
        <w:wordWrap/>
        <w:overflowPunct/>
        <w:topLinePunct w:val="0"/>
        <w:autoSpaceDE/>
        <w:autoSpaceDN/>
        <w:bidi w:val="0"/>
        <w:adjustRightInd w:val="0"/>
        <w:snapToGrid/>
        <w:spacing w:line="440" w:lineRule="exact"/>
        <w:ind w:firstLine="482" w:firstLineChars="200"/>
        <w:textAlignment w:val="auto"/>
        <w:rPr>
          <w:rFonts w:hint="eastAsia" w:ascii="仿宋" w:hAnsi="仿宋" w:eastAsia="仿宋" w:cs="仿宋"/>
          <w:b/>
          <w:color w:val="auto"/>
          <w:sz w:val="32"/>
          <w:szCs w:val="20"/>
          <w:highlight w:val="none"/>
        </w:rPr>
      </w:pPr>
      <w:r>
        <w:rPr>
          <w:rFonts w:hint="eastAsia" w:ascii="仿宋" w:hAnsi="仿宋" w:eastAsia="仿宋" w:cs="仿宋"/>
          <w:b/>
          <w:bCs/>
          <w:iCs/>
          <w:color w:val="auto"/>
          <w:sz w:val="24"/>
          <w:highlight w:val="none"/>
        </w:rPr>
        <w:t>2.1商务技术分（</w:t>
      </w:r>
      <w:r>
        <w:rPr>
          <w:rFonts w:hint="eastAsia" w:ascii="仿宋" w:hAnsi="仿宋" w:eastAsia="仿宋" w:cs="仿宋"/>
          <w:b/>
          <w:bCs/>
          <w:iCs/>
          <w:color w:val="auto"/>
          <w:sz w:val="24"/>
          <w:highlight w:val="none"/>
          <w:u w:val="single"/>
          <w:lang w:val="en-US" w:eastAsia="zh-CN"/>
        </w:rPr>
        <w:t xml:space="preserve"> 90 </w:t>
      </w:r>
      <w:r>
        <w:rPr>
          <w:rFonts w:hint="eastAsia" w:ascii="仿宋" w:hAnsi="仿宋" w:eastAsia="仿宋" w:cs="仿宋"/>
          <w:b/>
          <w:bCs/>
          <w:iCs/>
          <w:color w:val="auto"/>
          <w:sz w:val="24"/>
          <w:highlight w:val="none"/>
        </w:rPr>
        <w:t>分）</w:t>
      </w:r>
    </w:p>
    <w:tbl>
      <w:tblPr>
        <w:tblStyle w:val="15"/>
        <w:tblW w:w="10371" w:type="dxa"/>
        <w:jc w:val="center"/>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210"/>
        <w:gridCol w:w="1210"/>
        <w:gridCol w:w="6113"/>
        <w:gridCol w:w="1226"/>
      </w:tblGrid>
      <w:tr w14:paraId="68100000">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13" w:hRule="atLeast"/>
          <w:jc w:val="center"/>
        </w:trPr>
        <w:tc>
          <w:tcPr>
            <w:tcW w:w="1210" w:type="dxa"/>
            <w:tcBorders>
              <w:top w:val="single" w:color="auto" w:sz="4" w:space="0"/>
              <w:left w:val="single" w:color="auto" w:sz="4" w:space="0"/>
              <w:bottom w:val="single" w:color="auto" w:sz="4" w:space="0"/>
              <w:right w:val="single" w:color="auto" w:sz="4" w:space="0"/>
            </w:tcBorders>
            <w:noWrap w:val="0"/>
            <w:vAlign w:val="center"/>
          </w:tcPr>
          <w:p w14:paraId="251C105B">
            <w:pPr>
              <w:widowControl/>
              <w:snapToGrid w:val="0"/>
              <w:spacing w:line="440" w:lineRule="exact"/>
              <w:jc w:val="center"/>
              <w:rPr>
                <w:rFonts w:hint="eastAsia" w:ascii="仿宋" w:hAnsi="仿宋" w:eastAsia="仿宋" w:cs="仿宋"/>
                <w:b/>
                <w:color w:val="auto"/>
                <w:sz w:val="24"/>
                <w:highlight w:val="none"/>
              </w:rPr>
            </w:pPr>
            <w:r>
              <w:rPr>
                <w:rFonts w:hint="eastAsia" w:ascii="仿宋" w:hAnsi="仿宋" w:eastAsia="仿宋" w:cs="仿宋"/>
                <w:b/>
                <w:bCs/>
                <w:color w:val="auto"/>
                <w:kern w:val="0"/>
                <w:sz w:val="24"/>
                <w:highlight w:val="none"/>
              </w:rPr>
              <w:t>序号</w:t>
            </w:r>
          </w:p>
        </w:tc>
        <w:tc>
          <w:tcPr>
            <w:tcW w:w="1210" w:type="dxa"/>
            <w:tcBorders>
              <w:top w:val="single" w:color="auto" w:sz="4" w:space="0"/>
              <w:left w:val="single" w:color="auto" w:sz="4" w:space="0"/>
              <w:bottom w:val="single" w:color="auto" w:sz="4" w:space="0"/>
              <w:right w:val="single" w:color="auto" w:sz="4" w:space="0"/>
            </w:tcBorders>
            <w:noWrap w:val="0"/>
            <w:vAlign w:val="center"/>
          </w:tcPr>
          <w:p w14:paraId="52F68D6A">
            <w:pPr>
              <w:widowControl/>
              <w:snapToGrid w:val="0"/>
              <w:spacing w:line="440" w:lineRule="exact"/>
              <w:jc w:val="center"/>
              <w:rPr>
                <w:rFonts w:hint="eastAsia" w:ascii="仿宋" w:hAnsi="仿宋" w:eastAsia="仿宋" w:cs="仿宋"/>
                <w:b/>
                <w:color w:val="auto"/>
                <w:sz w:val="24"/>
                <w:highlight w:val="none"/>
              </w:rPr>
            </w:pPr>
            <w:r>
              <w:rPr>
                <w:rFonts w:hint="eastAsia" w:ascii="仿宋" w:hAnsi="仿宋" w:eastAsia="仿宋" w:cs="仿宋"/>
                <w:b/>
                <w:bCs/>
                <w:color w:val="auto"/>
                <w:kern w:val="0"/>
                <w:sz w:val="24"/>
                <w:highlight w:val="none"/>
              </w:rPr>
              <w:t>评分项</w:t>
            </w:r>
          </w:p>
        </w:tc>
        <w:tc>
          <w:tcPr>
            <w:tcW w:w="6113" w:type="dxa"/>
            <w:tcBorders>
              <w:top w:val="single" w:color="auto" w:sz="4" w:space="0"/>
              <w:left w:val="single" w:color="auto" w:sz="4" w:space="0"/>
              <w:bottom w:val="single" w:color="auto" w:sz="4" w:space="0"/>
              <w:right w:val="single" w:color="auto" w:sz="4" w:space="0"/>
            </w:tcBorders>
            <w:noWrap w:val="0"/>
            <w:vAlign w:val="center"/>
          </w:tcPr>
          <w:p w14:paraId="577F025D">
            <w:pPr>
              <w:widowControl/>
              <w:snapToGrid w:val="0"/>
              <w:spacing w:line="440" w:lineRule="exact"/>
              <w:jc w:val="center"/>
              <w:rPr>
                <w:rFonts w:hint="eastAsia" w:ascii="仿宋" w:hAnsi="仿宋" w:eastAsia="仿宋" w:cs="仿宋"/>
                <w:b/>
                <w:color w:val="auto"/>
                <w:sz w:val="24"/>
                <w:highlight w:val="none"/>
              </w:rPr>
            </w:pPr>
            <w:r>
              <w:rPr>
                <w:rFonts w:hint="eastAsia" w:ascii="仿宋" w:hAnsi="仿宋" w:eastAsia="仿宋" w:cs="仿宋"/>
                <w:b/>
                <w:bCs/>
                <w:color w:val="auto"/>
                <w:kern w:val="0"/>
                <w:sz w:val="24"/>
                <w:highlight w:val="none"/>
              </w:rPr>
              <w:t>评审依据及标准</w:t>
            </w:r>
          </w:p>
        </w:tc>
        <w:tc>
          <w:tcPr>
            <w:tcW w:w="1226" w:type="dxa"/>
            <w:tcBorders>
              <w:top w:val="single" w:color="auto" w:sz="4" w:space="0"/>
              <w:left w:val="single" w:color="auto" w:sz="4" w:space="0"/>
              <w:bottom w:val="single" w:color="auto" w:sz="4" w:space="0"/>
              <w:right w:val="single" w:color="auto" w:sz="4" w:space="0"/>
            </w:tcBorders>
            <w:noWrap w:val="0"/>
            <w:vAlign w:val="center"/>
          </w:tcPr>
          <w:p w14:paraId="6A460883">
            <w:pPr>
              <w:widowControl/>
              <w:snapToGrid w:val="0"/>
              <w:spacing w:line="440" w:lineRule="exact"/>
              <w:jc w:val="center"/>
              <w:rPr>
                <w:rFonts w:hint="eastAsia" w:ascii="仿宋" w:hAnsi="仿宋" w:eastAsia="仿宋" w:cs="仿宋"/>
                <w:b/>
                <w:color w:val="auto"/>
                <w:sz w:val="24"/>
                <w:highlight w:val="none"/>
              </w:rPr>
            </w:pPr>
            <w:r>
              <w:rPr>
                <w:rFonts w:hint="eastAsia" w:ascii="仿宋" w:hAnsi="仿宋" w:eastAsia="仿宋" w:cs="仿宋"/>
                <w:b/>
                <w:bCs/>
                <w:color w:val="auto"/>
                <w:kern w:val="0"/>
                <w:sz w:val="24"/>
                <w:highlight w:val="none"/>
              </w:rPr>
              <w:t>分值</w:t>
            </w:r>
          </w:p>
        </w:tc>
      </w:tr>
      <w:tr w14:paraId="5B8C32CB">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13" w:hRule="atLeast"/>
          <w:jc w:val="center"/>
        </w:trPr>
        <w:tc>
          <w:tcPr>
            <w:tcW w:w="1210" w:type="dxa"/>
            <w:tcBorders>
              <w:top w:val="single" w:color="auto" w:sz="4" w:space="0"/>
              <w:left w:val="single" w:color="auto" w:sz="4" w:space="0"/>
              <w:bottom w:val="single" w:color="auto" w:sz="4" w:space="0"/>
              <w:right w:val="single" w:color="auto" w:sz="4" w:space="0"/>
            </w:tcBorders>
            <w:noWrap w:val="0"/>
            <w:vAlign w:val="center"/>
          </w:tcPr>
          <w:p w14:paraId="5DB976B5">
            <w:pPr>
              <w:keepNext w:val="0"/>
              <w:keepLines w:val="0"/>
              <w:pageBreakBefore w:val="0"/>
              <w:widowControl w:val="0"/>
              <w:kinsoku/>
              <w:wordWrap/>
              <w:overflowPunct/>
              <w:topLinePunct w:val="0"/>
              <w:autoSpaceDE w:val="0"/>
              <w:autoSpaceDN/>
              <w:bidi w:val="0"/>
              <w:adjustRightInd/>
              <w:snapToGrid w:val="0"/>
              <w:spacing w:line="360" w:lineRule="exact"/>
              <w:jc w:val="center"/>
              <w:textAlignment w:val="auto"/>
              <w:rPr>
                <w:rFonts w:hint="eastAsia"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1</w:t>
            </w:r>
          </w:p>
        </w:tc>
        <w:tc>
          <w:tcPr>
            <w:tcW w:w="1210" w:type="dxa"/>
            <w:tcBorders>
              <w:top w:val="single" w:color="auto" w:sz="4" w:space="0"/>
              <w:left w:val="single" w:color="auto" w:sz="4" w:space="0"/>
              <w:bottom w:val="single" w:color="auto" w:sz="4" w:space="0"/>
              <w:right w:val="single" w:color="auto" w:sz="4" w:space="0"/>
            </w:tcBorders>
            <w:noWrap w:val="0"/>
            <w:vAlign w:val="center"/>
          </w:tcPr>
          <w:p w14:paraId="4E08070D">
            <w:pPr>
              <w:keepNext w:val="0"/>
              <w:keepLines w:val="0"/>
              <w:pageBreakBefore w:val="0"/>
              <w:widowControl w:val="0"/>
              <w:kinsoku/>
              <w:wordWrap/>
              <w:overflowPunct/>
              <w:topLinePunct w:val="0"/>
              <w:autoSpaceDE w:val="0"/>
              <w:autoSpaceDN/>
              <w:bidi w:val="0"/>
              <w:adjustRightInd/>
              <w:snapToGrid w:val="0"/>
              <w:spacing w:line="360" w:lineRule="exact"/>
              <w:jc w:val="center"/>
              <w:textAlignment w:val="auto"/>
              <w:rPr>
                <w:rFonts w:hint="eastAsia"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企业资质</w:t>
            </w:r>
          </w:p>
        </w:tc>
        <w:tc>
          <w:tcPr>
            <w:tcW w:w="6113" w:type="dxa"/>
            <w:tcBorders>
              <w:top w:val="single" w:color="auto" w:sz="4" w:space="0"/>
              <w:left w:val="single" w:color="auto" w:sz="4" w:space="0"/>
              <w:bottom w:val="single" w:color="auto" w:sz="4" w:space="0"/>
              <w:right w:val="single" w:color="auto" w:sz="4" w:space="0"/>
            </w:tcBorders>
            <w:noWrap w:val="0"/>
            <w:vAlign w:val="center"/>
          </w:tcPr>
          <w:p w14:paraId="179927AA">
            <w:pPr>
              <w:keepNext w:val="0"/>
              <w:keepLines w:val="0"/>
              <w:pageBreakBefore w:val="0"/>
              <w:widowControl w:val="0"/>
              <w:numPr>
                <w:ilvl w:val="0"/>
                <w:numId w:val="0"/>
              </w:numPr>
              <w:kinsoku/>
              <w:wordWrap/>
              <w:overflowPunct/>
              <w:topLinePunct w:val="0"/>
              <w:autoSpaceDE w:val="0"/>
              <w:autoSpaceDN/>
              <w:bidi w:val="0"/>
              <w:adjustRightInd/>
              <w:snapToGrid w:val="0"/>
              <w:spacing w:line="360" w:lineRule="exact"/>
              <w:ind w:firstLine="482" w:firstLineChars="200"/>
              <w:jc w:val="left"/>
              <w:textAlignment w:val="auto"/>
              <w:rPr>
                <w:rFonts w:hint="eastAsia" w:ascii="仿宋" w:hAnsi="仿宋" w:eastAsia="仿宋" w:cs="仿宋"/>
                <w:b/>
                <w:color w:val="auto"/>
                <w:kern w:val="2"/>
                <w:sz w:val="24"/>
                <w:szCs w:val="24"/>
                <w:highlight w:val="none"/>
                <w:lang w:val="en-US" w:eastAsia="zh-CN" w:bidi="ar-SA"/>
              </w:rPr>
            </w:pPr>
            <w:bookmarkStart w:id="170" w:name="OLE_LINK9"/>
            <w:r>
              <w:rPr>
                <w:rFonts w:hint="eastAsia" w:ascii="仿宋" w:hAnsi="仿宋" w:eastAsia="仿宋" w:cs="仿宋"/>
                <w:b/>
                <w:color w:val="auto"/>
                <w:kern w:val="2"/>
                <w:sz w:val="24"/>
                <w:szCs w:val="24"/>
                <w:highlight w:val="none"/>
                <w:lang w:val="en-US" w:eastAsia="zh-CN" w:bidi="ar-SA"/>
              </w:rPr>
              <w:t>投标人具有下列证书的，每具有一个得2分，最多6分，不提供不得分。</w:t>
            </w:r>
          </w:p>
          <w:p w14:paraId="799F84A6">
            <w:pPr>
              <w:keepNext w:val="0"/>
              <w:keepLines w:val="0"/>
              <w:pageBreakBefore w:val="0"/>
              <w:widowControl w:val="0"/>
              <w:numPr>
                <w:ilvl w:val="0"/>
                <w:numId w:val="3"/>
              </w:numPr>
              <w:kinsoku/>
              <w:wordWrap/>
              <w:overflowPunct/>
              <w:topLinePunct w:val="0"/>
              <w:autoSpaceDE w:val="0"/>
              <w:autoSpaceDN/>
              <w:bidi w:val="0"/>
              <w:adjustRightInd/>
              <w:snapToGrid w:val="0"/>
              <w:spacing w:line="360" w:lineRule="exact"/>
              <w:ind w:firstLine="482" w:firstLineChars="200"/>
              <w:jc w:val="left"/>
              <w:textAlignment w:val="auto"/>
              <w:rPr>
                <w:rFonts w:hint="eastAsia" w:ascii="仿宋" w:hAnsi="仿宋" w:eastAsia="仿宋" w:cs="仿宋"/>
                <w:b/>
                <w:color w:val="auto"/>
                <w:kern w:val="2"/>
                <w:sz w:val="24"/>
                <w:szCs w:val="24"/>
                <w:highlight w:val="none"/>
                <w:lang w:val="en-US" w:eastAsia="zh-CN" w:bidi="ar-SA"/>
              </w:rPr>
            </w:pPr>
            <w:r>
              <w:rPr>
                <w:rFonts w:hint="eastAsia" w:ascii="仿宋" w:hAnsi="仿宋" w:eastAsia="仿宋" w:cs="仿宋"/>
                <w:b/>
                <w:color w:val="auto"/>
                <w:kern w:val="2"/>
                <w:sz w:val="24"/>
                <w:szCs w:val="24"/>
                <w:highlight w:val="none"/>
                <w:lang w:val="en-US" w:eastAsia="zh-CN" w:bidi="ar-SA"/>
              </w:rPr>
              <w:t>职业健康安全管理体系认证证书</w:t>
            </w:r>
          </w:p>
          <w:p w14:paraId="35D044B4">
            <w:pPr>
              <w:keepNext w:val="0"/>
              <w:keepLines w:val="0"/>
              <w:pageBreakBefore w:val="0"/>
              <w:widowControl w:val="0"/>
              <w:numPr>
                <w:ilvl w:val="0"/>
                <w:numId w:val="3"/>
              </w:numPr>
              <w:kinsoku/>
              <w:wordWrap/>
              <w:overflowPunct/>
              <w:topLinePunct w:val="0"/>
              <w:autoSpaceDE w:val="0"/>
              <w:autoSpaceDN/>
              <w:bidi w:val="0"/>
              <w:adjustRightInd/>
              <w:snapToGrid w:val="0"/>
              <w:spacing w:line="360" w:lineRule="exact"/>
              <w:ind w:firstLine="482" w:firstLineChars="200"/>
              <w:jc w:val="left"/>
              <w:textAlignment w:val="auto"/>
              <w:rPr>
                <w:rFonts w:hint="eastAsia" w:ascii="仿宋" w:hAnsi="仿宋" w:eastAsia="仿宋" w:cs="仿宋"/>
                <w:b/>
                <w:color w:val="auto"/>
                <w:kern w:val="2"/>
                <w:sz w:val="24"/>
                <w:szCs w:val="24"/>
                <w:highlight w:val="none"/>
                <w:lang w:val="en-US" w:eastAsia="zh-CN" w:bidi="ar-SA"/>
              </w:rPr>
            </w:pPr>
            <w:r>
              <w:rPr>
                <w:rFonts w:hint="eastAsia" w:ascii="仿宋" w:hAnsi="仿宋" w:eastAsia="仿宋" w:cs="仿宋"/>
                <w:b/>
                <w:color w:val="auto"/>
                <w:kern w:val="2"/>
                <w:sz w:val="24"/>
                <w:szCs w:val="24"/>
                <w:highlight w:val="none"/>
                <w:lang w:val="en-US" w:eastAsia="zh-CN" w:bidi="ar-SA"/>
              </w:rPr>
              <w:t>质量管理体系认证证书</w:t>
            </w:r>
          </w:p>
          <w:p w14:paraId="0AC552C7">
            <w:pPr>
              <w:keepNext w:val="0"/>
              <w:keepLines w:val="0"/>
              <w:pageBreakBefore w:val="0"/>
              <w:widowControl w:val="0"/>
              <w:numPr>
                <w:ilvl w:val="0"/>
                <w:numId w:val="3"/>
              </w:numPr>
              <w:kinsoku/>
              <w:wordWrap/>
              <w:overflowPunct/>
              <w:topLinePunct w:val="0"/>
              <w:autoSpaceDE w:val="0"/>
              <w:autoSpaceDN/>
              <w:bidi w:val="0"/>
              <w:adjustRightInd/>
              <w:snapToGrid w:val="0"/>
              <w:spacing w:line="360" w:lineRule="exact"/>
              <w:ind w:firstLine="482" w:firstLineChars="200"/>
              <w:jc w:val="left"/>
              <w:textAlignment w:val="auto"/>
              <w:rPr>
                <w:rFonts w:hint="eastAsia" w:ascii="仿宋" w:hAnsi="仿宋" w:eastAsia="仿宋" w:cs="仿宋"/>
                <w:b/>
                <w:color w:val="auto"/>
                <w:kern w:val="2"/>
                <w:sz w:val="24"/>
                <w:szCs w:val="24"/>
                <w:highlight w:val="none"/>
                <w:lang w:val="en-US" w:eastAsia="zh-CN" w:bidi="ar-SA"/>
              </w:rPr>
            </w:pPr>
            <w:r>
              <w:rPr>
                <w:rFonts w:hint="eastAsia" w:ascii="仿宋" w:hAnsi="仿宋" w:eastAsia="仿宋" w:cs="仿宋"/>
                <w:b/>
                <w:color w:val="auto"/>
                <w:kern w:val="2"/>
                <w:sz w:val="24"/>
                <w:szCs w:val="24"/>
                <w:highlight w:val="none"/>
                <w:lang w:val="en-US" w:eastAsia="zh-CN" w:bidi="ar-SA"/>
              </w:rPr>
              <w:t>环境管理体系认证证书</w:t>
            </w:r>
          </w:p>
          <w:p w14:paraId="7BA1302F">
            <w:pPr>
              <w:keepNext w:val="0"/>
              <w:keepLines w:val="0"/>
              <w:pageBreakBefore w:val="0"/>
              <w:widowControl w:val="0"/>
              <w:kinsoku/>
              <w:wordWrap/>
              <w:overflowPunct/>
              <w:topLinePunct w:val="0"/>
              <w:autoSpaceDE w:val="0"/>
              <w:autoSpaceDN/>
              <w:bidi w:val="0"/>
              <w:adjustRightInd/>
              <w:snapToGrid w:val="0"/>
              <w:spacing w:line="360" w:lineRule="exact"/>
              <w:ind w:firstLine="482" w:firstLineChars="200"/>
              <w:jc w:val="left"/>
              <w:textAlignment w:val="auto"/>
              <w:rPr>
                <w:rFonts w:hint="eastAsia" w:ascii="仿宋" w:hAnsi="仿宋" w:eastAsia="仿宋" w:cs="仿宋"/>
                <w:b/>
                <w:bCs/>
                <w:color w:val="auto"/>
                <w:sz w:val="24"/>
                <w:szCs w:val="24"/>
                <w:highlight w:val="none"/>
                <w:lang w:val="en-US" w:eastAsia="zh-CN"/>
              </w:rPr>
            </w:pPr>
            <w:r>
              <w:rPr>
                <w:rFonts w:hint="eastAsia" w:ascii="仿宋" w:hAnsi="仿宋" w:eastAsia="仿宋" w:cs="仿宋"/>
                <w:b/>
                <w:color w:val="auto"/>
                <w:kern w:val="2"/>
                <w:sz w:val="24"/>
                <w:szCs w:val="24"/>
                <w:highlight w:val="none"/>
                <w:lang w:val="en-US" w:eastAsia="zh-CN" w:bidi="ar-SA"/>
              </w:rPr>
              <w:t>提供证书扫描</w:t>
            </w:r>
            <w:bookmarkStart w:id="171" w:name="OLE_LINK32"/>
            <w:r>
              <w:rPr>
                <w:rFonts w:hint="eastAsia" w:ascii="仿宋" w:hAnsi="仿宋" w:eastAsia="仿宋" w:cs="仿宋"/>
                <w:b/>
                <w:color w:val="auto"/>
                <w:kern w:val="2"/>
                <w:sz w:val="24"/>
                <w:szCs w:val="24"/>
                <w:highlight w:val="none"/>
                <w:lang w:val="en-US" w:eastAsia="zh-CN" w:bidi="ar-SA"/>
              </w:rPr>
              <w:t>件</w:t>
            </w:r>
            <w:bookmarkEnd w:id="171"/>
            <w:r>
              <w:rPr>
                <w:rFonts w:hint="eastAsia" w:ascii="仿宋" w:hAnsi="仿宋" w:eastAsia="仿宋" w:cs="仿宋"/>
                <w:b/>
                <w:color w:val="auto"/>
                <w:kern w:val="2"/>
                <w:sz w:val="24"/>
                <w:szCs w:val="24"/>
                <w:highlight w:val="none"/>
                <w:lang w:val="en-US" w:eastAsia="zh-CN" w:bidi="ar-SA"/>
              </w:rPr>
              <w:t xml:space="preserve">或图片并加盖公章。 </w:t>
            </w:r>
            <w:bookmarkEnd w:id="170"/>
          </w:p>
        </w:tc>
        <w:tc>
          <w:tcPr>
            <w:tcW w:w="1226" w:type="dxa"/>
            <w:tcBorders>
              <w:top w:val="single" w:color="auto" w:sz="4" w:space="0"/>
              <w:left w:val="single" w:color="auto" w:sz="4" w:space="0"/>
              <w:bottom w:val="single" w:color="auto" w:sz="4" w:space="0"/>
              <w:right w:val="single" w:color="auto" w:sz="4" w:space="0"/>
            </w:tcBorders>
            <w:noWrap w:val="0"/>
            <w:vAlign w:val="center"/>
          </w:tcPr>
          <w:p w14:paraId="28F9CE58">
            <w:pPr>
              <w:keepNext w:val="0"/>
              <w:keepLines w:val="0"/>
              <w:pageBreakBefore w:val="0"/>
              <w:widowControl w:val="0"/>
              <w:kinsoku/>
              <w:wordWrap/>
              <w:overflowPunct/>
              <w:topLinePunct w:val="0"/>
              <w:autoSpaceDE w:val="0"/>
              <w:autoSpaceDN/>
              <w:bidi w:val="0"/>
              <w:adjustRightInd/>
              <w:snapToGrid w:val="0"/>
              <w:spacing w:line="360" w:lineRule="exact"/>
              <w:jc w:val="center"/>
              <w:textAlignment w:val="auto"/>
              <w:rPr>
                <w:rFonts w:hint="default"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6</w:t>
            </w:r>
          </w:p>
        </w:tc>
      </w:tr>
      <w:tr w14:paraId="33481F0B">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13" w:hRule="atLeast"/>
          <w:jc w:val="center"/>
        </w:trPr>
        <w:tc>
          <w:tcPr>
            <w:tcW w:w="1210" w:type="dxa"/>
            <w:tcBorders>
              <w:top w:val="single" w:color="auto" w:sz="4" w:space="0"/>
              <w:left w:val="single" w:color="auto" w:sz="4" w:space="0"/>
              <w:bottom w:val="single" w:color="auto" w:sz="4" w:space="0"/>
              <w:right w:val="single" w:color="auto" w:sz="4" w:space="0"/>
            </w:tcBorders>
            <w:noWrap w:val="0"/>
            <w:vAlign w:val="center"/>
          </w:tcPr>
          <w:p w14:paraId="59FCB79C">
            <w:pPr>
              <w:keepNext w:val="0"/>
              <w:keepLines w:val="0"/>
              <w:pageBreakBefore w:val="0"/>
              <w:widowControl w:val="0"/>
              <w:kinsoku/>
              <w:wordWrap/>
              <w:overflowPunct/>
              <w:topLinePunct w:val="0"/>
              <w:autoSpaceDE w:val="0"/>
              <w:autoSpaceDN/>
              <w:bidi w:val="0"/>
              <w:adjustRightInd/>
              <w:snapToGrid w:val="0"/>
              <w:spacing w:line="360" w:lineRule="exact"/>
              <w:jc w:val="center"/>
              <w:textAlignment w:val="auto"/>
              <w:rPr>
                <w:rFonts w:hint="eastAsia" w:ascii="仿宋" w:hAnsi="仿宋" w:eastAsia="仿宋" w:cs="仿宋"/>
                <w:b/>
                <w:bCs/>
                <w:color w:val="auto"/>
                <w:kern w:val="2"/>
                <w:sz w:val="24"/>
                <w:szCs w:val="24"/>
                <w:highlight w:val="none"/>
                <w:lang w:val="en-US" w:eastAsia="zh-CN" w:bidi="ar-SA"/>
              </w:rPr>
            </w:pPr>
            <w:r>
              <w:rPr>
                <w:rFonts w:hint="eastAsia" w:ascii="仿宋" w:hAnsi="仿宋" w:eastAsia="仿宋" w:cs="仿宋"/>
                <w:b/>
                <w:bCs/>
                <w:color w:val="auto"/>
                <w:sz w:val="24"/>
                <w:szCs w:val="24"/>
                <w:highlight w:val="none"/>
                <w:lang w:val="en-US" w:eastAsia="zh-CN"/>
              </w:rPr>
              <w:t>2</w:t>
            </w:r>
          </w:p>
        </w:tc>
        <w:tc>
          <w:tcPr>
            <w:tcW w:w="1210" w:type="dxa"/>
            <w:tcBorders>
              <w:top w:val="single" w:color="auto" w:sz="4" w:space="0"/>
              <w:left w:val="single" w:color="auto" w:sz="4" w:space="0"/>
              <w:bottom w:val="single" w:color="auto" w:sz="4" w:space="0"/>
              <w:right w:val="single" w:color="auto" w:sz="4" w:space="0"/>
            </w:tcBorders>
            <w:noWrap w:val="0"/>
            <w:vAlign w:val="center"/>
          </w:tcPr>
          <w:p w14:paraId="2929A66D">
            <w:pPr>
              <w:keepNext w:val="0"/>
              <w:keepLines w:val="0"/>
              <w:pageBreakBefore w:val="0"/>
              <w:widowControl w:val="0"/>
              <w:kinsoku/>
              <w:wordWrap/>
              <w:overflowPunct/>
              <w:topLinePunct w:val="0"/>
              <w:autoSpaceDE w:val="0"/>
              <w:autoSpaceDN/>
              <w:bidi w:val="0"/>
              <w:adjustRightInd/>
              <w:snapToGrid w:val="0"/>
              <w:spacing w:line="360" w:lineRule="exact"/>
              <w:jc w:val="left"/>
              <w:textAlignment w:val="auto"/>
              <w:rPr>
                <w:rFonts w:hint="eastAsia" w:ascii="仿宋" w:hAnsi="仿宋" w:eastAsia="仿宋" w:cs="仿宋"/>
                <w:b/>
                <w:bCs/>
                <w:color w:val="auto"/>
                <w:kern w:val="2"/>
                <w:sz w:val="24"/>
                <w:szCs w:val="20"/>
                <w:highlight w:val="none"/>
                <w:lang w:val="en-US" w:eastAsia="zh-CN" w:bidi="ar-SA"/>
              </w:rPr>
            </w:pPr>
            <w:r>
              <w:rPr>
                <w:rFonts w:hint="eastAsia" w:ascii="仿宋" w:hAnsi="仿宋" w:eastAsia="仿宋" w:cs="仿宋"/>
                <w:b/>
                <w:bCs/>
                <w:color w:val="auto"/>
                <w:sz w:val="24"/>
                <w:highlight w:val="none"/>
                <w:lang w:val="en-US" w:eastAsia="zh-CN"/>
              </w:rPr>
              <w:t>企业荣誉</w:t>
            </w:r>
          </w:p>
        </w:tc>
        <w:tc>
          <w:tcPr>
            <w:tcW w:w="6113" w:type="dxa"/>
            <w:tcBorders>
              <w:top w:val="single" w:color="auto" w:sz="4" w:space="0"/>
              <w:left w:val="single" w:color="auto" w:sz="4" w:space="0"/>
              <w:bottom w:val="single" w:color="auto" w:sz="4" w:space="0"/>
              <w:right w:val="single" w:color="auto" w:sz="4" w:space="0"/>
            </w:tcBorders>
            <w:noWrap w:val="0"/>
            <w:vAlign w:val="center"/>
          </w:tcPr>
          <w:p w14:paraId="6F8E2E44">
            <w:pPr>
              <w:keepNext w:val="0"/>
              <w:keepLines w:val="0"/>
              <w:pageBreakBefore w:val="0"/>
              <w:widowControl w:val="0"/>
              <w:kinsoku/>
              <w:wordWrap/>
              <w:overflowPunct/>
              <w:topLinePunct w:val="0"/>
              <w:autoSpaceDE w:val="0"/>
              <w:autoSpaceDN/>
              <w:bidi w:val="0"/>
              <w:adjustRightInd/>
              <w:snapToGrid w:val="0"/>
              <w:spacing w:line="360" w:lineRule="exact"/>
              <w:ind w:firstLine="482" w:firstLineChars="200"/>
              <w:jc w:val="left"/>
              <w:textAlignment w:val="auto"/>
              <w:rPr>
                <w:rFonts w:hint="eastAsia" w:ascii="仿宋" w:hAnsi="仿宋" w:eastAsia="仿宋" w:cs="仿宋"/>
                <w:b/>
                <w:bCs/>
                <w:color w:val="auto"/>
                <w:sz w:val="24"/>
                <w:highlight w:val="none"/>
                <w:lang w:val="en-US" w:eastAsia="zh-CN"/>
              </w:rPr>
            </w:pPr>
            <w:bookmarkStart w:id="172" w:name="OLE_LINK37"/>
            <w:r>
              <w:rPr>
                <w:rFonts w:hint="eastAsia" w:ascii="仿宋" w:hAnsi="仿宋" w:eastAsia="仿宋" w:cs="仿宋"/>
                <w:b/>
                <w:bCs/>
                <w:color w:val="auto"/>
                <w:sz w:val="24"/>
                <w:highlight w:val="none"/>
                <w:lang w:val="en-US" w:eastAsia="zh-CN"/>
              </w:rPr>
              <w:t>投标人具有政府部门颁发的与项目相关的荣誉的，市级荣誉的得0.5分，省级及以上荣誉的得1分。</w:t>
            </w:r>
          </w:p>
          <w:p w14:paraId="7CBF42B6">
            <w:pPr>
              <w:keepNext w:val="0"/>
              <w:keepLines w:val="0"/>
              <w:pageBreakBefore w:val="0"/>
              <w:widowControl w:val="0"/>
              <w:kinsoku/>
              <w:wordWrap/>
              <w:overflowPunct/>
              <w:topLinePunct w:val="0"/>
              <w:autoSpaceDE w:val="0"/>
              <w:autoSpaceDN/>
              <w:bidi w:val="0"/>
              <w:adjustRightInd/>
              <w:snapToGrid w:val="0"/>
              <w:spacing w:line="360" w:lineRule="exact"/>
              <w:ind w:firstLine="482" w:firstLineChars="200"/>
              <w:jc w:val="left"/>
              <w:textAlignment w:val="auto"/>
              <w:rPr>
                <w:rFonts w:hint="eastAsia" w:ascii="仿宋" w:hAnsi="仿宋" w:eastAsia="仿宋" w:cs="仿宋"/>
                <w:b/>
                <w:bCs/>
                <w:color w:val="auto"/>
                <w:kern w:val="2"/>
                <w:sz w:val="24"/>
                <w:szCs w:val="20"/>
                <w:highlight w:val="none"/>
                <w:lang w:val="en-US" w:eastAsia="zh-CN" w:bidi="ar-SA"/>
              </w:rPr>
            </w:pPr>
            <w:r>
              <w:rPr>
                <w:rFonts w:hint="eastAsia" w:ascii="仿宋" w:hAnsi="仿宋" w:eastAsia="仿宋" w:cs="仿宋"/>
                <w:b/>
                <w:bCs/>
                <w:color w:val="auto"/>
                <w:sz w:val="24"/>
                <w:highlight w:val="none"/>
                <w:lang w:val="en-US" w:eastAsia="zh-CN"/>
              </w:rPr>
              <w:t>提供相关证明材料并加盖公章。</w:t>
            </w:r>
            <w:bookmarkEnd w:id="172"/>
          </w:p>
        </w:tc>
        <w:tc>
          <w:tcPr>
            <w:tcW w:w="1226" w:type="dxa"/>
            <w:tcBorders>
              <w:top w:val="single" w:color="auto" w:sz="4" w:space="0"/>
              <w:left w:val="single" w:color="auto" w:sz="4" w:space="0"/>
              <w:bottom w:val="single" w:color="auto" w:sz="4" w:space="0"/>
              <w:right w:val="single" w:color="auto" w:sz="4" w:space="0"/>
            </w:tcBorders>
            <w:noWrap w:val="0"/>
            <w:vAlign w:val="center"/>
          </w:tcPr>
          <w:p w14:paraId="3CB62337">
            <w:pPr>
              <w:keepNext w:val="0"/>
              <w:keepLines w:val="0"/>
              <w:pageBreakBefore w:val="0"/>
              <w:widowControl w:val="0"/>
              <w:kinsoku/>
              <w:wordWrap/>
              <w:overflowPunct/>
              <w:topLinePunct w:val="0"/>
              <w:autoSpaceDE w:val="0"/>
              <w:autoSpaceDN/>
              <w:bidi w:val="0"/>
              <w:adjustRightInd/>
              <w:snapToGrid w:val="0"/>
              <w:spacing w:line="360" w:lineRule="exact"/>
              <w:jc w:val="center"/>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1</w:t>
            </w:r>
          </w:p>
        </w:tc>
      </w:tr>
      <w:tr w14:paraId="7799FB2B">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13" w:hRule="atLeast"/>
          <w:jc w:val="center"/>
        </w:trPr>
        <w:tc>
          <w:tcPr>
            <w:tcW w:w="1210" w:type="dxa"/>
            <w:tcBorders>
              <w:top w:val="single" w:color="auto" w:sz="4" w:space="0"/>
              <w:left w:val="single" w:color="auto" w:sz="4" w:space="0"/>
              <w:bottom w:val="single" w:color="auto" w:sz="4" w:space="0"/>
              <w:right w:val="single" w:color="auto" w:sz="4" w:space="0"/>
            </w:tcBorders>
            <w:noWrap w:val="0"/>
            <w:vAlign w:val="center"/>
          </w:tcPr>
          <w:p w14:paraId="63EBC06B">
            <w:pPr>
              <w:autoSpaceDE w:val="0"/>
              <w:snapToGrid w:val="0"/>
              <w:spacing w:line="440" w:lineRule="exact"/>
              <w:jc w:val="center"/>
              <w:rPr>
                <w:rFonts w:hint="eastAsia" w:ascii="仿宋" w:hAnsi="仿宋" w:eastAsia="仿宋" w:cs="仿宋"/>
                <w:b/>
                <w:bCs/>
                <w:color w:val="auto"/>
                <w:kern w:val="2"/>
                <w:sz w:val="24"/>
                <w:szCs w:val="20"/>
                <w:highlight w:val="none"/>
                <w:lang w:val="en-US" w:eastAsia="zh-CN" w:bidi="ar-SA"/>
              </w:rPr>
            </w:pPr>
            <w:r>
              <w:rPr>
                <w:rFonts w:hint="eastAsia" w:ascii="仿宋" w:hAnsi="仿宋" w:eastAsia="仿宋" w:cs="仿宋"/>
                <w:b/>
                <w:bCs/>
                <w:color w:val="auto"/>
                <w:sz w:val="24"/>
                <w:highlight w:val="none"/>
                <w:lang w:val="en-US" w:eastAsia="zh-CN"/>
              </w:rPr>
              <w:t>3</w:t>
            </w:r>
          </w:p>
        </w:tc>
        <w:tc>
          <w:tcPr>
            <w:tcW w:w="1210" w:type="dxa"/>
            <w:tcBorders>
              <w:top w:val="single" w:color="auto" w:sz="4" w:space="0"/>
              <w:left w:val="single" w:color="auto" w:sz="4" w:space="0"/>
              <w:bottom w:val="single" w:color="auto" w:sz="4" w:space="0"/>
              <w:right w:val="single" w:color="auto" w:sz="4" w:space="0"/>
            </w:tcBorders>
            <w:noWrap w:val="0"/>
            <w:vAlign w:val="center"/>
          </w:tcPr>
          <w:p w14:paraId="5CC8282D">
            <w:pPr>
              <w:keepNext w:val="0"/>
              <w:keepLines w:val="0"/>
              <w:pageBreakBefore w:val="0"/>
              <w:widowControl w:val="0"/>
              <w:kinsoku/>
              <w:wordWrap/>
              <w:overflowPunct/>
              <w:topLinePunct w:val="0"/>
              <w:autoSpaceDE w:val="0"/>
              <w:autoSpaceDN/>
              <w:bidi w:val="0"/>
              <w:adjustRightInd/>
              <w:snapToGrid w:val="0"/>
              <w:spacing w:line="360" w:lineRule="exact"/>
              <w:jc w:val="center"/>
              <w:textAlignment w:val="auto"/>
              <w:rPr>
                <w:rFonts w:hint="eastAsia"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同类业绩</w:t>
            </w:r>
          </w:p>
        </w:tc>
        <w:tc>
          <w:tcPr>
            <w:tcW w:w="6113" w:type="dxa"/>
            <w:tcBorders>
              <w:top w:val="single" w:color="auto" w:sz="4" w:space="0"/>
              <w:left w:val="single" w:color="auto" w:sz="4" w:space="0"/>
              <w:bottom w:val="single" w:color="auto" w:sz="4" w:space="0"/>
              <w:right w:val="single" w:color="auto" w:sz="4" w:space="0"/>
            </w:tcBorders>
            <w:noWrap w:val="0"/>
            <w:vAlign w:val="center"/>
          </w:tcPr>
          <w:p w14:paraId="6E907E19">
            <w:pPr>
              <w:keepNext w:val="0"/>
              <w:keepLines w:val="0"/>
              <w:pageBreakBefore w:val="0"/>
              <w:widowControl w:val="0"/>
              <w:kinsoku/>
              <w:wordWrap/>
              <w:overflowPunct/>
              <w:topLinePunct w:val="0"/>
              <w:autoSpaceDE w:val="0"/>
              <w:autoSpaceDN/>
              <w:bidi w:val="0"/>
              <w:adjustRightInd/>
              <w:snapToGrid w:val="0"/>
              <w:spacing w:line="360" w:lineRule="exact"/>
              <w:ind w:firstLine="482" w:firstLineChars="200"/>
              <w:jc w:val="left"/>
              <w:textAlignment w:val="auto"/>
              <w:rPr>
                <w:rFonts w:hint="eastAsia" w:ascii="仿宋" w:hAnsi="仿宋" w:eastAsia="仿宋" w:cs="仿宋"/>
                <w:b/>
                <w:color w:val="auto"/>
                <w:kern w:val="2"/>
                <w:sz w:val="24"/>
                <w:szCs w:val="24"/>
                <w:highlight w:val="none"/>
                <w:lang w:val="en-US" w:eastAsia="zh-CN" w:bidi="ar-SA"/>
              </w:rPr>
            </w:pPr>
            <w:r>
              <w:rPr>
                <w:rFonts w:hint="eastAsia" w:ascii="仿宋" w:hAnsi="仿宋" w:eastAsia="仿宋" w:cs="仿宋"/>
                <w:b/>
                <w:color w:val="auto"/>
                <w:kern w:val="2"/>
                <w:sz w:val="24"/>
                <w:szCs w:val="24"/>
                <w:highlight w:val="none"/>
                <w:lang w:val="en-US" w:eastAsia="zh-CN" w:bidi="ar-SA"/>
              </w:rPr>
              <w:t>自2023年1月1日以来（以合同签订时间为准），供应商具有类似的服务项目业绩的，每提供一个业绩得0.5分，满分1分。</w:t>
            </w:r>
          </w:p>
          <w:p w14:paraId="4E4E8755">
            <w:pPr>
              <w:keepNext w:val="0"/>
              <w:keepLines w:val="0"/>
              <w:pageBreakBefore w:val="0"/>
              <w:widowControl w:val="0"/>
              <w:kinsoku/>
              <w:wordWrap/>
              <w:overflowPunct/>
              <w:topLinePunct w:val="0"/>
              <w:autoSpaceDE w:val="0"/>
              <w:autoSpaceDN/>
              <w:bidi w:val="0"/>
              <w:adjustRightInd/>
              <w:snapToGrid w:val="0"/>
              <w:spacing w:line="360" w:lineRule="exact"/>
              <w:ind w:firstLine="482" w:firstLineChars="200"/>
              <w:jc w:val="left"/>
              <w:textAlignment w:val="auto"/>
              <w:rPr>
                <w:rFonts w:hint="eastAsia" w:ascii="仿宋" w:hAnsi="仿宋" w:eastAsia="仿宋" w:cs="仿宋"/>
                <w:color w:val="auto"/>
                <w:highlight w:val="none"/>
                <w:lang w:val="en-US" w:eastAsia="zh-CN"/>
              </w:rPr>
            </w:pPr>
            <w:r>
              <w:rPr>
                <w:rFonts w:hint="eastAsia" w:ascii="仿宋" w:hAnsi="仿宋" w:eastAsia="仿宋" w:cs="仿宋"/>
                <w:b/>
                <w:color w:val="auto"/>
                <w:kern w:val="2"/>
                <w:sz w:val="24"/>
                <w:szCs w:val="24"/>
                <w:highlight w:val="none"/>
                <w:lang w:val="en-US" w:eastAsia="zh-CN" w:bidi="ar-SA"/>
              </w:rPr>
              <w:t xml:space="preserve">提供合同复印件并加盖公章。 </w:t>
            </w:r>
          </w:p>
        </w:tc>
        <w:tc>
          <w:tcPr>
            <w:tcW w:w="1226" w:type="dxa"/>
            <w:tcBorders>
              <w:top w:val="single" w:color="auto" w:sz="4" w:space="0"/>
              <w:left w:val="single" w:color="auto" w:sz="4" w:space="0"/>
              <w:bottom w:val="single" w:color="auto" w:sz="4" w:space="0"/>
              <w:right w:val="single" w:color="auto" w:sz="4" w:space="0"/>
            </w:tcBorders>
            <w:noWrap w:val="0"/>
            <w:vAlign w:val="center"/>
          </w:tcPr>
          <w:p w14:paraId="6C0D5424">
            <w:pPr>
              <w:keepNext w:val="0"/>
              <w:keepLines w:val="0"/>
              <w:pageBreakBefore w:val="0"/>
              <w:widowControl w:val="0"/>
              <w:kinsoku/>
              <w:wordWrap/>
              <w:overflowPunct/>
              <w:topLinePunct w:val="0"/>
              <w:autoSpaceDE w:val="0"/>
              <w:autoSpaceDN/>
              <w:bidi w:val="0"/>
              <w:adjustRightInd/>
              <w:snapToGrid w:val="0"/>
              <w:spacing w:line="360" w:lineRule="exact"/>
              <w:jc w:val="center"/>
              <w:textAlignment w:val="auto"/>
              <w:rPr>
                <w:rFonts w:hint="default"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1</w:t>
            </w:r>
          </w:p>
        </w:tc>
      </w:tr>
      <w:tr w14:paraId="22C3C2C3">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1753" w:hRule="atLeast"/>
          <w:jc w:val="center"/>
        </w:trPr>
        <w:tc>
          <w:tcPr>
            <w:tcW w:w="1210" w:type="dxa"/>
            <w:tcBorders>
              <w:top w:val="single" w:color="auto" w:sz="4" w:space="0"/>
              <w:left w:val="single" w:color="auto" w:sz="4" w:space="0"/>
              <w:bottom w:val="single" w:color="auto" w:sz="4" w:space="0"/>
              <w:right w:val="single" w:color="auto" w:sz="4" w:space="0"/>
            </w:tcBorders>
            <w:noWrap w:val="0"/>
            <w:vAlign w:val="center"/>
          </w:tcPr>
          <w:p w14:paraId="4F8FF875">
            <w:pPr>
              <w:autoSpaceDE w:val="0"/>
              <w:snapToGrid w:val="0"/>
              <w:spacing w:line="440" w:lineRule="exact"/>
              <w:jc w:val="center"/>
              <w:rPr>
                <w:rFonts w:hint="eastAsia" w:ascii="仿宋" w:hAnsi="仿宋" w:eastAsia="仿宋" w:cs="仿宋"/>
                <w:b/>
                <w:bCs/>
                <w:color w:val="auto"/>
                <w:kern w:val="2"/>
                <w:sz w:val="24"/>
                <w:szCs w:val="20"/>
                <w:highlight w:val="none"/>
                <w:lang w:val="en-US" w:eastAsia="zh-CN" w:bidi="ar-SA"/>
              </w:rPr>
            </w:pPr>
            <w:r>
              <w:rPr>
                <w:rFonts w:hint="eastAsia" w:ascii="仿宋" w:hAnsi="仿宋" w:eastAsia="仿宋" w:cs="仿宋"/>
                <w:b/>
                <w:bCs/>
                <w:color w:val="auto"/>
                <w:sz w:val="24"/>
                <w:highlight w:val="none"/>
                <w:lang w:val="en-US" w:eastAsia="zh-CN"/>
              </w:rPr>
              <w:t>4</w:t>
            </w:r>
          </w:p>
        </w:tc>
        <w:tc>
          <w:tcPr>
            <w:tcW w:w="1210" w:type="dxa"/>
            <w:tcBorders>
              <w:top w:val="single" w:color="auto" w:sz="4" w:space="0"/>
              <w:left w:val="single" w:color="auto" w:sz="4" w:space="0"/>
              <w:bottom w:val="single" w:color="auto" w:sz="4" w:space="0"/>
              <w:right w:val="single" w:color="auto" w:sz="4" w:space="0"/>
            </w:tcBorders>
            <w:noWrap w:val="0"/>
            <w:vAlign w:val="center"/>
          </w:tcPr>
          <w:p w14:paraId="4E65E4ED">
            <w:pPr>
              <w:keepNext w:val="0"/>
              <w:keepLines w:val="0"/>
              <w:pageBreakBefore w:val="0"/>
              <w:widowControl w:val="0"/>
              <w:kinsoku/>
              <w:wordWrap/>
              <w:overflowPunct/>
              <w:topLinePunct w:val="0"/>
              <w:autoSpaceDE w:val="0"/>
              <w:autoSpaceDN/>
              <w:bidi w:val="0"/>
              <w:adjustRightInd/>
              <w:snapToGrid w:val="0"/>
              <w:spacing w:line="360" w:lineRule="exact"/>
              <w:jc w:val="center"/>
              <w:textAlignment w:val="auto"/>
              <w:rPr>
                <w:rFonts w:hint="eastAsia" w:ascii="仿宋" w:hAnsi="仿宋" w:eastAsia="仿宋" w:cs="仿宋"/>
                <w:b/>
                <w:bCs/>
                <w:color w:val="auto"/>
                <w:kern w:val="2"/>
                <w:sz w:val="24"/>
                <w:szCs w:val="24"/>
                <w:highlight w:val="none"/>
                <w:lang w:val="en-US" w:eastAsia="zh-CN" w:bidi="ar-SA"/>
              </w:rPr>
            </w:pPr>
            <w:r>
              <w:rPr>
                <w:rFonts w:hint="eastAsia" w:ascii="仿宋" w:hAnsi="仿宋" w:eastAsia="仿宋" w:cs="仿宋"/>
                <w:b/>
                <w:bCs/>
                <w:color w:val="auto"/>
                <w:kern w:val="2"/>
                <w:sz w:val="24"/>
                <w:szCs w:val="24"/>
                <w:highlight w:val="none"/>
                <w:lang w:val="en-US" w:eastAsia="zh-CN" w:bidi="ar-SA"/>
              </w:rPr>
              <w:t>项目负责人资格</w:t>
            </w:r>
          </w:p>
        </w:tc>
        <w:tc>
          <w:tcPr>
            <w:tcW w:w="6113" w:type="dxa"/>
            <w:tcBorders>
              <w:top w:val="single" w:color="auto" w:sz="4" w:space="0"/>
              <w:left w:val="single" w:color="auto" w:sz="4" w:space="0"/>
              <w:bottom w:val="single" w:color="auto" w:sz="4" w:space="0"/>
              <w:right w:val="single" w:color="auto" w:sz="4" w:space="0"/>
            </w:tcBorders>
            <w:noWrap w:val="0"/>
            <w:vAlign w:val="center"/>
          </w:tcPr>
          <w:p w14:paraId="67F0DA5A">
            <w:pPr>
              <w:keepNext w:val="0"/>
              <w:keepLines w:val="0"/>
              <w:pageBreakBefore w:val="0"/>
              <w:widowControl w:val="0"/>
              <w:kinsoku/>
              <w:wordWrap/>
              <w:overflowPunct/>
              <w:topLinePunct w:val="0"/>
              <w:autoSpaceDE w:val="0"/>
              <w:autoSpaceDN/>
              <w:bidi w:val="0"/>
              <w:adjustRightInd/>
              <w:snapToGrid w:val="0"/>
              <w:spacing w:line="360" w:lineRule="exact"/>
              <w:ind w:firstLine="482" w:firstLineChars="200"/>
              <w:jc w:val="left"/>
              <w:textAlignment w:val="auto"/>
              <w:rPr>
                <w:rFonts w:hint="eastAsia" w:ascii="仿宋" w:hAnsi="仿宋" w:eastAsia="仿宋" w:cs="仿宋"/>
                <w:b/>
                <w:color w:val="auto"/>
                <w:kern w:val="2"/>
                <w:sz w:val="24"/>
                <w:szCs w:val="24"/>
                <w:highlight w:val="none"/>
                <w:lang w:val="en-US" w:eastAsia="zh-CN" w:bidi="ar-SA"/>
              </w:rPr>
            </w:pPr>
            <w:r>
              <w:rPr>
                <w:rFonts w:hint="eastAsia" w:ascii="仿宋" w:hAnsi="仿宋" w:eastAsia="仿宋" w:cs="仿宋"/>
                <w:b/>
                <w:color w:val="auto"/>
                <w:kern w:val="2"/>
                <w:sz w:val="24"/>
                <w:szCs w:val="24"/>
                <w:highlight w:val="none"/>
                <w:lang w:val="en-US" w:eastAsia="zh-CN" w:bidi="ar-SA"/>
              </w:rPr>
              <w:t>投标人拟为本项目配备的项目负责人满足以下要求：</w:t>
            </w:r>
          </w:p>
          <w:p w14:paraId="1115411C">
            <w:pPr>
              <w:keepNext w:val="0"/>
              <w:keepLines w:val="0"/>
              <w:pageBreakBefore w:val="0"/>
              <w:widowControl w:val="0"/>
              <w:kinsoku/>
              <w:wordWrap/>
              <w:overflowPunct/>
              <w:topLinePunct w:val="0"/>
              <w:autoSpaceDE w:val="0"/>
              <w:autoSpaceDN/>
              <w:bidi w:val="0"/>
              <w:adjustRightInd/>
              <w:snapToGrid w:val="0"/>
              <w:spacing w:line="360" w:lineRule="exact"/>
              <w:ind w:firstLine="482" w:firstLineChars="200"/>
              <w:jc w:val="left"/>
              <w:textAlignment w:val="auto"/>
              <w:rPr>
                <w:rFonts w:hint="eastAsia" w:ascii="仿宋" w:hAnsi="仿宋" w:eastAsia="仿宋" w:cs="仿宋"/>
                <w:b/>
                <w:color w:val="auto"/>
                <w:kern w:val="2"/>
                <w:sz w:val="24"/>
                <w:szCs w:val="24"/>
                <w:highlight w:val="none"/>
                <w:lang w:val="en-US" w:eastAsia="zh-CN" w:bidi="ar-SA"/>
              </w:rPr>
            </w:pPr>
            <w:r>
              <w:rPr>
                <w:rFonts w:hint="eastAsia" w:ascii="仿宋" w:hAnsi="仿宋" w:eastAsia="仿宋" w:cs="仿宋"/>
                <w:b/>
                <w:color w:val="auto"/>
                <w:kern w:val="2"/>
                <w:sz w:val="24"/>
                <w:szCs w:val="24"/>
                <w:highlight w:val="none"/>
                <w:lang w:val="en-US" w:eastAsia="zh-CN" w:bidi="ar-SA"/>
              </w:rPr>
              <w:t>（1）具有特种设备专业的中级职称得2分，特种设备专业的副高级工程师职称得4分，特种设备专业的正高级工程师得6分，最高得6分；</w:t>
            </w:r>
          </w:p>
          <w:p w14:paraId="416C10A5">
            <w:pPr>
              <w:keepNext w:val="0"/>
              <w:keepLines w:val="0"/>
              <w:pageBreakBefore w:val="0"/>
              <w:widowControl w:val="0"/>
              <w:kinsoku/>
              <w:wordWrap/>
              <w:overflowPunct/>
              <w:topLinePunct w:val="0"/>
              <w:autoSpaceDE w:val="0"/>
              <w:autoSpaceDN/>
              <w:bidi w:val="0"/>
              <w:adjustRightInd/>
              <w:snapToGrid w:val="0"/>
              <w:spacing w:line="360" w:lineRule="exact"/>
              <w:ind w:firstLine="482" w:firstLineChars="200"/>
              <w:jc w:val="left"/>
              <w:textAlignment w:val="auto"/>
              <w:rPr>
                <w:rFonts w:hint="eastAsia" w:ascii="仿宋" w:hAnsi="仿宋" w:eastAsia="仿宋" w:cs="仿宋"/>
                <w:b/>
                <w:color w:val="auto"/>
                <w:kern w:val="2"/>
                <w:sz w:val="24"/>
                <w:szCs w:val="24"/>
                <w:highlight w:val="none"/>
                <w:lang w:val="en-US" w:eastAsia="zh-CN" w:bidi="ar-SA"/>
              </w:rPr>
            </w:pPr>
            <w:r>
              <w:rPr>
                <w:rFonts w:hint="eastAsia" w:ascii="仿宋" w:hAnsi="仿宋" w:eastAsia="仿宋" w:cs="仿宋"/>
                <w:b/>
                <w:color w:val="auto"/>
                <w:kern w:val="2"/>
                <w:sz w:val="24"/>
                <w:szCs w:val="24"/>
                <w:highlight w:val="none"/>
                <w:lang w:val="en-US" w:eastAsia="zh-CN" w:bidi="ar-SA"/>
              </w:rPr>
              <w:t>须提供相关证书复印件及本单位的近3个月社保缴纳证明。</w:t>
            </w:r>
          </w:p>
        </w:tc>
        <w:tc>
          <w:tcPr>
            <w:tcW w:w="1226" w:type="dxa"/>
            <w:tcBorders>
              <w:top w:val="single" w:color="auto" w:sz="4" w:space="0"/>
              <w:left w:val="single" w:color="auto" w:sz="4" w:space="0"/>
              <w:bottom w:val="single" w:color="auto" w:sz="4" w:space="0"/>
              <w:right w:val="single" w:color="auto" w:sz="4" w:space="0"/>
            </w:tcBorders>
            <w:noWrap w:val="0"/>
            <w:vAlign w:val="center"/>
          </w:tcPr>
          <w:p w14:paraId="32D4E96D">
            <w:pPr>
              <w:keepNext w:val="0"/>
              <w:keepLines w:val="0"/>
              <w:pageBreakBefore w:val="0"/>
              <w:widowControl w:val="0"/>
              <w:kinsoku/>
              <w:wordWrap/>
              <w:overflowPunct/>
              <w:topLinePunct w:val="0"/>
              <w:autoSpaceDN/>
              <w:bidi w:val="0"/>
              <w:adjustRightInd/>
              <w:snapToGrid w:val="0"/>
              <w:spacing w:line="360" w:lineRule="exact"/>
              <w:jc w:val="center"/>
              <w:textAlignment w:val="auto"/>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sz w:val="24"/>
                <w:szCs w:val="24"/>
                <w:highlight w:val="none"/>
                <w:lang w:val="en-US" w:eastAsia="zh-CN"/>
              </w:rPr>
              <w:t>6</w:t>
            </w:r>
          </w:p>
        </w:tc>
      </w:tr>
      <w:tr w14:paraId="09AD14E3">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13" w:hRule="atLeast"/>
          <w:jc w:val="center"/>
        </w:trPr>
        <w:tc>
          <w:tcPr>
            <w:tcW w:w="1210" w:type="dxa"/>
            <w:tcBorders>
              <w:top w:val="single" w:color="auto" w:sz="4" w:space="0"/>
              <w:left w:val="single" w:color="auto" w:sz="4" w:space="0"/>
              <w:bottom w:val="single" w:color="auto" w:sz="4" w:space="0"/>
              <w:right w:val="single" w:color="auto" w:sz="4" w:space="0"/>
            </w:tcBorders>
            <w:noWrap w:val="0"/>
            <w:vAlign w:val="center"/>
          </w:tcPr>
          <w:p w14:paraId="2945D539">
            <w:pPr>
              <w:autoSpaceDE w:val="0"/>
              <w:snapToGrid w:val="0"/>
              <w:spacing w:line="440" w:lineRule="exact"/>
              <w:jc w:val="center"/>
              <w:rPr>
                <w:rFonts w:hint="eastAsia" w:ascii="仿宋" w:hAnsi="仿宋" w:eastAsia="仿宋" w:cs="仿宋"/>
                <w:b/>
                <w:bCs/>
                <w:color w:val="auto"/>
                <w:kern w:val="2"/>
                <w:sz w:val="24"/>
                <w:highlight w:val="none"/>
                <w:lang w:val="en-US" w:eastAsia="zh-CN" w:bidi="ar-SA"/>
              </w:rPr>
            </w:pPr>
            <w:r>
              <w:rPr>
                <w:rFonts w:hint="eastAsia" w:ascii="仿宋" w:hAnsi="仿宋" w:eastAsia="仿宋" w:cs="仿宋"/>
                <w:b/>
                <w:bCs/>
                <w:color w:val="auto"/>
                <w:kern w:val="2"/>
                <w:sz w:val="24"/>
                <w:highlight w:val="none"/>
                <w:lang w:val="en-US" w:eastAsia="zh-CN" w:bidi="ar-SA"/>
              </w:rPr>
              <w:t>5</w:t>
            </w:r>
          </w:p>
        </w:tc>
        <w:tc>
          <w:tcPr>
            <w:tcW w:w="1210" w:type="dxa"/>
            <w:tcBorders>
              <w:top w:val="single" w:color="auto" w:sz="4" w:space="0"/>
              <w:left w:val="single" w:color="auto" w:sz="4" w:space="0"/>
              <w:bottom w:val="single" w:color="auto" w:sz="4" w:space="0"/>
              <w:right w:val="single" w:color="auto" w:sz="4" w:space="0"/>
            </w:tcBorders>
            <w:noWrap w:val="0"/>
            <w:vAlign w:val="center"/>
          </w:tcPr>
          <w:p w14:paraId="3E95FC3E">
            <w:pPr>
              <w:keepNext w:val="0"/>
              <w:keepLines w:val="0"/>
              <w:pageBreakBefore w:val="0"/>
              <w:widowControl w:val="0"/>
              <w:kinsoku/>
              <w:wordWrap/>
              <w:overflowPunct/>
              <w:topLinePunct w:val="0"/>
              <w:autoSpaceDE w:val="0"/>
              <w:autoSpaceDN/>
              <w:bidi w:val="0"/>
              <w:adjustRightInd/>
              <w:snapToGrid w:val="0"/>
              <w:spacing w:line="360" w:lineRule="exact"/>
              <w:jc w:val="center"/>
              <w:textAlignment w:val="auto"/>
              <w:rPr>
                <w:rFonts w:hint="eastAsia" w:ascii="仿宋" w:hAnsi="仿宋" w:eastAsia="仿宋" w:cs="仿宋"/>
                <w:b/>
                <w:bCs/>
                <w:color w:val="auto"/>
                <w:sz w:val="24"/>
                <w:highlight w:val="none"/>
                <w:lang w:eastAsia="zh-CN"/>
              </w:rPr>
            </w:pPr>
            <w:r>
              <w:rPr>
                <w:rFonts w:hint="eastAsia" w:ascii="仿宋" w:hAnsi="仿宋" w:eastAsia="仿宋" w:cs="仿宋"/>
                <w:b/>
                <w:bCs/>
                <w:color w:val="auto"/>
                <w:sz w:val="24"/>
                <w:highlight w:val="none"/>
                <w:lang w:eastAsia="zh-CN"/>
              </w:rPr>
              <w:t>项目团队</w:t>
            </w:r>
          </w:p>
        </w:tc>
        <w:tc>
          <w:tcPr>
            <w:tcW w:w="6113" w:type="dxa"/>
            <w:tcBorders>
              <w:top w:val="single" w:color="auto" w:sz="4" w:space="0"/>
              <w:left w:val="single" w:color="auto" w:sz="4" w:space="0"/>
              <w:bottom w:val="single" w:color="auto" w:sz="4" w:space="0"/>
              <w:right w:val="single" w:color="auto" w:sz="4" w:space="0"/>
            </w:tcBorders>
            <w:noWrap w:val="0"/>
            <w:vAlign w:val="center"/>
          </w:tcPr>
          <w:p w14:paraId="49E5B401">
            <w:pPr>
              <w:keepNext w:val="0"/>
              <w:keepLines w:val="0"/>
              <w:pageBreakBefore w:val="0"/>
              <w:widowControl w:val="0"/>
              <w:kinsoku/>
              <w:wordWrap/>
              <w:overflowPunct/>
              <w:topLinePunct w:val="0"/>
              <w:autoSpaceDE w:val="0"/>
              <w:autoSpaceDN/>
              <w:bidi w:val="0"/>
              <w:adjustRightInd/>
              <w:snapToGrid w:val="0"/>
              <w:spacing w:line="360" w:lineRule="exact"/>
              <w:ind w:firstLine="482" w:firstLineChars="200"/>
              <w:jc w:val="left"/>
              <w:textAlignment w:val="auto"/>
              <w:rPr>
                <w:rFonts w:hint="eastAsia" w:ascii="仿宋" w:hAnsi="仿宋" w:eastAsia="仿宋" w:cs="仿宋"/>
                <w:b/>
                <w:bCs/>
                <w:color w:val="auto"/>
                <w:sz w:val="24"/>
                <w:highlight w:val="none"/>
                <w:lang w:val="en-US" w:eastAsia="zh-CN"/>
              </w:rPr>
            </w:pPr>
            <w:r>
              <w:rPr>
                <w:rFonts w:hint="eastAsia" w:ascii="仿宋" w:hAnsi="仿宋" w:eastAsia="仿宋" w:cs="仿宋"/>
                <w:b/>
                <w:bCs/>
                <w:color w:val="auto"/>
                <w:sz w:val="24"/>
                <w:highlight w:val="none"/>
                <w:lang w:val="en-US" w:eastAsia="zh-CN"/>
              </w:rPr>
              <w:t>根据项目组成员投入情况，是否满足工作要求以及人员配置是否齐全合理进行打分，满足工作要求、齐全合理得8分，基本满足工作要求，较齐全合理得6分，满足工作要求一般、不够齐全合理得4分。</w:t>
            </w:r>
          </w:p>
          <w:p w14:paraId="0BEFF80B">
            <w:pPr>
              <w:keepNext w:val="0"/>
              <w:keepLines w:val="0"/>
              <w:pageBreakBefore w:val="0"/>
              <w:widowControl w:val="0"/>
              <w:kinsoku/>
              <w:wordWrap/>
              <w:overflowPunct/>
              <w:topLinePunct w:val="0"/>
              <w:autoSpaceDE w:val="0"/>
              <w:autoSpaceDN/>
              <w:bidi w:val="0"/>
              <w:adjustRightInd/>
              <w:snapToGrid w:val="0"/>
              <w:spacing w:line="360" w:lineRule="exact"/>
              <w:ind w:firstLine="482" w:firstLineChars="200"/>
              <w:jc w:val="left"/>
              <w:textAlignment w:val="auto"/>
              <w:rPr>
                <w:rFonts w:hint="eastAsia"/>
                <w:color w:val="auto"/>
                <w:highlight w:val="none"/>
                <w:lang w:val="en-US" w:eastAsia="zh-CN"/>
              </w:rPr>
            </w:pPr>
            <w:r>
              <w:rPr>
                <w:rFonts w:hint="eastAsia" w:ascii="仿宋" w:hAnsi="仿宋" w:eastAsia="仿宋" w:cs="仿宋"/>
                <w:b/>
                <w:bCs/>
                <w:color w:val="auto"/>
                <w:sz w:val="24"/>
                <w:highlight w:val="none"/>
                <w:lang w:val="en-US" w:eastAsia="zh-CN"/>
              </w:rPr>
              <w:t>（投标文件中提供证书复印件及近3个月社保并加盖投标供应商公章，不提供不得分）</w:t>
            </w:r>
          </w:p>
        </w:tc>
        <w:tc>
          <w:tcPr>
            <w:tcW w:w="1226" w:type="dxa"/>
            <w:tcBorders>
              <w:top w:val="single" w:color="auto" w:sz="4" w:space="0"/>
              <w:left w:val="single" w:color="auto" w:sz="4" w:space="0"/>
              <w:bottom w:val="single" w:color="auto" w:sz="4" w:space="0"/>
              <w:right w:val="single" w:color="auto" w:sz="4" w:space="0"/>
            </w:tcBorders>
            <w:noWrap w:val="0"/>
            <w:vAlign w:val="center"/>
          </w:tcPr>
          <w:p w14:paraId="314E579A">
            <w:pPr>
              <w:bidi w:val="0"/>
              <w:jc w:val="center"/>
              <w:rPr>
                <w:rFonts w:hint="eastAsia" w:ascii="仿宋" w:hAnsi="仿宋" w:eastAsia="仿宋" w:cs="仿宋"/>
                <w:b w:val="0"/>
                <w:bCs w:val="0"/>
                <w:color w:val="auto"/>
                <w:kern w:val="2"/>
                <w:sz w:val="21"/>
                <w:szCs w:val="20"/>
                <w:highlight w:val="none"/>
                <w:lang w:val="en-US" w:eastAsia="zh-CN" w:bidi="ar-SA"/>
              </w:rPr>
            </w:pPr>
            <w:r>
              <w:rPr>
                <w:rFonts w:hint="eastAsia" w:ascii="仿宋" w:hAnsi="仿宋" w:eastAsia="仿宋" w:cs="仿宋"/>
                <w:b w:val="0"/>
                <w:bCs w:val="0"/>
                <w:color w:val="auto"/>
                <w:sz w:val="24"/>
                <w:szCs w:val="24"/>
                <w:highlight w:val="none"/>
                <w:lang w:val="en-US" w:eastAsia="zh-CN"/>
              </w:rPr>
              <w:t>8</w:t>
            </w:r>
          </w:p>
        </w:tc>
      </w:tr>
      <w:tr w14:paraId="32BF65A9">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13" w:hRule="atLeast"/>
          <w:jc w:val="center"/>
        </w:trPr>
        <w:tc>
          <w:tcPr>
            <w:tcW w:w="1210" w:type="dxa"/>
            <w:vMerge w:val="restart"/>
            <w:tcBorders>
              <w:top w:val="single" w:color="auto" w:sz="4" w:space="0"/>
              <w:left w:val="single" w:color="auto" w:sz="4" w:space="0"/>
              <w:bottom w:val="single" w:color="auto" w:sz="4" w:space="0"/>
              <w:right w:val="single" w:color="auto" w:sz="4" w:space="0"/>
            </w:tcBorders>
            <w:noWrap w:val="0"/>
            <w:vAlign w:val="center"/>
          </w:tcPr>
          <w:p w14:paraId="55B34D4C">
            <w:pPr>
              <w:autoSpaceDE w:val="0"/>
              <w:snapToGrid w:val="0"/>
              <w:spacing w:line="440" w:lineRule="exact"/>
              <w:jc w:val="center"/>
              <w:rPr>
                <w:rFonts w:hint="eastAsia" w:ascii="仿宋" w:hAnsi="仿宋" w:eastAsia="仿宋" w:cs="仿宋"/>
                <w:b/>
                <w:bCs/>
                <w:color w:val="auto"/>
                <w:kern w:val="2"/>
                <w:sz w:val="24"/>
                <w:szCs w:val="20"/>
                <w:highlight w:val="none"/>
                <w:lang w:val="en-US" w:eastAsia="zh-CN" w:bidi="ar-SA"/>
              </w:rPr>
            </w:pPr>
            <w:r>
              <w:rPr>
                <w:rFonts w:hint="eastAsia" w:ascii="仿宋" w:hAnsi="仿宋" w:eastAsia="仿宋" w:cs="仿宋"/>
                <w:b/>
                <w:bCs/>
                <w:color w:val="auto"/>
                <w:sz w:val="24"/>
                <w:highlight w:val="none"/>
                <w:lang w:val="en-US" w:eastAsia="zh-CN"/>
              </w:rPr>
              <w:t>6</w:t>
            </w:r>
          </w:p>
        </w:tc>
        <w:tc>
          <w:tcPr>
            <w:tcW w:w="1210" w:type="dxa"/>
            <w:vMerge w:val="restart"/>
            <w:tcBorders>
              <w:top w:val="single" w:color="auto" w:sz="4" w:space="0"/>
              <w:left w:val="single" w:color="auto" w:sz="4" w:space="0"/>
              <w:bottom w:val="single" w:color="auto" w:sz="4" w:space="0"/>
              <w:right w:val="single" w:color="auto" w:sz="4" w:space="0"/>
            </w:tcBorders>
            <w:noWrap w:val="0"/>
            <w:vAlign w:val="center"/>
          </w:tcPr>
          <w:p w14:paraId="5FD517FA">
            <w:pPr>
              <w:keepNext w:val="0"/>
              <w:keepLines w:val="0"/>
              <w:pageBreakBefore w:val="0"/>
              <w:widowControl w:val="0"/>
              <w:kinsoku/>
              <w:wordWrap/>
              <w:overflowPunct/>
              <w:topLinePunct w:val="0"/>
              <w:autoSpaceDE w:val="0"/>
              <w:autoSpaceDN/>
              <w:bidi w:val="0"/>
              <w:adjustRightInd/>
              <w:snapToGrid w:val="0"/>
              <w:spacing w:line="360" w:lineRule="exact"/>
              <w:jc w:val="center"/>
              <w:textAlignment w:val="auto"/>
              <w:rPr>
                <w:rFonts w:hint="eastAsia" w:ascii="仿宋" w:hAnsi="仿宋" w:eastAsia="仿宋" w:cs="仿宋"/>
                <w:b/>
                <w:bCs/>
                <w:color w:val="auto"/>
                <w:kern w:val="2"/>
                <w:sz w:val="24"/>
                <w:szCs w:val="20"/>
                <w:highlight w:val="none"/>
                <w:lang w:val="en-US" w:eastAsia="zh-CN" w:bidi="ar-SA"/>
              </w:rPr>
            </w:pPr>
            <w:r>
              <w:rPr>
                <w:rFonts w:hint="eastAsia" w:ascii="仿宋" w:hAnsi="仿宋" w:eastAsia="仿宋" w:cs="仿宋"/>
                <w:b/>
                <w:bCs/>
                <w:color w:val="auto"/>
                <w:sz w:val="24"/>
                <w:highlight w:val="none"/>
                <w:lang w:val="en-US" w:eastAsia="zh-CN"/>
              </w:rPr>
              <w:t>服务</w:t>
            </w:r>
            <w:r>
              <w:rPr>
                <w:rFonts w:hint="eastAsia" w:ascii="仿宋" w:hAnsi="仿宋" w:eastAsia="仿宋" w:cs="仿宋"/>
                <w:b/>
                <w:bCs/>
                <w:color w:val="auto"/>
                <w:sz w:val="24"/>
                <w:highlight w:val="none"/>
                <w:lang w:eastAsia="zh-CN"/>
              </w:rPr>
              <w:t>方案</w:t>
            </w:r>
          </w:p>
        </w:tc>
        <w:tc>
          <w:tcPr>
            <w:tcW w:w="6113" w:type="dxa"/>
            <w:tcBorders>
              <w:top w:val="single" w:color="auto" w:sz="4" w:space="0"/>
              <w:left w:val="single" w:color="auto" w:sz="4" w:space="0"/>
              <w:bottom w:val="single" w:color="auto" w:sz="4" w:space="0"/>
              <w:right w:val="single" w:color="auto" w:sz="4" w:space="0"/>
            </w:tcBorders>
            <w:noWrap w:val="0"/>
            <w:vAlign w:val="center"/>
          </w:tcPr>
          <w:p w14:paraId="17A32DEC">
            <w:pPr>
              <w:keepNext w:val="0"/>
              <w:keepLines w:val="0"/>
              <w:pageBreakBefore w:val="0"/>
              <w:widowControl w:val="0"/>
              <w:kinsoku/>
              <w:wordWrap/>
              <w:overflowPunct/>
              <w:topLinePunct w:val="0"/>
              <w:autoSpaceDE w:val="0"/>
              <w:autoSpaceDN/>
              <w:bidi w:val="0"/>
              <w:adjustRightInd/>
              <w:snapToGrid w:val="0"/>
              <w:spacing w:line="360" w:lineRule="exact"/>
              <w:ind w:firstLine="482" w:firstLineChars="200"/>
              <w:jc w:val="left"/>
              <w:textAlignment w:val="auto"/>
              <w:rPr>
                <w:rFonts w:hint="eastAsia" w:ascii="仿宋" w:hAnsi="仿宋" w:eastAsia="仿宋" w:cs="仿宋"/>
                <w:b/>
                <w:color w:val="auto"/>
                <w:kern w:val="2"/>
                <w:sz w:val="24"/>
                <w:szCs w:val="24"/>
                <w:highlight w:val="none"/>
                <w:lang w:val="en-US" w:eastAsia="zh-CN" w:bidi="ar-SA"/>
              </w:rPr>
            </w:pPr>
            <w:bookmarkStart w:id="173" w:name="OLE_LINK38"/>
            <w:r>
              <w:rPr>
                <w:rFonts w:hint="eastAsia" w:ascii="仿宋" w:hAnsi="仿宋" w:eastAsia="仿宋" w:cs="仿宋"/>
                <w:b/>
                <w:color w:val="auto"/>
                <w:kern w:val="2"/>
                <w:sz w:val="24"/>
                <w:szCs w:val="24"/>
                <w:highlight w:val="none"/>
                <w:lang w:val="en-US" w:eastAsia="zh-CN" w:bidi="ar-SA"/>
              </w:rPr>
              <w:t>根据实施方案中针对本项目的项目背景及现状的认识进行评议，方案内容包括但不限于项目分析、工作思路与安排、工作流程计划、预期目标等。</w:t>
            </w:r>
          </w:p>
          <w:p w14:paraId="24A8137D">
            <w:pPr>
              <w:keepNext w:val="0"/>
              <w:keepLines w:val="0"/>
              <w:pageBreakBefore w:val="0"/>
              <w:widowControl w:val="0"/>
              <w:kinsoku/>
              <w:wordWrap/>
              <w:overflowPunct/>
              <w:topLinePunct w:val="0"/>
              <w:autoSpaceDE w:val="0"/>
              <w:autoSpaceDN/>
              <w:bidi w:val="0"/>
              <w:adjustRightInd/>
              <w:snapToGrid w:val="0"/>
              <w:spacing w:line="360" w:lineRule="exact"/>
              <w:ind w:firstLine="482" w:firstLineChars="200"/>
              <w:jc w:val="left"/>
              <w:textAlignment w:val="auto"/>
              <w:rPr>
                <w:rFonts w:hint="eastAsia" w:ascii="仿宋" w:hAnsi="仿宋" w:eastAsia="仿宋" w:cs="仿宋"/>
                <w:b/>
                <w:bCs/>
                <w:color w:val="auto"/>
                <w:sz w:val="24"/>
                <w:highlight w:val="none"/>
                <w:lang w:val="en-US" w:eastAsia="zh-CN"/>
              </w:rPr>
            </w:pPr>
            <w:r>
              <w:rPr>
                <w:rFonts w:hint="eastAsia" w:ascii="仿宋" w:hAnsi="仿宋" w:eastAsia="仿宋" w:cs="仿宋"/>
                <w:b/>
                <w:bCs/>
                <w:color w:val="auto"/>
                <w:sz w:val="24"/>
                <w:highlight w:val="none"/>
                <w:lang w:val="en-US" w:eastAsia="zh-CN"/>
              </w:rPr>
              <w:t>1.方案内容完整详细，完全满足采购需求的，得8分；</w:t>
            </w:r>
          </w:p>
          <w:p w14:paraId="6C882FF1">
            <w:pPr>
              <w:keepNext w:val="0"/>
              <w:keepLines w:val="0"/>
              <w:pageBreakBefore w:val="0"/>
              <w:widowControl w:val="0"/>
              <w:kinsoku/>
              <w:wordWrap/>
              <w:overflowPunct/>
              <w:topLinePunct w:val="0"/>
              <w:autoSpaceDE w:val="0"/>
              <w:autoSpaceDN/>
              <w:bidi w:val="0"/>
              <w:adjustRightInd/>
              <w:snapToGrid w:val="0"/>
              <w:spacing w:line="360" w:lineRule="exact"/>
              <w:ind w:firstLine="482" w:firstLineChars="200"/>
              <w:jc w:val="left"/>
              <w:textAlignment w:val="auto"/>
              <w:rPr>
                <w:rFonts w:hint="eastAsia" w:ascii="仿宋" w:hAnsi="仿宋" w:eastAsia="仿宋" w:cs="仿宋"/>
                <w:b/>
                <w:bCs/>
                <w:color w:val="auto"/>
                <w:sz w:val="24"/>
                <w:highlight w:val="none"/>
                <w:lang w:val="en-US" w:eastAsia="zh-CN"/>
              </w:rPr>
            </w:pPr>
            <w:r>
              <w:rPr>
                <w:rFonts w:hint="eastAsia" w:ascii="仿宋" w:hAnsi="仿宋" w:eastAsia="仿宋" w:cs="仿宋"/>
                <w:b/>
                <w:bCs/>
                <w:color w:val="auto"/>
                <w:sz w:val="24"/>
                <w:highlight w:val="none"/>
                <w:lang w:val="en-US" w:eastAsia="zh-CN"/>
              </w:rPr>
              <w:t xml:space="preserve">2.方案内容详细，贴近采购需求的，得6 分； </w:t>
            </w:r>
          </w:p>
          <w:p w14:paraId="3AF30932">
            <w:pPr>
              <w:keepNext w:val="0"/>
              <w:keepLines w:val="0"/>
              <w:pageBreakBefore w:val="0"/>
              <w:widowControl w:val="0"/>
              <w:kinsoku/>
              <w:wordWrap/>
              <w:overflowPunct/>
              <w:topLinePunct w:val="0"/>
              <w:autoSpaceDE w:val="0"/>
              <w:autoSpaceDN/>
              <w:bidi w:val="0"/>
              <w:adjustRightInd/>
              <w:snapToGrid w:val="0"/>
              <w:spacing w:line="360" w:lineRule="exact"/>
              <w:ind w:firstLine="482" w:firstLineChars="200"/>
              <w:jc w:val="left"/>
              <w:textAlignment w:val="auto"/>
              <w:rPr>
                <w:rFonts w:hint="eastAsia" w:ascii="仿宋" w:hAnsi="仿宋" w:eastAsia="仿宋" w:cs="仿宋"/>
                <w:b/>
                <w:bCs/>
                <w:color w:val="auto"/>
                <w:sz w:val="24"/>
                <w:highlight w:val="none"/>
                <w:lang w:val="en-US" w:eastAsia="zh-CN"/>
              </w:rPr>
            </w:pPr>
            <w:r>
              <w:rPr>
                <w:rFonts w:hint="eastAsia" w:ascii="仿宋" w:hAnsi="仿宋" w:eastAsia="仿宋" w:cs="仿宋"/>
                <w:b/>
                <w:bCs/>
                <w:color w:val="auto"/>
                <w:sz w:val="24"/>
                <w:highlight w:val="none"/>
                <w:lang w:val="en-US" w:eastAsia="zh-CN"/>
              </w:rPr>
              <w:t>3.方案的适用性、可行性有待提升的，得4分；</w:t>
            </w:r>
          </w:p>
          <w:p w14:paraId="259AA353">
            <w:pPr>
              <w:keepNext w:val="0"/>
              <w:keepLines w:val="0"/>
              <w:pageBreakBefore w:val="0"/>
              <w:widowControl w:val="0"/>
              <w:kinsoku/>
              <w:wordWrap/>
              <w:overflowPunct/>
              <w:topLinePunct w:val="0"/>
              <w:autoSpaceDE w:val="0"/>
              <w:autoSpaceDN/>
              <w:bidi w:val="0"/>
              <w:adjustRightInd/>
              <w:snapToGrid w:val="0"/>
              <w:spacing w:line="360" w:lineRule="exact"/>
              <w:ind w:firstLine="482" w:firstLineChars="200"/>
              <w:jc w:val="left"/>
              <w:textAlignment w:val="auto"/>
              <w:rPr>
                <w:rFonts w:hint="eastAsia" w:ascii="仿宋" w:hAnsi="仿宋" w:eastAsia="仿宋" w:cs="仿宋"/>
                <w:b/>
                <w:color w:val="auto"/>
                <w:kern w:val="2"/>
                <w:sz w:val="24"/>
                <w:szCs w:val="24"/>
                <w:highlight w:val="none"/>
                <w:lang w:val="en-US" w:eastAsia="zh-CN" w:bidi="ar-SA"/>
              </w:rPr>
            </w:pPr>
            <w:r>
              <w:rPr>
                <w:rFonts w:hint="eastAsia" w:ascii="仿宋" w:hAnsi="仿宋" w:eastAsia="仿宋" w:cs="仿宋"/>
                <w:b/>
                <w:bCs/>
                <w:color w:val="auto"/>
                <w:sz w:val="24"/>
                <w:highlight w:val="none"/>
                <w:lang w:val="en-US" w:eastAsia="zh-CN"/>
              </w:rPr>
              <w:t>4.未提供者不得分。</w:t>
            </w:r>
            <w:bookmarkEnd w:id="173"/>
          </w:p>
        </w:tc>
        <w:tc>
          <w:tcPr>
            <w:tcW w:w="1226" w:type="dxa"/>
            <w:tcBorders>
              <w:top w:val="single" w:color="auto" w:sz="4" w:space="0"/>
              <w:left w:val="single" w:color="auto" w:sz="4" w:space="0"/>
              <w:bottom w:val="single" w:color="auto" w:sz="4" w:space="0"/>
              <w:right w:val="single" w:color="auto" w:sz="4" w:space="0"/>
            </w:tcBorders>
            <w:noWrap w:val="0"/>
            <w:vAlign w:val="center"/>
          </w:tcPr>
          <w:p w14:paraId="28128021">
            <w:pPr>
              <w:bidi w:val="0"/>
              <w:jc w:val="center"/>
              <w:rPr>
                <w:rFonts w:hint="default"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8</w:t>
            </w:r>
          </w:p>
        </w:tc>
      </w:tr>
      <w:tr w14:paraId="1B97EF96">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1141" w:hRule="atLeast"/>
          <w:jc w:val="center"/>
        </w:trPr>
        <w:tc>
          <w:tcPr>
            <w:tcW w:w="1210" w:type="dxa"/>
            <w:vMerge w:val="continue"/>
            <w:tcBorders>
              <w:top w:val="single" w:color="auto" w:sz="4" w:space="0"/>
              <w:left w:val="single" w:color="auto" w:sz="4" w:space="0"/>
              <w:bottom w:val="single" w:color="auto" w:sz="4" w:space="0"/>
              <w:right w:val="single" w:color="auto" w:sz="4" w:space="0"/>
            </w:tcBorders>
            <w:noWrap w:val="0"/>
            <w:vAlign w:val="center"/>
          </w:tcPr>
          <w:p w14:paraId="7706E3C4">
            <w:pPr>
              <w:autoSpaceDE w:val="0"/>
              <w:snapToGrid w:val="0"/>
              <w:spacing w:line="440" w:lineRule="exact"/>
              <w:jc w:val="center"/>
              <w:rPr>
                <w:rFonts w:hint="eastAsia" w:ascii="仿宋" w:hAnsi="仿宋" w:eastAsia="仿宋" w:cs="仿宋"/>
                <w:b/>
                <w:bCs/>
                <w:color w:val="auto"/>
                <w:sz w:val="24"/>
                <w:highlight w:val="none"/>
                <w:lang w:val="en-US" w:eastAsia="zh-CN"/>
              </w:rPr>
            </w:pPr>
          </w:p>
        </w:tc>
        <w:tc>
          <w:tcPr>
            <w:tcW w:w="1210" w:type="dxa"/>
            <w:vMerge w:val="continue"/>
            <w:tcBorders>
              <w:top w:val="single" w:color="auto" w:sz="4" w:space="0"/>
              <w:left w:val="single" w:color="auto" w:sz="4" w:space="0"/>
              <w:bottom w:val="single" w:color="auto" w:sz="4" w:space="0"/>
              <w:right w:val="single" w:color="auto" w:sz="4" w:space="0"/>
            </w:tcBorders>
            <w:noWrap w:val="0"/>
            <w:vAlign w:val="center"/>
          </w:tcPr>
          <w:p w14:paraId="2C38A605">
            <w:pPr>
              <w:keepNext w:val="0"/>
              <w:keepLines w:val="0"/>
              <w:pageBreakBefore w:val="0"/>
              <w:widowControl w:val="0"/>
              <w:kinsoku/>
              <w:wordWrap/>
              <w:overflowPunct/>
              <w:topLinePunct w:val="0"/>
              <w:autoSpaceDE w:val="0"/>
              <w:autoSpaceDN/>
              <w:bidi w:val="0"/>
              <w:adjustRightInd/>
              <w:snapToGrid w:val="0"/>
              <w:spacing w:line="360" w:lineRule="exact"/>
              <w:jc w:val="center"/>
              <w:textAlignment w:val="auto"/>
              <w:rPr>
                <w:rFonts w:hint="eastAsia" w:ascii="仿宋" w:hAnsi="仿宋" w:eastAsia="仿宋" w:cs="仿宋"/>
                <w:b/>
                <w:bCs/>
                <w:color w:val="auto"/>
                <w:sz w:val="24"/>
                <w:highlight w:val="none"/>
                <w:lang w:eastAsia="zh-CN"/>
              </w:rPr>
            </w:pPr>
          </w:p>
        </w:tc>
        <w:tc>
          <w:tcPr>
            <w:tcW w:w="6113" w:type="dxa"/>
            <w:tcBorders>
              <w:top w:val="single" w:color="auto" w:sz="4" w:space="0"/>
              <w:left w:val="single" w:color="auto" w:sz="4" w:space="0"/>
              <w:bottom w:val="single" w:color="auto" w:sz="4" w:space="0"/>
              <w:right w:val="single" w:color="auto" w:sz="4" w:space="0"/>
            </w:tcBorders>
            <w:noWrap w:val="0"/>
            <w:vAlign w:val="center"/>
          </w:tcPr>
          <w:p w14:paraId="5A8A0CA7">
            <w:pPr>
              <w:keepNext w:val="0"/>
              <w:keepLines w:val="0"/>
              <w:pageBreakBefore w:val="0"/>
              <w:widowControl w:val="0"/>
              <w:kinsoku/>
              <w:wordWrap/>
              <w:overflowPunct/>
              <w:topLinePunct w:val="0"/>
              <w:autoSpaceDE w:val="0"/>
              <w:autoSpaceDN/>
              <w:bidi w:val="0"/>
              <w:adjustRightInd/>
              <w:snapToGrid w:val="0"/>
              <w:spacing w:line="360" w:lineRule="exact"/>
              <w:ind w:firstLine="482" w:firstLineChars="200"/>
              <w:jc w:val="left"/>
              <w:textAlignment w:val="auto"/>
              <w:rPr>
                <w:rFonts w:hint="eastAsia" w:ascii="仿宋" w:hAnsi="仿宋" w:eastAsia="仿宋" w:cs="仿宋"/>
                <w:b/>
                <w:bCs/>
                <w:color w:val="auto"/>
                <w:sz w:val="24"/>
                <w:highlight w:val="none"/>
                <w:lang w:val="en-US" w:eastAsia="zh-CN"/>
              </w:rPr>
            </w:pPr>
            <w:r>
              <w:rPr>
                <w:rFonts w:hint="eastAsia" w:ascii="仿宋" w:hAnsi="仿宋" w:eastAsia="仿宋" w:cs="仿宋"/>
                <w:b/>
                <w:bCs/>
                <w:color w:val="auto"/>
                <w:sz w:val="24"/>
                <w:highlight w:val="none"/>
                <w:lang w:val="en-US" w:eastAsia="zh-CN"/>
              </w:rPr>
              <w:t>根据</w:t>
            </w:r>
            <w:bookmarkStart w:id="174" w:name="OLE_LINK11"/>
            <w:r>
              <w:rPr>
                <w:rFonts w:hint="eastAsia" w:ascii="仿宋" w:hAnsi="仿宋" w:eastAsia="仿宋" w:cs="仿宋"/>
                <w:b/>
                <w:bCs/>
                <w:color w:val="auto"/>
                <w:sz w:val="24"/>
                <w:highlight w:val="none"/>
                <w:lang w:val="en-US" w:eastAsia="zh-CN"/>
              </w:rPr>
              <w:t>投标人</w:t>
            </w:r>
            <w:bookmarkEnd w:id="174"/>
            <w:r>
              <w:rPr>
                <w:rFonts w:hint="eastAsia" w:ascii="仿宋" w:hAnsi="仿宋" w:eastAsia="仿宋" w:cs="仿宋"/>
                <w:b/>
                <w:bCs/>
                <w:color w:val="auto"/>
                <w:sz w:val="24"/>
                <w:highlight w:val="none"/>
                <w:lang w:val="en-US" w:eastAsia="zh-CN"/>
              </w:rPr>
              <w:t>针对</w:t>
            </w:r>
            <w:bookmarkStart w:id="175" w:name="OLE_LINK16"/>
            <w:r>
              <w:rPr>
                <w:rFonts w:hint="eastAsia" w:ascii="仿宋" w:hAnsi="仿宋" w:eastAsia="仿宋" w:cs="仿宋"/>
                <w:b/>
                <w:bCs/>
                <w:color w:val="auto"/>
                <w:sz w:val="24"/>
                <w:highlight w:val="none"/>
                <w:lang w:val="en-US" w:eastAsia="zh-CN"/>
              </w:rPr>
              <w:t>本项目</w:t>
            </w:r>
            <w:bookmarkEnd w:id="175"/>
            <w:r>
              <w:rPr>
                <w:rFonts w:hint="eastAsia" w:ascii="仿宋" w:hAnsi="仿宋" w:eastAsia="仿宋" w:cs="仿宋"/>
                <w:b/>
                <w:bCs/>
                <w:color w:val="auto"/>
                <w:sz w:val="24"/>
                <w:highlight w:val="none"/>
                <w:lang w:val="en-US" w:eastAsia="zh-CN"/>
              </w:rPr>
              <w:t>特种设备隐患排查的组织实施服务制定完善工作及管理流程方案进行评审，内容包括但不限于</w:t>
            </w:r>
            <w:r>
              <w:rPr>
                <w:rFonts w:hint="eastAsia" w:ascii="仿宋" w:hAnsi="仿宋" w:eastAsia="仿宋" w:cs="仿宋"/>
                <w:b/>
                <w:color w:val="auto"/>
                <w:kern w:val="2"/>
                <w:sz w:val="24"/>
                <w:szCs w:val="24"/>
                <w:highlight w:val="none"/>
                <w:lang w:val="en-US" w:eastAsia="zh-CN" w:bidi="ar-SA"/>
              </w:rPr>
              <w:t>巡查计划、时间安排、巡查人员安排、信息反馈措施</w:t>
            </w:r>
            <w:r>
              <w:rPr>
                <w:rFonts w:hint="eastAsia" w:ascii="仿宋" w:hAnsi="仿宋" w:eastAsia="仿宋" w:cs="仿宋"/>
                <w:b/>
                <w:bCs/>
                <w:color w:val="auto"/>
                <w:sz w:val="24"/>
                <w:highlight w:val="none"/>
                <w:lang w:val="en-US" w:eastAsia="zh-CN"/>
              </w:rPr>
              <w:t>等。</w:t>
            </w:r>
          </w:p>
          <w:p w14:paraId="3BD259BB">
            <w:pPr>
              <w:keepNext w:val="0"/>
              <w:keepLines w:val="0"/>
              <w:pageBreakBefore w:val="0"/>
              <w:widowControl w:val="0"/>
              <w:kinsoku/>
              <w:wordWrap/>
              <w:overflowPunct/>
              <w:topLinePunct w:val="0"/>
              <w:autoSpaceDE w:val="0"/>
              <w:autoSpaceDN/>
              <w:bidi w:val="0"/>
              <w:adjustRightInd/>
              <w:snapToGrid w:val="0"/>
              <w:spacing w:line="360" w:lineRule="exact"/>
              <w:ind w:firstLine="482" w:firstLineChars="200"/>
              <w:jc w:val="left"/>
              <w:textAlignment w:val="auto"/>
              <w:rPr>
                <w:rFonts w:hint="eastAsia" w:ascii="仿宋" w:hAnsi="仿宋" w:eastAsia="仿宋" w:cs="仿宋"/>
                <w:b/>
                <w:bCs/>
                <w:color w:val="auto"/>
                <w:sz w:val="24"/>
                <w:highlight w:val="none"/>
                <w:lang w:val="en-US" w:eastAsia="zh-CN"/>
              </w:rPr>
            </w:pPr>
            <w:bookmarkStart w:id="176" w:name="OLE_LINK19"/>
            <w:r>
              <w:rPr>
                <w:rFonts w:hint="eastAsia" w:ascii="仿宋" w:hAnsi="仿宋" w:eastAsia="仿宋" w:cs="仿宋"/>
                <w:b/>
                <w:bCs/>
                <w:color w:val="auto"/>
                <w:sz w:val="24"/>
                <w:highlight w:val="none"/>
                <w:lang w:val="en-US" w:eastAsia="zh-CN"/>
              </w:rPr>
              <w:t>1.方案内容完整详细，完全满足采购需求的，得8分；</w:t>
            </w:r>
          </w:p>
          <w:p w14:paraId="4B39F04E">
            <w:pPr>
              <w:keepNext w:val="0"/>
              <w:keepLines w:val="0"/>
              <w:pageBreakBefore w:val="0"/>
              <w:widowControl w:val="0"/>
              <w:kinsoku/>
              <w:wordWrap/>
              <w:overflowPunct/>
              <w:topLinePunct w:val="0"/>
              <w:autoSpaceDE w:val="0"/>
              <w:autoSpaceDN/>
              <w:bidi w:val="0"/>
              <w:adjustRightInd/>
              <w:snapToGrid w:val="0"/>
              <w:spacing w:line="360" w:lineRule="exact"/>
              <w:ind w:firstLine="482" w:firstLineChars="200"/>
              <w:jc w:val="left"/>
              <w:textAlignment w:val="auto"/>
              <w:rPr>
                <w:rFonts w:hint="eastAsia" w:ascii="仿宋" w:hAnsi="仿宋" w:eastAsia="仿宋" w:cs="仿宋"/>
                <w:b/>
                <w:bCs/>
                <w:color w:val="auto"/>
                <w:sz w:val="24"/>
                <w:highlight w:val="none"/>
                <w:lang w:val="en-US" w:eastAsia="zh-CN"/>
              </w:rPr>
            </w:pPr>
            <w:r>
              <w:rPr>
                <w:rFonts w:hint="eastAsia" w:ascii="仿宋" w:hAnsi="仿宋" w:eastAsia="仿宋" w:cs="仿宋"/>
                <w:b/>
                <w:bCs/>
                <w:color w:val="auto"/>
                <w:sz w:val="24"/>
                <w:highlight w:val="none"/>
                <w:lang w:val="en-US" w:eastAsia="zh-CN"/>
              </w:rPr>
              <w:t xml:space="preserve">2.方案内容详细，贴近采购需求的，得6 分； </w:t>
            </w:r>
          </w:p>
          <w:p w14:paraId="6ED9D0CC">
            <w:pPr>
              <w:keepNext w:val="0"/>
              <w:keepLines w:val="0"/>
              <w:pageBreakBefore w:val="0"/>
              <w:widowControl w:val="0"/>
              <w:kinsoku/>
              <w:wordWrap/>
              <w:overflowPunct/>
              <w:topLinePunct w:val="0"/>
              <w:autoSpaceDE w:val="0"/>
              <w:autoSpaceDN/>
              <w:bidi w:val="0"/>
              <w:adjustRightInd/>
              <w:snapToGrid w:val="0"/>
              <w:spacing w:line="360" w:lineRule="exact"/>
              <w:ind w:firstLine="482" w:firstLineChars="200"/>
              <w:jc w:val="left"/>
              <w:textAlignment w:val="auto"/>
              <w:rPr>
                <w:rFonts w:hint="eastAsia" w:ascii="仿宋" w:hAnsi="仿宋" w:eastAsia="仿宋" w:cs="仿宋"/>
                <w:b/>
                <w:bCs/>
                <w:color w:val="auto"/>
                <w:sz w:val="24"/>
                <w:highlight w:val="none"/>
                <w:lang w:val="en-US" w:eastAsia="zh-CN"/>
              </w:rPr>
            </w:pPr>
            <w:r>
              <w:rPr>
                <w:rFonts w:hint="eastAsia" w:ascii="仿宋" w:hAnsi="仿宋" w:eastAsia="仿宋" w:cs="仿宋"/>
                <w:b/>
                <w:bCs/>
                <w:color w:val="auto"/>
                <w:sz w:val="24"/>
                <w:highlight w:val="none"/>
                <w:lang w:val="en-US" w:eastAsia="zh-CN"/>
              </w:rPr>
              <w:t>3.方案的适用性、可行性有待提升的，得4分；</w:t>
            </w:r>
          </w:p>
          <w:p w14:paraId="6FA8728D">
            <w:pPr>
              <w:keepNext w:val="0"/>
              <w:keepLines w:val="0"/>
              <w:pageBreakBefore w:val="0"/>
              <w:widowControl w:val="0"/>
              <w:kinsoku/>
              <w:wordWrap/>
              <w:overflowPunct/>
              <w:topLinePunct w:val="0"/>
              <w:autoSpaceDE w:val="0"/>
              <w:autoSpaceDN/>
              <w:bidi w:val="0"/>
              <w:adjustRightInd/>
              <w:snapToGrid w:val="0"/>
              <w:spacing w:line="360" w:lineRule="exact"/>
              <w:ind w:firstLine="482" w:firstLineChars="200"/>
              <w:jc w:val="left"/>
              <w:textAlignment w:val="auto"/>
              <w:rPr>
                <w:rFonts w:hint="eastAsia" w:ascii="仿宋" w:hAnsi="仿宋" w:eastAsia="仿宋" w:cs="仿宋"/>
                <w:b/>
                <w:bCs/>
                <w:color w:val="auto"/>
                <w:sz w:val="24"/>
                <w:highlight w:val="none"/>
                <w:lang w:val="en-US" w:eastAsia="zh-CN"/>
              </w:rPr>
            </w:pPr>
            <w:r>
              <w:rPr>
                <w:rFonts w:hint="eastAsia" w:ascii="仿宋" w:hAnsi="仿宋" w:eastAsia="仿宋" w:cs="仿宋"/>
                <w:b/>
                <w:bCs/>
                <w:color w:val="auto"/>
                <w:sz w:val="24"/>
                <w:highlight w:val="none"/>
                <w:lang w:val="en-US" w:eastAsia="zh-CN"/>
              </w:rPr>
              <w:t>4.未提供者不得分。</w:t>
            </w:r>
            <w:bookmarkEnd w:id="176"/>
          </w:p>
        </w:tc>
        <w:tc>
          <w:tcPr>
            <w:tcW w:w="1226" w:type="dxa"/>
            <w:tcBorders>
              <w:top w:val="single" w:color="auto" w:sz="4" w:space="0"/>
              <w:left w:val="single" w:color="auto" w:sz="4" w:space="0"/>
              <w:bottom w:val="single" w:color="auto" w:sz="4" w:space="0"/>
              <w:right w:val="single" w:color="auto" w:sz="4" w:space="0"/>
            </w:tcBorders>
            <w:noWrap w:val="0"/>
            <w:vAlign w:val="center"/>
          </w:tcPr>
          <w:p w14:paraId="0EBE9821">
            <w:pPr>
              <w:keepNext w:val="0"/>
              <w:keepLines w:val="0"/>
              <w:pageBreakBefore w:val="0"/>
              <w:widowControl w:val="0"/>
              <w:kinsoku/>
              <w:wordWrap/>
              <w:overflowPunct/>
              <w:topLinePunct w:val="0"/>
              <w:autoSpaceDE w:val="0"/>
              <w:autoSpaceDN/>
              <w:bidi w:val="0"/>
              <w:adjustRightInd/>
              <w:snapToGrid w:val="0"/>
              <w:spacing w:line="360" w:lineRule="exact"/>
              <w:jc w:val="center"/>
              <w:textAlignment w:val="auto"/>
              <w:rPr>
                <w:rFonts w:hint="eastAsia" w:ascii="仿宋" w:hAnsi="仿宋" w:eastAsia="仿宋" w:cs="仿宋"/>
                <w:b w:val="0"/>
                <w:bCs w:val="0"/>
                <w:color w:val="auto"/>
                <w:sz w:val="24"/>
                <w:highlight w:val="none"/>
                <w:lang w:val="en-US" w:eastAsia="zh-CN"/>
              </w:rPr>
            </w:pPr>
            <w:r>
              <w:rPr>
                <w:rFonts w:hint="eastAsia" w:ascii="仿宋" w:hAnsi="仿宋" w:eastAsia="仿宋" w:cs="仿宋"/>
                <w:b w:val="0"/>
                <w:bCs w:val="0"/>
                <w:color w:val="auto"/>
                <w:sz w:val="24"/>
                <w:highlight w:val="none"/>
                <w:lang w:val="en-US" w:eastAsia="zh-CN"/>
              </w:rPr>
              <w:t>8</w:t>
            </w:r>
          </w:p>
        </w:tc>
      </w:tr>
      <w:tr w14:paraId="1F277088">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1210" w:type="dxa"/>
            <w:vMerge w:val="continue"/>
            <w:tcBorders>
              <w:top w:val="single" w:color="auto" w:sz="4" w:space="0"/>
              <w:left w:val="single" w:color="auto" w:sz="4" w:space="0"/>
              <w:bottom w:val="single" w:color="auto" w:sz="4" w:space="0"/>
              <w:right w:val="single" w:color="auto" w:sz="4" w:space="0"/>
            </w:tcBorders>
            <w:noWrap w:val="0"/>
            <w:vAlign w:val="center"/>
          </w:tcPr>
          <w:p w14:paraId="2D48C306">
            <w:pPr>
              <w:autoSpaceDE w:val="0"/>
              <w:snapToGrid w:val="0"/>
              <w:spacing w:line="440" w:lineRule="exact"/>
              <w:jc w:val="center"/>
              <w:rPr>
                <w:rFonts w:hint="eastAsia" w:ascii="仿宋" w:hAnsi="仿宋" w:eastAsia="仿宋" w:cs="仿宋"/>
                <w:color w:val="auto"/>
                <w:sz w:val="24"/>
                <w:highlight w:val="none"/>
                <w:lang w:val="en-US" w:eastAsia="zh-CN"/>
              </w:rPr>
            </w:pPr>
          </w:p>
        </w:tc>
        <w:tc>
          <w:tcPr>
            <w:tcW w:w="1210" w:type="dxa"/>
            <w:vMerge w:val="continue"/>
            <w:tcBorders>
              <w:top w:val="single" w:color="auto" w:sz="4" w:space="0"/>
              <w:left w:val="single" w:color="auto" w:sz="4" w:space="0"/>
              <w:bottom w:val="single" w:color="auto" w:sz="4" w:space="0"/>
              <w:right w:val="single" w:color="auto" w:sz="4" w:space="0"/>
            </w:tcBorders>
            <w:noWrap w:val="0"/>
            <w:vAlign w:val="center"/>
          </w:tcPr>
          <w:p w14:paraId="22F375F1">
            <w:pPr>
              <w:keepNext w:val="0"/>
              <w:keepLines w:val="0"/>
              <w:pageBreakBefore w:val="0"/>
              <w:widowControl w:val="0"/>
              <w:kinsoku/>
              <w:wordWrap/>
              <w:overflowPunct/>
              <w:topLinePunct w:val="0"/>
              <w:autoSpaceDE w:val="0"/>
              <w:autoSpaceDN/>
              <w:bidi w:val="0"/>
              <w:adjustRightInd/>
              <w:snapToGrid w:val="0"/>
              <w:spacing w:line="360" w:lineRule="exact"/>
              <w:jc w:val="left"/>
              <w:textAlignment w:val="auto"/>
              <w:rPr>
                <w:rFonts w:hint="eastAsia" w:ascii="仿宋" w:hAnsi="仿宋" w:eastAsia="仿宋" w:cs="仿宋"/>
                <w:b/>
                <w:bCs/>
                <w:color w:val="auto"/>
                <w:sz w:val="24"/>
                <w:highlight w:val="none"/>
                <w:lang w:val="en-US" w:eastAsia="zh-CN"/>
              </w:rPr>
            </w:pPr>
          </w:p>
        </w:tc>
        <w:tc>
          <w:tcPr>
            <w:tcW w:w="6113" w:type="dxa"/>
            <w:tcBorders>
              <w:top w:val="single" w:color="auto" w:sz="4" w:space="0"/>
              <w:left w:val="single" w:color="auto" w:sz="4" w:space="0"/>
              <w:bottom w:val="single" w:color="auto" w:sz="4" w:space="0"/>
              <w:right w:val="single" w:color="auto" w:sz="4" w:space="0"/>
            </w:tcBorders>
            <w:noWrap w:val="0"/>
            <w:vAlign w:val="center"/>
          </w:tcPr>
          <w:p w14:paraId="0F644DB6">
            <w:pPr>
              <w:keepNext w:val="0"/>
              <w:keepLines w:val="0"/>
              <w:pageBreakBefore w:val="0"/>
              <w:widowControl w:val="0"/>
              <w:kinsoku/>
              <w:wordWrap/>
              <w:overflowPunct/>
              <w:topLinePunct w:val="0"/>
              <w:autoSpaceDE w:val="0"/>
              <w:autoSpaceDN/>
              <w:bidi w:val="0"/>
              <w:adjustRightInd/>
              <w:snapToGrid w:val="0"/>
              <w:spacing w:line="360" w:lineRule="exact"/>
              <w:ind w:firstLine="482" w:firstLineChars="200"/>
              <w:jc w:val="left"/>
              <w:textAlignment w:val="auto"/>
              <w:rPr>
                <w:rFonts w:hint="eastAsia" w:ascii="仿宋" w:hAnsi="仿宋" w:eastAsia="仿宋" w:cs="仿宋"/>
                <w:b/>
                <w:bCs/>
                <w:color w:val="auto"/>
                <w:sz w:val="24"/>
                <w:highlight w:val="none"/>
                <w:lang w:val="en-US" w:eastAsia="zh-CN"/>
              </w:rPr>
            </w:pPr>
            <w:r>
              <w:rPr>
                <w:rFonts w:hint="eastAsia" w:ascii="仿宋" w:hAnsi="仿宋" w:eastAsia="仿宋" w:cs="仿宋"/>
                <w:b/>
                <w:bCs/>
                <w:color w:val="auto"/>
                <w:sz w:val="24"/>
                <w:highlight w:val="none"/>
                <w:lang w:val="en-US" w:eastAsia="zh-CN"/>
              </w:rPr>
              <w:t>根据投标人针对本项目特种设备隐患排查的技术保障及质量管控制定完善的服务保证方案</w:t>
            </w:r>
            <w:bookmarkStart w:id="177" w:name="OLE_LINK33"/>
            <w:r>
              <w:rPr>
                <w:rFonts w:hint="eastAsia" w:ascii="仿宋" w:hAnsi="仿宋" w:eastAsia="仿宋" w:cs="仿宋"/>
                <w:b/>
                <w:bCs/>
                <w:color w:val="auto"/>
                <w:sz w:val="24"/>
                <w:highlight w:val="none"/>
                <w:lang w:val="en-US" w:eastAsia="zh-CN"/>
              </w:rPr>
              <w:t>进行评审，包括但不限于</w:t>
            </w:r>
            <w:r>
              <w:rPr>
                <w:rFonts w:hint="eastAsia" w:ascii="仿宋" w:hAnsi="仿宋" w:eastAsia="仿宋" w:cs="仿宋"/>
                <w:b/>
                <w:color w:val="auto"/>
                <w:kern w:val="2"/>
                <w:sz w:val="24"/>
                <w:szCs w:val="24"/>
                <w:highlight w:val="none"/>
                <w:lang w:val="en-US" w:eastAsia="zh-CN" w:bidi="ar-SA"/>
              </w:rPr>
              <w:t>服务质量目标、</w:t>
            </w:r>
            <w:r>
              <w:rPr>
                <w:rFonts w:hint="eastAsia" w:ascii="仿宋" w:hAnsi="仿宋" w:eastAsia="仿宋" w:cs="仿宋"/>
                <w:b/>
                <w:bCs/>
                <w:color w:val="auto"/>
                <w:sz w:val="24"/>
                <w:highlight w:val="none"/>
                <w:lang w:val="en-US" w:eastAsia="zh-CN"/>
              </w:rPr>
              <w:t>质量保证措施、服务质量保障流程、</w:t>
            </w:r>
            <w:r>
              <w:rPr>
                <w:rFonts w:hint="eastAsia" w:ascii="仿宋" w:hAnsi="仿宋" w:eastAsia="仿宋" w:cs="仿宋"/>
                <w:b/>
                <w:color w:val="auto"/>
                <w:kern w:val="2"/>
                <w:sz w:val="24"/>
                <w:szCs w:val="24"/>
                <w:highlight w:val="none"/>
                <w:lang w:val="en-US" w:eastAsia="zh-CN" w:bidi="ar-SA"/>
              </w:rPr>
              <w:t>质量反馈及改进计划</w:t>
            </w:r>
            <w:r>
              <w:rPr>
                <w:rFonts w:hint="eastAsia" w:ascii="仿宋" w:hAnsi="仿宋" w:eastAsia="仿宋" w:cs="仿宋"/>
                <w:b/>
                <w:bCs/>
                <w:color w:val="auto"/>
                <w:sz w:val="24"/>
                <w:highlight w:val="none"/>
                <w:lang w:val="en-US" w:eastAsia="zh-CN"/>
              </w:rPr>
              <w:t>等进行评议。</w:t>
            </w:r>
            <w:bookmarkEnd w:id="177"/>
          </w:p>
          <w:p w14:paraId="2C19A3BA">
            <w:pPr>
              <w:keepNext w:val="0"/>
              <w:keepLines w:val="0"/>
              <w:pageBreakBefore w:val="0"/>
              <w:widowControl w:val="0"/>
              <w:kinsoku/>
              <w:wordWrap/>
              <w:overflowPunct/>
              <w:topLinePunct w:val="0"/>
              <w:autoSpaceDE w:val="0"/>
              <w:autoSpaceDN/>
              <w:bidi w:val="0"/>
              <w:adjustRightInd/>
              <w:snapToGrid w:val="0"/>
              <w:spacing w:line="360" w:lineRule="exact"/>
              <w:ind w:firstLine="482" w:firstLineChars="200"/>
              <w:jc w:val="left"/>
              <w:textAlignment w:val="auto"/>
              <w:rPr>
                <w:rFonts w:hint="eastAsia" w:ascii="仿宋" w:hAnsi="仿宋" w:eastAsia="仿宋" w:cs="仿宋"/>
                <w:b/>
                <w:bCs/>
                <w:color w:val="auto"/>
                <w:sz w:val="24"/>
                <w:highlight w:val="none"/>
                <w:lang w:val="en-US" w:eastAsia="zh-CN"/>
              </w:rPr>
            </w:pPr>
            <w:r>
              <w:rPr>
                <w:rFonts w:hint="eastAsia" w:ascii="仿宋" w:hAnsi="仿宋" w:eastAsia="仿宋" w:cs="仿宋"/>
                <w:b/>
                <w:bCs/>
                <w:color w:val="auto"/>
                <w:sz w:val="24"/>
                <w:highlight w:val="none"/>
                <w:lang w:val="en-US" w:eastAsia="zh-CN"/>
              </w:rPr>
              <w:t>1.方案内容完整详细，完全满足采购需求的，得8分；</w:t>
            </w:r>
          </w:p>
          <w:p w14:paraId="6BF8FD93">
            <w:pPr>
              <w:keepNext w:val="0"/>
              <w:keepLines w:val="0"/>
              <w:pageBreakBefore w:val="0"/>
              <w:widowControl w:val="0"/>
              <w:kinsoku/>
              <w:wordWrap/>
              <w:overflowPunct/>
              <w:topLinePunct w:val="0"/>
              <w:autoSpaceDE w:val="0"/>
              <w:autoSpaceDN/>
              <w:bidi w:val="0"/>
              <w:adjustRightInd/>
              <w:snapToGrid w:val="0"/>
              <w:spacing w:line="360" w:lineRule="exact"/>
              <w:ind w:firstLine="482" w:firstLineChars="200"/>
              <w:jc w:val="left"/>
              <w:textAlignment w:val="auto"/>
              <w:rPr>
                <w:rFonts w:hint="eastAsia" w:ascii="仿宋" w:hAnsi="仿宋" w:eastAsia="仿宋" w:cs="仿宋"/>
                <w:b/>
                <w:bCs/>
                <w:color w:val="auto"/>
                <w:sz w:val="24"/>
                <w:highlight w:val="none"/>
                <w:lang w:val="en-US" w:eastAsia="zh-CN"/>
              </w:rPr>
            </w:pPr>
            <w:r>
              <w:rPr>
                <w:rFonts w:hint="eastAsia" w:ascii="仿宋" w:hAnsi="仿宋" w:eastAsia="仿宋" w:cs="仿宋"/>
                <w:b/>
                <w:bCs/>
                <w:color w:val="auto"/>
                <w:sz w:val="24"/>
                <w:highlight w:val="none"/>
                <w:lang w:val="en-US" w:eastAsia="zh-CN"/>
              </w:rPr>
              <w:t xml:space="preserve">2.方案内容详细，贴近采购需求的，得6 分； </w:t>
            </w:r>
          </w:p>
          <w:p w14:paraId="7B1C640A">
            <w:pPr>
              <w:keepNext w:val="0"/>
              <w:keepLines w:val="0"/>
              <w:pageBreakBefore w:val="0"/>
              <w:widowControl w:val="0"/>
              <w:kinsoku/>
              <w:wordWrap/>
              <w:overflowPunct/>
              <w:topLinePunct w:val="0"/>
              <w:autoSpaceDE w:val="0"/>
              <w:autoSpaceDN/>
              <w:bidi w:val="0"/>
              <w:adjustRightInd/>
              <w:snapToGrid w:val="0"/>
              <w:spacing w:line="360" w:lineRule="exact"/>
              <w:ind w:firstLine="482" w:firstLineChars="200"/>
              <w:jc w:val="left"/>
              <w:textAlignment w:val="auto"/>
              <w:rPr>
                <w:rFonts w:hint="eastAsia" w:ascii="仿宋" w:hAnsi="仿宋" w:eastAsia="仿宋" w:cs="仿宋"/>
                <w:b/>
                <w:bCs/>
                <w:color w:val="auto"/>
                <w:sz w:val="24"/>
                <w:highlight w:val="none"/>
                <w:lang w:val="en-US" w:eastAsia="zh-CN"/>
              </w:rPr>
            </w:pPr>
            <w:r>
              <w:rPr>
                <w:rFonts w:hint="eastAsia" w:ascii="仿宋" w:hAnsi="仿宋" w:eastAsia="仿宋" w:cs="仿宋"/>
                <w:b/>
                <w:bCs/>
                <w:color w:val="auto"/>
                <w:sz w:val="24"/>
                <w:highlight w:val="none"/>
                <w:lang w:val="en-US" w:eastAsia="zh-CN"/>
              </w:rPr>
              <w:t>3.方案的适用性、可行性有待提升的，得4分；</w:t>
            </w:r>
          </w:p>
          <w:p w14:paraId="6EE7605C">
            <w:pPr>
              <w:keepNext w:val="0"/>
              <w:keepLines w:val="0"/>
              <w:pageBreakBefore w:val="0"/>
              <w:widowControl w:val="0"/>
              <w:kinsoku/>
              <w:wordWrap/>
              <w:overflowPunct/>
              <w:topLinePunct w:val="0"/>
              <w:autoSpaceDE w:val="0"/>
              <w:autoSpaceDN/>
              <w:bidi w:val="0"/>
              <w:adjustRightInd/>
              <w:snapToGrid w:val="0"/>
              <w:spacing w:line="360" w:lineRule="exact"/>
              <w:ind w:firstLine="482" w:firstLineChars="200"/>
              <w:jc w:val="left"/>
              <w:textAlignment w:val="auto"/>
              <w:rPr>
                <w:rFonts w:hint="eastAsia" w:ascii="仿宋" w:hAnsi="仿宋" w:eastAsia="仿宋" w:cs="仿宋"/>
                <w:b/>
                <w:bCs/>
                <w:color w:val="auto"/>
                <w:sz w:val="24"/>
                <w:highlight w:val="none"/>
                <w:lang w:val="en-US" w:eastAsia="zh-CN"/>
              </w:rPr>
            </w:pPr>
            <w:r>
              <w:rPr>
                <w:rFonts w:hint="eastAsia" w:ascii="仿宋" w:hAnsi="仿宋" w:eastAsia="仿宋" w:cs="仿宋"/>
                <w:b/>
                <w:bCs/>
                <w:color w:val="auto"/>
                <w:sz w:val="24"/>
                <w:highlight w:val="none"/>
                <w:lang w:val="en-US" w:eastAsia="zh-CN"/>
              </w:rPr>
              <w:t>4.未提供者不得分。</w:t>
            </w:r>
          </w:p>
        </w:tc>
        <w:tc>
          <w:tcPr>
            <w:tcW w:w="1226" w:type="dxa"/>
            <w:tcBorders>
              <w:top w:val="single" w:color="auto" w:sz="4" w:space="0"/>
              <w:left w:val="single" w:color="auto" w:sz="4" w:space="0"/>
              <w:bottom w:val="single" w:color="auto" w:sz="4" w:space="0"/>
              <w:right w:val="single" w:color="auto" w:sz="4" w:space="0"/>
            </w:tcBorders>
            <w:noWrap w:val="0"/>
            <w:vAlign w:val="center"/>
          </w:tcPr>
          <w:p w14:paraId="236974A0">
            <w:pPr>
              <w:keepNext w:val="0"/>
              <w:keepLines w:val="0"/>
              <w:pageBreakBefore w:val="0"/>
              <w:widowControl w:val="0"/>
              <w:kinsoku/>
              <w:wordWrap/>
              <w:overflowPunct/>
              <w:topLinePunct w:val="0"/>
              <w:autoSpaceDN/>
              <w:bidi w:val="0"/>
              <w:adjustRightInd/>
              <w:snapToGrid w:val="0"/>
              <w:spacing w:line="360" w:lineRule="exact"/>
              <w:jc w:val="center"/>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8</w:t>
            </w:r>
          </w:p>
        </w:tc>
      </w:tr>
      <w:tr w14:paraId="473385CC">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664" w:hRule="atLeast"/>
          <w:jc w:val="center"/>
        </w:trPr>
        <w:tc>
          <w:tcPr>
            <w:tcW w:w="1210" w:type="dxa"/>
            <w:vMerge w:val="continue"/>
            <w:tcBorders>
              <w:top w:val="single" w:color="auto" w:sz="4" w:space="0"/>
              <w:left w:val="single" w:color="auto" w:sz="4" w:space="0"/>
              <w:bottom w:val="single" w:color="auto" w:sz="4" w:space="0"/>
              <w:right w:val="single" w:color="auto" w:sz="4" w:space="0"/>
            </w:tcBorders>
            <w:noWrap w:val="0"/>
            <w:vAlign w:val="center"/>
          </w:tcPr>
          <w:p w14:paraId="0166C268">
            <w:pPr>
              <w:autoSpaceDE w:val="0"/>
              <w:snapToGrid w:val="0"/>
              <w:spacing w:line="440" w:lineRule="exact"/>
              <w:jc w:val="center"/>
              <w:rPr>
                <w:rFonts w:hint="eastAsia" w:ascii="仿宋" w:hAnsi="仿宋" w:eastAsia="仿宋" w:cs="仿宋"/>
                <w:color w:val="auto"/>
                <w:sz w:val="24"/>
                <w:highlight w:val="none"/>
                <w:lang w:val="en-US" w:eastAsia="zh-CN"/>
              </w:rPr>
            </w:pPr>
          </w:p>
        </w:tc>
        <w:tc>
          <w:tcPr>
            <w:tcW w:w="1210" w:type="dxa"/>
            <w:vMerge w:val="continue"/>
            <w:tcBorders>
              <w:top w:val="single" w:color="auto" w:sz="4" w:space="0"/>
              <w:left w:val="single" w:color="auto" w:sz="4" w:space="0"/>
              <w:bottom w:val="single" w:color="auto" w:sz="4" w:space="0"/>
              <w:right w:val="single" w:color="auto" w:sz="4" w:space="0"/>
            </w:tcBorders>
            <w:noWrap w:val="0"/>
            <w:vAlign w:val="center"/>
          </w:tcPr>
          <w:p w14:paraId="6771E034">
            <w:pPr>
              <w:keepNext w:val="0"/>
              <w:keepLines w:val="0"/>
              <w:pageBreakBefore w:val="0"/>
              <w:widowControl w:val="0"/>
              <w:kinsoku/>
              <w:wordWrap/>
              <w:overflowPunct/>
              <w:topLinePunct w:val="0"/>
              <w:autoSpaceDE w:val="0"/>
              <w:autoSpaceDN/>
              <w:bidi w:val="0"/>
              <w:adjustRightInd/>
              <w:snapToGrid w:val="0"/>
              <w:spacing w:line="360" w:lineRule="exact"/>
              <w:jc w:val="center"/>
              <w:textAlignment w:val="auto"/>
              <w:rPr>
                <w:rFonts w:hint="eastAsia" w:ascii="仿宋" w:hAnsi="仿宋" w:eastAsia="仿宋" w:cs="仿宋"/>
                <w:color w:val="auto"/>
                <w:sz w:val="24"/>
                <w:szCs w:val="24"/>
                <w:highlight w:val="none"/>
                <w:lang w:val="en-US" w:eastAsia="zh-CN"/>
              </w:rPr>
            </w:pPr>
          </w:p>
        </w:tc>
        <w:tc>
          <w:tcPr>
            <w:tcW w:w="6113" w:type="dxa"/>
            <w:tcBorders>
              <w:top w:val="single" w:color="auto" w:sz="4" w:space="0"/>
              <w:left w:val="single" w:color="auto" w:sz="4" w:space="0"/>
              <w:bottom w:val="single" w:color="auto" w:sz="4" w:space="0"/>
              <w:right w:val="single" w:color="auto" w:sz="4" w:space="0"/>
            </w:tcBorders>
            <w:noWrap w:val="0"/>
            <w:vAlign w:val="center"/>
          </w:tcPr>
          <w:p w14:paraId="2418BCD9">
            <w:pPr>
              <w:keepNext w:val="0"/>
              <w:keepLines w:val="0"/>
              <w:pageBreakBefore w:val="0"/>
              <w:widowControl w:val="0"/>
              <w:kinsoku/>
              <w:wordWrap/>
              <w:overflowPunct/>
              <w:topLinePunct w:val="0"/>
              <w:autoSpaceDE w:val="0"/>
              <w:autoSpaceDN/>
              <w:bidi w:val="0"/>
              <w:adjustRightInd/>
              <w:snapToGrid w:val="0"/>
              <w:spacing w:line="360" w:lineRule="exact"/>
              <w:ind w:firstLine="482" w:firstLineChars="200"/>
              <w:jc w:val="left"/>
              <w:textAlignment w:val="auto"/>
              <w:rPr>
                <w:rFonts w:hint="eastAsia" w:ascii="仿宋" w:hAnsi="仿宋" w:eastAsia="仿宋" w:cs="仿宋"/>
                <w:b/>
                <w:bCs/>
                <w:color w:val="auto"/>
                <w:sz w:val="24"/>
                <w:highlight w:val="none"/>
                <w:lang w:val="en-US" w:eastAsia="zh-CN"/>
              </w:rPr>
            </w:pPr>
            <w:bookmarkStart w:id="178" w:name="OLE_LINK39"/>
            <w:r>
              <w:rPr>
                <w:rFonts w:hint="eastAsia" w:ascii="仿宋" w:hAnsi="仿宋" w:eastAsia="仿宋" w:cs="仿宋"/>
                <w:b/>
                <w:bCs/>
                <w:color w:val="auto"/>
                <w:sz w:val="24"/>
                <w:highlight w:val="none"/>
                <w:lang w:val="en-US" w:eastAsia="zh-CN"/>
              </w:rPr>
              <w:t>根据投标人针对本项目特种设备隐患排查的突发应急响应方案进行评审，包括但不限于应急响应制度，应急管理建设服务等进行评议。</w:t>
            </w:r>
          </w:p>
          <w:p w14:paraId="76FA4652">
            <w:pPr>
              <w:keepNext w:val="0"/>
              <w:keepLines w:val="0"/>
              <w:pageBreakBefore w:val="0"/>
              <w:widowControl w:val="0"/>
              <w:kinsoku/>
              <w:wordWrap/>
              <w:overflowPunct/>
              <w:topLinePunct w:val="0"/>
              <w:autoSpaceDE w:val="0"/>
              <w:autoSpaceDN/>
              <w:bidi w:val="0"/>
              <w:adjustRightInd/>
              <w:snapToGrid w:val="0"/>
              <w:spacing w:line="360" w:lineRule="exact"/>
              <w:ind w:firstLine="482" w:firstLineChars="200"/>
              <w:jc w:val="left"/>
              <w:textAlignment w:val="auto"/>
              <w:rPr>
                <w:rFonts w:hint="eastAsia" w:ascii="仿宋" w:hAnsi="仿宋" w:eastAsia="仿宋" w:cs="仿宋"/>
                <w:b/>
                <w:bCs/>
                <w:color w:val="auto"/>
                <w:sz w:val="24"/>
                <w:highlight w:val="none"/>
                <w:lang w:val="en-US" w:eastAsia="zh-CN"/>
              </w:rPr>
            </w:pPr>
            <w:bookmarkStart w:id="179" w:name="OLE_LINK34"/>
            <w:r>
              <w:rPr>
                <w:rFonts w:hint="eastAsia" w:ascii="仿宋" w:hAnsi="仿宋" w:eastAsia="仿宋" w:cs="仿宋"/>
                <w:b/>
                <w:bCs/>
                <w:color w:val="auto"/>
                <w:sz w:val="24"/>
                <w:highlight w:val="none"/>
                <w:lang w:val="en-US" w:eastAsia="zh-CN"/>
              </w:rPr>
              <w:t>1.方案内容完整详细，完全满足采购需求的，得8分；</w:t>
            </w:r>
          </w:p>
          <w:p w14:paraId="2FA102E5">
            <w:pPr>
              <w:keepNext w:val="0"/>
              <w:keepLines w:val="0"/>
              <w:pageBreakBefore w:val="0"/>
              <w:widowControl w:val="0"/>
              <w:kinsoku/>
              <w:wordWrap/>
              <w:overflowPunct/>
              <w:topLinePunct w:val="0"/>
              <w:autoSpaceDE w:val="0"/>
              <w:autoSpaceDN/>
              <w:bidi w:val="0"/>
              <w:adjustRightInd/>
              <w:snapToGrid w:val="0"/>
              <w:spacing w:line="360" w:lineRule="exact"/>
              <w:ind w:firstLine="482" w:firstLineChars="200"/>
              <w:jc w:val="left"/>
              <w:textAlignment w:val="auto"/>
              <w:rPr>
                <w:rFonts w:hint="eastAsia" w:ascii="仿宋" w:hAnsi="仿宋" w:eastAsia="仿宋" w:cs="仿宋"/>
                <w:b/>
                <w:bCs/>
                <w:color w:val="auto"/>
                <w:sz w:val="24"/>
                <w:highlight w:val="none"/>
                <w:lang w:val="en-US" w:eastAsia="zh-CN"/>
              </w:rPr>
            </w:pPr>
            <w:r>
              <w:rPr>
                <w:rFonts w:hint="eastAsia" w:ascii="仿宋" w:hAnsi="仿宋" w:eastAsia="仿宋" w:cs="仿宋"/>
                <w:b/>
                <w:bCs/>
                <w:color w:val="auto"/>
                <w:sz w:val="24"/>
                <w:highlight w:val="none"/>
                <w:lang w:val="en-US" w:eastAsia="zh-CN"/>
              </w:rPr>
              <w:t xml:space="preserve">2.方案内容详细，贴近采购需求的，得6 分； </w:t>
            </w:r>
          </w:p>
          <w:p w14:paraId="083A9D56">
            <w:pPr>
              <w:keepNext w:val="0"/>
              <w:keepLines w:val="0"/>
              <w:pageBreakBefore w:val="0"/>
              <w:widowControl w:val="0"/>
              <w:kinsoku/>
              <w:wordWrap/>
              <w:overflowPunct/>
              <w:topLinePunct w:val="0"/>
              <w:autoSpaceDE w:val="0"/>
              <w:autoSpaceDN/>
              <w:bidi w:val="0"/>
              <w:adjustRightInd/>
              <w:snapToGrid w:val="0"/>
              <w:spacing w:line="360" w:lineRule="exact"/>
              <w:ind w:firstLine="482" w:firstLineChars="200"/>
              <w:jc w:val="left"/>
              <w:textAlignment w:val="auto"/>
              <w:rPr>
                <w:rFonts w:hint="eastAsia" w:ascii="仿宋" w:hAnsi="仿宋" w:eastAsia="仿宋" w:cs="仿宋"/>
                <w:b/>
                <w:bCs/>
                <w:color w:val="auto"/>
                <w:sz w:val="24"/>
                <w:highlight w:val="none"/>
                <w:lang w:val="en-US" w:eastAsia="zh-CN"/>
              </w:rPr>
            </w:pPr>
            <w:r>
              <w:rPr>
                <w:rFonts w:hint="eastAsia" w:ascii="仿宋" w:hAnsi="仿宋" w:eastAsia="仿宋" w:cs="仿宋"/>
                <w:b/>
                <w:bCs/>
                <w:color w:val="auto"/>
                <w:sz w:val="24"/>
                <w:highlight w:val="none"/>
                <w:lang w:val="en-US" w:eastAsia="zh-CN"/>
              </w:rPr>
              <w:t>3.方案的适用性、可行性有待提升的，得4分；</w:t>
            </w:r>
          </w:p>
          <w:p w14:paraId="23989113">
            <w:pPr>
              <w:keepNext w:val="0"/>
              <w:keepLines w:val="0"/>
              <w:pageBreakBefore w:val="0"/>
              <w:widowControl w:val="0"/>
              <w:kinsoku/>
              <w:wordWrap/>
              <w:overflowPunct/>
              <w:topLinePunct w:val="0"/>
              <w:autoSpaceDE w:val="0"/>
              <w:autoSpaceDN/>
              <w:bidi w:val="0"/>
              <w:adjustRightInd/>
              <w:snapToGrid w:val="0"/>
              <w:spacing w:line="360" w:lineRule="exact"/>
              <w:ind w:firstLine="482" w:firstLineChars="200"/>
              <w:jc w:val="left"/>
              <w:textAlignment w:val="auto"/>
              <w:rPr>
                <w:rFonts w:hint="eastAsia" w:ascii="仿宋" w:hAnsi="仿宋" w:eastAsia="仿宋" w:cs="仿宋"/>
                <w:b/>
                <w:bCs/>
                <w:color w:val="auto"/>
                <w:sz w:val="24"/>
                <w:highlight w:val="none"/>
                <w:lang w:val="en-US" w:eastAsia="zh-CN"/>
              </w:rPr>
            </w:pPr>
            <w:r>
              <w:rPr>
                <w:rFonts w:hint="eastAsia" w:ascii="仿宋" w:hAnsi="仿宋" w:eastAsia="仿宋" w:cs="仿宋"/>
                <w:b/>
                <w:bCs/>
                <w:color w:val="auto"/>
                <w:sz w:val="24"/>
                <w:highlight w:val="none"/>
                <w:lang w:val="en-US" w:eastAsia="zh-CN"/>
              </w:rPr>
              <w:t>4.未提供者不得分。</w:t>
            </w:r>
            <w:bookmarkEnd w:id="178"/>
            <w:bookmarkEnd w:id="179"/>
          </w:p>
        </w:tc>
        <w:tc>
          <w:tcPr>
            <w:tcW w:w="1226" w:type="dxa"/>
            <w:tcBorders>
              <w:top w:val="single" w:color="auto" w:sz="4" w:space="0"/>
              <w:left w:val="single" w:color="auto" w:sz="4" w:space="0"/>
              <w:bottom w:val="single" w:color="auto" w:sz="4" w:space="0"/>
              <w:right w:val="single" w:color="auto" w:sz="4" w:space="0"/>
            </w:tcBorders>
            <w:noWrap w:val="0"/>
            <w:vAlign w:val="center"/>
          </w:tcPr>
          <w:p w14:paraId="7F1A205F">
            <w:pPr>
              <w:keepNext w:val="0"/>
              <w:keepLines w:val="0"/>
              <w:pageBreakBefore w:val="0"/>
              <w:widowControl w:val="0"/>
              <w:kinsoku/>
              <w:wordWrap/>
              <w:overflowPunct/>
              <w:topLinePunct w:val="0"/>
              <w:autoSpaceDN/>
              <w:bidi w:val="0"/>
              <w:adjustRightInd/>
              <w:snapToGrid w:val="0"/>
              <w:spacing w:line="360" w:lineRule="exact"/>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8</w:t>
            </w:r>
          </w:p>
        </w:tc>
      </w:tr>
      <w:tr w14:paraId="78320257">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834" w:hRule="atLeast"/>
          <w:jc w:val="center"/>
        </w:trPr>
        <w:tc>
          <w:tcPr>
            <w:tcW w:w="1210" w:type="dxa"/>
            <w:vMerge w:val="continue"/>
            <w:tcBorders>
              <w:top w:val="single" w:color="auto" w:sz="4" w:space="0"/>
              <w:left w:val="single" w:color="auto" w:sz="4" w:space="0"/>
              <w:bottom w:val="single" w:color="auto" w:sz="4" w:space="0"/>
              <w:right w:val="single" w:color="auto" w:sz="4" w:space="0"/>
            </w:tcBorders>
            <w:noWrap w:val="0"/>
            <w:vAlign w:val="center"/>
          </w:tcPr>
          <w:p w14:paraId="3B691C4E">
            <w:pPr>
              <w:autoSpaceDE w:val="0"/>
              <w:snapToGrid w:val="0"/>
              <w:spacing w:line="440" w:lineRule="exact"/>
              <w:jc w:val="center"/>
              <w:rPr>
                <w:rFonts w:hint="eastAsia" w:ascii="仿宋" w:hAnsi="仿宋" w:eastAsia="仿宋" w:cs="仿宋"/>
                <w:color w:val="auto"/>
                <w:sz w:val="24"/>
                <w:highlight w:val="none"/>
                <w:lang w:val="en-US" w:eastAsia="zh-CN"/>
              </w:rPr>
            </w:pPr>
          </w:p>
        </w:tc>
        <w:tc>
          <w:tcPr>
            <w:tcW w:w="1210" w:type="dxa"/>
            <w:vMerge w:val="continue"/>
            <w:tcBorders>
              <w:top w:val="single" w:color="auto" w:sz="4" w:space="0"/>
              <w:left w:val="single" w:color="auto" w:sz="4" w:space="0"/>
              <w:bottom w:val="single" w:color="auto" w:sz="4" w:space="0"/>
              <w:right w:val="single" w:color="auto" w:sz="4" w:space="0"/>
            </w:tcBorders>
            <w:noWrap w:val="0"/>
            <w:vAlign w:val="center"/>
          </w:tcPr>
          <w:p w14:paraId="2B2751A3">
            <w:pPr>
              <w:keepNext w:val="0"/>
              <w:keepLines w:val="0"/>
              <w:pageBreakBefore w:val="0"/>
              <w:widowControl w:val="0"/>
              <w:kinsoku/>
              <w:wordWrap/>
              <w:overflowPunct/>
              <w:topLinePunct w:val="0"/>
              <w:autoSpaceDE w:val="0"/>
              <w:autoSpaceDN/>
              <w:bidi w:val="0"/>
              <w:adjustRightInd/>
              <w:snapToGrid w:val="0"/>
              <w:spacing w:line="360" w:lineRule="exact"/>
              <w:jc w:val="center"/>
              <w:textAlignment w:val="auto"/>
              <w:rPr>
                <w:rFonts w:hint="eastAsia" w:ascii="仿宋" w:hAnsi="仿宋" w:eastAsia="仿宋" w:cs="仿宋"/>
                <w:color w:val="auto"/>
                <w:sz w:val="24"/>
                <w:szCs w:val="24"/>
                <w:highlight w:val="none"/>
                <w:lang w:val="en-US" w:eastAsia="zh-CN"/>
              </w:rPr>
            </w:pPr>
          </w:p>
        </w:tc>
        <w:tc>
          <w:tcPr>
            <w:tcW w:w="6113" w:type="dxa"/>
            <w:tcBorders>
              <w:top w:val="single" w:color="auto" w:sz="4" w:space="0"/>
              <w:left w:val="single" w:color="auto" w:sz="4" w:space="0"/>
              <w:bottom w:val="single" w:color="auto" w:sz="4" w:space="0"/>
              <w:right w:val="single" w:color="auto" w:sz="4" w:space="0"/>
            </w:tcBorders>
            <w:noWrap w:val="0"/>
            <w:vAlign w:val="center"/>
          </w:tcPr>
          <w:p w14:paraId="0F0DA268">
            <w:pPr>
              <w:keepNext w:val="0"/>
              <w:keepLines w:val="0"/>
              <w:pageBreakBefore w:val="0"/>
              <w:widowControl w:val="0"/>
              <w:kinsoku/>
              <w:wordWrap/>
              <w:overflowPunct/>
              <w:topLinePunct w:val="0"/>
              <w:autoSpaceDE w:val="0"/>
              <w:autoSpaceDN/>
              <w:bidi w:val="0"/>
              <w:adjustRightInd/>
              <w:snapToGrid w:val="0"/>
              <w:spacing w:line="360" w:lineRule="exact"/>
              <w:ind w:firstLine="482" w:firstLineChars="200"/>
              <w:jc w:val="left"/>
              <w:textAlignment w:val="auto"/>
              <w:rPr>
                <w:rFonts w:hint="eastAsia" w:ascii="仿宋" w:hAnsi="仿宋" w:eastAsia="仿宋" w:cs="仿宋"/>
                <w:b/>
                <w:bCs/>
                <w:color w:val="auto"/>
                <w:sz w:val="24"/>
                <w:highlight w:val="none"/>
                <w:lang w:val="en-US" w:eastAsia="zh-CN"/>
              </w:rPr>
            </w:pPr>
            <w:r>
              <w:rPr>
                <w:rFonts w:hint="eastAsia" w:ascii="仿宋" w:hAnsi="仿宋" w:eastAsia="仿宋" w:cs="仿宋"/>
                <w:b/>
                <w:bCs/>
                <w:color w:val="auto"/>
                <w:sz w:val="24"/>
                <w:highlight w:val="none"/>
                <w:lang w:val="en-US" w:eastAsia="zh-CN"/>
              </w:rPr>
              <w:t>根据投标人针对本项目服务过程中的重点、难点分析及解决措施进行评议。</w:t>
            </w:r>
          </w:p>
          <w:p w14:paraId="4E207A37">
            <w:pPr>
              <w:keepNext w:val="0"/>
              <w:keepLines w:val="0"/>
              <w:pageBreakBefore w:val="0"/>
              <w:widowControl w:val="0"/>
              <w:kinsoku/>
              <w:wordWrap/>
              <w:overflowPunct/>
              <w:topLinePunct w:val="0"/>
              <w:autoSpaceDE w:val="0"/>
              <w:autoSpaceDN/>
              <w:bidi w:val="0"/>
              <w:adjustRightInd/>
              <w:snapToGrid w:val="0"/>
              <w:spacing w:line="360" w:lineRule="exact"/>
              <w:ind w:firstLine="482" w:firstLineChars="200"/>
              <w:jc w:val="left"/>
              <w:textAlignment w:val="auto"/>
              <w:rPr>
                <w:rFonts w:hint="eastAsia" w:ascii="仿宋" w:hAnsi="仿宋" w:eastAsia="仿宋" w:cs="仿宋"/>
                <w:b/>
                <w:bCs/>
                <w:color w:val="auto"/>
                <w:sz w:val="24"/>
                <w:highlight w:val="none"/>
                <w:lang w:val="en-US" w:eastAsia="zh-CN"/>
              </w:rPr>
            </w:pPr>
            <w:bookmarkStart w:id="180" w:name="OLE_LINK10"/>
            <w:r>
              <w:rPr>
                <w:rFonts w:hint="eastAsia" w:ascii="仿宋" w:hAnsi="仿宋" w:eastAsia="仿宋" w:cs="仿宋"/>
                <w:b/>
                <w:bCs/>
                <w:color w:val="auto"/>
                <w:sz w:val="24"/>
                <w:highlight w:val="none"/>
                <w:lang w:val="en-US" w:eastAsia="zh-CN"/>
              </w:rPr>
              <w:t>1.方案内容完整详细，完全满足采购需求的，得8分；</w:t>
            </w:r>
          </w:p>
          <w:p w14:paraId="50D7ECCD">
            <w:pPr>
              <w:keepNext w:val="0"/>
              <w:keepLines w:val="0"/>
              <w:pageBreakBefore w:val="0"/>
              <w:widowControl w:val="0"/>
              <w:kinsoku/>
              <w:wordWrap/>
              <w:overflowPunct/>
              <w:topLinePunct w:val="0"/>
              <w:autoSpaceDE w:val="0"/>
              <w:autoSpaceDN/>
              <w:bidi w:val="0"/>
              <w:adjustRightInd/>
              <w:snapToGrid w:val="0"/>
              <w:spacing w:line="360" w:lineRule="exact"/>
              <w:ind w:firstLine="482" w:firstLineChars="200"/>
              <w:jc w:val="left"/>
              <w:textAlignment w:val="auto"/>
              <w:rPr>
                <w:rFonts w:hint="eastAsia" w:ascii="仿宋" w:hAnsi="仿宋" w:eastAsia="仿宋" w:cs="仿宋"/>
                <w:b/>
                <w:bCs/>
                <w:color w:val="auto"/>
                <w:sz w:val="24"/>
                <w:highlight w:val="none"/>
                <w:lang w:val="en-US" w:eastAsia="zh-CN"/>
              </w:rPr>
            </w:pPr>
            <w:r>
              <w:rPr>
                <w:rFonts w:hint="eastAsia" w:ascii="仿宋" w:hAnsi="仿宋" w:eastAsia="仿宋" w:cs="仿宋"/>
                <w:b/>
                <w:bCs/>
                <w:color w:val="auto"/>
                <w:sz w:val="24"/>
                <w:highlight w:val="none"/>
                <w:lang w:val="en-US" w:eastAsia="zh-CN"/>
              </w:rPr>
              <w:t xml:space="preserve">2.方案内容详细，贴近采购需求的，得6分； </w:t>
            </w:r>
          </w:p>
          <w:p w14:paraId="6B48DB73">
            <w:pPr>
              <w:keepNext w:val="0"/>
              <w:keepLines w:val="0"/>
              <w:pageBreakBefore w:val="0"/>
              <w:widowControl w:val="0"/>
              <w:kinsoku/>
              <w:wordWrap/>
              <w:overflowPunct/>
              <w:topLinePunct w:val="0"/>
              <w:autoSpaceDE w:val="0"/>
              <w:autoSpaceDN/>
              <w:bidi w:val="0"/>
              <w:adjustRightInd/>
              <w:snapToGrid w:val="0"/>
              <w:spacing w:line="360" w:lineRule="exact"/>
              <w:ind w:firstLine="482" w:firstLineChars="200"/>
              <w:jc w:val="left"/>
              <w:textAlignment w:val="auto"/>
              <w:rPr>
                <w:rFonts w:hint="eastAsia" w:ascii="仿宋" w:hAnsi="仿宋" w:eastAsia="仿宋" w:cs="仿宋"/>
                <w:b/>
                <w:bCs/>
                <w:color w:val="auto"/>
                <w:sz w:val="24"/>
                <w:highlight w:val="none"/>
                <w:lang w:val="en-US" w:eastAsia="zh-CN"/>
              </w:rPr>
            </w:pPr>
            <w:r>
              <w:rPr>
                <w:rFonts w:hint="eastAsia" w:ascii="仿宋" w:hAnsi="仿宋" w:eastAsia="仿宋" w:cs="仿宋"/>
                <w:b/>
                <w:bCs/>
                <w:color w:val="auto"/>
                <w:sz w:val="24"/>
                <w:highlight w:val="none"/>
                <w:lang w:val="en-US" w:eastAsia="zh-CN"/>
              </w:rPr>
              <w:t>3.方案的适用性、可行性有待提升的，得4分；</w:t>
            </w:r>
          </w:p>
          <w:p w14:paraId="48DA09E1">
            <w:pPr>
              <w:keepNext w:val="0"/>
              <w:keepLines w:val="0"/>
              <w:pageBreakBefore w:val="0"/>
              <w:widowControl w:val="0"/>
              <w:kinsoku/>
              <w:wordWrap/>
              <w:overflowPunct/>
              <w:topLinePunct w:val="0"/>
              <w:autoSpaceDE w:val="0"/>
              <w:autoSpaceDN/>
              <w:bidi w:val="0"/>
              <w:adjustRightInd/>
              <w:snapToGrid w:val="0"/>
              <w:spacing w:line="360" w:lineRule="exact"/>
              <w:ind w:firstLine="482" w:firstLineChars="200"/>
              <w:jc w:val="left"/>
              <w:textAlignment w:val="auto"/>
              <w:rPr>
                <w:rFonts w:hint="eastAsia" w:ascii="仿宋" w:hAnsi="仿宋" w:eastAsia="仿宋" w:cs="仿宋"/>
                <w:b/>
                <w:bCs/>
                <w:color w:val="auto"/>
                <w:sz w:val="24"/>
                <w:highlight w:val="none"/>
                <w:lang w:val="en-US" w:eastAsia="zh-CN"/>
              </w:rPr>
            </w:pPr>
            <w:r>
              <w:rPr>
                <w:rFonts w:hint="eastAsia" w:ascii="仿宋" w:hAnsi="仿宋" w:eastAsia="仿宋" w:cs="仿宋"/>
                <w:b/>
                <w:bCs/>
                <w:color w:val="auto"/>
                <w:sz w:val="24"/>
                <w:highlight w:val="none"/>
                <w:lang w:val="en-US" w:eastAsia="zh-CN"/>
              </w:rPr>
              <w:t>4.未提供者不得分。</w:t>
            </w:r>
            <w:bookmarkEnd w:id="180"/>
          </w:p>
        </w:tc>
        <w:tc>
          <w:tcPr>
            <w:tcW w:w="1226" w:type="dxa"/>
            <w:tcBorders>
              <w:top w:val="single" w:color="auto" w:sz="4" w:space="0"/>
              <w:left w:val="single" w:color="auto" w:sz="4" w:space="0"/>
              <w:bottom w:val="single" w:color="auto" w:sz="4" w:space="0"/>
              <w:right w:val="single" w:color="auto" w:sz="4" w:space="0"/>
            </w:tcBorders>
            <w:noWrap w:val="0"/>
            <w:vAlign w:val="center"/>
          </w:tcPr>
          <w:p w14:paraId="7F67463B">
            <w:pPr>
              <w:keepNext w:val="0"/>
              <w:keepLines w:val="0"/>
              <w:pageBreakBefore w:val="0"/>
              <w:widowControl w:val="0"/>
              <w:kinsoku/>
              <w:wordWrap/>
              <w:overflowPunct/>
              <w:topLinePunct w:val="0"/>
              <w:autoSpaceDN/>
              <w:bidi w:val="0"/>
              <w:adjustRightInd/>
              <w:snapToGrid w:val="0"/>
              <w:spacing w:line="360" w:lineRule="exact"/>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8</w:t>
            </w:r>
          </w:p>
        </w:tc>
      </w:tr>
      <w:tr w14:paraId="7FF94F04">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1476" w:hRule="atLeast"/>
          <w:jc w:val="center"/>
        </w:trPr>
        <w:tc>
          <w:tcPr>
            <w:tcW w:w="1210" w:type="dxa"/>
            <w:tcBorders>
              <w:top w:val="single" w:color="auto" w:sz="4" w:space="0"/>
              <w:left w:val="single" w:color="auto" w:sz="4" w:space="0"/>
              <w:bottom w:val="single" w:color="auto" w:sz="4" w:space="0"/>
              <w:right w:val="single" w:color="auto" w:sz="4" w:space="0"/>
            </w:tcBorders>
            <w:noWrap w:val="0"/>
            <w:vAlign w:val="center"/>
          </w:tcPr>
          <w:p w14:paraId="3B63C9DD">
            <w:pPr>
              <w:snapToGrid w:val="0"/>
              <w:spacing w:line="440" w:lineRule="exact"/>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7</w:t>
            </w:r>
          </w:p>
        </w:tc>
        <w:tc>
          <w:tcPr>
            <w:tcW w:w="1210" w:type="dxa"/>
            <w:tcBorders>
              <w:top w:val="single" w:color="auto" w:sz="4" w:space="0"/>
              <w:left w:val="single" w:color="auto" w:sz="4" w:space="0"/>
              <w:bottom w:val="single" w:color="auto" w:sz="4" w:space="0"/>
              <w:right w:val="single" w:color="auto" w:sz="4" w:space="0"/>
            </w:tcBorders>
            <w:noWrap w:val="0"/>
            <w:vAlign w:val="center"/>
          </w:tcPr>
          <w:p w14:paraId="0AD50650">
            <w:pPr>
              <w:keepNext w:val="0"/>
              <w:keepLines w:val="0"/>
              <w:pageBreakBefore w:val="0"/>
              <w:widowControl w:val="0"/>
              <w:kinsoku/>
              <w:wordWrap/>
              <w:overflowPunct/>
              <w:topLinePunct w:val="0"/>
              <w:autoSpaceDE w:val="0"/>
              <w:autoSpaceDN/>
              <w:bidi w:val="0"/>
              <w:adjustRightInd/>
              <w:snapToGrid w:val="0"/>
              <w:spacing w:line="360" w:lineRule="exact"/>
              <w:jc w:val="center"/>
              <w:textAlignment w:val="auto"/>
              <w:rPr>
                <w:rFonts w:hint="eastAsia" w:ascii="仿宋" w:hAnsi="仿宋" w:eastAsia="仿宋" w:cs="仿宋"/>
                <w:b/>
                <w:bCs/>
                <w:color w:val="auto"/>
                <w:sz w:val="24"/>
                <w:highlight w:val="none"/>
                <w:lang w:val="en-US" w:eastAsia="zh-CN"/>
              </w:rPr>
            </w:pPr>
            <w:r>
              <w:rPr>
                <w:rFonts w:hint="eastAsia" w:ascii="仿宋" w:hAnsi="仿宋" w:eastAsia="仿宋" w:cs="仿宋"/>
                <w:b/>
                <w:bCs/>
                <w:color w:val="auto"/>
                <w:sz w:val="24"/>
                <w:highlight w:val="none"/>
                <w:lang w:val="en-US" w:eastAsia="zh-CN"/>
              </w:rPr>
              <w:t>培训能力</w:t>
            </w:r>
          </w:p>
        </w:tc>
        <w:tc>
          <w:tcPr>
            <w:tcW w:w="6113" w:type="dxa"/>
            <w:tcBorders>
              <w:top w:val="single" w:color="auto" w:sz="4" w:space="0"/>
              <w:left w:val="single" w:color="auto" w:sz="4" w:space="0"/>
              <w:bottom w:val="single" w:color="auto" w:sz="4" w:space="0"/>
              <w:right w:val="single" w:color="auto" w:sz="4" w:space="0"/>
            </w:tcBorders>
            <w:noWrap w:val="0"/>
            <w:vAlign w:val="center"/>
          </w:tcPr>
          <w:p w14:paraId="3ED86F7D">
            <w:pPr>
              <w:keepNext w:val="0"/>
              <w:keepLines w:val="0"/>
              <w:pageBreakBefore w:val="0"/>
              <w:widowControl w:val="0"/>
              <w:kinsoku/>
              <w:wordWrap/>
              <w:overflowPunct/>
              <w:topLinePunct w:val="0"/>
              <w:autoSpaceDE w:val="0"/>
              <w:autoSpaceDN/>
              <w:bidi w:val="0"/>
              <w:adjustRightInd/>
              <w:snapToGrid w:val="0"/>
              <w:spacing w:line="360" w:lineRule="exact"/>
              <w:ind w:firstLine="482" w:firstLineChars="200"/>
              <w:jc w:val="left"/>
              <w:textAlignment w:val="auto"/>
              <w:rPr>
                <w:rFonts w:hint="eastAsia" w:ascii="仿宋" w:hAnsi="仿宋" w:eastAsia="仿宋" w:cs="仿宋"/>
                <w:b/>
                <w:color w:val="auto"/>
                <w:kern w:val="2"/>
                <w:sz w:val="24"/>
                <w:szCs w:val="24"/>
                <w:highlight w:val="none"/>
                <w:lang w:val="en-US" w:eastAsia="zh-CN" w:bidi="ar-SA"/>
              </w:rPr>
            </w:pPr>
            <w:r>
              <w:rPr>
                <w:rFonts w:hint="eastAsia" w:ascii="仿宋" w:hAnsi="仿宋" w:eastAsia="仿宋" w:cs="仿宋"/>
                <w:b/>
                <w:color w:val="auto"/>
                <w:kern w:val="2"/>
                <w:sz w:val="24"/>
                <w:szCs w:val="24"/>
                <w:highlight w:val="none"/>
                <w:lang w:val="en-US" w:eastAsia="zh-CN" w:bidi="ar-SA"/>
              </w:rPr>
              <w:t>投标人根据本项目的服务要求，制定服务培训方案，包括但不限于培训计划、培训目标及方针、普法科普或安全培训类经验等。</w:t>
            </w:r>
          </w:p>
          <w:p w14:paraId="174204C1">
            <w:pPr>
              <w:keepNext w:val="0"/>
              <w:keepLines w:val="0"/>
              <w:pageBreakBefore w:val="0"/>
              <w:widowControl w:val="0"/>
              <w:kinsoku/>
              <w:wordWrap/>
              <w:overflowPunct/>
              <w:topLinePunct w:val="0"/>
              <w:autoSpaceDE w:val="0"/>
              <w:autoSpaceDN/>
              <w:bidi w:val="0"/>
              <w:adjustRightInd/>
              <w:snapToGrid w:val="0"/>
              <w:spacing w:line="360" w:lineRule="exact"/>
              <w:ind w:firstLine="482" w:firstLineChars="200"/>
              <w:jc w:val="left"/>
              <w:textAlignment w:val="auto"/>
              <w:rPr>
                <w:rFonts w:hint="eastAsia" w:ascii="仿宋" w:hAnsi="仿宋" w:eastAsia="仿宋" w:cs="仿宋"/>
                <w:b/>
                <w:bCs/>
                <w:color w:val="auto"/>
                <w:sz w:val="24"/>
                <w:highlight w:val="none"/>
                <w:lang w:val="en-US" w:eastAsia="zh-CN"/>
              </w:rPr>
            </w:pPr>
            <w:r>
              <w:rPr>
                <w:rFonts w:hint="eastAsia" w:ascii="仿宋" w:hAnsi="仿宋" w:eastAsia="仿宋" w:cs="仿宋"/>
                <w:b/>
                <w:bCs/>
                <w:color w:val="auto"/>
                <w:sz w:val="24"/>
                <w:highlight w:val="none"/>
                <w:lang w:val="en-US" w:eastAsia="zh-CN"/>
              </w:rPr>
              <w:t>1.方案内容完整详细，完全满足采购需求的，得8 分；</w:t>
            </w:r>
          </w:p>
          <w:p w14:paraId="07DBE026">
            <w:pPr>
              <w:keepNext w:val="0"/>
              <w:keepLines w:val="0"/>
              <w:pageBreakBefore w:val="0"/>
              <w:widowControl w:val="0"/>
              <w:kinsoku/>
              <w:wordWrap/>
              <w:overflowPunct/>
              <w:topLinePunct w:val="0"/>
              <w:autoSpaceDE w:val="0"/>
              <w:autoSpaceDN/>
              <w:bidi w:val="0"/>
              <w:adjustRightInd/>
              <w:snapToGrid w:val="0"/>
              <w:spacing w:line="360" w:lineRule="exact"/>
              <w:ind w:firstLine="482" w:firstLineChars="200"/>
              <w:jc w:val="left"/>
              <w:textAlignment w:val="auto"/>
              <w:rPr>
                <w:rFonts w:hint="eastAsia" w:ascii="仿宋" w:hAnsi="仿宋" w:eastAsia="仿宋" w:cs="仿宋"/>
                <w:b/>
                <w:bCs/>
                <w:color w:val="auto"/>
                <w:sz w:val="24"/>
                <w:highlight w:val="none"/>
                <w:lang w:val="en-US" w:eastAsia="zh-CN"/>
              </w:rPr>
            </w:pPr>
            <w:r>
              <w:rPr>
                <w:rFonts w:hint="eastAsia" w:ascii="仿宋" w:hAnsi="仿宋" w:eastAsia="仿宋" w:cs="仿宋"/>
                <w:b/>
                <w:bCs/>
                <w:color w:val="auto"/>
                <w:sz w:val="24"/>
                <w:highlight w:val="none"/>
                <w:lang w:val="en-US" w:eastAsia="zh-CN"/>
              </w:rPr>
              <w:t>2.方案内容详细，贴近采购需求的，得 6分；</w:t>
            </w:r>
          </w:p>
          <w:p w14:paraId="5313ED0B">
            <w:pPr>
              <w:keepNext w:val="0"/>
              <w:keepLines w:val="0"/>
              <w:pageBreakBefore w:val="0"/>
              <w:widowControl w:val="0"/>
              <w:kinsoku/>
              <w:wordWrap/>
              <w:overflowPunct/>
              <w:topLinePunct w:val="0"/>
              <w:autoSpaceDE w:val="0"/>
              <w:autoSpaceDN/>
              <w:bidi w:val="0"/>
              <w:adjustRightInd/>
              <w:snapToGrid w:val="0"/>
              <w:spacing w:line="360" w:lineRule="exact"/>
              <w:ind w:firstLine="482" w:firstLineChars="200"/>
              <w:jc w:val="left"/>
              <w:textAlignment w:val="auto"/>
              <w:rPr>
                <w:rFonts w:hint="eastAsia" w:ascii="仿宋" w:hAnsi="仿宋" w:eastAsia="仿宋" w:cs="仿宋"/>
                <w:b/>
                <w:bCs/>
                <w:color w:val="auto"/>
                <w:sz w:val="24"/>
                <w:highlight w:val="none"/>
                <w:lang w:val="en-US" w:eastAsia="zh-CN"/>
              </w:rPr>
            </w:pPr>
            <w:r>
              <w:rPr>
                <w:rFonts w:hint="eastAsia" w:ascii="仿宋" w:hAnsi="仿宋" w:eastAsia="仿宋" w:cs="仿宋"/>
                <w:b/>
                <w:bCs/>
                <w:color w:val="auto"/>
                <w:sz w:val="24"/>
                <w:highlight w:val="none"/>
                <w:lang w:val="en-US" w:eastAsia="zh-CN"/>
              </w:rPr>
              <w:t>3.方案的适用性、可行性有待提升的，得 4分；</w:t>
            </w:r>
          </w:p>
          <w:p w14:paraId="4469190E">
            <w:pPr>
              <w:tabs>
                <w:tab w:val="left" w:pos="2950"/>
              </w:tabs>
              <w:spacing w:line="360" w:lineRule="exact"/>
              <w:ind w:firstLine="482" w:firstLineChars="200"/>
              <w:rPr>
                <w:rFonts w:hint="eastAsia" w:ascii="仿宋" w:hAnsi="仿宋" w:eastAsia="仿宋" w:cs="仿宋"/>
                <w:b/>
                <w:bCs/>
                <w:color w:val="auto"/>
                <w:sz w:val="24"/>
                <w:highlight w:val="none"/>
                <w:lang w:val="en-US" w:eastAsia="zh-CN"/>
              </w:rPr>
            </w:pPr>
            <w:r>
              <w:rPr>
                <w:rFonts w:hint="eastAsia" w:ascii="仿宋" w:hAnsi="仿宋" w:eastAsia="仿宋" w:cs="仿宋"/>
                <w:b/>
                <w:bCs/>
                <w:color w:val="auto"/>
                <w:sz w:val="24"/>
                <w:highlight w:val="none"/>
                <w:lang w:val="en-US" w:eastAsia="zh-CN"/>
              </w:rPr>
              <w:t>4.未提供者不得分。</w:t>
            </w:r>
          </w:p>
        </w:tc>
        <w:tc>
          <w:tcPr>
            <w:tcW w:w="1226" w:type="dxa"/>
            <w:tcBorders>
              <w:top w:val="single" w:color="auto" w:sz="4" w:space="0"/>
              <w:left w:val="single" w:color="auto" w:sz="4" w:space="0"/>
              <w:bottom w:val="single" w:color="auto" w:sz="4" w:space="0"/>
              <w:right w:val="single" w:color="auto" w:sz="4" w:space="0"/>
            </w:tcBorders>
            <w:noWrap w:val="0"/>
            <w:vAlign w:val="center"/>
          </w:tcPr>
          <w:p w14:paraId="631B17EB">
            <w:pPr>
              <w:keepNext w:val="0"/>
              <w:keepLines w:val="0"/>
              <w:pageBreakBefore w:val="0"/>
              <w:widowControl w:val="0"/>
              <w:kinsoku/>
              <w:wordWrap/>
              <w:overflowPunct/>
              <w:topLinePunct w:val="0"/>
              <w:autoSpaceDN/>
              <w:bidi w:val="0"/>
              <w:adjustRightInd/>
              <w:snapToGrid w:val="0"/>
              <w:spacing w:line="360" w:lineRule="exact"/>
              <w:jc w:val="center"/>
              <w:textAlignment w:val="auto"/>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8</w:t>
            </w:r>
          </w:p>
        </w:tc>
      </w:tr>
      <w:tr w14:paraId="2DA8A0B1">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1072" w:hRule="atLeast"/>
          <w:jc w:val="center"/>
        </w:trPr>
        <w:tc>
          <w:tcPr>
            <w:tcW w:w="1210" w:type="dxa"/>
            <w:tcBorders>
              <w:top w:val="single" w:color="auto" w:sz="4" w:space="0"/>
              <w:left w:val="single" w:color="auto" w:sz="4" w:space="0"/>
              <w:bottom w:val="single" w:color="auto" w:sz="4" w:space="0"/>
              <w:right w:val="single" w:color="auto" w:sz="4" w:space="0"/>
            </w:tcBorders>
            <w:noWrap w:val="0"/>
            <w:vAlign w:val="center"/>
          </w:tcPr>
          <w:p w14:paraId="09E66D2E">
            <w:pPr>
              <w:snapToGrid w:val="0"/>
              <w:spacing w:line="440" w:lineRule="exact"/>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8</w:t>
            </w:r>
          </w:p>
        </w:tc>
        <w:tc>
          <w:tcPr>
            <w:tcW w:w="1210" w:type="dxa"/>
            <w:tcBorders>
              <w:top w:val="single" w:color="auto" w:sz="4" w:space="0"/>
              <w:left w:val="single" w:color="auto" w:sz="4" w:space="0"/>
              <w:bottom w:val="single" w:color="auto" w:sz="4" w:space="0"/>
              <w:right w:val="single" w:color="auto" w:sz="4" w:space="0"/>
            </w:tcBorders>
            <w:noWrap w:val="0"/>
            <w:vAlign w:val="center"/>
          </w:tcPr>
          <w:p w14:paraId="0C6122A9">
            <w:pPr>
              <w:keepNext w:val="0"/>
              <w:keepLines w:val="0"/>
              <w:pageBreakBefore w:val="0"/>
              <w:widowControl w:val="0"/>
              <w:kinsoku/>
              <w:wordWrap/>
              <w:overflowPunct/>
              <w:topLinePunct w:val="0"/>
              <w:autoSpaceDE w:val="0"/>
              <w:autoSpaceDN/>
              <w:bidi w:val="0"/>
              <w:adjustRightInd/>
              <w:snapToGrid w:val="0"/>
              <w:spacing w:line="360" w:lineRule="exact"/>
              <w:jc w:val="center"/>
              <w:textAlignment w:val="auto"/>
              <w:rPr>
                <w:rFonts w:hint="eastAsia" w:ascii="仿宋" w:hAnsi="仿宋" w:eastAsia="仿宋" w:cs="仿宋"/>
                <w:b/>
                <w:bCs/>
                <w:color w:val="auto"/>
                <w:kern w:val="2"/>
                <w:sz w:val="24"/>
                <w:szCs w:val="20"/>
                <w:highlight w:val="none"/>
                <w:lang w:val="en-US" w:eastAsia="zh-CN" w:bidi="ar-SA"/>
              </w:rPr>
            </w:pPr>
            <w:r>
              <w:rPr>
                <w:rFonts w:hint="eastAsia" w:ascii="仿宋" w:hAnsi="仿宋" w:eastAsia="仿宋" w:cs="仿宋"/>
                <w:b/>
                <w:bCs/>
                <w:color w:val="auto"/>
                <w:sz w:val="24"/>
                <w:highlight w:val="none"/>
                <w:lang w:val="en-US" w:eastAsia="zh-CN"/>
              </w:rPr>
              <w:t>服务承诺</w:t>
            </w:r>
          </w:p>
        </w:tc>
        <w:tc>
          <w:tcPr>
            <w:tcW w:w="6113" w:type="dxa"/>
            <w:tcBorders>
              <w:top w:val="single" w:color="auto" w:sz="4" w:space="0"/>
              <w:left w:val="single" w:color="auto" w:sz="4" w:space="0"/>
              <w:bottom w:val="single" w:color="auto" w:sz="4" w:space="0"/>
              <w:right w:val="single" w:color="auto" w:sz="4" w:space="0"/>
            </w:tcBorders>
            <w:noWrap w:val="0"/>
            <w:vAlign w:val="center"/>
          </w:tcPr>
          <w:p w14:paraId="1996D563">
            <w:pPr>
              <w:keepNext w:val="0"/>
              <w:keepLines w:val="0"/>
              <w:pageBreakBefore w:val="0"/>
              <w:widowControl w:val="0"/>
              <w:kinsoku/>
              <w:wordWrap/>
              <w:overflowPunct/>
              <w:topLinePunct w:val="0"/>
              <w:autoSpaceDE w:val="0"/>
              <w:autoSpaceDN/>
              <w:bidi w:val="0"/>
              <w:adjustRightInd/>
              <w:snapToGrid w:val="0"/>
              <w:spacing w:line="360" w:lineRule="exact"/>
              <w:ind w:firstLine="482" w:firstLineChars="200"/>
              <w:jc w:val="left"/>
              <w:textAlignment w:val="auto"/>
              <w:rPr>
                <w:rFonts w:hint="eastAsia" w:ascii="仿宋" w:hAnsi="仿宋" w:eastAsia="仿宋" w:cs="仿宋"/>
                <w:b/>
                <w:bCs/>
                <w:color w:val="auto"/>
                <w:sz w:val="24"/>
                <w:highlight w:val="none"/>
                <w:lang w:val="en-US" w:eastAsia="zh-CN"/>
              </w:rPr>
            </w:pPr>
            <w:r>
              <w:rPr>
                <w:rFonts w:hint="eastAsia" w:ascii="仿宋" w:hAnsi="仿宋" w:eastAsia="仿宋" w:cs="仿宋"/>
                <w:b/>
                <w:color w:val="auto"/>
                <w:kern w:val="2"/>
                <w:sz w:val="24"/>
                <w:szCs w:val="24"/>
                <w:highlight w:val="none"/>
                <w:lang w:val="en-US" w:eastAsia="zh-CN" w:bidi="ar-SA"/>
              </w:rPr>
              <w:t>投标人根据本项目的服务要求，制定服务承诺方案，包括但不限于</w:t>
            </w:r>
            <w:r>
              <w:rPr>
                <w:rFonts w:hint="eastAsia" w:ascii="仿宋" w:hAnsi="仿宋" w:eastAsia="仿宋" w:cs="仿宋"/>
                <w:b/>
                <w:bCs/>
                <w:color w:val="auto"/>
                <w:sz w:val="24"/>
                <w:highlight w:val="none"/>
                <w:lang w:val="en-US" w:eastAsia="zh-CN"/>
              </w:rPr>
              <w:t xml:space="preserve">服务及时性、服务数据保密以及服务承诺落实的保障措施等。    </w:t>
            </w:r>
          </w:p>
          <w:p w14:paraId="31CE6FD3">
            <w:pPr>
              <w:keepNext w:val="0"/>
              <w:keepLines w:val="0"/>
              <w:pageBreakBefore w:val="0"/>
              <w:widowControl w:val="0"/>
              <w:kinsoku/>
              <w:wordWrap/>
              <w:overflowPunct/>
              <w:topLinePunct w:val="0"/>
              <w:autoSpaceDE w:val="0"/>
              <w:autoSpaceDN/>
              <w:bidi w:val="0"/>
              <w:adjustRightInd/>
              <w:snapToGrid w:val="0"/>
              <w:spacing w:line="360" w:lineRule="exact"/>
              <w:ind w:firstLine="482" w:firstLineChars="200"/>
              <w:jc w:val="left"/>
              <w:textAlignment w:val="auto"/>
              <w:rPr>
                <w:rFonts w:hint="eastAsia" w:ascii="仿宋" w:hAnsi="仿宋" w:eastAsia="仿宋" w:cs="仿宋"/>
                <w:b/>
                <w:color w:val="auto"/>
                <w:kern w:val="2"/>
                <w:sz w:val="24"/>
                <w:szCs w:val="24"/>
                <w:highlight w:val="none"/>
                <w:lang w:val="en-US" w:eastAsia="zh-CN" w:bidi="ar-SA"/>
              </w:rPr>
            </w:pPr>
            <w:bookmarkStart w:id="181" w:name="OLE_LINK18"/>
            <w:r>
              <w:rPr>
                <w:rFonts w:hint="eastAsia" w:ascii="仿宋" w:hAnsi="仿宋" w:eastAsia="仿宋" w:cs="仿宋"/>
                <w:b/>
                <w:bCs/>
                <w:color w:val="auto"/>
                <w:sz w:val="24"/>
                <w:highlight w:val="none"/>
                <w:lang w:val="en-US" w:eastAsia="zh-CN"/>
              </w:rPr>
              <w:t>1.方案内容完整详细，完</w:t>
            </w:r>
            <w:r>
              <w:rPr>
                <w:rFonts w:hint="eastAsia" w:ascii="仿宋" w:hAnsi="仿宋" w:eastAsia="仿宋" w:cs="仿宋"/>
                <w:b/>
                <w:color w:val="auto"/>
                <w:kern w:val="2"/>
                <w:sz w:val="24"/>
                <w:szCs w:val="24"/>
                <w:highlight w:val="none"/>
                <w:lang w:val="en-US" w:eastAsia="zh-CN" w:bidi="ar-SA"/>
              </w:rPr>
              <w:t>全满足采购需求的，得8分；</w:t>
            </w:r>
          </w:p>
          <w:p w14:paraId="66D9A816">
            <w:pPr>
              <w:keepNext w:val="0"/>
              <w:keepLines w:val="0"/>
              <w:pageBreakBefore w:val="0"/>
              <w:widowControl w:val="0"/>
              <w:kinsoku/>
              <w:wordWrap/>
              <w:overflowPunct/>
              <w:topLinePunct w:val="0"/>
              <w:autoSpaceDE w:val="0"/>
              <w:autoSpaceDN/>
              <w:bidi w:val="0"/>
              <w:adjustRightInd/>
              <w:snapToGrid w:val="0"/>
              <w:spacing w:line="360" w:lineRule="exact"/>
              <w:ind w:firstLine="482" w:firstLineChars="200"/>
              <w:jc w:val="left"/>
              <w:textAlignment w:val="auto"/>
              <w:rPr>
                <w:rFonts w:hint="eastAsia" w:ascii="仿宋" w:hAnsi="仿宋" w:eastAsia="仿宋" w:cs="仿宋"/>
                <w:b/>
                <w:bCs/>
                <w:color w:val="auto"/>
                <w:sz w:val="24"/>
                <w:highlight w:val="none"/>
                <w:lang w:val="en-US" w:eastAsia="zh-CN"/>
              </w:rPr>
            </w:pPr>
            <w:r>
              <w:rPr>
                <w:rFonts w:hint="eastAsia" w:ascii="仿宋" w:hAnsi="仿宋" w:eastAsia="仿宋" w:cs="仿宋"/>
                <w:b/>
                <w:color w:val="auto"/>
                <w:kern w:val="2"/>
                <w:sz w:val="24"/>
                <w:szCs w:val="24"/>
                <w:highlight w:val="none"/>
                <w:lang w:val="en-US" w:eastAsia="zh-CN" w:bidi="ar-SA"/>
              </w:rPr>
              <w:t>2.方案内容详细，贴近采购需求的，</w:t>
            </w:r>
            <w:r>
              <w:rPr>
                <w:rFonts w:hint="eastAsia" w:ascii="仿宋" w:hAnsi="仿宋" w:eastAsia="仿宋" w:cs="仿宋"/>
                <w:b/>
                <w:bCs/>
                <w:color w:val="auto"/>
                <w:sz w:val="24"/>
                <w:highlight w:val="none"/>
                <w:lang w:val="en-US" w:eastAsia="zh-CN"/>
              </w:rPr>
              <w:t xml:space="preserve">得6分； </w:t>
            </w:r>
          </w:p>
          <w:p w14:paraId="14F2D640">
            <w:pPr>
              <w:keepNext w:val="0"/>
              <w:keepLines w:val="0"/>
              <w:pageBreakBefore w:val="0"/>
              <w:widowControl w:val="0"/>
              <w:kinsoku/>
              <w:wordWrap/>
              <w:overflowPunct/>
              <w:topLinePunct w:val="0"/>
              <w:autoSpaceDE w:val="0"/>
              <w:autoSpaceDN/>
              <w:bidi w:val="0"/>
              <w:adjustRightInd/>
              <w:snapToGrid w:val="0"/>
              <w:spacing w:line="360" w:lineRule="exact"/>
              <w:ind w:firstLine="482" w:firstLineChars="200"/>
              <w:jc w:val="left"/>
              <w:textAlignment w:val="auto"/>
              <w:rPr>
                <w:rFonts w:hint="eastAsia" w:ascii="仿宋" w:hAnsi="仿宋" w:eastAsia="仿宋" w:cs="仿宋"/>
                <w:b/>
                <w:bCs/>
                <w:color w:val="auto"/>
                <w:sz w:val="24"/>
                <w:highlight w:val="none"/>
                <w:lang w:val="en-US" w:eastAsia="zh-CN"/>
              </w:rPr>
            </w:pPr>
            <w:r>
              <w:rPr>
                <w:rFonts w:hint="eastAsia" w:ascii="仿宋" w:hAnsi="仿宋" w:eastAsia="仿宋" w:cs="仿宋"/>
                <w:b/>
                <w:bCs/>
                <w:color w:val="auto"/>
                <w:sz w:val="24"/>
                <w:highlight w:val="none"/>
                <w:lang w:val="en-US" w:eastAsia="zh-CN"/>
              </w:rPr>
              <w:t>3.方案的适用性、可行性有待提升的，得4分；</w:t>
            </w:r>
          </w:p>
          <w:p w14:paraId="31CA057A">
            <w:pPr>
              <w:autoSpaceDN/>
              <w:adjustRightInd/>
              <w:snapToGrid w:val="0"/>
              <w:spacing w:line="360" w:lineRule="exact"/>
              <w:ind w:firstLine="482" w:firstLineChars="200"/>
              <w:jc w:val="left"/>
              <w:rPr>
                <w:rFonts w:hint="eastAsia"/>
                <w:color w:val="auto"/>
                <w:highlight w:val="none"/>
                <w:lang w:val="en-US" w:eastAsia="zh-CN"/>
              </w:rPr>
            </w:pPr>
            <w:r>
              <w:rPr>
                <w:rFonts w:hint="eastAsia" w:ascii="仿宋" w:hAnsi="仿宋" w:eastAsia="仿宋" w:cs="仿宋"/>
                <w:b/>
                <w:bCs/>
                <w:color w:val="auto"/>
                <w:sz w:val="24"/>
                <w:highlight w:val="none"/>
                <w:lang w:val="en-US" w:eastAsia="zh-CN"/>
              </w:rPr>
              <w:t>4.未提供者不得分。</w:t>
            </w:r>
            <w:bookmarkEnd w:id="181"/>
          </w:p>
        </w:tc>
        <w:tc>
          <w:tcPr>
            <w:tcW w:w="1226" w:type="dxa"/>
            <w:tcBorders>
              <w:top w:val="single" w:color="auto" w:sz="4" w:space="0"/>
              <w:left w:val="single" w:color="auto" w:sz="4" w:space="0"/>
              <w:bottom w:val="single" w:color="auto" w:sz="4" w:space="0"/>
              <w:right w:val="single" w:color="auto" w:sz="4" w:space="0"/>
            </w:tcBorders>
            <w:noWrap w:val="0"/>
            <w:vAlign w:val="center"/>
          </w:tcPr>
          <w:p w14:paraId="1B0783E4">
            <w:pPr>
              <w:keepNext w:val="0"/>
              <w:keepLines w:val="0"/>
              <w:pageBreakBefore w:val="0"/>
              <w:widowControl w:val="0"/>
              <w:kinsoku/>
              <w:wordWrap/>
              <w:overflowPunct/>
              <w:topLinePunct w:val="0"/>
              <w:autoSpaceDN/>
              <w:bidi w:val="0"/>
              <w:adjustRightInd/>
              <w:snapToGrid w:val="0"/>
              <w:spacing w:line="360" w:lineRule="exact"/>
              <w:jc w:val="center"/>
              <w:textAlignment w:val="auto"/>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8</w:t>
            </w:r>
          </w:p>
        </w:tc>
      </w:tr>
      <w:tr w14:paraId="7D73DB07">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673" w:hRule="atLeast"/>
          <w:jc w:val="center"/>
        </w:trPr>
        <w:tc>
          <w:tcPr>
            <w:tcW w:w="1210" w:type="dxa"/>
            <w:tcBorders>
              <w:top w:val="single" w:color="auto" w:sz="4" w:space="0"/>
              <w:left w:val="single" w:color="auto" w:sz="4" w:space="0"/>
              <w:bottom w:val="single" w:color="auto" w:sz="4" w:space="0"/>
              <w:right w:val="single" w:color="auto" w:sz="4" w:space="0"/>
            </w:tcBorders>
            <w:noWrap w:val="0"/>
            <w:vAlign w:val="center"/>
          </w:tcPr>
          <w:p w14:paraId="0732E936">
            <w:pPr>
              <w:snapToGrid w:val="0"/>
              <w:spacing w:line="440" w:lineRule="exact"/>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9</w:t>
            </w:r>
          </w:p>
        </w:tc>
        <w:tc>
          <w:tcPr>
            <w:tcW w:w="1210" w:type="dxa"/>
            <w:tcBorders>
              <w:top w:val="single" w:color="auto" w:sz="4" w:space="0"/>
              <w:left w:val="single" w:color="auto" w:sz="4" w:space="0"/>
              <w:bottom w:val="single" w:color="auto" w:sz="4" w:space="0"/>
              <w:right w:val="single" w:color="auto" w:sz="4" w:space="0"/>
            </w:tcBorders>
            <w:noWrap w:val="0"/>
            <w:vAlign w:val="center"/>
          </w:tcPr>
          <w:p w14:paraId="04D76C14">
            <w:pPr>
              <w:keepNext w:val="0"/>
              <w:keepLines w:val="0"/>
              <w:pageBreakBefore w:val="0"/>
              <w:widowControl w:val="0"/>
              <w:kinsoku/>
              <w:wordWrap/>
              <w:overflowPunct/>
              <w:topLinePunct w:val="0"/>
              <w:autoSpaceDE w:val="0"/>
              <w:autoSpaceDN/>
              <w:bidi w:val="0"/>
              <w:adjustRightInd/>
              <w:snapToGrid w:val="0"/>
              <w:spacing w:line="360" w:lineRule="exact"/>
              <w:jc w:val="center"/>
              <w:textAlignment w:val="auto"/>
              <w:rPr>
                <w:rFonts w:hint="eastAsia" w:ascii="仿宋" w:hAnsi="仿宋" w:eastAsia="仿宋" w:cs="仿宋"/>
                <w:b/>
                <w:bCs/>
                <w:color w:val="auto"/>
                <w:kern w:val="2"/>
                <w:sz w:val="24"/>
                <w:szCs w:val="20"/>
                <w:highlight w:val="none"/>
                <w:lang w:val="en-US" w:eastAsia="zh-CN" w:bidi="ar-SA"/>
              </w:rPr>
            </w:pPr>
            <w:r>
              <w:rPr>
                <w:rFonts w:hint="eastAsia" w:ascii="仿宋" w:hAnsi="仿宋" w:eastAsia="仿宋" w:cs="仿宋"/>
                <w:b/>
                <w:bCs/>
                <w:color w:val="auto"/>
                <w:sz w:val="24"/>
                <w:highlight w:val="none"/>
                <w:lang w:val="en-US" w:eastAsia="zh-CN"/>
              </w:rPr>
              <w:t>档案管理方案</w:t>
            </w:r>
          </w:p>
        </w:tc>
        <w:tc>
          <w:tcPr>
            <w:tcW w:w="6113" w:type="dxa"/>
            <w:tcBorders>
              <w:top w:val="single" w:color="auto" w:sz="4" w:space="0"/>
              <w:left w:val="single" w:color="auto" w:sz="4" w:space="0"/>
              <w:bottom w:val="single" w:color="auto" w:sz="4" w:space="0"/>
              <w:right w:val="single" w:color="auto" w:sz="4" w:space="0"/>
            </w:tcBorders>
            <w:noWrap w:val="0"/>
            <w:vAlign w:val="center"/>
          </w:tcPr>
          <w:p w14:paraId="522DDA90">
            <w:pPr>
              <w:keepNext w:val="0"/>
              <w:keepLines w:val="0"/>
              <w:pageBreakBefore w:val="0"/>
              <w:widowControl w:val="0"/>
              <w:kinsoku/>
              <w:wordWrap/>
              <w:overflowPunct/>
              <w:topLinePunct w:val="0"/>
              <w:autoSpaceDE w:val="0"/>
              <w:autoSpaceDN/>
              <w:bidi w:val="0"/>
              <w:adjustRightInd/>
              <w:snapToGrid w:val="0"/>
              <w:spacing w:line="360" w:lineRule="exact"/>
              <w:ind w:firstLine="482" w:firstLineChars="200"/>
              <w:jc w:val="left"/>
              <w:textAlignment w:val="auto"/>
              <w:rPr>
                <w:rFonts w:hint="eastAsia" w:ascii="仿宋" w:hAnsi="仿宋" w:eastAsia="仿宋" w:cs="仿宋"/>
                <w:b/>
                <w:bCs/>
                <w:color w:val="auto"/>
                <w:sz w:val="24"/>
                <w:highlight w:val="none"/>
                <w:lang w:val="en-US" w:eastAsia="zh-CN"/>
              </w:rPr>
            </w:pPr>
            <w:r>
              <w:rPr>
                <w:rFonts w:hint="eastAsia" w:ascii="仿宋" w:hAnsi="仿宋" w:eastAsia="仿宋" w:cs="仿宋"/>
                <w:b/>
                <w:bCs/>
                <w:color w:val="auto"/>
                <w:sz w:val="24"/>
                <w:highlight w:val="none"/>
                <w:lang w:val="en-US" w:eastAsia="zh-CN"/>
              </w:rPr>
              <w:t>投标人根据本项目的服务要求，制定档案管理方案，方案内容包括但不限于档案汇总分析计划、档案资料整理措施、档案保密措施等。</w:t>
            </w:r>
          </w:p>
          <w:p w14:paraId="3060AC85">
            <w:pPr>
              <w:keepNext w:val="0"/>
              <w:keepLines w:val="0"/>
              <w:pageBreakBefore w:val="0"/>
              <w:widowControl w:val="0"/>
              <w:kinsoku/>
              <w:wordWrap/>
              <w:overflowPunct/>
              <w:topLinePunct w:val="0"/>
              <w:autoSpaceDE w:val="0"/>
              <w:autoSpaceDN/>
              <w:bidi w:val="0"/>
              <w:adjustRightInd/>
              <w:snapToGrid w:val="0"/>
              <w:spacing w:line="360" w:lineRule="exact"/>
              <w:ind w:firstLine="482" w:firstLineChars="200"/>
              <w:jc w:val="left"/>
              <w:textAlignment w:val="auto"/>
              <w:rPr>
                <w:rFonts w:hint="eastAsia" w:ascii="仿宋" w:hAnsi="仿宋" w:eastAsia="仿宋" w:cs="仿宋"/>
                <w:b/>
                <w:bCs/>
                <w:color w:val="auto"/>
                <w:sz w:val="24"/>
                <w:highlight w:val="none"/>
                <w:lang w:val="en-US" w:eastAsia="zh-CN"/>
              </w:rPr>
            </w:pPr>
            <w:bookmarkStart w:id="182" w:name="OLE_LINK17"/>
            <w:r>
              <w:rPr>
                <w:rFonts w:hint="eastAsia" w:ascii="仿宋" w:hAnsi="仿宋" w:eastAsia="仿宋" w:cs="仿宋"/>
                <w:b/>
                <w:bCs/>
                <w:color w:val="auto"/>
                <w:sz w:val="24"/>
                <w:highlight w:val="none"/>
                <w:lang w:val="en-US" w:eastAsia="zh-CN"/>
              </w:rPr>
              <w:t>1.方案内容完整详细，完全满足采购需求的，得8 分；</w:t>
            </w:r>
          </w:p>
          <w:p w14:paraId="1AF01209">
            <w:pPr>
              <w:keepNext w:val="0"/>
              <w:keepLines w:val="0"/>
              <w:pageBreakBefore w:val="0"/>
              <w:widowControl w:val="0"/>
              <w:kinsoku/>
              <w:wordWrap/>
              <w:overflowPunct/>
              <w:topLinePunct w:val="0"/>
              <w:autoSpaceDE w:val="0"/>
              <w:autoSpaceDN/>
              <w:bidi w:val="0"/>
              <w:adjustRightInd/>
              <w:snapToGrid w:val="0"/>
              <w:spacing w:line="360" w:lineRule="exact"/>
              <w:ind w:firstLine="482" w:firstLineChars="200"/>
              <w:jc w:val="left"/>
              <w:textAlignment w:val="auto"/>
              <w:rPr>
                <w:rFonts w:hint="eastAsia" w:ascii="仿宋" w:hAnsi="仿宋" w:eastAsia="仿宋" w:cs="仿宋"/>
                <w:b/>
                <w:bCs/>
                <w:color w:val="auto"/>
                <w:sz w:val="24"/>
                <w:highlight w:val="none"/>
                <w:lang w:val="en-US" w:eastAsia="zh-CN"/>
              </w:rPr>
            </w:pPr>
            <w:r>
              <w:rPr>
                <w:rFonts w:hint="eastAsia" w:ascii="仿宋" w:hAnsi="仿宋" w:eastAsia="仿宋" w:cs="仿宋"/>
                <w:b/>
                <w:bCs/>
                <w:color w:val="auto"/>
                <w:sz w:val="24"/>
                <w:highlight w:val="none"/>
                <w:lang w:val="en-US" w:eastAsia="zh-CN"/>
              </w:rPr>
              <w:t>2.方案内容详细，贴近采购需求的，得 6 分；</w:t>
            </w:r>
          </w:p>
          <w:p w14:paraId="443ED3C8">
            <w:pPr>
              <w:keepNext w:val="0"/>
              <w:keepLines w:val="0"/>
              <w:pageBreakBefore w:val="0"/>
              <w:widowControl w:val="0"/>
              <w:kinsoku/>
              <w:wordWrap/>
              <w:overflowPunct/>
              <w:topLinePunct w:val="0"/>
              <w:autoSpaceDE w:val="0"/>
              <w:autoSpaceDN/>
              <w:bidi w:val="0"/>
              <w:adjustRightInd/>
              <w:snapToGrid w:val="0"/>
              <w:spacing w:line="360" w:lineRule="exact"/>
              <w:ind w:firstLine="482" w:firstLineChars="200"/>
              <w:jc w:val="left"/>
              <w:textAlignment w:val="auto"/>
              <w:rPr>
                <w:rFonts w:hint="eastAsia" w:ascii="仿宋" w:hAnsi="仿宋" w:eastAsia="仿宋" w:cs="仿宋"/>
                <w:b/>
                <w:bCs/>
                <w:color w:val="auto"/>
                <w:sz w:val="24"/>
                <w:highlight w:val="none"/>
                <w:lang w:val="en-US" w:eastAsia="zh-CN"/>
              </w:rPr>
            </w:pPr>
            <w:r>
              <w:rPr>
                <w:rFonts w:hint="eastAsia" w:ascii="仿宋" w:hAnsi="仿宋" w:eastAsia="仿宋" w:cs="仿宋"/>
                <w:b/>
                <w:bCs/>
                <w:color w:val="auto"/>
                <w:sz w:val="24"/>
                <w:highlight w:val="none"/>
                <w:lang w:val="en-US" w:eastAsia="zh-CN"/>
              </w:rPr>
              <w:t>3.方案的适用性、可行性有待提升的 ，得 4分；</w:t>
            </w:r>
          </w:p>
          <w:p w14:paraId="1E69C12D">
            <w:pPr>
              <w:keepNext w:val="0"/>
              <w:keepLines w:val="0"/>
              <w:pageBreakBefore w:val="0"/>
              <w:widowControl w:val="0"/>
              <w:kinsoku/>
              <w:wordWrap/>
              <w:overflowPunct/>
              <w:topLinePunct w:val="0"/>
              <w:autoSpaceDE w:val="0"/>
              <w:autoSpaceDN/>
              <w:bidi w:val="0"/>
              <w:adjustRightInd/>
              <w:snapToGrid w:val="0"/>
              <w:spacing w:line="360" w:lineRule="exact"/>
              <w:ind w:firstLine="482" w:firstLineChars="200"/>
              <w:jc w:val="left"/>
              <w:textAlignment w:val="auto"/>
              <w:rPr>
                <w:rFonts w:hint="eastAsia" w:ascii="仿宋" w:hAnsi="仿宋" w:eastAsia="仿宋" w:cs="仿宋"/>
                <w:b/>
                <w:bCs/>
                <w:color w:val="auto"/>
                <w:kern w:val="2"/>
                <w:sz w:val="24"/>
                <w:szCs w:val="20"/>
                <w:highlight w:val="none"/>
                <w:lang w:val="en-US" w:eastAsia="zh-CN" w:bidi="ar-SA"/>
              </w:rPr>
            </w:pPr>
            <w:r>
              <w:rPr>
                <w:rFonts w:hint="eastAsia" w:ascii="仿宋" w:hAnsi="仿宋" w:eastAsia="仿宋" w:cs="仿宋"/>
                <w:b/>
                <w:bCs/>
                <w:color w:val="auto"/>
                <w:sz w:val="24"/>
                <w:highlight w:val="none"/>
                <w:lang w:val="en-US" w:eastAsia="zh-CN"/>
              </w:rPr>
              <w:t>4.未提供者不得分。</w:t>
            </w:r>
            <w:bookmarkEnd w:id="182"/>
          </w:p>
        </w:tc>
        <w:tc>
          <w:tcPr>
            <w:tcW w:w="1226" w:type="dxa"/>
            <w:tcBorders>
              <w:top w:val="single" w:color="auto" w:sz="4" w:space="0"/>
              <w:left w:val="single" w:color="auto" w:sz="4" w:space="0"/>
              <w:bottom w:val="single" w:color="auto" w:sz="4" w:space="0"/>
              <w:right w:val="single" w:color="auto" w:sz="4" w:space="0"/>
            </w:tcBorders>
            <w:noWrap w:val="0"/>
            <w:vAlign w:val="center"/>
          </w:tcPr>
          <w:p w14:paraId="68601C54">
            <w:pPr>
              <w:keepNext w:val="0"/>
              <w:keepLines w:val="0"/>
              <w:pageBreakBefore w:val="0"/>
              <w:widowControl w:val="0"/>
              <w:kinsoku/>
              <w:wordWrap/>
              <w:overflowPunct/>
              <w:topLinePunct w:val="0"/>
              <w:autoSpaceDN/>
              <w:bidi w:val="0"/>
              <w:adjustRightInd/>
              <w:snapToGrid w:val="0"/>
              <w:spacing w:line="360" w:lineRule="exact"/>
              <w:jc w:val="center"/>
              <w:textAlignment w:val="auto"/>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8</w:t>
            </w:r>
          </w:p>
        </w:tc>
      </w:tr>
      <w:tr w14:paraId="58798FC2">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673" w:hRule="atLeast"/>
          <w:jc w:val="center"/>
        </w:trPr>
        <w:tc>
          <w:tcPr>
            <w:tcW w:w="1210" w:type="dxa"/>
            <w:tcBorders>
              <w:top w:val="single" w:color="auto" w:sz="4" w:space="0"/>
              <w:left w:val="single" w:color="auto" w:sz="4" w:space="0"/>
              <w:bottom w:val="single" w:color="auto" w:sz="4" w:space="0"/>
              <w:right w:val="single" w:color="auto" w:sz="4" w:space="0"/>
            </w:tcBorders>
            <w:noWrap w:val="0"/>
            <w:vAlign w:val="center"/>
          </w:tcPr>
          <w:p w14:paraId="39D6E9B1">
            <w:pPr>
              <w:snapToGrid w:val="0"/>
              <w:spacing w:line="440" w:lineRule="exact"/>
              <w:jc w:val="center"/>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10</w:t>
            </w:r>
          </w:p>
        </w:tc>
        <w:tc>
          <w:tcPr>
            <w:tcW w:w="1210" w:type="dxa"/>
            <w:tcBorders>
              <w:top w:val="single" w:color="auto" w:sz="4" w:space="0"/>
              <w:left w:val="single" w:color="auto" w:sz="4" w:space="0"/>
              <w:bottom w:val="single" w:color="auto" w:sz="4" w:space="0"/>
              <w:right w:val="single" w:color="auto" w:sz="4" w:space="0"/>
            </w:tcBorders>
            <w:noWrap w:val="0"/>
            <w:vAlign w:val="center"/>
          </w:tcPr>
          <w:p w14:paraId="4C8184B8">
            <w:pPr>
              <w:keepNext w:val="0"/>
              <w:keepLines w:val="0"/>
              <w:pageBreakBefore w:val="0"/>
              <w:widowControl w:val="0"/>
              <w:kinsoku/>
              <w:wordWrap/>
              <w:overflowPunct/>
              <w:topLinePunct w:val="0"/>
              <w:autoSpaceDE w:val="0"/>
              <w:autoSpaceDN/>
              <w:bidi w:val="0"/>
              <w:adjustRightInd/>
              <w:snapToGrid w:val="0"/>
              <w:spacing w:line="360" w:lineRule="exact"/>
              <w:jc w:val="center"/>
              <w:textAlignment w:val="auto"/>
              <w:rPr>
                <w:rFonts w:hint="default" w:ascii="仿宋" w:hAnsi="仿宋" w:eastAsia="仿宋" w:cs="仿宋"/>
                <w:b/>
                <w:bCs/>
                <w:color w:val="auto"/>
                <w:sz w:val="24"/>
                <w:highlight w:val="none"/>
                <w:lang w:val="en-US" w:eastAsia="zh-CN"/>
              </w:rPr>
            </w:pPr>
            <w:r>
              <w:rPr>
                <w:rFonts w:hint="eastAsia" w:ascii="仿宋" w:hAnsi="仿宋" w:eastAsia="仿宋" w:cs="仿宋"/>
                <w:b/>
                <w:bCs/>
                <w:color w:val="auto"/>
                <w:sz w:val="24"/>
                <w:highlight w:val="none"/>
                <w:lang w:val="en-US" w:eastAsia="zh-CN"/>
              </w:rPr>
              <w:t>增值服务</w:t>
            </w:r>
          </w:p>
        </w:tc>
        <w:tc>
          <w:tcPr>
            <w:tcW w:w="6113" w:type="dxa"/>
            <w:tcBorders>
              <w:top w:val="single" w:color="auto" w:sz="4" w:space="0"/>
              <w:left w:val="single" w:color="auto" w:sz="4" w:space="0"/>
              <w:bottom w:val="single" w:color="auto" w:sz="4" w:space="0"/>
              <w:right w:val="single" w:color="auto" w:sz="4" w:space="0"/>
            </w:tcBorders>
            <w:noWrap w:val="0"/>
            <w:vAlign w:val="center"/>
          </w:tcPr>
          <w:p w14:paraId="6BA5DF28">
            <w:pPr>
              <w:rPr>
                <w:color w:val="auto"/>
                <w:highlight w:val="none"/>
              </w:rPr>
            </w:pPr>
          </w:p>
          <w:p w14:paraId="709CCA10">
            <w:pPr>
              <w:keepNext w:val="0"/>
              <w:keepLines w:val="0"/>
              <w:pageBreakBefore w:val="0"/>
              <w:widowControl w:val="0"/>
              <w:kinsoku/>
              <w:wordWrap/>
              <w:overflowPunct/>
              <w:topLinePunct w:val="0"/>
              <w:autoSpaceDE w:val="0"/>
              <w:autoSpaceDN/>
              <w:bidi w:val="0"/>
              <w:adjustRightInd/>
              <w:snapToGrid w:val="0"/>
              <w:spacing w:line="360" w:lineRule="exact"/>
              <w:ind w:firstLine="482" w:firstLineChars="200"/>
              <w:jc w:val="left"/>
              <w:textAlignment w:val="auto"/>
              <w:rPr>
                <w:rFonts w:hint="eastAsia" w:ascii="仿宋" w:hAnsi="仿宋" w:eastAsia="仿宋" w:cs="仿宋"/>
                <w:b/>
                <w:bCs/>
                <w:color w:val="auto"/>
                <w:sz w:val="24"/>
                <w:highlight w:val="none"/>
                <w:lang w:val="en-US" w:eastAsia="zh-CN"/>
              </w:rPr>
            </w:pPr>
            <w:r>
              <w:rPr>
                <w:rFonts w:hint="eastAsia" w:ascii="仿宋" w:hAnsi="仿宋" w:eastAsia="仿宋" w:cs="仿宋"/>
                <w:b/>
                <w:bCs/>
                <w:color w:val="auto"/>
                <w:sz w:val="24"/>
                <w:highlight w:val="none"/>
                <w:lang w:val="en-US" w:eastAsia="zh-CN"/>
              </w:rPr>
              <w:t>投标人根据自身技术实力及服务标准，制定增值服务方案，方案内容包括但不限于</w:t>
            </w:r>
            <w:r>
              <w:rPr>
                <w:rFonts w:hint="eastAsia" w:ascii="仿宋" w:hAnsi="仿宋" w:eastAsia="仿宋" w:cs="仿宋"/>
                <w:i w:val="0"/>
                <w:iCs w:val="0"/>
                <w:caps w:val="0"/>
                <w:color w:val="auto"/>
                <w:spacing w:val="0"/>
                <w:sz w:val="24"/>
                <w:szCs w:val="24"/>
                <w:highlight w:val="none"/>
                <w:shd w:val="clear"/>
              </w:rPr>
              <w:t>为受检企业提供技术咨询服务</w:t>
            </w:r>
            <w:r>
              <w:rPr>
                <w:rFonts w:hint="eastAsia" w:ascii="仿宋" w:hAnsi="仿宋" w:eastAsia="仿宋" w:cs="仿宋"/>
                <w:i w:val="0"/>
                <w:iCs w:val="0"/>
                <w:caps w:val="0"/>
                <w:color w:val="auto"/>
                <w:spacing w:val="0"/>
                <w:sz w:val="24"/>
                <w:szCs w:val="24"/>
                <w:highlight w:val="none"/>
                <w:shd w:val="clear"/>
                <w:lang w:eastAsia="zh-CN"/>
              </w:rPr>
              <w:t>、</w:t>
            </w:r>
            <w:r>
              <w:rPr>
                <w:rFonts w:hint="eastAsia" w:ascii="仿宋" w:hAnsi="仿宋" w:eastAsia="仿宋" w:cs="仿宋"/>
                <w:i w:val="0"/>
                <w:iCs w:val="0"/>
                <w:caps w:val="0"/>
                <w:color w:val="auto"/>
                <w:spacing w:val="0"/>
                <w:sz w:val="24"/>
                <w:szCs w:val="24"/>
                <w:highlight w:val="none"/>
                <w:shd w:val="clear"/>
                <w:lang w:val="en-US" w:eastAsia="zh-CN"/>
              </w:rPr>
              <w:t>理论指导</w:t>
            </w:r>
            <w:r>
              <w:rPr>
                <w:rFonts w:hint="eastAsia" w:ascii="仿宋" w:hAnsi="仿宋" w:eastAsia="仿宋" w:cs="仿宋"/>
                <w:b/>
                <w:bCs/>
                <w:color w:val="auto"/>
                <w:sz w:val="24"/>
                <w:highlight w:val="none"/>
                <w:lang w:val="en-US" w:eastAsia="zh-CN"/>
              </w:rPr>
              <w:t>等。</w:t>
            </w:r>
          </w:p>
          <w:p w14:paraId="4E47B907">
            <w:pPr>
              <w:keepNext w:val="0"/>
              <w:keepLines w:val="0"/>
              <w:pageBreakBefore w:val="0"/>
              <w:widowControl w:val="0"/>
              <w:kinsoku/>
              <w:wordWrap/>
              <w:overflowPunct/>
              <w:topLinePunct w:val="0"/>
              <w:autoSpaceDE w:val="0"/>
              <w:autoSpaceDN/>
              <w:bidi w:val="0"/>
              <w:adjustRightInd/>
              <w:snapToGrid w:val="0"/>
              <w:spacing w:line="360" w:lineRule="exact"/>
              <w:ind w:firstLine="482" w:firstLineChars="200"/>
              <w:jc w:val="left"/>
              <w:textAlignment w:val="auto"/>
              <w:rPr>
                <w:rFonts w:hint="eastAsia" w:ascii="仿宋" w:hAnsi="仿宋" w:eastAsia="仿宋" w:cs="仿宋"/>
                <w:b/>
                <w:bCs/>
                <w:color w:val="auto"/>
                <w:sz w:val="24"/>
                <w:highlight w:val="none"/>
                <w:lang w:val="en-US" w:eastAsia="zh-CN"/>
              </w:rPr>
            </w:pPr>
            <w:r>
              <w:rPr>
                <w:rFonts w:hint="eastAsia" w:ascii="仿宋" w:hAnsi="仿宋" w:eastAsia="仿宋" w:cs="仿宋"/>
                <w:b/>
                <w:bCs/>
                <w:color w:val="auto"/>
                <w:sz w:val="24"/>
                <w:highlight w:val="none"/>
                <w:lang w:val="en-US" w:eastAsia="zh-CN"/>
              </w:rPr>
              <w:t>1.方案内容完整详细，完全满足采购需求的，得4 分；</w:t>
            </w:r>
          </w:p>
          <w:p w14:paraId="14B9F537">
            <w:pPr>
              <w:keepNext w:val="0"/>
              <w:keepLines w:val="0"/>
              <w:pageBreakBefore w:val="0"/>
              <w:widowControl w:val="0"/>
              <w:kinsoku/>
              <w:wordWrap/>
              <w:overflowPunct/>
              <w:topLinePunct w:val="0"/>
              <w:autoSpaceDE w:val="0"/>
              <w:autoSpaceDN/>
              <w:bidi w:val="0"/>
              <w:adjustRightInd/>
              <w:snapToGrid w:val="0"/>
              <w:spacing w:line="360" w:lineRule="exact"/>
              <w:ind w:firstLine="482" w:firstLineChars="200"/>
              <w:jc w:val="left"/>
              <w:textAlignment w:val="auto"/>
              <w:rPr>
                <w:rFonts w:hint="eastAsia" w:ascii="仿宋" w:hAnsi="仿宋" w:eastAsia="仿宋" w:cs="仿宋"/>
                <w:b/>
                <w:bCs/>
                <w:color w:val="auto"/>
                <w:sz w:val="24"/>
                <w:highlight w:val="none"/>
                <w:lang w:val="en-US" w:eastAsia="zh-CN"/>
              </w:rPr>
            </w:pPr>
            <w:r>
              <w:rPr>
                <w:rFonts w:hint="eastAsia" w:ascii="仿宋" w:hAnsi="仿宋" w:eastAsia="仿宋" w:cs="仿宋"/>
                <w:b/>
                <w:bCs/>
                <w:color w:val="auto"/>
                <w:sz w:val="24"/>
                <w:highlight w:val="none"/>
                <w:lang w:val="en-US" w:eastAsia="zh-CN"/>
              </w:rPr>
              <w:t>2.方案内容详细，贴近采购需求的，得 3 分；</w:t>
            </w:r>
          </w:p>
          <w:p w14:paraId="6CBDFCEF">
            <w:pPr>
              <w:keepNext w:val="0"/>
              <w:keepLines w:val="0"/>
              <w:pageBreakBefore w:val="0"/>
              <w:widowControl w:val="0"/>
              <w:kinsoku/>
              <w:wordWrap/>
              <w:overflowPunct/>
              <w:topLinePunct w:val="0"/>
              <w:autoSpaceDE w:val="0"/>
              <w:autoSpaceDN/>
              <w:bidi w:val="0"/>
              <w:adjustRightInd/>
              <w:snapToGrid w:val="0"/>
              <w:spacing w:line="360" w:lineRule="exact"/>
              <w:ind w:firstLine="482" w:firstLineChars="200"/>
              <w:jc w:val="left"/>
              <w:textAlignment w:val="auto"/>
              <w:rPr>
                <w:rFonts w:hint="eastAsia" w:ascii="仿宋" w:hAnsi="仿宋" w:eastAsia="仿宋" w:cs="仿宋"/>
                <w:b/>
                <w:bCs/>
                <w:color w:val="auto"/>
                <w:sz w:val="24"/>
                <w:highlight w:val="none"/>
                <w:lang w:val="en-US" w:eastAsia="zh-CN"/>
              </w:rPr>
            </w:pPr>
            <w:r>
              <w:rPr>
                <w:rFonts w:hint="eastAsia" w:ascii="仿宋" w:hAnsi="仿宋" w:eastAsia="仿宋" w:cs="仿宋"/>
                <w:b/>
                <w:bCs/>
                <w:color w:val="auto"/>
                <w:sz w:val="24"/>
                <w:highlight w:val="none"/>
                <w:lang w:val="en-US" w:eastAsia="zh-CN"/>
              </w:rPr>
              <w:t>3.方案的适用性、可行性有待提升的 ，得 2分；</w:t>
            </w:r>
          </w:p>
          <w:p w14:paraId="2A633484">
            <w:pPr>
              <w:keepNext w:val="0"/>
              <w:keepLines w:val="0"/>
              <w:pageBreakBefore w:val="0"/>
              <w:widowControl w:val="0"/>
              <w:kinsoku/>
              <w:wordWrap/>
              <w:overflowPunct/>
              <w:topLinePunct w:val="0"/>
              <w:autoSpaceDE w:val="0"/>
              <w:autoSpaceDN/>
              <w:bidi w:val="0"/>
              <w:adjustRightInd/>
              <w:snapToGrid w:val="0"/>
              <w:spacing w:line="360" w:lineRule="exact"/>
              <w:ind w:firstLine="482" w:firstLineChars="200"/>
              <w:jc w:val="left"/>
              <w:textAlignment w:val="auto"/>
              <w:rPr>
                <w:rFonts w:hint="eastAsia" w:ascii="仿宋" w:hAnsi="仿宋" w:eastAsia="仿宋" w:cs="仿宋"/>
                <w:b/>
                <w:bCs/>
                <w:color w:val="auto"/>
                <w:sz w:val="24"/>
                <w:highlight w:val="none"/>
                <w:lang w:val="en-US" w:eastAsia="zh-CN"/>
              </w:rPr>
            </w:pPr>
            <w:r>
              <w:rPr>
                <w:rFonts w:hint="eastAsia" w:ascii="仿宋" w:hAnsi="仿宋" w:eastAsia="仿宋" w:cs="仿宋"/>
                <w:b/>
                <w:bCs/>
                <w:color w:val="auto"/>
                <w:sz w:val="24"/>
                <w:highlight w:val="none"/>
                <w:lang w:val="en-US" w:eastAsia="zh-CN"/>
              </w:rPr>
              <w:t>4.未提供者不得分。</w:t>
            </w:r>
          </w:p>
        </w:tc>
        <w:tc>
          <w:tcPr>
            <w:tcW w:w="1226" w:type="dxa"/>
            <w:tcBorders>
              <w:top w:val="single" w:color="auto" w:sz="4" w:space="0"/>
              <w:left w:val="single" w:color="auto" w:sz="4" w:space="0"/>
              <w:bottom w:val="single" w:color="auto" w:sz="4" w:space="0"/>
              <w:right w:val="single" w:color="auto" w:sz="4" w:space="0"/>
            </w:tcBorders>
            <w:noWrap w:val="0"/>
            <w:vAlign w:val="center"/>
          </w:tcPr>
          <w:p w14:paraId="22392586">
            <w:pPr>
              <w:keepNext w:val="0"/>
              <w:keepLines w:val="0"/>
              <w:pageBreakBefore w:val="0"/>
              <w:widowControl w:val="0"/>
              <w:kinsoku/>
              <w:wordWrap/>
              <w:overflowPunct/>
              <w:topLinePunct w:val="0"/>
              <w:autoSpaceDN/>
              <w:bidi w:val="0"/>
              <w:adjustRightInd/>
              <w:snapToGrid w:val="0"/>
              <w:spacing w:line="360" w:lineRule="exact"/>
              <w:jc w:val="center"/>
              <w:textAlignment w:val="auto"/>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4</w:t>
            </w:r>
          </w:p>
        </w:tc>
      </w:tr>
    </w:tbl>
    <w:p w14:paraId="0F1B91FF">
      <w:pPr>
        <w:pStyle w:val="21"/>
        <w:keepNext w:val="0"/>
        <w:keepLines w:val="0"/>
        <w:pageBreakBefore w:val="0"/>
        <w:kinsoku/>
        <w:wordWrap/>
        <w:overflowPunct/>
        <w:topLinePunct w:val="0"/>
        <w:bidi w:val="0"/>
        <w:adjustRightInd w:val="0"/>
        <w:snapToGrid w:val="0"/>
        <w:spacing w:line="440" w:lineRule="exact"/>
        <w:ind w:firstLine="480"/>
        <w:textAlignment w:val="auto"/>
        <w:rPr>
          <w:rFonts w:hint="eastAsia" w:ascii="仿宋" w:hAnsi="仿宋" w:eastAsia="仿宋"/>
          <w:b/>
          <w:bCs/>
          <w:color w:val="auto"/>
          <w:sz w:val="24"/>
          <w:highlight w:val="none"/>
          <w:lang w:eastAsia="zh-CN"/>
        </w:rPr>
      </w:pPr>
      <w:r>
        <w:rPr>
          <w:rFonts w:hint="eastAsia" w:ascii="仿宋" w:hAnsi="仿宋" w:eastAsia="仿宋" w:cs="仿宋"/>
          <w:color w:val="auto"/>
          <w:sz w:val="20"/>
          <w:szCs w:val="20"/>
          <w:highlight w:val="none"/>
          <w:shd w:val="clear" w:color="auto" w:fill="FFFFFF"/>
        </w:rPr>
        <w:t> </w:t>
      </w:r>
      <w:r>
        <w:rPr>
          <w:rFonts w:hint="eastAsia" w:ascii="仿宋" w:hAnsi="仿宋" w:eastAsia="仿宋" w:cs="仿宋_GB2312"/>
          <w:color w:val="auto"/>
          <w:highlight w:val="none"/>
        </w:rPr>
        <w:t>（计算得分时，按其算术平均值保留小数点后2位；评审小组成员个人主观打分偏离所有评审小组成员主观打分平均值30%以上的，由评审委员会启动评分畸高、畸低行为认定程序。）</w:t>
      </w:r>
      <w:r>
        <w:rPr>
          <w:rFonts w:hint="eastAsia" w:ascii="仿宋" w:hAnsi="仿宋" w:eastAsia="仿宋" w:cs="仿宋_GB2312"/>
          <w:b/>
          <w:bCs/>
          <w:color w:val="auto"/>
          <w:highlight w:val="none"/>
          <w:lang w:eastAsia="zh-CN"/>
        </w:rPr>
        <w:t>商务技术分低于</w:t>
      </w:r>
      <w:r>
        <w:rPr>
          <w:rFonts w:hint="eastAsia" w:ascii="仿宋" w:hAnsi="仿宋" w:eastAsia="仿宋" w:cs="仿宋_GB2312"/>
          <w:b/>
          <w:bCs/>
          <w:color w:val="auto"/>
          <w:highlight w:val="none"/>
          <w:lang w:val="en-US" w:eastAsia="zh-CN"/>
        </w:rPr>
        <w:t>54</w:t>
      </w:r>
      <w:r>
        <w:rPr>
          <w:rFonts w:hint="eastAsia" w:ascii="仿宋" w:hAnsi="仿宋" w:eastAsia="仿宋" w:cs="仿宋_GB2312"/>
          <w:b/>
          <w:bCs/>
          <w:color w:val="auto"/>
          <w:highlight w:val="none"/>
        </w:rPr>
        <w:t>分的</w:t>
      </w:r>
      <w:r>
        <w:rPr>
          <w:rFonts w:hint="eastAsia" w:ascii="仿宋" w:hAnsi="仿宋" w:eastAsia="仿宋" w:cs="仿宋_GB2312"/>
          <w:b/>
          <w:bCs/>
          <w:color w:val="auto"/>
          <w:highlight w:val="none"/>
          <w:lang w:val="en-US" w:eastAsia="zh-CN"/>
        </w:rPr>
        <w:t>，</w:t>
      </w:r>
      <w:r>
        <w:rPr>
          <w:rFonts w:hint="eastAsia" w:ascii="仿宋" w:hAnsi="仿宋" w:eastAsia="仿宋"/>
          <w:b/>
          <w:bCs/>
          <w:color w:val="auto"/>
          <w:sz w:val="24"/>
          <w:highlight w:val="none"/>
        </w:rPr>
        <w:t>视为采购人不能接受的附加条件</w:t>
      </w:r>
      <w:r>
        <w:rPr>
          <w:rFonts w:hint="eastAsia" w:ascii="仿宋" w:hAnsi="仿宋" w:eastAsia="仿宋"/>
          <w:b/>
          <w:bCs/>
          <w:color w:val="auto"/>
          <w:sz w:val="24"/>
          <w:highlight w:val="none"/>
          <w:lang w:eastAsia="zh-CN"/>
        </w:rPr>
        <w:t>。</w:t>
      </w:r>
    </w:p>
    <w:p w14:paraId="1F38231E">
      <w:pPr>
        <w:keepNext w:val="0"/>
        <w:keepLines w:val="0"/>
        <w:pageBreakBefore w:val="0"/>
        <w:kinsoku/>
        <w:wordWrap/>
        <w:overflowPunct/>
        <w:topLinePunct w:val="0"/>
        <w:bidi w:val="0"/>
        <w:adjustRightInd w:val="0"/>
        <w:snapToGrid w:val="0"/>
        <w:spacing w:line="440" w:lineRule="exact"/>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备注：</w:t>
      </w:r>
      <w:r>
        <w:rPr>
          <w:rFonts w:hint="eastAsia" w:ascii="仿宋" w:hAnsi="仿宋" w:eastAsia="仿宋" w:cs="仿宋"/>
          <w:color w:val="auto"/>
          <w:sz w:val="24"/>
          <w:highlight w:val="none"/>
        </w:rPr>
        <w:t>投标人编制投标文件（商务技术文件部分）时，建议按此目录（序号和内容）提供评标标准相应的商务技术资料。 </w:t>
      </w:r>
    </w:p>
    <w:p w14:paraId="121CB0CB">
      <w:pPr>
        <w:keepNext w:val="0"/>
        <w:keepLines w:val="0"/>
        <w:pageBreakBefore w:val="0"/>
        <w:kinsoku/>
        <w:wordWrap/>
        <w:overflowPunct/>
        <w:topLinePunct w:val="0"/>
        <w:bidi w:val="0"/>
        <w:adjustRightInd w:val="0"/>
        <w:spacing w:line="440" w:lineRule="exact"/>
        <w:ind w:firstLine="482" w:firstLineChars="200"/>
        <w:textAlignment w:val="auto"/>
        <w:rPr>
          <w:rFonts w:hint="eastAsia" w:ascii="仿宋" w:hAnsi="仿宋" w:eastAsia="仿宋" w:cs="仿宋"/>
          <w:b/>
          <w:bCs/>
          <w:iCs/>
          <w:color w:val="auto"/>
          <w:sz w:val="24"/>
          <w:highlight w:val="none"/>
        </w:rPr>
      </w:pPr>
      <w:r>
        <w:rPr>
          <w:rFonts w:hint="eastAsia" w:ascii="仿宋" w:hAnsi="仿宋" w:eastAsia="仿宋" w:cs="仿宋"/>
          <w:b/>
          <w:bCs/>
          <w:iCs/>
          <w:color w:val="auto"/>
          <w:sz w:val="24"/>
          <w:highlight w:val="none"/>
        </w:rPr>
        <w:t>2.2价格分（</w:t>
      </w:r>
      <w:r>
        <w:rPr>
          <w:rFonts w:hint="eastAsia" w:ascii="仿宋" w:hAnsi="仿宋" w:eastAsia="仿宋" w:cs="仿宋"/>
          <w:b/>
          <w:bCs/>
          <w:iCs/>
          <w:color w:val="auto"/>
          <w:sz w:val="24"/>
          <w:highlight w:val="none"/>
          <w:u w:val="single"/>
          <w:lang w:val="en-US" w:eastAsia="zh-CN"/>
        </w:rPr>
        <w:t xml:space="preserve"> 10 </w:t>
      </w:r>
      <w:r>
        <w:rPr>
          <w:rFonts w:hint="eastAsia" w:ascii="仿宋" w:hAnsi="仿宋" w:eastAsia="仿宋" w:cs="仿宋"/>
          <w:b/>
          <w:bCs/>
          <w:iCs/>
          <w:color w:val="auto"/>
          <w:sz w:val="24"/>
          <w:highlight w:val="none"/>
        </w:rPr>
        <w:t>分）</w:t>
      </w:r>
    </w:p>
    <w:p w14:paraId="6EF1BF26">
      <w:pPr>
        <w:keepNext w:val="0"/>
        <w:keepLines w:val="0"/>
        <w:pageBreakBefore w:val="0"/>
        <w:kinsoku/>
        <w:wordWrap/>
        <w:overflowPunct/>
        <w:topLinePunct w:val="0"/>
        <w:bidi w:val="0"/>
        <w:adjustRightInd w:val="0"/>
        <w:spacing w:line="440" w:lineRule="exact"/>
        <w:ind w:firstLine="480" w:firstLineChars="200"/>
        <w:textAlignment w:val="auto"/>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2.2.1评标基准价：即满足招标文件要求且投标价格最低的投标报价为评标基准价，其价格分为满分。</w:t>
      </w:r>
    </w:p>
    <w:p w14:paraId="73C24DD8">
      <w:pPr>
        <w:keepNext w:val="0"/>
        <w:keepLines w:val="0"/>
        <w:pageBreakBefore w:val="0"/>
        <w:kinsoku/>
        <w:wordWrap/>
        <w:overflowPunct/>
        <w:topLinePunct w:val="0"/>
        <w:bidi w:val="0"/>
        <w:adjustRightInd w:val="0"/>
        <w:spacing w:line="440" w:lineRule="exact"/>
        <w:ind w:firstLine="480" w:firstLineChars="200"/>
        <w:textAlignment w:val="auto"/>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2.2.2其他投标人的价格分统一按照下列公式计算：</w:t>
      </w:r>
    </w:p>
    <w:p w14:paraId="643867C5">
      <w:pPr>
        <w:keepNext w:val="0"/>
        <w:keepLines w:val="0"/>
        <w:pageBreakBefore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bidi w:val="0"/>
        <w:adjustRightInd w:val="0"/>
        <w:spacing w:line="440" w:lineRule="exact"/>
        <w:ind w:firstLine="480" w:firstLineChars="200"/>
        <w:textAlignment w:val="auto"/>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投标报价得分=(评标基准价／投标报价)×价格权值×100</w:t>
      </w:r>
    </w:p>
    <w:p w14:paraId="79F8C3AE">
      <w:pPr>
        <w:keepNext w:val="0"/>
        <w:keepLines w:val="0"/>
        <w:pageBreakBefore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bidi w:val="0"/>
        <w:adjustRightInd w:val="0"/>
        <w:spacing w:line="440" w:lineRule="exact"/>
        <w:ind w:firstLine="480" w:firstLineChars="200"/>
        <w:textAlignment w:val="auto"/>
        <w:rPr>
          <w:rFonts w:hint="default" w:ascii="仿宋" w:hAnsi="仿宋" w:eastAsia="仿宋" w:cs="仿宋"/>
          <w:bCs/>
          <w:iCs/>
          <w:color w:val="auto"/>
          <w:sz w:val="24"/>
          <w:highlight w:val="none"/>
          <w:lang w:val="en-US" w:eastAsia="zh-CN"/>
        </w:rPr>
      </w:pPr>
      <w:r>
        <w:rPr>
          <w:rFonts w:hint="eastAsia" w:ascii="仿宋" w:hAnsi="仿宋" w:eastAsia="仿宋" w:cs="仿宋"/>
          <w:bCs/>
          <w:iCs/>
          <w:color w:val="auto"/>
          <w:sz w:val="24"/>
          <w:highlight w:val="none"/>
        </w:rPr>
        <w:t>即：投标报价得分=(评标基准价／投标报价)×</w:t>
      </w:r>
      <w:r>
        <w:rPr>
          <w:rFonts w:hint="eastAsia" w:ascii="仿宋" w:hAnsi="仿宋" w:eastAsia="仿宋" w:cs="仿宋"/>
          <w:bCs/>
          <w:iCs/>
          <w:color w:val="auto"/>
          <w:sz w:val="24"/>
          <w:highlight w:val="none"/>
          <w:u w:val="single"/>
          <w:lang w:val="en-US" w:eastAsia="zh-CN"/>
        </w:rPr>
        <w:t xml:space="preserve"> 10 </w:t>
      </w:r>
    </w:p>
    <w:p w14:paraId="408251CE">
      <w:pPr>
        <w:pStyle w:val="10"/>
        <w:snapToGrid w:val="0"/>
        <w:spacing w:line="360" w:lineRule="auto"/>
        <w:ind w:firstLine="0" w:firstLineChars="0"/>
        <w:rPr>
          <w:rFonts w:hint="eastAsia" w:ascii="仿宋" w:hAnsi="仿宋" w:eastAsia="仿宋" w:cs="仿宋"/>
          <w:color w:val="auto"/>
          <w:highlight w:val="none"/>
        </w:rPr>
      </w:pPr>
    </w:p>
    <w:p w14:paraId="138D042A">
      <w:pPr>
        <w:widowControl/>
        <w:adjustRightInd/>
        <w:jc w:val="center"/>
        <w:rPr>
          <w:rFonts w:hint="eastAsia" w:ascii="仿宋" w:hAnsi="仿宋" w:eastAsia="仿宋" w:cs="仿宋"/>
          <w:b/>
          <w:color w:val="auto"/>
          <w:sz w:val="36"/>
          <w:szCs w:val="20"/>
          <w:highlight w:val="none"/>
        </w:rPr>
      </w:pPr>
    </w:p>
    <w:p w14:paraId="673FDC73">
      <w:pPr>
        <w:rPr>
          <w:rFonts w:hint="eastAsia" w:ascii="仿宋" w:hAnsi="仿宋" w:eastAsia="仿宋" w:cs="仿宋"/>
          <w:color w:val="auto"/>
          <w:highlight w:val="none"/>
        </w:rPr>
      </w:pPr>
    </w:p>
    <w:p w14:paraId="2DF327CE">
      <w:pPr>
        <w:rPr>
          <w:rFonts w:hint="eastAsia" w:ascii="仿宋" w:hAnsi="仿宋" w:eastAsia="仿宋" w:cs="仿宋"/>
          <w:color w:val="auto"/>
          <w:highlight w:val="none"/>
        </w:rPr>
      </w:pPr>
    </w:p>
    <w:p w14:paraId="3AE6477B">
      <w:pPr>
        <w:widowControl/>
        <w:adjustRightInd/>
        <w:jc w:val="center"/>
        <w:rPr>
          <w:rFonts w:hint="eastAsia" w:ascii="仿宋" w:hAnsi="仿宋" w:eastAsia="仿宋" w:cs="仿宋"/>
          <w:b/>
          <w:color w:val="auto"/>
          <w:sz w:val="36"/>
          <w:szCs w:val="20"/>
          <w:highlight w:val="none"/>
        </w:rPr>
      </w:pPr>
    </w:p>
    <w:p w14:paraId="525C8182">
      <w:pPr>
        <w:widowControl/>
        <w:adjustRightInd/>
        <w:jc w:val="center"/>
        <w:rPr>
          <w:rFonts w:hint="eastAsia" w:ascii="仿宋" w:hAnsi="仿宋" w:eastAsia="仿宋" w:cs="仿宋"/>
          <w:b/>
          <w:color w:val="auto"/>
          <w:sz w:val="36"/>
          <w:szCs w:val="20"/>
          <w:highlight w:val="none"/>
        </w:rPr>
      </w:pPr>
    </w:p>
    <w:p w14:paraId="2FBB596C">
      <w:pPr>
        <w:widowControl/>
        <w:adjustRightInd/>
        <w:jc w:val="center"/>
        <w:rPr>
          <w:rFonts w:hint="eastAsia" w:ascii="仿宋" w:hAnsi="仿宋" w:eastAsia="仿宋" w:cs="仿宋"/>
          <w:b/>
          <w:color w:val="auto"/>
          <w:sz w:val="36"/>
          <w:szCs w:val="20"/>
          <w:highlight w:val="none"/>
        </w:rPr>
      </w:pPr>
    </w:p>
    <w:p w14:paraId="41E99FAC">
      <w:pPr>
        <w:widowControl/>
        <w:adjustRightInd/>
        <w:jc w:val="center"/>
        <w:rPr>
          <w:rFonts w:hint="eastAsia" w:ascii="仿宋" w:hAnsi="仿宋" w:eastAsia="仿宋" w:cs="仿宋"/>
          <w:b/>
          <w:color w:val="auto"/>
          <w:sz w:val="36"/>
          <w:szCs w:val="20"/>
          <w:highlight w:val="none"/>
        </w:rPr>
      </w:pPr>
    </w:p>
    <w:p w14:paraId="351A9FCA">
      <w:pPr>
        <w:widowControl/>
        <w:adjustRightInd/>
        <w:jc w:val="center"/>
        <w:rPr>
          <w:rFonts w:hint="eastAsia" w:ascii="仿宋" w:hAnsi="仿宋" w:eastAsia="仿宋" w:cs="仿宋"/>
          <w:b/>
          <w:color w:val="auto"/>
          <w:sz w:val="36"/>
          <w:szCs w:val="20"/>
          <w:highlight w:val="none"/>
        </w:rPr>
      </w:pPr>
    </w:p>
    <w:p w14:paraId="1E90F8E6">
      <w:pPr>
        <w:widowControl/>
        <w:adjustRightInd/>
        <w:jc w:val="center"/>
        <w:rPr>
          <w:rFonts w:hint="eastAsia" w:ascii="仿宋" w:hAnsi="仿宋" w:eastAsia="仿宋" w:cs="仿宋"/>
          <w:b/>
          <w:color w:val="auto"/>
          <w:sz w:val="36"/>
          <w:szCs w:val="20"/>
          <w:highlight w:val="none"/>
        </w:rPr>
      </w:pPr>
    </w:p>
    <w:p w14:paraId="36C4CE5E">
      <w:pPr>
        <w:widowControl/>
        <w:adjustRightInd/>
        <w:jc w:val="center"/>
        <w:rPr>
          <w:rFonts w:hint="eastAsia" w:ascii="仿宋" w:hAnsi="仿宋" w:eastAsia="仿宋" w:cs="仿宋"/>
          <w:b/>
          <w:color w:val="auto"/>
          <w:sz w:val="36"/>
          <w:szCs w:val="20"/>
          <w:highlight w:val="none"/>
        </w:rPr>
      </w:pPr>
    </w:p>
    <w:p w14:paraId="304ADB6B">
      <w:pPr>
        <w:widowControl/>
        <w:adjustRightInd/>
        <w:jc w:val="center"/>
        <w:rPr>
          <w:rFonts w:hint="eastAsia" w:ascii="仿宋" w:hAnsi="仿宋" w:eastAsia="仿宋" w:cs="仿宋"/>
          <w:b/>
          <w:color w:val="auto"/>
          <w:sz w:val="36"/>
          <w:szCs w:val="20"/>
          <w:highlight w:val="none"/>
        </w:rPr>
      </w:pPr>
    </w:p>
    <w:p w14:paraId="140544E8">
      <w:pPr>
        <w:widowControl/>
        <w:adjustRightInd/>
        <w:jc w:val="center"/>
        <w:rPr>
          <w:rFonts w:hint="eastAsia" w:ascii="仿宋" w:hAnsi="仿宋" w:eastAsia="仿宋" w:cs="仿宋"/>
          <w:b/>
          <w:color w:val="auto"/>
          <w:sz w:val="36"/>
          <w:szCs w:val="20"/>
          <w:highlight w:val="none"/>
        </w:rPr>
      </w:pPr>
    </w:p>
    <w:p w14:paraId="55CF89C6">
      <w:pPr>
        <w:widowControl/>
        <w:adjustRightInd/>
        <w:jc w:val="center"/>
        <w:rPr>
          <w:rFonts w:hint="eastAsia" w:ascii="仿宋" w:hAnsi="仿宋" w:eastAsia="仿宋" w:cs="仿宋"/>
          <w:b/>
          <w:color w:val="auto"/>
          <w:sz w:val="36"/>
          <w:szCs w:val="20"/>
          <w:highlight w:val="none"/>
        </w:rPr>
      </w:pPr>
    </w:p>
    <w:p w14:paraId="0F2D2890">
      <w:pPr>
        <w:widowControl/>
        <w:adjustRightInd/>
        <w:jc w:val="center"/>
        <w:rPr>
          <w:rFonts w:hint="eastAsia" w:ascii="仿宋" w:hAnsi="仿宋" w:eastAsia="仿宋" w:cs="仿宋"/>
          <w:b/>
          <w:color w:val="auto"/>
          <w:sz w:val="36"/>
          <w:szCs w:val="20"/>
          <w:highlight w:val="none"/>
        </w:rPr>
      </w:pPr>
    </w:p>
    <w:p w14:paraId="05AB6957">
      <w:pPr>
        <w:widowControl/>
        <w:adjustRightInd/>
        <w:jc w:val="center"/>
        <w:rPr>
          <w:rFonts w:hint="eastAsia" w:ascii="仿宋" w:hAnsi="仿宋" w:eastAsia="仿宋" w:cs="仿宋"/>
          <w:b/>
          <w:color w:val="auto"/>
          <w:sz w:val="36"/>
          <w:szCs w:val="20"/>
          <w:highlight w:val="none"/>
        </w:rPr>
      </w:pPr>
    </w:p>
    <w:p w14:paraId="3936FBA3">
      <w:pPr>
        <w:widowControl/>
        <w:adjustRightInd/>
        <w:jc w:val="center"/>
        <w:rPr>
          <w:rFonts w:hint="eastAsia" w:ascii="仿宋" w:hAnsi="仿宋" w:eastAsia="仿宋" w:cs="仿宋"/>
          <w:b/>
          <w:color w:val="auto"/>
          <w:sz w:val="36"/>
          <w:szCs w:val="20"/>
          <w:highlight w:val="none"/>
        </w:rPr>
      </w:pPr>
    </w:p>
    <w:p w14:paraId="4503449F">
      <w:pPr>
        <w:widowControl/>
        <w:adjustRightInd/>
        <w:jc w:val="center"/>
        <w:rPr>
          <w:rFonts w:hint="eastAsia" w:ascii="仿宋" w:hAnsi="仿宋" w:eastAsia="仿宋" w:cs="仿宋"/>
          <w:b/>
          <w:color w:val="auto"/>
          <w:sz w:val="36"/>
          <w:szCs w:val="20"/>
          <w:highlight w:val="none"/>
        </w:rPr>
      </w:pPr>
    </w:p>
    <w:p w14:paraId="573AACFC">
      <w:pPr>
        <w:widowControl/>
        <w:adjustRightInd/>
        <w:jc w:val="center"/>
        <w:rPr>
          <w:rFonts w:hint="eastAsia" w:ascii="仿宋" w:hAnsi="仿宋" w:eastAsia="仿宋" w:cs="仿宋"/>
          <w:b/>
          <w:color w:val="auto"/>
          <w:sz w:val="36"/>
          <w:szCs w:val="20"/>
          <w:highlight w:val="none"/>
        </w:rPr>
      </w:pPr>
    </w:p>
    <w:p w14:paraId="1CCE2EDE">
      <w:pPr>
        <w:widowControl/>
        <w:adjustRightInd/>
        <w:jc w:val="center"/>
        <w:rPr>
          <w:rFonts w:hint="eastAsia" w:ascii="仿宋" w:hAnsi="仿宋" w:eastAsia="仿宋" w:cs="仿宋"/>
          <w:b/>
          <w:color w:val="auto"/>
          <w:sz w:val="36"/>
          <w:szCs w:val="20"/>
          <w:highlight w:val="none"/>
        </w:rPr>
      </w:pPr>
    </w:p>
    <w:p w14:paraId="4DF910ED">
      <w:pPr>
        <w:widowControl/>
        <w:adjustRightInd/>
        <w:jc w:val="center"/>
        <w:rPr>
          <w:rFonts w:hint="eastAsia" w:ascii="仿宋" w:hAnsi="仿宋" w:eastAsia="仿宋" w:cs="仿宋"/>
          <w:b/>
          <w:color w:val="auto"/>
          <w:sz w:val="36"/>
          <w:szCs w:val="20"/>
          <w:highlight w:val="none"/>
        </w:rPr>
      </w:pPr>
    </w:p>
    <w:p w14:paraId="5B3185D0">
      <w:pPr>
        <w:widowControl/>
        <w:adjustRightInd/>
        <w:jc w:val="center"/>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第六部分</w:t>
      </w:r>
      <w:bookmarkEnd w:id="46"/>
      <w:r>
        <w:rPr>
          <w:rFonts w:hint="eastAsia" w:ascii="仿宋" w:hAnsi="仿宋" w:eastAsia="仿宋" w:cs="仿宋"/>
          <w:b/>
          <w:color w:val="auto"/>
          <w:sz w:val="36"/>
          <w:szCs w:val="20"/>
          <w:highlight w:val="none"/>
        </w:rPr>
        <w:t xml:space="preserve"> </w:t>
      </w:r>
      <w:bookmarkEnd w:id="47"/>
      <w:r>
        <w:rPr>
          <w:rFonts w:hint="eastAsia" w:ascii="仿宋" w:hAnsi="仿宋" w:eastAsia="仿宋" w:cs="仿宋"/>
          <w:b/>
          <w:color w:val="auto"/>
          <w:sz w:val="36"/>
          <w:szCs w:val="20"/>
          <w:highlight w:val="none"/>
        </w:rPr>
        <w:t>投标文件及其附件格式</w:t>
      </w:r>
    </w:p>
    <w:p w14:paraId="054D43E4">
      <w:pPr>
        <w:spacing w:line="360" w:lineRule="auto"/>
        <w:jc w:val="center"/>
        <w:outlineLvl w:val="0"/>
        <w:rPr>
          <w:rFonts w:hint="eastAsia" w:ascii="仿宋" w:hAnsi="仿宋" w:eastAsia="仿宋" w:cs="仿宋"/>
          <w:b/>
          <w:color w:val="auto"/>
          <w:kern w:val="0"/>
          <w:sz w:val="36"/>
          <w:szCs w:val="36"/>
          <w:highlight w:val="none"/>
        </w:rPr>
      </w:pPr>
    </w:p>
    <w:p w14:paraId="604F1FFE">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资格文件部分</w:t>
      </w:r>
    </w:p>
    <w:p w14:paraId="48509DDF">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14:paraId="3193F840">
      <w:pPr>
        <w:spacing w:line="360" w:lineRule="auto"/>
        <w:jc w:val="center"/>
        <w:outlineLvl w:val="0"/>
        <w:rPr>
          <w:rFonts w:hint="eastAsia" w:ascii="仿宋" w:hAnsi="仿宋" w:eastAsia="仿宋" w:cs="仿宋"/>
          <w:b/>
          <w:color w:val="auto"/>
          <w:kern w:val="0"/>
          <w:sz w:val="36"/>
          <w:szCs w:val="36"/>
          <w:highlight w:val="none"/>
        </w:rPr>
      </w:pPr>
    </w:p>
    <w:p w14:paraId="344D60AC">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（1）符合参加政府采购活动应当具备的一般条件的承诺函……………（页码）</w:t>
      </w:r>
    </w:p>
    <w:p w14:paraId="0714FC07">
      <w:pPr>
        <w:snapToGrid w:val="0"/>
        <w:spacing w:line="360" w:lineRule="auto"/>
        <w:rPr>
          <w:rFonts w:hint="eastAsia" w:ascii="仿宋" w:hAnsi="仿宋" w:eastAsia="仿宋" w:cs="仿宋"/>
          <w:color w:val="auto"/>
          <w:sz w:val="24"/>
          <w:highlight w:val="none"/>
        </w:rPr>
      </w:pPr>
      <w:r>
        <w:rPr>
          <w:rFonts w:hint="eastAsia" w:ascii="仿宋" w:hAnsi="仿宋" w:eastAsia="仿宋" w:cs="仿宋"/>
          <w:snapToGrid w:val="0"/>
          <w:color w:val="auto"/>
          <w:kern w:val="28"/>
          <w:sz w:val="24"/>
          <w:szCs w:val="20"/>
          <w:highlight w:val="none"/>
        </w:rPr>
        <w:t>（2）联合协议</w:t>
      </w:r>
      <w:r>
        <w:rPr>
          <w:rFonts w:hint="eastAsia" w:ascii="仿宋" w:hAnsi="仿宋" w:eastAsia="仿宋" w:cs="仿宋"/>
          <w:color w:val="auto"/>
          <w:sz w:val="24"/>
          <w:highlight w:val="none"/>
        </w:rPr>
        <w:t>………………………………………………………………（页码）</w:t>
      </w:r>
    </w:p>
    <w:p w14:paraId="65CC78DE">
      <w:pPr>
        <w:pStyle w:val="8"/>
        <w:rPr>
          <w:rFonts w:hint="eastAsia" w:ascii="仿宋" w:hAnsi="仿宋" w:eastAsia="仿宋" w:cs="仿宋"/>
          <w:color w:val="auto"/>
          <w:highlight w:val="none"/>
          <w:lang w:eastAsia="zh-CN"/>
        </w:rPr>
      </w:pPr>
      <w:r>
        <w:rPr>
          <w:rFonts w:hint="eastAsia" w:ascii="仿宋" w:hAnsi="仿宋" w:eastAsia="仿宋" w:cs="仿宋"/>
          <w:color w:val="auto"/>
          <w:sz w:val="24"/>
          <w:highlight w:val="none"/>
        </w:rPr>
        <w:t>（3）</w:t>
      </w:r>
      <w:r>
        <w:rPr>
          <w:rFonts w:hint="eastAsia" w:ascii="仿宋" w:hAnsi="仿宋" w:eastAsia="仿宋" w:cs="仿宋"/>
          <w:color w:val="auto"/>
          <w:sz w:val="24"/>
          <w:highlight w:val="none"/>
          <w:lang w:eastAsia="zh-CN"/>
        </w:rPr>
        <w:t>分包协议</w:t>
      </w:r>
      <w:r>
        <w:rPr>
          <w:rFonts w:hint="eastAsia" w:ascii="仿宋" w:hAnsi="仿宋" w:eastAsia="仿宋" w:cs="仿宋"/>
          <w:color w:val="auto"/>
          <w:sz w:val="24"/>
          <w:highlight w:val="none"/>
        </w:rPr>
        <w:t>………………………………………………………………（页码）</w:t>
      </w:r>
    </w:p>
    <w:p w14:paraId="2ED16B78">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rPr>
        <w:t>）落实政府采购政策需满足的资格要求………………………………（页码）</w:t>
      </w:r>
    </w:p>
    <w:p w14:paraId="4239AA38">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）本项目的特定资格要求………………………………………………（页码）</w:t>
      </w:r>
    </w:p>
    <w:p w14:paraId="236EE7C9">
      <w:pPr>
        <w:snapToGrid w:val="0"/>
        <w:spacing w:line="360" w:lineRule="auto"/>
        <w:ind w:firstLine="480" w:firstLineChars="200"/>
        <w:rPr>
          <w:rFonts w:hint="eastAsia" w:ascii="仿宋" w:hAnsi="仿宋" w:eastAsia="仿宋" w:cs="仿宋"/>
          <w:color w:val="auto"/>
          <w:sz w:val="24"/>
          <w:highlight w:val="none"/>
        </w:rPr>
      </w:pPr>
    </w:p>
    <w:p w14:paraId="041820CA">
      <w:pPr>
        <w:spacing w:line="360" w:lineRule="auto"/>
        <w:ind w:firstLine="480" w:firstLineChars="200"/>
        <w:rPr>
          <w:rFonts w:hint="eastAsia" w:ascii="仿宋" w:hAnsi="仿宋" w:eastAsia="仿宋" w:cs="仿宋"/>
          <w:color w:val="auto"/>
          <w:sz w:val="24"/>
          <w:highlight w:val="none"/>
        </w:rPr>
      </w:pPr>
    </w:p>
    <w:p w14:paraId="253D1FDB">
      <w:pPr>
        <w:snapToGrid w:val="0"/>
        <w:spacing w:line="360" w:lineRule="auto"/>
        <w:ind w:right="480"/>
        <w:jc w:val="center"/>
        <w:rPr>
          <w:rFonts w:hint="eastAsia" w:ascii="仿宋" w:hAnsi="仿宋" w:eastAsia="仿宋" w:cs="仿宋"/>
          <w:b/>
          <w:color w:val="auto"/>
          <w:kern w:val="0"/>
          <w:sz w:val="32"/>
          <w:szCs w:val="32"/>
          <w:highlight w:val="none"/>
        </w:rPr>
      </w:pPr>
      <w:r>
        <w:rPr>
          <w:rFonts w:hint="eastAsia" w:ascii="仿宋" w:hAnsi="仿宋" w:eastAsia="仿宋" w:cs="仿宋"/>
          <w:color w:val="auto"/>
          <w:kern w:val="0"/>
          <w:sz w:val="24"/>
          <w:highlight w:val="none"/>
        </w:rPr>
        <w:br w:type="page"/>
      </w:r>
      <w:r>
        <w:rPr>
          <w:rFonts w:hint="eastAsia" w:ascii="仿宋" w:hAnsi="仿宋" w:eastAsia="仿宋" w:cs="仿宋"/>
          <w:b/>
          <w:color w:val="auto"/>
          <w:kern w:val="0"/>
          <w:sz w:val="32"/>
          <w:szCs w:val="32"/>
          <w:highlight w:val="none"/>
        </w:rPr>
        <w:t xml:space="preserve">  一、 符合参加政府采购活动应当具备的一般条件的承诺函</w:t>
      </w:r>
    </w:p>
    <w:p w14:paraId="2159C990">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（采购人）、（采购代理机构）：</w:t>
      </w:r>
    </w:p>
    <w:p w14:paraId="42FC7ACF">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我方参与</w:t>
      </w:r>
      <w:r>
        <w:rPr>
          <w:rFonts w:hint="eastAsia" w:ascii="仿宋" w:hAnsi="仿宋" w:eastAsia="仿宋" w:cs="仿宋"/>
          <w:color w:val="auto"/>
          <w:sz w:val="24"/>
          <w:highlight w:val="none"/>
          <w:lang w:eastAsia="zh-CN"/>
        </w:rPr>
        <w:t>（项目名称）</w:t>
      </w:r>
      <w:r>
        <w:rPr>
          <w:rFonts w:hint="eastAsia" w:ascii="仿宋" w:hAnsi="仿宋" w:eastAsia="仿宋" w:cs="仿宋"/>
          <w:color w:val="auto"/>
          <w:sz w:val="24"/>
          <w:highlight w:val="none"/>
        </w:rPr>
        <w:t>【招标编号：（采购编号）】政府采购活动，郑重承诺：</w:t>
      </w:r>
    </w:p>
    <w:p w14:paraId="60CD1BBE">
      <w:pPr>
        <w:snapToGrid w:val="0"/>
        <w:spacing w:line="360" w:lineRule="auto"/>
        <w:ind w:firstLine="360" w:firstLineChars="150"/>
        <w:rPr>
          <w:rFonts w:hint="eastAsia" w:ascii="仿宋" w:hAnsi="仿宋" w:eastAsia="仿宋" w:cs="仿宋"/>
          <w:color w:val="auto"/>
          <w:sz w:val="24"/>
          <w:highlight w:val="none"/>
        </w:rPr>
      </w:pPr>
      <w:r>
        <w:rPr>
          <w:rFonts w:hint="eastAsia" w:ascii="仿宋" w:hAnsi="仿宋" w:eastAsia="仿宋" w:cs="仿宋"/>
          <w:color w:val="auto"/>
          <w:sz w:val="24"/>
          <w:highlight w:val="none"/>
        </w:rPr>
        <w:t>（一）具备《中华人民共和国政府采购法》第二十二条第一款规定的条件：</w:t>
      </w:r>
    </w:p>
    <w:p w14:paraId="119E21EA">
      <w:pPr>
        <w:snapToGrid w:val="0"/>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1、具有独立承担民事责任的能力</w:t>
      </w:r>
      <w:r>
        <w:rPr>
          <w:rFonts w:hint="eastAsia" w:ascii="仿宋_GB2312" w:hAnsi="仿宋" w:eastAsia="仿宋_GB2312" w:cs="仿宋_GB2312"/>
          <w:color w:val="auto"/>
          <w:sz w:val="24"/>
          <w:highlight w:val="none"/>
        </w:rPr>
        <w:t>（</w:t>
      </w:r>
      <w:r>
        <w:rPr>
          <w:rFonts w:hint="eastAsia" w:ascii="仿宋_GB2312" w:hAnsi="仿宋" w:eastAsia="仿宋_GB2312"/>
          <w:color w:val="auto"/>
          <w:sz w:val="24"/>
          <w:highlight w:val="none"/>
        </w:rPr>
        <w:t>如投标人为</w:t>
      </w:r>
      <w:r>
        <w:rPr>
          <w:rFonts w:hint="eastAsia" w:ascii="仿宋_GB2312" w:hAnsi="仿宋_GB2312" w:eastAsia="仿宋_GB2312" w:cs="仿宋_GB2312"/>
          <w:color w:val="auto"/>
          <w:sz w:val="24"/>
          <w:highlight w:val="none"/>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6A41E44D">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2、具有良好的商业信誉和健全的财务会计制度； </w:t>
      </w:r>
    </w:p>
    <w:p w14:paraId="66F4175C">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3、具有履行合同所必需的设备和专业技术能力；</w:t>
      </w:r>
    </w:p>
    <w:p w14:paraId="7470E495">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4、有依法缴纳税收和社会保障资金的良好记录；</w:t>
      </w:r>
    </w:p>
    <w:p w14:paraId="7C8CA232">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5、参加政府采购活动前三年内，在经营活动中没有重大违法记录；</w:t>
      </w:r>
    </w:p>
    <w:p w14:paraId="7E5814CE">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6、具有法律、行政法规规定的其他条件。</w:t>
      </w:r>
    </w:p>
    <w:p w14:paraId="6ADE9AA7">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（二）未被信用中国（www.creditchina.gov.cn)、中国政府采购网（www.ccgp.gov.cn）列入失信被执行人、</w:t>
      </w:r>
      <w:r>
        <w:rPr>
          <w:rFonts w:hint="eastAsia" w:ascii="仿宋" w:hAnsi="仿宋" w:eastAsia="仿宋" w:cs="仿宋"/>
          <w:color w:val="auto"/>
          <w:sz w:val="24"/>
          <w:highlight w:val="none"/>
          <w:lang w:eastAsia="zh-CN"/>
        </w:rPr>
        <w:t>重大税收违法失信主体</w:t>
      </w:r>
      <w:r>
        <w:rPr>
          <w:rFonts w:hint="eastAsia" w:ascii="仿宋" w:hAnsi="仿宋" w:eastAsia="仿宋" w:cs="仿宋"/>
          <w:color w:val="auto"/>
          <w:sz w:val="24"/>
          <w:highlight w:val="none"/>
        </w:rPr>
        <w:t>、政府采购严重违法失信行为记录名单。</w:t>
      </w:r>
    </w:p>
    <w:p w14:paraId="1C9F86F6">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（三）不存在以下情况：</w:t>
      </w:r>
    </w:p>
    <w:p w14:paraId="04AF1659">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1、单位负责人为同一人或者存在直接控股、管理关系的不同供应商参加同一合同项下的政府采购活动的；</w:t>
      </w:r>
    </w:p>
    <w:p w14:paraId="2F5B9B8B">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2、为采购项目提供整体设计、规范编制或者项目管理、监理、检测等服务后再参加该采购项目的其他采购活动的。</w:t>
      </w:r>
    </w:p>
    <w:p w14:paraId="1D8B7975">
      <w:pPr>
        <w:snapToGrid w:val="0"/>
        <w:spacing w:line="360" w:lineRule="auto"/>
        <w:ind w:firstLine="5520" w:firstLineChars="23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投标人名称(电子签名)：</w:t>
      </w:r>
    </w:p>
    <w:p w14:paraId="51504CDB">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w:t>
      </w:r>
    </w:p>
    <w:p w14:paraId="2BA99EE1">
      <w:pPr>
        <w:snapToGrid w:val="0"/>
        <w:spacing w:line="360" w:lineRule="auto"/>
        <w:ind w:right="480"/>
        <w:jc w:val="center"/>
        <w:rPr>
          <w:rFonts w:hint="eastAsia" w:ascii="仿宋" w:hAnsi="仿宋" w:eastAsia="仿宋" w:cs="仿宋"/>
          <w:b/>
          <w:color w:val="auto"/>
          <w:kern w:val="0"/>
          <w:sz w:val="32"/>
          <w:szCs w:val="32"/>
          <w:highlight w:val="none"/>
        </w:rPr>
      </w:pPr>
    </w:p>
    <w:p w14:paraId="3430AED9">
      <w:pPr>
        <w:snapToGrid w:val="0"/>
        <w:spacing w:line="360" w:lineRule="auto"/>
        <w:ind w:right="480"/>
        <w:jc w:val="center"/>
        <w:rPr>
          <w:rFonts w:hint="eastAsia" w:ascii="仿宋" w:hAnsi="仿宋" w:eastAsia="仿宋" w:cs="仿宋"/>
          <w:b/>
          <w:color w:val="auto"/>
          <w:kern w:val="0"/>
          <w:sz w:val="32"/>
          <w:szCs w:val="32"/>
          <w:highlight w:val="none"/>
        </w:rPr>
      </w:pPr>
    </w:p>
    <w:p w14:paraId="58CD6D34">
      <w:pPr>
        <w:widowControl/>
        <w:adjustRightInd/>
        <w:jc w:val="left"/>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br w:type="page"/>
      </w:r>
    </w:p>
    <w:p w14:paraId="4E58AD4E">
      <w:pPr>
        <w:widowControl/>
        <w:spacing w:line="360" w:lineRule="auto"/>
        <w:ind w:firstLine="643" w:firstLineChars="20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二、联合协议（如有）</w:t>
      </w:r>
    </w:p>
    <w:p w14:paraId="76A8D8AE">
      <w:pPr>
        <w:widowControl/>
        <w:spacing w:line="360" w:lineRule="auto"/>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[以联合体形式投标的，提供联合协议（附件</w:t>
      </w:r>
      <w:r>
        <w:rPr>
          <w:rFonts w:hint="eastAsia" w:ascii="仿宋" w:hAnsi="仿宋" w:eastAsia="仿宋" w:cs="仿宋"/>
          <w:b/>
          <w:color w:val="auto"/>
          <w:sz w:val="24"/>
          <w:highlight w:val="none"/>
          <w:lang w:val="en-US" w:eastAsia="zh-CN"/>
        </w:rPr>
        <w:t>4</w:t>
      </w:r>
      <w:r>
        <w:rPr>
          <w:rFonts w:hint="eastAsia" w:ascii="仿宋" w:hAnsi="仿宋" w:eastAsia="仿宋" w:cs="仿宋"/>
          <w:b/>
          <w:color w:val="auto"/>
          <w:sz w:val="24"/>
          <w:highlight w:val="none"/>
        </w:rPr>
        <w:t>）；本项目不接受联合体投标或者投标人不以联合体形式投标的，则不需要提供）]</w:t>
      </w:r>
    </w:p>
    <w:p w14:paraId="37111A8D">
      <w:pPr>
        <w:snapToGrid w:val="0"/>
        <w:spacing w:line="360" w:lineRule="auto"/>
        <w:ind w:right="480"/>
        <w:jc w:val="center"/>
        <w:rPr>
          <w:rFonts w:hint="eastAsia" w:ascii="仿宋" w:hAnsi="仿宋" w:eastAsia="仿宋" w:cs="仿宋"/>
          <w:b/>
          <w:color w:val="auto"/>
          <w:kern w:val="0"/>
          <w:sz w:val="32"/>
          <w:szCs w:val="32"/>
          <w:highlight w:val="none"/>
        </w:rPr>
      </w:pPr>
    </w:p>
    <w:p w14:paraId="198C3EA5">
      <w:pPr>
        <w:snapToGrid w:val="0"/>
        <w:spacing w:line="360" w:lineRule="auto"/>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三、分包意向协议（如有）</w:t>
      </w:r>
    </w:p>
    <w:p w14:paraId="19FC89DD">
      <w:pPr>
        <w:widowControl/>
        <w:spacing w:line="360" w:lineRule="auto"/>
        <w:ind w:firstLine="361" w:firstLineChars="15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[中标后以分包方式履行合同的，提供分包意向协议(附件</w:t>
      </w:r>
      <w:r>
        <w:rPr>
          <w:rFonts w:hint="eastAsia" w:ascii="仿宋" w:hAnsi="仿宋" w:eastAsia="仿宋" w:cs="仿宋"/>
          <w:b/>
          <w:color w:val="auto"/>
          <w:sz w:val="24"/>
          <w:highlight w:val="none"/>
          <w:lang w:val="en-US" w:eastAsia="zh-CN"/>
        </w:rPr>
        <w:t>5</w:t>
      </w:r>
      <w:r>
        <w:rPr>
          <w:rFonts w:hint="eastAsia" w:ascii="仿宋" w:hAnsi="仿宋" w:eastAsia="仿宋" w:cs="仿宋"/>
          <w:b/>
          <w:color w:val="auto"/>
          <w:sz w:val="24"/>
          <w:highlight w:val="none"/>
        </w:rPr>
        <w:t>)；采购人不同意分包或者投标人中标后不以分包方式履行合同的，则不需要提供。]</w:t>
      </w:r>
    </w:p>
    <w:p w14:paraId="618B5C1D">
      <w:pPr>
        <w:snapToGrid w:val="0"/>
        <w:spacing w:line="360" w:lineRule="auto"/>
        <w:ind w:right="480"/>
        <w:jc w:val="center"/>
        <w:rPr>
          <w:rFonts w:hint="eastAsia" w:ascii="仿宋" w:hAnsi="仿宋" w:eastAsia="仿宋" w:cs="仿宋"/>
          <w:b/>
          <w:color w:val="auto"/>
          <w:kern w:val="0"/>
          <w:sz w:val="32"/>
          <w:szCs w:val="32"/>
          <w:highlight w:val="none"/>
        </w:rPr>
      </w:pPr>
    </w:p>
    <w:p w14:paraId="3E750D70">
      <w:pPr>
        <w:snapToGrid w:val="0"/>
        <w:spacing w:line="360" w:lineRule="auto"/>
        <w:ind w:right="48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eastAsia="zh-CN"/>
        </w:rPr>
        <w:t>四</w:t>
      </w:r>
      <w:r>
        <w:rPr>
          <w:rFonts w:hint="eastAsia" w:ascii="仿宋" w:hAnsi="仿宋" w:eastAsia="仿宋" w:cs="仿宋"/>
          <w:b/>
          <w:color w:val="auto"/>
          <w:kern w:val="0"/>
          <w:sz w:val="32"/>
          <w:szCs w:val="32"/>
          <w:highlight w:val="none"/>
        </w:rPr>
        <w:t>、落实政府采购政策需满足的资格要求</w:t>
      </w:r>
    </w:p>
    <w:p w14:paraId="67569A2A">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（根据招标公告落实政府采购政策需满足的资格要求选择提供相应的材料；未要求的，无需提供）</w:t>
      </w:r>
    </w:p>
    <w:p w14:paraId="3C9A34D2">
      <w:pPr>
        <w:snapToGrid w:val="0"/>
        <w:spacing w:before="50" w:after="50" w:line="360" w:lineRule="auto"/>
        <w:ind w:firstLine="472" w:firstLineChars="196"/>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A</w:t>
      </w:r>
      <w:r>
        <w:rPr>
          <w:rFonts w:hint="eastAsia" w:ascii="仿宋" w:hAnsi="仿宋" w:eastAsia="仿宋" w:cs="仿宋"/>
          <w:color w:val="auto"/>
          <w:sz w:val="24"/>
          <w:highlight w:val="none"/>
        </w:rPr>
        <w:t xml:space="preserve">.专门面向中小企业，服务全部由符合政策要求的中小企业（或小微企业）承接的，提供相应的中小企业声明函（附件7）。 </w:t>
      </w:r>
    </w:p>
    <w:p w14:paraId="0F31A5EF">
      <w:pPr>
        <w:widowControl/>
        <w:spacing w:line="360" w:lineRule="auto"/>
        <w:ind w:firstLine="472" w:firstLineChars="196"/>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B.</w:t>
      </w:r>
      <w:r>
        <w:rPr>
          <w:rFonts w:hint="eastAsia" w:ascii="仿宋" w:hAnsi="仿宋" w:eastAsia="仿宋" w:cs="仿宋"/>
          <w:color w:val="auto"/>
          <w:sz w:val="24"/>
          <w:highlight w:val="none"/>
        </w:rPr>
        <w:t>要求以联合体形式参加的，提供联合协议（附件</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rPr>
        <w:t>）和中小企业声明函（附件7），联合协议中中小企业合同金额应当达到招标公告载明的比例；如果供应商本身提供所有标的均由中小企业承接的，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视同符合了资格条件，无需再与其他中小企业组成联合体参加政府采购活动，无需提供联合协议。</w:t>
      </w:r>
      <w:r>
        <w:rPr>
          <w:rFonts w:hint="eastAsia" w:ascii="仿宋" w:hAnsi="仿宋" w:eastAsia="仿宋" w:cs="仿宋"/>
          <w:b/>
          <w:color w:val="auto"/>
          <w:sz w:val="24"/>
          <w:highlight w:val="none"/>
        </w:rPr>
        <w:t xml:space="preserve"> </w:t>
      </w:r>
    </w:p>
    <w:p w14:paraId="4AEBEC91">
      <w:pPr>
        <w:spacing w:line="360" w:lineRule="auto"/>
        <w:ind w:firstLine="482" w:firstLineChars="200"/>
        <w:rPr>
          <w:rFonts w:hint="eastAsia" w:ascii="仿宋" w:hAnsi="仿宋" w:eastAsia="仿宋" w:cs="仿宋"/>
          <w:color w:val="auto"/>
          <w:sz w:val="24"/>
          <w:highlight w:val="none"/>
        </w:rPr>
      </w:pPr>
      <w:r>
        <w:rPr>
          <w:rFonts w:hint="eastAsia" w:ascii="仿宋" w:hAnsi="仿宋" w:eastAsia="仿宋" w:cs="仿宋"/>
          <w:b/>
          <w:color w:val="auto"/>
          <w:sz w:val="24"/>
          <w:highlight w:val="none"/>
        </w:rPr>
        <w:t>C、</w:t>
      </w:r>
      <w:r>
        <w:rPr>
          <w:rFonts w:hint="eastAsia" w:ascii="仿宋" w:hAnsi="仿宋" w:eastAsia="仿宋" w:cs="仿宋"/>
          <w:color w:val="auto"/>
          <w:sz w:val="24"/>
          <w:highlight w:val="none"/>
        </w:rPr>
        <w:t>要求合同分包的，提供分包意向协议（附件</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）和中小企业声明函（附件7），分包意向协议中中小企业合同金额应当达到招标公告载明的比例；如果供应商本身提供所有标的均由中小企业承接的，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视同符合了资格条件，无需再向中小企业分包，无需提供分包意向协议。</w:t>
      </w:r>
    </w:p>
    <w:p w14:paraId="11E40487">
      <w:pPr>
        <w:widowControl/>
        <w:spacing w:line="360" w:lineRule="auto"/>
        <w:ind w:left="150"/>
        <w:jc w:val="center"/>
        <w:rPr>
          <w:rFonts w:hint="eastAsia" w:ascii="仿宋" w:hAnsi="仿宋" w:eastAsia="仿宋" w:cs="仿宋"/>
          <w:b/>
          <w:color w:val="auto"/>
          <w:kern w:val="0"/>
          <w:sz w:val="32"/>
          <w:szCs w:val="32"/>
          <w:highlight w:val="none"/>
        </w:rPr>
      </w:pPr>
    </w:p>
    <w:p w14:paraId="7B39533A">
      <w:pPr>
        <w:widowControl/>
        <w:spacing w:line="360" w:lineRule="auto"/>
        <w:ind w:left="15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eastAsia="zh-CN"/>
        </w:rPr>
        <w:t>五</w:t>
      </w:r>
      <w:r>
        <w:rPr>
          <w:rFonts w:hint="eastAsia" w:ascii="仿宋" w:hAnsi="仿宋" w:eastAsia="仿宋" w:cs="仿宋"/>
          <w:b/>
          <w:color w:val="auto"/>
          <w:kern w:val="0"/>
          <w:sz w:val="32"/>
          <w:szCs w:val="32"/>
          <w:highlight w:val="none"/>
        </w:rPr>
        <w:t>、本项目的特定资格要求</w:t>
      </w:r>
    </w:p>
    <w:p w14:paraId="5144F6AE">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（根据招标公告本项目的特定资格要求提供相应的材料；未要求的，无需提供）</w:t>
      </w:r>
    </w:p>
    <w:p w14:paraId="31F886C7">
      <w:pPr>
        <w:spacing w:line="360" w:lineRule="auto"/>
        <w:jc w:val="center"/>
        <w:outlineLvl w:val="0"/>
        <w:rPr>
          <w:rFonts w:hint="eastAsia" w:ascii="仿宋" w:hAnsi="仿宋" w:eastAsia="仿宋" w:cs="仿宋"/>
          <w:b/>
          <w:color w:val="auto"/>
          <w:kern w:val="0"/>
          <w:sz w:val="24"/>
          <w:highlight w:val="none"/>
        </w:rPr>
      </w:pPr>
    </w:p>
    <w:p w14:paraId="2CFA4F98">
      <w:pPr>
        <w:spacing w:line="336" w:lineRule="auto"/>
        <w:jc w:val="center"/>
        <w:rPr>
          <w:rFonts w:hint="eastAsia" w:ascii="仿宋" w:hAnsi="仿宋" w:eastAsia="仿宋" w:cs="仿宋"/>
          <w:b/>
          <w:color w:val="auto"/>
          <w:kern w:val="0"/>
          <w:sz w:val="36"/>
          <w:szCs w:val="36"/>
          <w:highlight w:val="none"/>
        </w:rPr>
      </w:pPr>
    </w:p>
    <w:p w14:paraId="2C40AE7B">
      <w:pPr>
        <w:spacing w:line="336" w:lineRule="auto"/>
        <w:jc w:val="center"/>
        <w:rPr>
          <w:rFonts w:hint="eastAsia" w:ascii="仿宋" w:hAnsi="仿宋" w:eastAsia="仿宋" w:cs="仿宋"/>
          <w:b/>
          <w:color w:val="auto"/>
          <w:kern w:val="0"/>
          <w:sz w:val="36"/>
          <w:szCs w:val="36"/>
          <w:highlight w:val="none"/>
        </w:rPr>
      </w:pPr>
    </w:p>
    <w:p w14:paraId="00795AF9">
      <w:pPr>
        <w:spacing w:line="336" w:lineRule="auto"/>
        <w:jc w:val="center"/>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商务技术文件部分</w:t>
      </w:r>
    </w:p>
    <w:p w14:paraId="43216D22">
      <w:pPr>
        <w:spacing w:line="336" w:lineRule="auto"/>
        <w:jc w:val="center"/>
        <w:outlineLvl w:val="0"/>
        <w:rPr>
          <w:rFonts w:ascii="仿宋" w:hAnsi="仿宋" w:eastAsia="仿宋" w:cs="仿宋"/>
          <w:b/>
          <w:color w:val="auto"/>
          <w:kern w:val="0"/>
          <w:sz w:val="24"/>
          <w:highlight w:val="none"/>
        </w:rPr>
      </w:pPr>
    </w:p>
    <w:p w14:paraId="3F58E9BB">
      <w:pPr>
        <w:spacing w:line="336" w:lineRule="auto"/>
        <w:jc w:val="center"/>
        <w:outlineLvl w:val="0"/>
        <w:rPr>
          <w:rFonts w:ascii="仿宋" w:hAnsi="仿宋" w:eastAsia="仿宋" w:cs="仿宋"/>
          <w:b/>
          <w:color w:val="auto"/>
          <w:kern w:val="0"/>
          <w:sz w:val="28"/>
          <w:szCs w:val="28"/>
          <w:highlight w:val="none"/>
        </w:rPr>
      </w:pPr>
      <w:r>
        <w:rPr>
          <w:rFonts w:hint="eastAsia" w:ascii="仿宋" w:hAnsi="仿宋" w:eastAsia="仿宋" w:cs="仿宋"/>
          <w:b/>
          <w:color w:val="auto"/>
          <w:kern w:val="0"/>
          <w:sz w:val="28"/>
          <w:szCs w:val="28"/>
          <w:highlight w:val="none"/>
        </w:rPr>
        <w:t>目录</w:t>
      </w:r>
    </w:p>
    <w:p w14:paraId="26DD16A8">
      <w:pPr>
        <w:pStyle w:val="27"/>
        <w:numPr>
          <w:ilvl w:val="0"/>
          <w:numId w:val="4"/>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lang w:eastAsia="zh-CN"/>
        </w:rPr>
        <w:t>投标函</w:t>
      </w:r>
      <w:r>
        <w:rPr>
          <w:rFonts w:hint="eastAsia" w:ascii="仿宋" w:hAnsi="仿宋" w:eastAsia="仿宋" w:cs="仿宋"/>
          <w:color w:val="auto"/>
          <w:highlight w:val="none"/>
        </w:rPr>
        <w:t>…………………………………………………………………………（页码）</w:t>
      </w:r>
    </w:p>
    <w:p w14:paraId="0E45FE7E">
      <w:pPr>
        <w:pStyle w:val="27"/>
        <w:numPr>
          <w:ilvl w:val="0"/>
          <w:numId w:val="4"/>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lang w:val="en-US"/>
        </w:rPr>
        <w:t>法定代表人授权委托书</w:t>
      </w:r>
      <w:r>
        <w:rPr>
          <w:rFonts w:hint="eastAsia" w:ascii="仿宋" w:hAnsi="仿宋" w:eastAsia="仿宋" w:cs="仿宋"/>
          <w:color w:val="auto"/>
          <w:highlight w:val="none"/>
        </w:rPr>
        <w:t xml:space="preserve"> …………………………………………………… （页码）</w:t>
      </w:r>
    </w:p>
    <w:p w14:paraId="5567B251">
      <w:pPr>
        <w:pStyle w:val="27"/>
        <w:numPr>
          <w:ilvl w:val="0"/>
          <w:numId w:val="4"/>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rPr>
        <w:t>法定代表人及其授权代表身份证复印件……………………………………（页码）</w:t>
      </w:r>
    </w:p>
    <w:p w14:paraId="5D8A70C1">
      <w:pPr>
        <w:pStyle w:val="27"/>
        <w:numPr>
          <w:ilvl w:val="0"/>
          <w:numId w:val="4"/>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sz w:val="24"/>
          <w:highlight w:val="none"/>
          <w:lang w:val="en-US" w:eastAsia="zh-CN"/>
        </w:rPr>
        <w:t>授权代表社保证明</w:t>
      </w:r>
      <w:r>
        <w:rPr>
          <w:rFonts w:hint="eastAsia" w:ascii="仿宋" w:hAnsi="仿宋" w:eastAsia="仿宋" w:cs="仿宋"/>
          <w:color w:val="auto"/>
          <w:highlight w:val="none"/>
        </w:rPr>
        <w:t>……………………………………………………………（页码）</w:t>
      </w:r>
    </w:p>
    <w:p w14:paraId="4F5A606A">
      <w:pPr>
        <w:pStyle w:val="27"/>
        <w:numPr>
          <w:ilvl w:val="0"/>
          <w:numId w:val="4"/>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rPr>
        <w:t>法定代表人身份证明书………………………………………………………（页码）</w:t>
      </w:r>
    </w:p>
    <w:p w14:paraId="3D20B836">
      <w:pPr>
        <w:pStyle w:val="27"/>
        <w:numPr>
          <w:ilvl w:val="0"/>
          <w:numId w:val="4"/>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rPr>
        <w:t>商务技术</w:t>
      </w:r>
      <w:r>
        <w:rPr>
          <w:rFonts w:hint="eastAsia" w:ascii="仿宋" w:hAnsi="仿宋" w:eastAsia="仿宋" w:cs="仿宋"/>
          <w:color w:val="auto"/>
          <w:highlight w:val="none"/>
          <w:lang w:eastAsia="zh-CN"/>
        </w:rPr>
        <w:t>偏离表</w:t>
      </w:r>
      <w:r>
        <w:rPr>
          <w:rFonts w:hint="eastAsia" w:ascii="仿宋" w:hAnsi="仿宋" w:eastAsia="仿宋" w:cs="仿宋"/>
          <w:color w:val="auto"/>
          <w:highlight w:val="none"/>
        </w:rPr>
        <w:t>………………………………………………………………（页码）</w:t>
      </w:r>
    </w:p>
    <w:p w14:paraId="37D50654">
      <w:pPr>
        <w:pStyle w:val="27"/>
        <w:numPr>
          <w:ilvl w:val="0"/>
          <w:numId w:val="4"/>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lang w:val="zh-CN"/>
        </w:rPr>
        <w:t>政府采购供应商廉洁自律承诺书</w:t>
      </w:r>
      <w:r>
        <w:rPr>
          <w:rFonts w:hint="eastAsia" w:ascii="仿宋" w:hAnsi="仿宋" w:eastAsia="仿宋" w:cs="仿宋"/>
          <w:color w:val="auto"/>
          <w:highlight w:val="none"/>
        </w:rPr>
        <w:t>……………………………………………（页码）</w:t>
      </w:r>
    </w:p>
    <w:p w14:paraId="68DB58DD">
      <w:pPr>
        <w:adjustRightInd w:val="0"/>
        <w:spacing w:line="360" w:lineRule="auto"/>
        <w:ind w:right="-510" w:rightChars="-243"/>
        <w:jc w:val="both"/>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8</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zh-CN"/>
        </w:rPr>
        <w:t>主要业绩证明…………………………………………………</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zh-CN"/>
        </w:rPr>
        <w:t>……</w:t>
      </w:r>
      <w:r>
        <w:rPr>
          <w:rFonts w:hint="eastAsia" w:ascii="仿宋" w:hAnsi="仿宋" w:eastAsia="仿宋" w:cs="仿宋"/>
          <w:color w:val="auto"/>
          <w:sz w:val="24"/>
          <w:highlight w:val="none"/>
        </w:rPr>
        <w:t>（页码）</w:t>
      </w:r>
    </w:p>
    <w:p w14:paraId="06EF0CE7">
      <w:pPr>
        <w:spacing w:line="360" w:lineRule="auto"/>
        <w:ind w:right="-510" w:rightChars="-243"/>
        <w:jc w:val="both"/>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9</w:t>
      </w:r>
      <w:r>
        <w:rPr>
          <w:rFonts w:hint="eastAsia" w:ascii="仿宋" w:hAnsi="仿宋" w:eastAsia="仿宋" w:cs="仿宋"/>
          <w:color w:val="auto"/>
          <w:kern w:val="0"/>
          <w:sz w:val="24"/>
          <w:highlight w:val="none"/>
        </w:rPr>
        <w:t>）技术解决方案…………………………………………………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39A9323E">
      <w:pPr>
        <w:spacing w:line="360" w:lineRule="auto"/>
        <w:ind w:right="-510" w:rightChars="-243"/>
        <w:jc w:val="both"/>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lang w:val="en-US" w:eastAsia="zh-CN"/>
        </w:rPr>
        <w:t>10）</w:t>
      </w:r>
      <w:r>
        <w:rPr>
          <w:rFonts w:hint="eastAsia" w:ascii="仿宋" w:hAnsi="仿宋" w:eastAsia="仿宋" w:cs="仿宋"/>
          <w:color w:val="auto"/>
          <w:kern w:val="0"/>
          <w:sz w:val="24"/>
          <w:highlight w:val="none"/>
        </w:rPr>
        <w:t>组织实施方案……………………………………………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default" w:ascii="仿宋" w:hAnsi="仿宋" w:eastAsia="仿宋" w:cs="仿宋"/>
          <w:color w:val="auto"/>
          <w:highlight w:val="none"/>
          <w:lang w:val="en-US"/>
        </w:rPr>
        <w:t xml:space="preserve"> </w:t>
      </w:r>
      <w:r>
        <w:rPr>
          <w:rFonts w:hint="eastAsia" w:ascii="仿宋" w:hAnsi="仿宋" w:eastAsia="仿宋" w:cs="仿宋"/>
          <w:color w:val="auto"/>
          <w:kern w:val="0"/>
          <w:sz w:val="24"/>
          <w:highlight w:val="none"/>
        </w:rPr>
        <w:t>（页码）</w:t>
      </w:r>
    </w:p>
    <w:p w14:paraId="7B24A8C0">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11</w:t>
      </w:r>
      <w:r>
        <w:rPr>
          <w:rFonts w:hint="eastAsia" w:ascii="仿宋" w:hAnsi="仿宋" w:eastAsia="仿宋" w:cs="仿宋"/>
          <w:color w:val="auto"/>
          <w:kern w:val="0"/>
          <w:sz w:val="24"/>
          <w:highlight w:val="none"/>
        </w:rPr>
        <w:t>）售后服务方案……………………………………………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default" w:ascii="仿宋" w:hAnsi="仿宋" w:eastAsia="仿宋" w:cs="仿宋"/>
          <w:color w:val="auto"/>
          <w:highlight w:val="none"/>
          <w:lang w:val="en-US"/>
        </w:rPr>
        <w:t xml:space="preserve"> </w:t>
      </w:r>
      <w:r>
        <w:rPr>
          <w:rFonts w:hint="eastAsia" w:ascii="仿宋" w:hAnsi="仿宋" w:eastAsia="仿宋" w:cs="仿宋"/>
          <w:color w:val="auto"/>
          <w:kern w:val="0"/>
          <w:sz w:val="24"/>
          <w:highlight w:val="none"/>
        </w:rPr>
        <w:t>（页码）</w:t>
      </w:r>
    </w:p>
    <w:p w14:paraId="01E71CDA">
      <w:pPr>
        <w:spacing w:line="360" w:lineRule="auto"/>
        <w:ind w:right="-510" w:rightChars="-243"/>
        <w:jc w:val="both"/>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12）</w:t>
      </w:r>
      <w:r>
        <w:rPr>
          <w:rFonts w:hint="eastAsia" w:ascii="仿宋" w:hAnsi="仿宋" w:eastAsia="仿宋" w:cs="仿宋"/>
          <w:color w:val="auto"/>
          <w:sz w:val="24"/>
          <w:highlight w:val="none"/>
        </w:rPr>
        <w:t>供应商售后服务证明材料……………………………………………………（页码）</w:t>
      </w:r>
    </w:p>
    <w:p w14:paraId="2E9E1E30">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13</w:t>
      </w:r>
      <w:r>
        <w:rPr>
          <w:rFonts w:hint="eastAsia" w:ascii="仿宋" w:hAnsi="仿宋" w:eastAsia="仿宋" w:cs="仿宋"/>
          <w:color w:val="auto"/>
          <w:kern w:val="0"/>
          <w:sz w:val="24"/>
          <w:highlight w:val="none"/>
        </w:rPr>
        <w:t>）项目小组人员名单………………………………………</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41D83570">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14</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优惠条件及特殊承诺……………………………………</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5C668FE4">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15</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备品备件及供选择的配套零部件清单………………………</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4A554068">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16</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培训计划………………………………………………………</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0913A9AC">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17</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验收方案…………………………………………………………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0AC0C14E">
      <w:pPr>
        <w:spacing w:line="360" w:lineRule="auto"/>
        <w:ind w:right="-368" w:rightChars="-175"/>
        <w:jc w:val="both"/>
        <w:rPr>
          <w:rFonts w:hint="eastAsia" w:ascii="仿宋" w:hAnsi="仿宋" w:eastAsia="仿宋" w:cs="仿宋"/>
          <w:b/>
          <w:bCs/>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18</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认为需要的其他商务技术文件或说明…………</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7A7E22CB">
      <w:pPr>
        <w:snapToGrid w:val="0"/>
        <w:spacing w:line="360" w:lineRule="auto"/>
        <w:jc w:val="center"/>
        <w:rPr>
          <w:rFonts w:hint="eastAsia" w:ascii="仿宋" w:hAnsi="仿宋" w:eastAsia="仿宋" w:cs="仿宋"/>
          <w:b/>
          <w:color w:val="auto"/>
          <w:kern w:val="0"/>
          <w:sz w:val="32"/>
          <w:szCs w:val="32"/>
          <w:highlight w:val="none"/>
          <w:lang w:val="zh-CN"/>
        </w:rPr>
      </w:pPr>
    </w:p>
    <w:p w14:paraId="38977C5D">
      <w:pPr>
        <w:snapToGrid w:val="0"/>
        <w:spacing w:line="360" w:lineRule="auto"/>
        <w:jc w:val="center"/>
        <w:rPr>
          <w:rFonts w:hint="eastAsia" w:ascii="仿宋" w:hAnsi="仿宋" w:eastAsia="仿宋" w:cs="仿宋"/>
          <w:b/>
          <w:color w:val="auto"/>
          <w:kern w:val="0"/>
          <w:sz w:val="32"/>
          <w:szCs w:val="32"/>
          <w:highlight w:val="none"/>
          <w:lang w:val="zh-CN"/>
        </w:rPr>
      </w:pPr>
    </w:p>
    <w:p w14:paraId="31FF3E74">
      <w:pPr>
        <w:snapToGrid w:val="0"/>
        <w:spacing w:line="360" w:lineRule="auto"/>
        <w:jc w:val="center"/>
        <w:rPr>
          <w:rFonts w:hint="eastAsia" w:ascii="仿宋" w:hAnsi="仿宋" w:eastAsia="仿宋" w:cs="仿宋"/>
          <w:b/>
          <w:color w:val="auto"/>
          <w:kern w:val="0"/>
          <w:sz w:val="32"/>
          <w:szCs w:val="32"/>
          <w:highlight w:val="none"/>
          <w:lang w:val="zh-CN"/>
        </w:rPr>
      </w:pPr>
    </w:p>
    <w:p w14:paraId="66FF9D7F">
      <w:pPr>
        <w:snapToGrid w:val="0"/>
        <w:spacing w:line="360" w:lineRule="auto"/>
        <w:jc w:val="both"/>
        <w:rPr>
          <w:rFonts w:hint="eastAsia" w:ascii="仿宋" w:hAnsi="仿宋" w:eastAsia="仿宋" w:cs="仿宋"/>
          <w:b/>
          <w:color w:val="auto"/>
          <w:kern w:val="0"/>
          <w:sz w:val="32"/>
          <w:szCs w:val="32"/>
          <w:highlight w:val="none"/>
          <w:lang w:val="zh-CN"/>
        </w:rPr>
      </w:pPr>
    </w:p>
    <w:p w14:paraId="61A770D5">
      <w:pPr>
        <w:widowControl/>
        <w:adjustRightInd/>
        <w:jc w:val="left"/>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br w:type="page"/>
      </w:r>
    </w:p>
    <w:p w14:paraId="472283CC">
      <w:pPr>
        <w:snapToGrid w:val="0"/>
        <w:spacing w:line="360" w:lineRule="auto"/>
        <w:jc w:val="center"/>
        <w:outlineLvl w:val="0"/>
        <w:rPr>
          <w:rFonts w:hint="eastAsia" w:ascii="仿宋" w:hAnsi="仿宋" w:eastAsia="仿宋" w:cs="仿宋"/>
          <w:b/>
          <w:color w:val="auto"/>
          <w:sz w:val="32"/>
          <w:szCs w:val="32"/>
          <w:highlight w:val="none"/>
        </w:rPr>
      </w:pPr>
      <w:r>
        <w:rPr>
          <w:rFonts w:hint="eastAsia" w:ascii="仿宋" w:hAnsi="仿宋" w:eastAsia="仿宋" w:cs="仿宋"/>
          <w:b/>
          <w:color w:val="auto"/>
          <w:kern w:val="0"/>
          <w:sz w:val="32"/>
          <w:szCs w:val="32"/>
          <w:highlight w:val="none"/>
        </w:rPr>
        <w:t>一、投标</w:t>
      </w:r>
      <w:r>
        <w:rPr>
          <w:rFonts w:hint="eastAsia" w:ascii="仿宋" w:hAnsi="仿宋" w:eastAsia="仿宋" w:cs="仿宋"/>
          <w:b/>
          <w:color w:val="auto"/>
          <w:sz w:val="32"/>
          <w:szCs w:val="32"/>
          <w:highlight w:val="none"/>
        </w:rPr>
        <w:t>函</w:t>
      </w:r>
    </w:p>
    <w:p w14:paraId="1DD287F6">
      <w:pPr>
        <w:pStyle w:val="28"/>
        <w:keepNext w:val="0"/>
        <w:keepLines w:val="0"/>
        <w:pageBreakBefore w:val="0"/>
        <w:kinsoku/>
        <w:wordWrap/>
        <w:overflowPunct/>
        <w:topLinePunct w:val="0"/>
        <w:autoSpaceDE/>
        <w:autoSpaceDN/>
        <w:bidi w:val="0"/>
        <w:spacing w:after="0" w:line="312" w:lineRule="auto"/>
        <w:ind w:firstLine="0" w:firstLineChars="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致：</w:t>
      </w:r>
      <w:r>
        <w:rPr>
          <w:rFonts w:hint="eastAsia" w:ascii="仿宋" w:hAnsi="仿宋" w:eastAsia="仿宋" w:cs="仿宋"/>
          <w:color w:val="auto"/>
          <w:sz w:val="24"/>
          <w:szCs w:val="24"/>
          <w:highlight w:val="none"/>
          <w:u w:val="single"/>
          <w:lang w:val="en-US" w:eastAsia="zh-CN"/>
        </w:rPr>
        <w:t xml:space="preserve">              </w:t>
      </w:r>
    </w:p>
    <w:p w14:paraId="7D365DA2">
      <w:pPr>
        <w:pStyle w:val="28"/>
        <w:keepNext w:val="0"/>
        <w:keepLines w:val="0"/>
        <w:pageBreakBefore w:val="0"/>
        <w:kinsoku/>
        <w:wordWrap/>
        <w:overflowPunct/>
        <w:topLinePunct w:val="0"/>
        <w:autoSpaceDE/>
        <w:autoSpaceDN/>
        <w:bidi w:val="0"/>
        <w:spacing w:after="0" w:line="312"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根据贵方招标文件（</w:t>
      </w:r>
      <w:r>
        <w:rPr>
          <w:rFonts w:hint="eastAsia" w:ascii="仿宋" w:hAnsi="仿宋" w:eastAsia="仿宋" w:cs="仿宋"/>
          <w:b/>
          <w:color w:val="auto"/>
          <w:sz w:val="24"/>
          <w:szCs w:val="24"/>
          <w:highlight w:val="none"/>
          <w:u w:val="single"/>
        </w:rPr>
        <w:t>填写招标编号：</w:t>
      </w:r>
      <w:r>
        <w:rPr>
          <w:rFonts w:hint="eastAsia" w:ascii="仿宋" w:hAnsi="仿宋" w:eastAsia="仿宋" w:cs="仿宋"/>
          <w:color w:val="auto"/>
          <w:sz w:val="24"/>
          <w:szCs w:val="24"/>
          <w:highlight w:val="none"/>
        </w:rPr>
        <w:t>）的要求，正式授权</w:t>
      </w:r>
      <w:r>
        <w:rPr>
          <w:rFonts w:hint="eastAsia" w:ascii="仿宋" w:hAnsi="仿宋" w:eastAsia="仿宋" w:cs="仿宋"/>
          <w:b/>
          <w:color w:val="auto"/>
          <w:sz w:val="24"/>
          <w:szCs w:val="24"/>
          <w:highlight w:val="none"/>
          <w:u w:val="single"/>
        </w:rPr>
        <w:t>（全权代表姓名    、单位    、职务   ）</w:t>
      </w:r>
      <w:r>
        <w:rPr>
          <w:rFonts w:hint="eastAsia" w:ascii="仿宋" w:hAnsi="仿宋" w:eastAsia="仿宋" w:cs="仿宋"/>
          <w:color w:val="auto"/>
          <w:sz w:val="24"/>
          <w:szCs w:val="24"/>
          <w:highlight w:val="none"/>
        </w:rPr>
        <w:t>代表投标人</w:t>
      </w:r>
      <w:r>
        <w:rPr>
          <w:rFonts w:hint="eastAsia" w:ascii="仿宋" w:hAnsi="仿宋" w:eastAsia="仿宋" w:cs="仿宋"/>
          <w:color w:val="auto"/>
          <w:sz w:val="24"/>
          <w:szCs w:val="24"/>
          <w:highlight w:val="none"/>
          <w:u w:val="single"/>
        </w:rPr>
        <w:t>（</w:t>
      </w:r>
      <w:r>
        <w:rPr>
          <w:rFonts w:hint="eastAsia" w:ascii="仿宋" w:hAnsi="仿宋" w:eastAsia="仿宋" w:cs="仿宋"/>
          <w:b/>
          <w:color w:val="auto"/>
          <w:sz w:val="24"/>
          <w:szCs w:val="24"/>
          <w:highlight w:val="none"/>
          <w:u w:val="single"/>
        </w:rPr>
        <w:t xml:space="preserve">填写单位    、地址   </w:t>
      </w:r>
      <w:r>
        <w:rPr>
          <w:rFonts w:hint="eastAsia" w:ascii="仿宋" w:hAnsi="仿宋" w:eastAsia="仿宋" w:cs="仿宋"/>
          <w:color w:val="auto"/>
          <w:sz w:val="24"/>
          <w:szCs w:val="24"/>
          <w:highlight w:val="none"/>
          <w:u w:val="single"/>
        </w:rPr>
        <w:t>）</w:t>
      </w:r>
      <w:r>
        <w:rPr>
          <w:rFonts w:hint="eastAsia" w:ascii="仿宋" w:hAnsi="仿宋" w:eastAsia="仿宋" w:cs="仿宋"/>
          <w:color w:val="auto"/>
          <w:sz w:val="24"/>
          <w:szCs w:val="24"/>
          <w:highlight w:val="none"/>
        </w:rPr>
        <w:t>提交投标文件。</w:t>
      </w:r>
    </w:p>
    <w:p w14:paraId="474B398E">
      <w:pPr>
        <w:pStyle w:val="28"/>
        <w:keepNext w:val="0"/>
        <w:keepLines w:val="0"/>
        <w:pageBreakBefore w:val="0"/>
        <w:kinsoku/>
        <w:wordWrap/>
        <w:overflowPunct/>
        <w:topLinePunct w:val="0"/>
        <w:autoSpaceDE/>
        <w:autoSpaceDN/>
        <w:bidi w:val="0"/>
        <w:spacing w:after="0" w:line="312"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我方已完全明白招标文件的所有条款要求，兹声明同意如下：</w:t>
      </w:r>
    </w:p>
    <w:p w14:paraId="2C999936">
      <w:pPr>
        <w:pStyle w:val="5"/>
        <w:keepNext w:val="0"/>
        <w:keepLines w:val="0"/>
        <w:pageBreakBefore w:val="0"/>
        <w:kinsoku/>
        <w:wordWrap/>
        <w:overflowPunct/>
        <w:topLinePunct w:val="0"/>
        <w:autoSpaceDE/>
        <w:autoSpaceDN/>
        <w:bidi w:val="0"/>
        <w:spacing w:after="0" w:line="312" w:lineRule="auto"/>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1.我方同意在投标人</w:t>
      </w:r>
      <w:r>
        <w:rPr>
          <w:rFonts w:hint="eastAsia" w:ascii="仿宋" w:hAnsi="仿宋" w:eastAsia="仿宋" w:cs="仿宋"/>
          <w:color w:val="auto"/>
          <w:kern w:val="44"/>
          <w:sz w:val="24"/>
          <w:szCs w:val="24"/>
          <w:highlight w:val="none"/>
        </w:rPr>
        <w:t>须知</w:t>
      </w:r>
      <w:r>
        <w:rPr>
          <w:rFonts w:hint="eastAsia" w:ascii="仿宋" w:hAnsi="仿宋" w:eastAsia="仿宋" w:cs="仿宋"/>
          <w:color w:val="auto"/>
          <w:sz w:val="24"/>
          <w:szCs w:val="24"/>
          <w:highlight w:val="none"/>
        </w:rPr>
        <w:t>规定的开标日期起遵守本投标文件中的承诺且在投标有效期满之前均具有约束力。</w:t>
      </w:r>
    </w:p>
    <w:p w14:paraId="35814EE4">
      <w:pPr>
        <w:pStyle w:val="28"/>
        <w:keepNext w:val="0"/>
        <w:keepLines w:val="0"/>
        <w:pageBreakBefore w:val="0"/>
        <w:kinsoku/>
        <w:wordWrap/>
        <w:overflowPunct/>
        <w:topLinePunct w:val="0"/>
        <w:autoSpaceDE/>
        <w:autoSpaceDN/>
        <w:bidi w:val="0"/>
        <w:spacing w:after="0" w:line="312"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2.我方承诺已经具备《中华人民共和国政府采购法》中规定的参加政府采购活动的供应商应当具备的条件。</w:t>
      </w:r>
    </w:p>
    <w:p w14:paraId="00422949">
      <w:pPr>
        <w:pStyle w:val="28"/>
        <w:keepNext w:val="0"/>
        <w:keepLines w:val="0"/>
        <w:pageBreakBefore w:val="0"/>
        <w:kinsoku/>
        <w:wordWrap/>
        <w:overflowPunct/>
        <w:topLinePunct w:val="0"/>
        <w:autoSpaceDE/>
        <w:autoSpaceDN/>
        <w:bidi w:val="0"/>
        <w:spacing w:after="0" w:line="312"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3.本公司投标文件中填列的技术参数、配置、服务、数量等相关内容都是真实、准确的。保证在本次项目中所提供的资料全部真实和合法。同意向</w:t>
      </w:r>
      <w:r>
        <w:rPr>
          <w:rFonts w:hint="eastAsia" w:ascii="仿宋" w:hAnsi="仿宋" w:eastAsia="仿宋" w:cs="仿宋"/>
          <w:color w:val="auto"/>
          <w:sz w:val="24"/>
          <w:szCs w:val="24"/>
          <w:highlight w:val="none"/>
          <w:lang w:eastAsia="zh-CN"/>
        </w:rPr>
        <w:t>采购代理机构</w:t>
      </w:r>
      <w:r>
        <w:rPr>
          <w:rFonts w:hint="eastAsia" w:ascii="仿宋" w:hAnsi="仿宋" w:eastAsia="仿宋" w:cs="仿宋"/>
          <w:color w:val="auto"/>
          <w:sz w:val="24"/>
          <w:szCs w:val="24"/>
          <w:highlight w:val="none"/>
        </w:rPr>
        <w:t>提供可能另外要求的与投标有关的任何数据或资料。</w:t>
      </w:r>
    </w:p>
    <w:p w14:paraId="75773ACF">
      <w:pPr>
        <w:pStyle w:val="28"/>
        <w:keepNext w:val="0"/>
        <w:keepLines w:val="0"/>
        <w:pageBreakBefore w:val="0"/>
        <w:kinsoku/>
        <w:wordWrap/>
        <w:overflowPunct/>
        <w:topLinePunct w:val="0"/>
        <w:autoSpaceDE/>
        <w:autoSpaceDN/>
        <w:bidi w:val="0"/>
        <w:spacing w:after="0" w:line="312"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4.我方理解贵方将不受你们所收到的最低报价的约束。</w:t>
      </w:r>
    </w:p>
    <w:p w14:paraId="3DBC23D1">
      <w:pPr>
        <w:pStyle w:val="5"/>
        <w:keepNext w:val="0"/>
        <w:keepLines w:val="0"/>
        <w:pageBreakBefore w:val="0"/>
        <w:kinsoku/>
        <w:wordWrap/>
        <w:overflowPunct/>
        <w:topLinePunct w:val="0"/>
        <w:autoSpaceDE/>
        <w:autoSpaceDN/>
        <w:bidi w:val="0"/>
        <w:spacing w:after="0" w:line="312" w:lineRule="auto"/>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5.本投标自开标之日（投标截止之日）起90天内有效。</w:t>
      </w:r>
    </w:p>
    <w:p w14:paraId="1186E4D5">
      <w:pPr>
        <w:pStyle w:val="28"/>
        <w:keepNext w:val="0"/>
        <w:keepLines w:val="0"/>
        <w:pageBreakBefore w:val="0"/>
        <w:kinsoku/>
        <w:wordWrap/>
        <w:overflowPunct/>
        <w:topLinePunct w:val="0"/>
        <w:autoSpaceDE/>
        <w:autoSpaceDN/>
        <w:bidi w:val="0"/>
        <w:spacing w:after="0" w:line="312"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547AC768">
      <w:pPr>
        <w:keepNext w:val="0"/>
        <w:keepLines w:val="0"/>
        <w:pageBreakBefore w:val="0"/>
        <w:kinsoku/>
        <w:wordWrap/>
        <w:overflowPunct/>
        <w:topLinePunct w:val="0"/>
        <w:autoSpaceDE/>
        <w:autoSpaceDN/>
        <w:bidi w:val="0"/>
        <w:snapToGrid w:val="0"/>
        <w:spacing w:line="312"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a)提供虚假材料谋取中标、成交的；</w:t>
      </w:r>
    </w:p>
    <w:p w14:paraId="68B74711">
      <w:pPr>
        <w:keepNext w:val="0"/>
        <w:keepLines w:val="0"/>
        <w:pageBreakBefore w:val="0"/>
        <w:kinsoku/>
        <w:wordWrap/>
        <w:overflowPunct/>
        <w:topLinePunct w:val="0"/>
        <w:autoSpaceDE/>
        <w:autoSpaceDN/>
        <w:bidi w:val="0"/>
        <w:snapToGrid w:val="0"/>
        <w:spacing w:line="312"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b)采取不正当手段诋毁、排挤其他供应商的；</w:t>
      </w:r>
    </w:p>
    <w:p w14:paraId="31EA35EE">
      <w:pPr>
        <w:keepNext w:val="0"/>
        <w:keepLines w:val="0"/>
        <w:pageBreakBefore w:val="0"/>
        <w:kinsoku/>
        <w:wordWrap/>
        <w:overflowPunct/>
        <w:topLinePunct w:val="0"/>
        <w:autoSpaceDE/>
        <w:autoSpaceDN/>
        <w:bidi w:val="0"/>
        <w:snapToGrid w:val="0"/>
        <w:spacing w:line="312"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c)与采购人、其它供应商或者采购代理机构恶意串通的；</w:t>
      </w:r>
    </w:p>
    <w:p w14:paraId="479FBA32">
      <w:pPr>
        <w:keepNext w:val="0"/>
        <w:keepLines w:val="0"/>
        <w:pageBreakBefore w:val="0"/>
        <w:kinsoku/>
        <w:wordWrap/>
        <w:overflowPunct/>
        <w:topLinePunct w:val="0"/>
        <w:autoSpaceDE/>
        <w:autoSpaceDN/>
        <w:bidi w:val="0"/>
        <w:snapToGrid w:val="0"/>
        <w:spacing w:line="312"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d)向采购人、采购代理机构行贿或者提供其他不正当利益的；</w:t>
      </w:r>
    </w:p>
    <w:p w14:paraId="0F9244AE">
      <w:pPr>
        <w:keepNext w:val="0"/>
        <w:keepLines w:val="0"/>
        <w:pageBreakBefore w:val="0"/>
        <w:kinsoku/>
        <w:wordWrap/>
        <w:overflowPunct/>
        <w:topLinePunct w:val="0"/>
        <w:autoSpaceDE/>
        <w:autoSpaceDN/>
        <w:bidi w:val="0"/>
        <w:snapToGrid w:val="0"/>
        <w:spacing w:line="312"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e)在招标采购过程中与采购人进行协商谈判的；</w:t>
      </w:r>
    </w:p>
    <w:p w14:paraId="743D91F4">
      <w:pPr>
        <w:keepNext w:val="0"/>
        <w:keepLines w:val="0"/>
        <w:pageBreakBefore w:val="0"/>
        <w:kinsoku/>
        <w:wordWrap/>
        <w:overflowPunct/>
        <w:topLinePunct w:val="0"/>
        <w:autoSpaceDE/>
        <w:autoSpaceDN/>
        <w:bidi w:val="0"/>
        <w:snapToGrid w:val="0"/>
        <w:spacing w:line="312"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f)拒绝有关部门监督检查或提供虚假情况的。</w:t>
      </w:r>
    </w:p>
    <w:p w14:paraId="7D1F4B56">
      <w:pPr>
        <w:keepNext w:val="0"/>
        <w:keepLines w:val="0"/>
        <w:pageBreakBefore w:val="0"/>
        <w:kinsoku/>
        <w:wordWrap/>
        <w:overflowPunct/>
        <w:topLinePunct w:val="0"/>
        <w:autoSpaceDE/>
        <w:autoSpaceDN/>
        <w:bidi w:val="0"/>
        <w:snapToGrid w:val="0"/>
        <w:spacing w:line="312"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供应商有前款第a)至e)项情形之一的，中标、成交无效。</w:t>
      </w:r>
    </w:p>
    <w:p w14:paraId="23CE9254">
      <w:pPr>
        <w:pStyle w:val="28"/>
        <w:keepNext w:val="0"/>
        <w:keepLines w:val="0"/>
        <w:pageBreakBefore w:val="0"/>
        <w:kinsoku/>
        <w:wordWrap/>
        <w:overflowPunct/>
        <w:topLinePunct w:val="0"/>
        <w:autoSpaceDE/>
        <w:autoSpaceDN/>
        <w:bidi w:val="0"/>
        <w:spacing w:after="0" w:line="312"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地址：　　　　　　　　　　　　　　　邮政编码：</w:t>
      </w:r>
    </w:p>
    <w:p w14:paraId="3705F6E7">
      <w:pPr>
        <w:pStyle w:val="28"/>
        <w:keepNext w:val="0"/>
        <w:keepLines w:val="0"/>
        <w:pageBreakBefore w:val="0"/>
        <w:kinsoku/>
        <w:wordWrap/>
        <w:overflowPunct/>
        <w:topLinePunct w:val="0"/>
        <w:autoSpaceDE/>
        <w:autoSpaceDN/>
        <w:bidi w:val="0"/>
        <w:spacing w:after="0" w:line="312"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电话：                              传真：</w:t>
      </w:r>
    </w:p>
    <w:p w14:paraId="66CCD577">
      <w:pPr>
        <w:pStyle w:val="28"/>
        <w:keepNext w:val="0"/>
        <w:keepLines w:val="0"/>
        <w:pageBreakBefore w:val="0"/>
        <w:kinsoku/>
        <w:wordWrap/>
        <w:overflowPunct/>
        <w:topLinePunct w:val="0"/>
        <w:autoSpaceDE/>
        <w:autoSpaceDN/>
        <w:bidi w:val="0"/>
        <w:spacing w:after="0" w:line="312"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开户银行：                          帐号：</w:t>
      </w:r>
    </w:p>
    <w:p w14:paraId="7FBBCF22">
      <w:pPr>
        <w:pStyle w:val="28"/>
        <w:keepNext w:val="0"/>
        <w:keepLines w:val="0"/>
        <w:pageBreakBefore w:val="0"/>
        <w:kinsoku/>
        <w:wordWrap/>
        <w:overflowPunct/>
        <w:topLinePunct w:val="0"/>
        <w:autoSpaceDE/>
        <w:autoSpaceDN/>
        <w:bidi w:val="0"/>
        <w:spacing w:after="0" w:line="312"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法定代表人或其授权代表(签字或盖章)：</w:t>
      </w:r>
    </w:p>
    <w:p w14:paraId="5DE549DC">
      <w:pPr>
        <w:keepNext w:val="0"/>
        <w:keepLines w:val="0"/>
        <w:pageBreakBefore w:val="0"/>
        <w:kinsoku/>
        <w:wordWrap/>
        <w:overflowPunct/>
        <w:topLinePunct w:val="0"/>
        <w:autoSpaceDE/>
        <w:autoSpaceDN/>
        <w:bidi w:val="0"/>
        <w:snapToGrid w:val="0"/>
        <w:spacing w:line="312" w:lineRule="auto"/>
        <w:ind w:firstLine="480" w:firstLineChars="200"/>
        <w:jc w:val="left"/>
        <w:textAlignment w:val="auto"/>
        <w:rPr>
          <w:rFonts w:hint="eastAsia" w:ascii="仿宋" w:hAnsi="仿宋" w:eastAsia="仿宋" w:cs="仿宋"/>
          <w:b/>
          <w:color w:val="auto"/>
          <w:kern w:val="0"/>
          <w:sz w:val="32"/>
          <w:szCs w:val="32"/>
          <w:highlight w:val="none"/>
        </w:rPr>
      </w:pPr>
      <w:r>
        <w:rPr>
          <w:rFonts w:hint="eastAsia" w:ascii="仿宋" w:hAnsi="仿宋" w:eastAsia="仿宋" w:cs="仿宋"/>
          <w:color w:val="auto"/>
          <w:sz w:val="24"/>
          <w:szCs w:val="24"/>
          <w:highlight w:val="none"/>
        </w:rPr>
        <w:t xml:space="preserve">投标人(电子签章)：　　　　　　　　　日期：  </w:t>
      </w:r>
    </w:p>
    <w:p w14:paraId="2B3DBA7E">
      <w:pPr>
        <w:pageBreakBefore/>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eastAsia="zh-CN"/>
        </w:rPr>
        <w:t>二</w:t>
      </w:r>
      <w:r>
        <w:rPr>
          <w:rFonts w:hint="eastAsia" w:ascii="仿宋" w:hAnsi="仿宋" w:eastAsia="仿宋" w:cs="仿宋"/>
          <w:b/>
          <w:color w:val="auto"/>
          <w:sz w:val="30"/>
          <w:szCs w:val="30"/>
          <w:highlight w:val="none"/>
        </w:rPr>
        <w:t xml:space="preserve">、法定代表人授权委托书（格式） </w:t>
      </w:r>
      <w:r>
        <w:rPr>
          <w:rFonts w:hint="eastAsia" w:ascii="仿宋" w:hAnsi="仿宋" w:eastAsia="仿宋" w:cs="仿宋"/>
          <w:b/>
          <w:color w:val="auto"/>
          <w:kern w:val="0"/>
          <w:sz w:val="32"/>
          <w:szCs w:val="32"/>
          <w:highlight w:val="none"/>
          <w:lang w:val="zh-CN"/>
        </w:rPr>
        <w:t>（适用于非联合体投标）</w:t>
      </w:r>
    </w:p>
    <w:p w14:paraId="4857A25D">
      <w:pPr>
        <w:jc w:val="center"/>
        <w:rPr>
          <w:rFonts w:hint="eastAsia" w:ascii="仿宋" w:hAnsi="仿宋" w:eastAsia="仿宋" w:cs="仿宋"/>
          <w:b/>
          <w:color w:val="auto"/>
          <w:sz w:val="24"/>
          <w:highlight w:val="none"/>
        </w:rPr>
      </w:pPr>
    </w:p>
    <w:p w14:paraId="58198ABE">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本授权委托书声明：我</w:t>
      </w:r>
      <w:r>
        <w:rPr>
          <w:rFonts w:hint="eastAsia" w:ascii="仿宋" w:hAnsi="仿宋" w:eastAsia="仿宋" w:cs="仿宋"/>
          <w:color w:val="auto"/>
          <w:sz w:val="24"/>
          <w:highlight w:val="none"/>
          <w:u w:val="single"/>
        </w:rPr>
        <w:t xml:space="preserve">         (填写姓名)</w:t>
      </w: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（填写投标人单位全称）</w:t>
      </w:r>
      <w:r>
        <w:rPr>
          <w:rFonts w:hint="eastAsia" w:ascii="仿宋" w:hAnsi="仿宋" w:eastAsia="仿宋" w:cs="仿宋"/>
          <w:color w:val="auto"/>
          <w:sz w:val="24"/>
          <w:highlight w:val="none"/>
        </w:rPr>
        <w:t>的法定代表人，现授权委托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的（填写姓名）为我公司授权代表，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。以本公司的名义参加</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组织的</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投标活动。授权代表在开标、评标、合同谈判过程中所签署的一切文件和处理与之有关的一切事务，我均予以承认。</w:t>
      </w:r>
    </w:p>
    <w:p w14:paraId="59F595F9">
      <w:pPr>
        <w:snapToGrid w:val="0"/>
        <w:spacing w:line="56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14:paraId="139D2646">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14:paraId="2E4673A7">
      <w:pPr>
        <w:snapToGrid w:val="0"/>
        <w:spacing w:line="600" w:lineRule="exact"/>
        <w:jc w:val="left"/>
        <w:rPr>
          <w:rFonts w:hint="eastAsia" w:ascii="仿宋" w:hAnsi="仿宋" w:eastAsia="仿宋" w:cs="仿宋"/>
          <w:color w:val="auto"/>
          <w:sz w:val="24"/>
          <w:highlight w:val="none"/>
        </w:rPr>
      </w:pPr>
    </w:p>
    <w:p w14:paraId="5CA31C48">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14:paraId="1A662CF5">
      <w:pPr>
        <w:spacing w:line="360" w:lineRule="exact"/>
        <w:rPr>
          <w:rFonts w:hint="eastAsia" w:ascii="仿宋" w:hAnsi="仿宋" w:eastAsia="仿宋" w:cs="仿宋"/>
          <w:color w:val="auto"/>
          <w:sz w:val="24"/>
          <w:highlight w:val="none"/>
        </w:rPr>
      </w:pPr>
    </w:p>
    <w:p w14:paraId="2ED220B0">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单位：                      部门：               职务：</w:t>
      </w:r>
    </w:p>
    <w:p w14:paraId="346A6FA9">
      <w:pPr>
        <w:spacing w:line="360" w:lineRule="exact"/>
        <w:rPr>
          <w:rFonts w:hint="eastAsia" w:ascii="仿宋" w:hAnsi="仿宋" w:eastAsia="仿宋" w:cs="仿宋"/>
          <w:color w:val="auto"/>
          <w:sz w:val="24"/>
          <w:highlight w:val="none"/>
        </w:rPr>
      </w:pPr>
    </w:p>
    <w:p w14:paraId="7C4849C2">
      <w:pPr>
        <w:widowControl/>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14:paraId="65E7B28F">
      <w:pPr>
        <w:spacing w:line="360" w:lineRule="exact"/>
        <w:rPr>
          <w:rFonts w:hint="eastAsia" w:ascii="仿宋" w:hAnsi="仿宋" w:eastAsia="仿宋" w:cs="仿宋"/>
          <w:color w:val="auto"/>
          <w:sz w:val="24"/>
          <w:highlight w:val="none"/>
        </w:rPr>
      </w:pPr>
    </w:p>
    <w:p w14:paraId="2D5BD65A">
      <w:pPr>
        <w:spacing w:line="360" w:lineRule="exact"/>
        <w:rPr>
          <w:rFonts w:hint="eastAsia" w:ascii="仿宋" w:hAnsi="仿宋" w:eastAsia="仿宋" w:cs="仿宋"/>
          <w:color w:val="auto"/>
          <w:sz w:val="24"/>
          <w:highlight w:val="none"/>
        </w:rPr>
      </w:pPr>
    </w:p>
    <w:p w14:paraId="30FCBBD4">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投标人（电子签章）：</w:t>
      </w:r>
    </w:p>
    <w:p w14:paraId="7D71A2CB">
      <w:pPr>
        <w:spacing w:line="360" w:lineRule="exact"/>
        <w:rPr>
          <w:rFonts w:hint="eastAsia" w:ascii="仿宋" w:hAnsi="仿宋" w:eastAsia="仿宋" w:cs="仿宋"/>
          <w:color w:val="auto"/>
          <w:sz w:val="24"/>
          <w:highlight w:val="none"/>
        </w:rPr>
      </w:pPr>
    </w:p>
    <w:p w14:paraId="7334B9BB">
      <w:pPr>
        <w:spacing w:line="360" w:lineRule="exact"/>
        <w:rPr>
          <w:rFonts w:hint="eastAsia" w:ascii="仿宋" w:hAnsi="仿宋" w:eastAsia="仿宋" w:cs="仿宋"/>
          <w:color w:val="auto"/>
          <w:sz w:val="24"/>
          <w:highlight w:val="none"/>
        </w:rPr>
      </w:pPr>
    </w:p>
    <w:p w14:paraId="5A5FA76F">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法定代表人（签字或盖章）：</w:t>
      </w:r>
    </w:p>
    <w:p w14:paraId="55184B6D">
      <w:pPr>
        <w:spacing w:line="360" w:lineRule="exact"/>
        <w:rPr>
          <w:rFonts w:hint="eastAsia" w:ascii="仿宋" w:hAnsi="仿宋" w:eastAsia="仿宋" w:cs="仿宋"/>
          <w:color w:val="auto"/>
          <w:sz w:val="24"/>
          <w:highlight w:val="none"/>
        </w:rPr>
      </w:pPr>
    </w:p>
    <w:p w14:paraId="5508F669">
      <w:pPr>
        <w:spacing w:line="360" w:lineRule="exact"/>
        <w:rPr>
          <w:rFonts w:hint="eastAsia" w:ascii="仿宋" w:hAnsi="仿宋" w:eastAsia="仿宋" w:cs="仿宋"/>
          <w:color w:val="auto"/>
          <w:sz w:val="24"/>
          <w:highlight w:val="none"/>
        </w:rPr>
      </w:pPr>
    </w:p>
    <w:p w14:paraId="3A585D22">
      <w:pPr>
        <w:ind w:firstLine="5280" w:firstLineChars="2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日期：    年   月   日</w:t>
      </w:r>
    </w:p>
    <w:p w14:paraId="7971B4D7">
      <w:pPr>
        <w:ind w:firstLine="4920" w:firstLineChars="2050"/>
        <w:jc w:val="left"/>
        <w:rPr>
          <w:rFonts w:hint="eastAsia" w:ascii="仿宋" w:hAnsi="仿宋" w:eastAsia="仿宋" w:cs="仿宋"/>
          <w:color w:val="auto"/>
          <w:sz w:val="24"/>
          <w:highlight w:val="none"/>
        </w:rPr>
      </w:pPr>
    </w:p>
    <w:p w14:paraId="6B2F4161">
      <w:pPr>
        <w:spacing w:line="800" w:lineRule="exact"/>
        <w:rPr>
          <w:rFonts w:hint="eastAsia" w:ascii="仿宋" w:hAnsi="仿宋" w:eastAsia="仿宋" w:cs="仿宋"/>
          <w:b/>
          <w:color w:val="auto"/>
          <w:sz w:val="24"/>
          <w:highlight w:val="none"/>
        </w:rPr>
      </w:pPr>
    </w:p>
    <w:p w14:paraId="737E8ABB">
      <w:pPr>
        <w:spacing w:line="800" w:lineRule="exact"/>
        <w:rPr>
          <w:rFonts w:hint="eastAsia" w:ascii="仿宋" w:hAnsi="仿宋" w:eastAsia="仿宋" w:cs="仿宋"/>
          <w:b/>
          <w:color w:val="auto"/>
          <w:sz w:val="24"/>
          <w:highlight w:val="none"/>
        </w:rPr>
      </w:pPr>
    </w:p>
    <w:p w14:paraId="07D84ACB">
      <w:pPr>
        <w:pageBreakBefore/>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 xml:space="preserve">法定代表人授权委托书（格式） </w:t>
      </w:r>
      <w:r>
        <w:rPr>
          <w:rFonts w:hint="eastAsia" w:ascii="仿宋" w:hAnsi="仿宋" w:eastAsia="仿宋" w:cs="仿宋"/>
          <w:b/>
          <w:color w:val="auto"/>
          <w:kern w:val="0"/>
          <w:sz w:val="32"/>
          <w:szCs w:val="32"/>
          <w:highlight w:val="none"/>
          <w:lang w:val="zh-CN"/>
        </w:rPr>
        <w:t>（适用于联合体投标）</w:t>
      </w:r>
    </w:p>
    <w:p w14:paraId="528AA1C2">
      <w:pPr>
        <w:jc w:val="center"/>
        <w:rPr>
          <w:rFonts w:hint="eastAsia" w:ascii="仿宋" w:hAnsi="仿宋" w:eastAsia="仿宋" w:cs="仿宋"/>
          <w:b/>
          <w:color w:val="auto"/>
          <w:sz w:val="24"/>
          <w:highlight w:val="none"/>
        </w:rPr>
      </w:pPr>
    </w:p>
    <w:p w14:paraId="1D39C2BB">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本授权委托书声明：</w:t>
      </w:r>
    </w:p>
    <w:p w14:paraId="22B08467">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的（填写姓名）为我方授权代表，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。以我方的名义参加</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组织的</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投标活动。授权代表在开标、评标、合同谈判过程中所签署的一切文件和处理与之有关的一切事务，我均予以承认。</w:t>
      </w:r>
    </w:p>
    <w:p w14:paraId="60D18B07">
      <w:pPr>
        <w:snapToGrid w:val="0"/>
        <w:spacing w:line="56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14:paraId="37ED1ADC">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14:paraId="2F373574">
      <w:pPr>
        <w:snapToGrid w:val="0"/>
        <w:spacing w:line="600" w:lineRule="exact"/>
        <w:jc w:val="left"/>
        <w:rPr>
          <w:rFonts w:hint="eastAsia" w:ascii="仿宋" w:hAnsi="仿宋" w:eastAsia="仿宋" w:cs="仿宋"/>
          <w:color w:val="auto"/>
          <w:sz w:val="24"/>
          <w:highlight w:val="none"/>
        </w:rPr>
      </w:pPr>
    </w:p>
    <w:p w14:paraId="37B1D39C">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14:paraId="52F11F8D">
      <w:pPr>
        <w:spacing w:line="360" w:lineRule="exact"/>
        <w:rPr>
          <w:rFonts w:hint="eastAsia" w:ascii="仿宋" w:hAnsi="仿宋" w:eastAsia="仿宋" w:cs="仿宋"/>
          <w:color w:val="auto"/>
          <w:sz w:val="24"/>
          <w:highlight w:val="none"/>
        </w:rPr>
      </w:pPr>
    </w:p>
    <w:p w14:paraId="7924F3B1">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单位：                      部门：               职务：</w:t>
      </w:r>
    </w:p>
    <w:p w14:paraId="21190397">
      <w:pPr>
        <w:spacing w:line="360" w:lineRule="exact"/>
        <w:rPr>
          <w:rFonts w:hint="eastAsia" w:ascii="仿宋" w:hAnsi="仿宋" w:eastAsia="仿宋" w:cs="仿宋"/>
          <w:color w:val="auto"/>
          <w:sz w:val="24"/>
          <w:highlight w:val="none"/>
        </w:rPr>
      </w:pPr>
    </w:p>
    <w:p w14:paraId="7410A5F6">
      <w:pPr>
        <w:widowControl/>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14:paraId="42001E2A">
      <w:pPr>
        <w:spacing w:line="360" w:lineRule="exact"/>
        <w:rPr>
          <w:rFonts w:hint="eastAsia" w:ascii="仿宋" w:hAnsi="仿宋" w:eastAsia="仿宋" w:cs="仿宋"/>
          <w:color w:val="auto"/>
          <w:sz w:val="24"/>
          <w:highlight w:val="none"/>
        </w:rPr>
      </w:pPr>
    </w:p>
    <w:p w14:paraId="6AC8EE7C">
      <w:pPr>
        <w:spacing w:line="360" w:lineRule="exact"/>
        <w:rPr>
          <w:rFonts w:hint="eastAsia" w:ascii="仿宋" w:hAnsi="仿宋" w:eastAsia="仿宋" w:cs="仿宋"/>
          <w:color w:val="auto"/>
          <w:sz w:val="24"/>
          <w:highlight w:val="none"/>
        </w:rPr>
      </w:pPr>
    </w:p>
    <w:p w14:paraId="497DFE8B">
      <w:pPr>
        <w:jc w:val="center"/>
        <w:rPr>
          <w:rFonts w:hint="eastAsia" w:ascii="仿宋" w:hAnsi="仿宋" w:eastAsia="仿宋" w:cs="仿宋"/>
          <w:b/>
          <w:color w:val="auto"/>
          <w:kern w:val="0"/>
          <w:sz w:val="32"/>
          <w:szCs w:val="32"/>
          <w:highlight w:val="none"/>
        </w:rPr>
      </w:pPr>
    </w:p>
    <w:p w14:paraId="46BFEB65">
      <w:pPr>
        <w:rPr>
          <w:rFonts w:hint="eastAsia" w:ascii="仿宋" w:hAnsi="仿宋" w:eastAsia="仿宋" w:cs="仿宋"/>
          <w:color w:val="auto"/>
          <w:highlight w:val="none"/>
        </w:rPr>
      </w:pPr>
    </w:p>
    <w:p w14:paraId="5A213507">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4B3F5BBC">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5424B93F">
      <w:pPr>
        <w:snapToGrid w:val="0"/>
        <w:spacing w:line="360" w:lineRule="auto"/>
        <w:ind w:firstLine="5760" w:firstLineChars="2400"/>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14:paraId="7CF9001C">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14:paraId="048918BB">
      <w:pPr>
        <w:autoSpaceDE w:val="0"/>
        <w:autoSpaceDN w:val="0"/>
        <w:spacing w:line="360" w:lineRule="auto"/>
        <w:jc w:val="center"/>
        <w:rPr>
          <w:rFonts w:hint="eastAsia" w:ascii="仿宋" w:hAnsi="仿宋" w:eastAsia="仿宋" w:cs="仿宋"/>
          <w:b/>
          <w:color w:val="auto"/>
          <w:kern w:val="0"/>
          <w:sz w:val="32"/>
          <w:szCs w:val="32"/>
          <w:highlight w:val="none"/>
          <w:lang w:val="zh-CN"/>
        </w:rPr>
      </w:pPr>
    </w:p>
    <w:p w14:paraId="239CA0F6">
      <w:pPr>
        <w:autoSpaceDE w:val="0"/>
        <w:autoSpaceDN w:val="0"/>
        <w:spacing w:line="360" w:lineRule="auto"/>
        <w:jc w:val="center"/>
        <w:rPr>
          <w:rFonts w:hint="eastAsia" w:ascii="仿宋" w:hAnsi="仿宋" w:eastAsia="仿宋" w:cs="仿宋"/>
          <w:b/>
          <w:color w:val="auto"/>
          <w:kern w:val="0"/>
          <w:sz w:val="32"/>
          <w:szCs w:val="32"/>
          <w:highlight w:val="none"/>
          <w:lang w:val="zh-CN"/>
        </w:rPr>
      </w:pPr>
    </w:p>
    <w:p w14:paraId="672B23D2">
      <w:pPr>
        <w:autoSpaceDE w:val="0"/>
        <w:autoSpaceDN w:val="0"/>
        <w:spacing w:line="360" w:lineRule="auto"/>
        <w:jc w:val="center"/>
        <w:rPr>
          <w:rFonts w:hint="eastAsia" w:ascii="仿宋" w:hAnsi="仿宋" w:eastAsia="仿宋" w:cs="仿宋"/>
          <w:b/>
          <w:color w:val="auto"/>
          <w:kern w:val="0"/>
          <w:sz w:val="32"/>
          <w:szCs w:val="32"/>
          <w:highlight w:val="none"/>
          <w:lang w:val="zh-CN"/>
        </w:rPr>
      </w:pPr>
    </w:p>
    <w:p w14:paraId="47934375">
      <w:pPr>
        <w:pageBreakBefore/>
        <w:spacing w:line="800" w:lineRule="exact"/>
        <w:jc w:val="center"/>
        <w:rPr>
          <w:rFonts w:ascii="仿宋_GB2312" w:hAnsi="宋体" w:eastAsia="仿宋_GB2312"/>
          <w:b/>
          <w:color w:val="auto"/>
          <w:sz w:val="30"/>
          <w:szCs w:val="30"/>
          <w:highlight w:val="none"/>
        </w:rPr>
      </w:pPr>
      <w:r>
        <w:rPr>
          <w:rFonts w:hint="eastAsia" w:ascii="仿宋_GB2312" w:hAnsi="宋体" w:eastAsia="仿宋_GB2312"/>
          <w:b/>
          <w:color w:val="auto"/>
          <w:sz w:val="30"/>
          <w:szCs w:val="30"/>
          <w:highlight w:val="none"/>
        </w:rPr>
        <w:t>三、授权代表社保证明（复印件）</w:t>
      </w:r>
    </w:p>
    <w:p w14:paraId="0145C6E2">
      <w:pPr>
        <w:spacing w:line="800" w:lineRule="exact"/>
        <w:ind w:firstLine="480" w:firstLineChars="200"/>
        <w:rPr>
          <w:rFonts w:ascii="仿宋_GB2312" w:hAnsi="宋体" w:eastAsia="仿宋_GB2312"/>
          <w:color w:val="auto"/>
          <w:sz w:val="24"/>
          <w:highlight w:val="none"/>
          <w:u w:val="wave"/>
        </w:rPr>
      </w:pPr>
      <w:r>
        <w:rPr>
          <w:rFonts w:hint="eastAsia" w:ascii="仿宋_GB2312" w:hAnsi="宋体" w:eastAsia="仿宋_GB2312"/>
          <w:color w:val="auto"/>
          <w:sz w:val="24"/>
          <w:highlight w:val="none"/>
          <w:u w:val="wave"/>
        </w:rPr>
        <w:t>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格式自拟。</w:t>
      </w:r>
    </w:p>
    <w:p w14:paraId="7AF9AE07">
      <w:pPr>
        <w:spacing w:line="800" w:lineRule="exact"/>
        <w:rPr>
          <w:rFonts w:hint="eastAsia" w:ascii="仿宋" w:hAnsi="仿宋" w:eastAsia="仿宋" w:cs="仿宋"/>
          <w:b/>
          <w:color w:val="auto"/>
          <w:sz w:val="24"/>
          <w:highlight w:val="none"/>
        </w:rPr>
      </w:pPr>
    </w:p>
    <w:p w14:paraId="6B1220E7">
      <w:pPr>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val="en-US" w:eastAsia="zh-CN"/>
        </w:rPr>
        <w:t>四</w:t>
      </w:r>
      <w:r>
        <w:rPr>
          <w:rFonts w:hint="eastAsia" w:ascii="仿宋" w:hAnsi="仿宋" w:eastAsia="仿宋" w:cs="仿宋"/>
          <w:b/>
          <w:color w:val="auto"/>
          <w:sz w:val="30"/>
          <w:szCs w:val="30"/>
          <w:highlight w:val="none"/>
        </w:rPr>
        <w:t>、法定代表人及其授权代表身份证复印件（正反面）</w:t>
      </w:r>
    </w:p>
    <w:p w14:paraId="60C17E2B">
      <w:pPr>
        <w:spacing w:line="800" w:lineRule="exact"/>
        <w:rPr>
          <w:rFonts w:hint="eastAsia" w:ascii="仿宋" w:hAnsi="仿宋" w:eastAsia="仿宋" w:cs="仿宋"/>
          <w:b/>
          <w:color w:val="auto"/>
          <w:sz w:val="24"/>
          <w:highlight w:val="none"/>
        </w:rPr>
      </w:pPr>
    </w:p>
    <w:p w14:paraId="3138ABC8">
      <w:pPr>
        <w:spacing w:line="800" w:lineRule="exact"/>
        <w:rPr>
          <w:rFonts w:hint="eastAsia" w:ascii="仿宋" w:hAnsi="仿宋" w:eastAsia="仿宋" w:cs="仿宋"/>
          <w:b/>
          <w:color w:val="auto"/>
          <w:sz w:val="24"/>
          <w:highlight w:val="none"/>
        </w:rPr>
      </w:pPr>
    </w:p>
    <w:p w14:paraId="2E505B79">
      <w:pPr>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val="en-US" w:eastAsia="zh-CN"/>
        </w:rPr>
        <w:t>五</w:t>
      </w:r>
      <w:r>
        <w:rPr>
          <w:rFonts w:hint="eastAsia" w:ascii="仿宋" w:hAnsi="仿宋" w:eastAsia="仿宋" w:cs="仿宋"/>
          <w:b/>
          <w:color w:val="auto"/>
          <w:sz w:val="30"/>
          <w:szCs w:val="30"/>
          <w:highlight w:val="none"/>
        </w:rPr>
        <w:t>、法定代表人身份证明书(格式)</w:t>
      </w:r>
    </w:p>
    <w:p w14:paraId="596EC9B4">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 标 人：</w:t>
      </w:r>
      <w:r>
        <w:rPr>
          <w:rFonts w:hint="eastAsia" w:ascii="仿宋" w:hAnsi="仿宋" w:eastAsia="仿宋" w:cs="仿宋"/>
          <w:color w:val="auto"/>
          <w:sz w:val="24"/>
          <w:highlight w:val="none"/>
          <w:u w:val="single"/>
        </w:rPr>
        <w:t xml:space="preserve">                          </w:t>
      </w:r>
    </w:p>
    <w:p w14:paraId="6A3B7FEF">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single"/>
        </w:rPr>
        <w:t xml:space="preserve">                          </w:t>
      </w:r>
    </w:p>
    <w:p w14:paraId="656D9B65">
      <w:pPr>
        <w:spacing w:line="440" w:lineRule="exact"/>
        <w:ind w:right="281" w:rightChars="134"/>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姓    名：</w:t>
      </w:r>
      <w:r>
        <w:rPr>
          <w:rFonts w:hint="eastAsia" w:ascii="仿宋" w:hAnsi="仿宋" w:eastAsia="仿宋" w:cs="仿宋"/>
          <w:color w:val="auto"/>
          <w:sz w:val="24"/>
          <w:highlight w:val="none"/>
          <w:u w:val="single"/>
        </w:rPr>
        <w:t xml:space="preserve">                          </w:t>
      </w:r>
    </w:p>
    <w:p w14:paraId="64D2551E">
      <w:pPr>
        <w:spacing w:line="440" w:lineRule="exact"/>
        <w:ind w:right="281" w:rightChars="134"/>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身份证号码：</w:t>
      </w:r>
      <w:r>
        <w:rPr>
          <w:rFonts w:hint="eastAsia" w:ascii="仿宋" w:hAnsi="仿宋" w:eastAsia="仿宋" w:cs="仿宋"/>
          <w:color w:val="auto"/>
          <w:sz w:val="24"/>
          <w:highlight w:val="none"/>
          <w:u w:val="single"/>
        </w:rPr>
        <w:t xml:space="preserve">                        </w:t>
      </w:r>
    </w:p>
    <w:p w14:paraId="220B7E00">
      <w:pPr>
        <w:spacing w:line="440" w:lineRule="exact"/>
        <w:ind w:right="281" w:rightChars="134"/>
        <w:rPr>
          <w:rFonts w:hint="eastAsia" w:ascii="仿宋" w:hAnsi="仿宋" w:eastAsia="仿宋" w:cs="仿宋"/>
          <w:color w:val="auto"/>
          <w:sz w:val="24"/>
          <w:highlight w:val="none"/>
        </w:rPr>
      </w:pPr>
      <w:r>
        <w:rPr>
          <w:rFonts w:hint="eastAsia" w:ascii="仿宋" w:hAnsi="仿宋" w:eastAsia="仿宋" w:cs="仿宋"/>
          <w:color w:val="auto"/>
          <w:sz w:val="24"/>
          <w:highlight w:val="none"/>
        </w:rPr>
        <w:t>职   务：</w:t>
      </w:r>
      <w:r>
        <w:rPr>
          <w:rFonts w:hint="eastAsia" w:ascii="仿宋" w:hAnsi="仿宋" w:eastAsia="仿宋" w:cs="仿宋"/>
          <w:color w:val="auto"/>
          <w:sz w:val="24"/>
          <w:highlight w:val="none"/>
          <w:u w:val="single"/>
        </w:rPr>
        <w:t xml:space="preserve">                           </w:t>
      </w:r>
    </w:p>
    <w:p w14:paraId="55E4554C">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（填写投标人名称）</w:t>
      </w:r>
      <w:r>
        <w:rPr>
          <w:rFonts w:hint="eastAsia" w:ascii="仿宋" w:hAnsi="仿宋" w:eastAsia="仿宋" w:cs="仿宋"/>
          <w:color w:val="auto"/>
          <w:sz w:val="24"/>
          <w:highlight w:val="none"/>
        </w:rPr>
        <w:t>的法定代表人。</w:t>
      </w:r>
    </w:p>
    <w:p w14:paraId="34C2AB97">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特此证明。</w:t>
      </w:r>
    </w:p>
    <w:p w14:paraId="299619E6">
      <w:pPr>
        <w:spacing w:line="440" w:lineRule="exact"/>
        <w:rPr>
          <w:rFonts w:hint="eastAsia" w:ascii="仿宋" w:hAnsi="仿宋" w:eastAsia="仿宋" w:cs="仿宋"/>
          <w:color w:val="auto"/>
          <w:sz w:val="24"/>
          <w:highlight w:val="none"/>
        </w:rPr>
      </w:pPr>
    </w:p>
    <w:p w14:paraId="5D0B0F8C">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w:t>
      </w:r>
      <w:r>
        <w:rPr>
          <w:rFonts w:hint="eastAsia" w:ascii="仿宋" w:hAnsi="仿宋" w:eastAsia="仿宋" w:cs="仿宋"/>
          <w:color w:val="auto"/>
          <w:sz w:val="24"/>
          <w:highlight w:val="none"/>
          <w:lang w:eastAsia="zh-CN"/>
        </w:rPr>
        <w:t>名称</w:t>
      </w:r>
      <w:r>
        <w:rPr>
          <w:rFonts w:hint="eastAsia" w:ascii="仿宋" w:hAnsi="仿宋" w:eastAsia="仿宋" w:cs="仿宋"/>
          <w:color w:val="auto"/>
          <w:sz w:val="24"/>
          <w:highlight w:val="none"/>
        </w:rPr>
        <w:t>：                             （电子签章）</w:t>
      </w:r>
    </w:p>
    <w:p w14:paraId="6C4A45E1">
      <w:pPr>
        <w:spacing w:line="440" w:lineRule="exact"/>
        <w:ind w:right="480"/>
        <w:rPr>
          <w:rFonts w:hint="eastAsia" w:ascii="仿宋" w:hAnsi="仿宋" w:eastAsia="仿宋" w:cs="仿宋"/>
          <w:color w:val="auto"/>
          <w:sz w:val="24"/>
          <w:highlight w:val="none"/>
        </w:rPr>
      </w:pPr>
    </w:p>
    <w:p w14:paraId="3E633ECA">
      <w:pPr>
        <w:spacing w:line="440" w:lineRule="exact"/>
        <w:ind w:right="720"/>
        <w:jc w:val="right"/>
        <w:rPr>
          <w:rFonts w:hint="eastAsia" w:ascii="仿宋" w:hAnsi="仿宋" w:eastAsia="仿宋" w:cs="仿宋"/>
          <w:color w:val="auto"/>
          <w:sz w:val="24"/>
          <w:highlight w:val="none"/>
        </w:rPr>
      </w:pPr>
      <w:r>
        <w:rPr>
          <w:rFonts w:hint="eastAsia" w:ascii="仿宋" w:hAnsi="仿宋" w:eastAsia="仿宋" w:cs="仿宋"/>
          <w:color w:val="auto"/>
          <w:sz w:val="24"/>
          <w:highlight w:val="none"/>
        </w:rPr>
        <w:t>年   月   日</w:t>
      </w:r>
    </w:p>
    <w:p w14:paraId="27CA700C">
      <w:pPr>
        <w:jc w:val="center"/>
        <w:rPr>
          <w:rFonts w:hint="eastAsia" w:ascii="仿宋" w:hAnsi="仿宋" w:eastAsia="仿宋" w:cs="仿宋"/>
          <w:b/>
          <w:color w:val="auto"/>
          <w:kern w:val="0"/>
          <w:sz w:val="32"/>
          <w:szCs w:val="32"/>
          <w:highlight w:val="none"/>
        </w:rPr>
      </w:pPr>
    </w:p>
    <w:p w14:paraId="31BEDFD7">
      <w:pPr>
        <w:jc w:val="center"/>
        <w:rPr>
          <w:rFonts w:hint="eastAsia" w:ascii="仿宋" w:hAnsi="仿宋" w:eastAsia="仿宋" w:cs="仿宋"/>
          <w:b/>
          <w:color w:val="auto"/>
          <w:kern w:val="0"/>
          <w:sz w:val="32"/>
          <w:szCs w:val="32"/>
          <w:highlight w:val="none"/>
        </w:rPr>
      </w:pPr>
    </w:p>
    <w:p w14:paraId="3D799B4D">
      <w:pPr>
        <w:jc w:val="both"/>
        <w:rPr>
          <w:rFonts w:hint="eastAsia" w:ascii="仿宋" w:hAnsi="仿宋" w:eastAsia="仿宋" w:cs="仿宋"/>
          <w:b/>
          <w:color w:val="auto"/>
          <w:kern w:val="0"/>
          <w:sz w:val="32"/>
          <w:szCs w:val="32"/>
          <w:highlight w:val="none"/>
        </w:rPr>
      </w:pPr>
    </w:p>
    <w:p w14:paraId="36D3E0D4">
      <w:pPr>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val="en-US" w:eastAsia="zh-CN"/>
        </w:rPr>
        <w:t>六</w:t>
      </w:r>
      <w:r>
        <w:rPr>
          <w:rFonts w:hint="eastAsia" w:ascii="仿宋" w:hAnsi="仿宋" w:eastAsia="仿宋" w:cs="仿宋"/>
          <w:b/>
          <w:color w:val="auto"/>
          <w:kern w:val="0"/>
          <w:sz w:val="32"/>
          <w:szCs w:val="32"/>
          <w:highlight w:val="none"/>
        </w:rPr>
        <w:t>、商务技术偏离表</w:t>
      </w:r>
    </w:p>
    <w:tbl>
      <w:tblPr>
        <w:tblStyle w:val="16"/>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14:paraId="6B1FD2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0DFA2352">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序号</w:t>
            </w:r>
          </w:p>
        </w:tc>
        <w:tc>
          <w:tcPr>
            <w:tcW w:w="3683" w:type="dxa"/>
          </w:tcPr>
          <w:p w14:paraId="26D54883">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招标文件章节及具体内容</w:t>
            </w:r>
          </w:p>
        </w:tc>
        <w:tc>
          <w:tcPr>
            <w:tcW w:w="3546" w:type="dxa"/>
          </w:tcPr>
          <w:p w14:paraId="40AF140B">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投标文件章节及具体内容</w:t>
            </w:r>
          </w:p>
        </w:tc>
        <w:tc>
          <w:tcPr>
            <w:tcW w:w="1276" w:type="dxa"/>
          </w:tcPr>
          <w:p w14:paraId="2D3A3E68">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偏离说明</w:t>
            </w:r>
          </w:p>
        </w:tc>
      </w:tr>
      <w:tr w14:paraId="413037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4A938976">
            <w:pP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w:t>
            </w:r>
          </w:p>
        </w:tc>
        <w:tc>
          <w:tcPr>
            <w:tcW w:w="3683" w:type="dxa"/>
          </w:tcPr>
          <w:p w14:paraId="36647031">
            <w:pPr>
              <w:jc w:val="center"/>
              <w:rPr>
                <w:rFonts w:hint="eastAsia" w:ascii="仿宋" w:hAnsi="仿宋" w:eastAsia="仿宋" w:cs="仿宋"/>
                <w:b/>
                <w:color w:val="auto"/>
                <w:kern w:val="0"/>
                <w:sz w:val="32"/>
                <w:szCs w:val="32"/>
                <w:highlight w:val="none"/>
              </w:rPr>
            </w:pPr>
          </w:p>
        </w:tc>
        <w:tc>
          <w:tcPr>
            <w:tcW w:w="3546" w:type="dxa"/>
          </w:tcPr>
          <w:p w14:paraId="5340AF6A">
            <w:pPr>
              <w:jc w:val="center"/>
              <w:rPr>
                <w:rFonts w:hint="eastAsia" w:ascii="仿宋" w:hAnsi="仿宋" w:eastAsia="仿宋" w:cs="仿宋"/>
                <w:b/>
                <w:color w:val="auto"/>
                <w:kern w:val="0"/>
                <w:sz w:val="32"/>
                <w:szCs w:val="32"/>
                <w:highlight w:val="none"/>
              </w:rPr>
            </w:pPr>
          </w:p>
        </w:tc>
        <w:tc>
          <w:tcPr>
            <w:tcW w:w="1276" w:type="dxa"/>
          </w:tcPr>
          <w:p w14:paraId="0023D150">
            <w:pPr>
              <w:jc w:val="center"/>
              <w:rPr>
                <w:rFonts w:hint="eastAsia" w:ascii="仿宋" w:hAnsi="仿宋" w:eastAsia="仿宋" w:cs="仿宋"/>
                <w:b/>
                <w:color w:val="auto"/>
                <w:kern w:val="0"/>
                <w:sz w:val="32"/>
                <w:szCs w:val="32"/>
                <w:highlight w:val="none"/>
              </w:rPr>
            </w:pPr>
          </w:p>
        </w:tc>
      </w:tr>
      <w:tr w14:paraId="7E0421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3EFA9830">
            <w:pP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w:t>
            </w:r>
          </w:p>
        </w:tc>
        <w:tc>
          <w:tcPr>
            <w:tcW w:w="3683" w:type="dxa"/>
          </w:tcPr>
          <w:p w14:paraId="0157C14E">
            <w:pPr>
              <w:jc w:val="center"/>
              <w:rPr>
                <w:rFonts w:hint="eastAsia" w:ascii="仿宋" w:hAnsi="仿宋" w:eastAsia="仿宋" w:cs="仿宋"/>
                <w:b/>
                <w:color w:val="auto"/>
                <w:kern w:val="0"/>
                <w:sz w:val="32"/>
                <w:szCs w:val="32"/>
                <w:highlight w:val="none"/>
              </w:rPr>
            </w:pPr>
          </w:p>
        </w:tc>
        <w:tc>
          <w:tcPr>
            <w:tcW w:w="3546" w:type="dxa"/>
          </w:tcPr>
          <w:p w14:paraId="2C56AF79">
            <w:pPr>
              <w:jc w:val="center"/>
              <w:rPr>
                <w:rFonts w:hint="eastAsia" w:ascii="仿宋" w:hAnsi="仿宋" w:eastAsia="仿宋" w:cs="仿宋"/>
                <w:b/>
                <w:color w:val="auto"/>
                <w:kern w:val="0"/>
                <w:sz w:val="32"/>
                <w:szCs w:val="32"/>
                <w:highlight w:val="none"/>
              </w:rPr>
            </w:pPr>
          </w:p>
        </w:tc>
        <w:tc>
          <w:tcPr>
            <w:tcW w:w="1276" w:type="dxa"/>
          </w:tcPr>
          <w:p w14:paraId="7B5FD042">
            <w:pPr>
              <w:jc w:val="center"/>
              <w:rPr>
                <w:rFonts w:hint="eastAsia" w:ascii="仿宋" w:hAnsi="仿宋" w:eastAsia="仿宋" w:cs="仿宋"/>
                <w:b/>
                <w:color w:val="auto"/>
                <w:kern w:val="0"/>
                <w:sz w:val="32"/>
                <w:szCs w:val="32"/>
                <w:highlight w:val="none"/>
              </w:rPr>
            </w:pPr>
          </w:p>
        </w:tc>
      </w:tr>
      <w:tr w14:paraId="4AE3BE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2967E244">
            <w:pP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p>
        </w:tc>
        <w:tc>
          <w:tcPr>
            <w:tcW w:w="3683" w:type="dxa"/>
          </w:tcPr>
          <w:p w14:paraId="7629C026">
            <w:pPr>
              <w:jc w:val="center"/>
              <w:rPr>
                <w:rFonts w:hint="eastAsia" w:ascii="仿宋" w:hAnsi="仿宋" w:eastAsia="仿宋" w:cs="仿宋"/>
                <w:b/>
                <w:color w:val="auto"/>
                <w:kern w:val="0"/>
                <w:sz w:val="32"/>
                <w:szCs w:val="32"/>
                <w:highlight w:val="none"/>
              </w:rPr>
            </w:pPr>
          </w:p>
        </w:tc>
        <w:tc>
          <w:tcPr>
            <w:tcW w:w="3546" w:type="dxa"/>
          </w:tcPr>
          <w:p w14:paraId="30ED6A8E">
            <w:pPr>
              <w:jc w:val="center"/>
              <w:rPr>
                <w:rFonts w:hint="eastAsia" w:ascii="仿宋" w:hAnsi="仿宋" w:eastAsia="仿宋" w:cs="仿宋"/>
                <w:b/>
                <w:color w:val="auto"/>
                <w:kern w:val="0"/>
                <w:sz w:val="32"/>
                <w:szCs w:val="32"/>
                <w:highlight w:val="none"/>
              </w:rPr>
            </w:pPr>
          </w:p>
        </w:tc>
        <w:tc>
          <w:tcPr>
            <w:tcW w:w="1276" w:type="dxa"/>
          </w:tcPr>
          <w:p w14:paraId="7EB2F3BE">
            <w:pPr>
              <w:jc w:val="center"/>
              <w:rPr>
                <w:rFonts w:hint="eastAsia" w:ascii="仿宋" w:hAnsi="仿宋" w:eastAsia="仿宋" w:cs="仿宋"/>
                <w:b/>
                <w:color w:val="auto"/>
                <w:kern w:val="0"/>
                <w:sz w:val="32"/>
                <w:szCs w:val="32"/>
                <w:highlight w:val="none"/>
              </w:rPr>
            </w:pPr>
          </w:p>
        </w:tc>
      </w:tr>
    </w:tbl>
    <w:p w14:paraId="5FABBC7E">
      <w:pPr>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投标人保证：除商务技术偏离表列出的偏离外，投标人响应招标文件的全部要求</w:t>
      </w:r>
    </w:p>
    <w:p w14:paraId="3FA065B2">
      <w:pPr>
        <w:jc w:val="center"/>
        <w:rPr>
          <w:rFonts w:hint="eastAsia" w:ascii="仿宋" w:hAnsi="仿宋" w:eastAsia="仿宋" w:cs="仿宋"/>
          <w:b/>
          <w:color w:val="auto"/>
          <w:kern w:val="0"/>
          <w:sz w:val="32"/>
          <w:szCs w:val="32"/>
          <w:highlight w:val="none"/>
        </w:rPr>
      </w:pPr>
    </w:p>
    <w:p w14:paraId="65D62FC3">
      <w:pPr>
        <w:spacing w:line="360" w:lineRule="auto"/>
        <w:ind w:right="420"/>
        <w:rPr>
          <w:rFonts w:hint="eastAsia" w:ascii="仿宋" w:hAnsi="仿宋" w:eastAsia="仿宋" w:cs="仿宋"/>
          <w:b/>
          <w:bCs/>
          <w:color w:val="auto"/>
          <w:sz w:val="32"/>
          <w:szCs w:val="32"/>
          <w:highlight w:val="none"/>
        </w:rPr>
      </w:pPr>
      <w:r>
        <w:rPr>
          <w:rFonts w:hint="eastAsia" w:ascii="仿宋" w:hAnsi="仿宋" w:eastAsia="仿宋" w:cs="仿宋"/>
          <w:color w:val="auto"/>
          <w:sz w:val="24"/>
          <w:highlight w:val="none"/>
        </w:rPr>
        <w:t>注：按本格式和要求提供。</w:t>
      </w:r>
    </w:p>
    <w:p w14:paraId="54483746">
      <w:pPr>
        <w:widowControl/>
        <w:adjustRightInd/>
        <w:jc w:val="left"/>
        <w:rPr>
          <w:rFonts w:hint="eastAsia" w:ascii="仿宋" w:hAnsi="仿宋" w:eastAsia="仿宋" w:cs="仿宋"/>
          <w:b/>
          <w:bCs/>
          <w:color w:val="auto"/>
          <w:sz w:val="32"/>
          <w:szCs w:val="32"/>
          <w:highlight w:val="none"/>
          <w:lang w:eastAsia="zh-CN"/>
        </w:rPr>
      </w:pPr>
    </w:p>
    <w:p w14:paraId="262BB258">
      <w:pPr>
        <w:keepNext w:val="0"/>
        <w:keepLines w:val="0"/>
        <w:pageBreakBefore/>
        <w:widowControl/>
        <w:kinsoku/>
        <w:wordWrap/>
        <w:overflowPunct/>
        <w:topLinePunct w:val="0"/>
        <w:autoSpaceDE/>
        <w:autoSpaceDN/>
        <w:bidi w:val="0"/>
        <w:adjustRightInd/>
        <w:snapToGrid/>
        <w:jc w:val="center"/>
        <w:textAlignment w:val="auto"/>
        <w:rPr>
          <w:rFonts w:hint="eastAsia" w:ascii="仿宋" w:hAnsi="仿宋" w:eastAsia="仿宋" w:cs="仿宋"/>
          <w:b/>
          <w:color w:val="auto"/>
          <w:kern w:val="0"/>
          <w:sz w:val="32"/>
          <w:szCs w:val="32"/>
          <w:highlight w:val="none"/>
        </w:rPr>
      </w:pPr>
      <w:r>
        <w:rPr>
          <w:rFonts w:hint="eastAsia" w:ascii="仿宋" w:hAnsi="仿宋" w:eastAsia="仿宋" w:cs="仿宋"/>
          <w:b/>
          <w:bCs/>
          <w:color w:val="auto"/>
          <w:sz w:val="32"/>
          <w:szCs w:val="32"/>
          <w:highlight w:val="none"/>
          <w:lang w:val="en-US" w:eastAsia="zh-CN"/>
        </w:rPr>
        <w:t>七</w:t>
      </w:r>
      <w:r>
        <w:rPr>
          <w:rFonts w:hint="eastAsia" w:ascii="仿宋" w:hAnsi="仿宋" w:eastAsia="仿宋" w:cs="仿宋"/>
          <w:b/>
          <w:color w:val="auto"/>
          <w:kern w:val="0"/>
          <w:sz w:val="32"/>
          <w:szCs w:val="32"/>
          <w:highlight w:val="none"/>
        </w:rPr>
        <w:t>、</w:t>
      </w:r>
      <w:r>
        <w:rPr>
          <w:rFonts w:hint="eastAsia" w:ascii="仿宋" w:hAnsi="仿宋" w:eastAsia="仿宋" w:cs="仿宋"/>
          <w:b/>
          <w:color w:val="auto"/>
          <w:kern w:val="0"/>
          <w:sz w:val="32"/>
          <w:szCs w:val="32"/>
          <w:highlight w:val="none"/>
          <w:lang w:val="zh-CN"/>
        </w:rPr>
        <w:t>政府采购供应商廉洁自律承诺书</w:t>
      </w:r>
    </w:p>
    <w:p w14:paraId="38A58001">
      <w:pPr>
        <w:snapToGrid w:val="0"/>
        <w:spacing w:line="360" w:lineRule="auto"/>
        <w:rPr>
          <w:rFonts w:hint="eastAsia" w:ascii="仿宋" w:hAnsi="仿宋" w:eastAsia="仿宋" w:cs="仿宋"/>
          <w:color w:val="auto"/>
          <w:sz w:val="24"/>
          <w:highlight w:val="none"/>
        </w:rPr>
      </w:pPr>
    </w:p>
    <w:p w14:paraId="4EDF4947">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（采购人）、（采购代理机构）</w:t>
      </w:r>
      <w:r>
        <w:rPr>
          <w:rFonts w:hint="eastAsia" w:ascii="仿宋" w:hAnsi="仿宋" w:eastAsia="仿宋" w:cs="仿宋"/>
          <w:color w:val="auto"/>
          <w:kern w:val="0"/>
          <w:sz w:val="24"/>
          <w:highlight w:val="none"/>
          <w:lang w:val="zh-CN"/>
        </w:rPr>
        <w:t>：</w:t>
      </w:r>
    </w:p>
    <w:p w14:paraId="2D236E4B">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我单位响应你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项目招标要求参加投标。在这次投标过程中和中标后，我们将严格遵守国家法律法规要求，并郑重承诺：</w:t>
      </w:r>
    </w:p>
    <w:p w14:paraId="7315A8D3">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一、不向项目有关人员及部门赠送礼金礼物、有价证券、回扣以及中介费、介绍费、咨询费等好处费； </w:t>
      </w:r>
    </w:p>
    <w:p w14:paraId="62C5AC21">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二、不为项目有关人员及部门报销应由你方单位或个人支付的费用； </w:t>
      </w:r>
    </w:p>
    <w:p w14:paraId="31046FBF">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三、不向项目有关人员及部门提供有可能影响公正的宴请和健身娱乐等活动； </w:t>
      </w:r>
    </w:p>
    <w:p w14:paraId="23EFB483">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四、不为项目有关人员及部门出国（境）、旅游等提供方便；</w:t>
      </w:r>
    </w:p>
    <w:p w14:paraId="400287F1">
      <w:pPr>
        <w:autoSpaceDE w:val="0"/>
        <w:autoSpaceDN w:val="0"/>
        <w:spacing w:line="360" w:lineRule="auto"/>
        <w:ind w:left="481" w:leftChars="229"/>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五、不为项目有关人员个人装修住房、婚丧嫁娶、配偶子女工作安排等提供</w:t>
      </w:r>
    </w:p>
    <w:p w14:paraId="04669EED">
      <w:pPr>
        <w:autoSpaceDE w:val="0"/>
        <w:autoSpaceDN w:val="0"/>
        <w:spacing w:line="360" w:lineRule="auto"/>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好处；</w:t>
      </w:r>
    </w:p>
    <w:p w14:paraId="65EBEF63">
      <w:pPr>
        <w:autoSpaceDE w:val="0"/>
        <w:autoSpaceDN w:val="0"/>
        <w:spacing w:line="360" w:lineRule="auto"/>
        <w:ind w:left="481" w:leftChars="229"/>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六、严格遵守《</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政府采购法》《</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招标投标</w:t>
      </w:r>
    </w:p>
    <w:p w14:paraId="592C6E4D">
      <w:pPr>
        <w:autoSpaceDE w:val="0"/>
        <w:autoSpaceDN w:val="0"/>
        <w:spacing w:line="360" w:lineRule="auto"/>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法》</w:t>
      </w:r>
      <w:r>
        <w:rPr>
          <w:rFonts w:hint="eastAsia" w:ascii="仿宋" w:hAnsi="仿宋" w:eastAsia="仿宋" w:cs="仿宋"/>
          <w:color w:val="auto"/>
          <w:sz w:val="24"/>
          <w:highlight w:val="none"/>
          <w:lang w:val="zh-CN"/>
        </w:rPr>
        <w:t>《中华人民共和国民法典》</w:t>
      </w:r>
      <w:r>
        <w:rPr>
          <w:rFonts w:hint="eastAsia" w:ascii="仿宋" w:hAnsi="仿宋" w:eastAsia="仿宋" w:cs="仿宋"/>
          <w:color w:val="auto"/>
          <w:kern w:val="0"/>
          <w:sz w:val="24"/>
          <w:highlight w:val="none"/>
          <w:lang w:val="zh-CN"/>
        </w:rPr>
        <w:t xml:space="preserve">等法律法规，诚实守信，合法经营，坚决抵制各种违法违纪行为。 </w:t>
      </w:r>
    </w:p>
    <w:p w14:paraId="6B8B923F">
      <w:pPr>
        <w:autoSpaceDE w:val="0"/>
        <w:autoSpaceDN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如违反上述承诺，你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有权立即取消我单位投标、中标或在建项目的建设资格，有权拒绝我单位在一定时期内进入你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进行项目建设或其他经营活动，并通报市财政局。由此引起的相应损失均由我单位承担。</w:t>
      </w:r>
    </w:p>
    <w:p w14:paraId="057F5920">
      <w:pPr>
        <w:autoSpaceDE w:val="0"/>
        <w:autoSpaceDN w:val="0"/>
        <w:spacing w:line="360" w:lineRule="auto"/>
        <w:ind w:left="2"/>
        <w:jc w:val="left"/>
        <w:rPr>
          <w:rFonts w:hint="eastAsia" w:ascii="仿宋" w:hAnsi="仿宋" w:eastAsia="仿宋" w:cs="仿宋"/>
          <w:color w:val="auto"/>
          <w:kern w:val="0"/>
          <w:sz w:val="24"/>
          <w:highlight w:val="none"/>
          <w:lang w:val="zh-CN"/>
        </w:rPr>
      </w:pPr>
    </w:p>
    <w:p w14:paraId="1C3678E0">
      <w:pPr>
        <w:autoSpaceDE w:val="0"/>
        <w:autoSpaceDN w:val="0"/>
        <w:spacing w:line="360" w:lineRule="auto"/>
        <w:ind w:left="2"/>
        <w:jc w:val="left"/>
        <w:rPr>
          <w:rFonts w:hint="eastAsia" w:ascii="仿宋" w:hAnsi="仿宋" w:eastAsia="仿宋" w:cs="仿宋"/>
          <w:color w:val="auto"/>
          <w:kern w:val="0"/>
          <w:sz w:val="24"/>
          <w:highlight w:val="none"/>
          <w:lang w:val="zh-CN"/>
        </w:rPr>
      </w:pPr>
    </w:p>
    <w:p w14:paraId="5794A83C">
      <w:pPr>
        <w:autoSpaceDE w:val="0"/>
        <w:autoSpaceDN w:val="0"/>
        <w:spacing w:line="360" w:lineRule="auto"/>
        <w:ind w:left="2"/>
        <w:jc w:val="left"/>
        <w:rPr>
          <w:rFonts w:hint="eastAsia" w:ascii="仿宋" w:hAnsi="仿宋" w:eastAsia="仿宋" w:cs="仿宋"/>
          <w:color w:val="auto"/>
          <w:kern w:val="0"/>
          <w:sz w:val="24"/>
          <w:highlight w:val="none"/>
          <w:lang w:val="zh-CN"/>
        </w:rPr>
      </w:pPr>
    </w:p>
    <w:p w14:paraId="00FD92A6">
      <w:pPr>
        <w:autoSpaceDE w:val="0"/>
        <w:autoSpaceDN w:val="0"/>
        <w:spacing w:line="360" w:lineRule="auto"/>
        <w:ind w:left="2" w:leftChars="1" w:right="1120" w:firstLine="4560" w:firstLineChars="19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投标人名称（</w:t>
      </w:r>
      <w:r>
        <w:rPr>
          <w:rFonts w:hint="eastAsia" w:ascii="仿宋" w:hAnsi="仿宋" w:eastAsia="仿宋" w:cs="仿宋"/>
          <w:color w:val="auto"/>
          <w:sz w:val="24"/>
          <w:highlight w:val="none"/>
        </w:rPr>
        <w:t>电子签名</w:t>
      </w:r>
      <w:r>
        <w:rPr>
          <w:rFonts w:hint="eastAsia" w:ascii="仿宋" w:hAnsi="仿宋" w:eastAsia="仿宋" w:cs="仿宋"/>
          <w:color w:val="auto"/>
          <w:kern w:val="0"/>
          <w:sz w:val="24"/>
          <w:highlight w:val="none"/>
          <w:lang w:val="zh-CN"/>
        </w:rPr>
        <w:t xml:space="preserve">）：                                                                                                                                                                                                               </w:t>
      </w:r>
    </w:p>
    <w:p w14:paraId="0C4E884A">
      <w:pPr>
        <w:spacing w:line="360" w:lineRule="auto"/>
        <w:ind w:left="4620" w:leftChars="220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 xml:space="preserve">   年   月   日</w:t>
      </w:r>
    </w:p>
    <w:p w14:paraId="722B981F">
      <w:pPr>
        <w:spacing w:line="360" w:lineRule="auto"/>
        <w:jc w:val="center"/>
        <w:rPr>
          <w:rFonts w:hint="eastAsia" w:ascii="仿宋" w:hAnsi="仿宋" w:eastAsia="仿宋" w:cs="仿宋"/>
          <w:b/>
          <w:bCs/>
          <w:color w:val="auto"/>
          <w:sz w:val="24"/>
          <w:highlight w:val="none"/>
        </w:rPr>
      </w:pPr>
    </w:p>
    <w:p w14:paraId="7817880E">
      <w:pPr>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1E104DDE">
      <w:pPr>
        <w:spacing w:line="360" w:lineRule="auto"/>
        <w:jc w:val="center"/>
        <w:rPr>
          <w:rFonts w:hint="eastAsia" w:ascii="仿宋" w:hAnsi="仿宋" w:eastAsia="仿宋" w:cs="仿宋"/>
          <w:b/>
          <w:bCs/>
          <w:color w:val="auto"/>
          <w:sz w:val="24"/>
          <w:highlight w:val="none"/>
        </w:rPr>
      </w:pPr>
    </w:p>
    <w:p w14:paraId="36F8D96A">
      <w:pPr>
        <w:pStyle w:val="29"/>
        <w:jc w:val="center"/>
        <w:rPr>
          <w:rFonts w:hint="eastAsia" w:ascii="仿宋" w:hAnsi="仿宋" w:eastAsia="仿宋" w:cs="仿宋"/>
          <w:b/>
          <w:bCs/>
          <w:color w:val="auto"/>
          <w:sz w:val="24"/>
          <w:highlight w:val="none"/>
        </w:rPr>
      </w:pPr>
    </w:p>
    <w:p w14:paraId="57C5827C">
      <w:pPr>
        <w:keepNext w:val="0"/>
        <w:keepLines w:val="0"/>
        <w:pageBreakBefore/>
        <w:widowControl w:val="0"/>
        <w:kinsoku/>
        <w:wordWrap/>
        <w:overflowPunct/>
        <w:topLinePunct w:val="0"/>
        <w:autoSpaceDE/>
        <w:autoSpaceDN/>
        <w:bidi w:val="0"/>
        <w:adjustRightInd w:val="0"/>
        <w:snapToGrid/>
        <w:spacing w:line="360" w:lineRule="auto"/>
        <w:jc w:val="center"/>
        <w:textAlignment w:val="auto"/>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color w:val="auto"/>
          <w:sz w:val="32"/>
          <w:szCs w:val="32"/>
          <w:highlight w:val="none"/>
          <w:lang w:val="en-US" w:eastAsia="zh-CN"/>
        </w:rPr>
        <w:t>八</w:t>
      </w:r>
      <w:r>
        <w:rPr>
          <w:rFonts w:hint="eastAsia" w:ascii="仿宋_GB2312" w:hAnsi="仿宋_GB2312" w:eastAsia="仿宋_GB2312" w:cs="仿宋_GB2312"/>
          <w:b/>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主要业绩证明</w:t>
      </w:r>
    </w:p>
    <w:p w14:paraId="1B4677B6">
      <w:pPr>
        <w:autoSpaceDE w:val="0"/>
        <w:autoSpaceDN w:val="0"/>
        <w:spacing w:line="360" w:lineRule="auto"/>
        <w:ind w:firstLine="120"/>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 :相关项目建设业绩一览表</w:t>
      </w:r>
    </w:p>
    <w:tbl>
      <w:tblPr>
        <w:tblStyle w:val="15"/>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14:paraId="70FD740D">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14:paraId="23891492">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14:paraId="7106BAD5">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w:t>
            </w:r>
          </w:p>
          <w:p w14:paraId="293FAB61">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类型</w:t>
            </w:r>
          </w:p>
        </w:tc>
        <w:tc>
          <w:tcPr>
            <w:tcW w:w="1356" w:type="dxa"/>
            <w:tcBorders>
              <w:top w:val="single" w:color="auto" w:sz="6" w:space="0"/>
              <w:left w:val="single" w:color="auto" w:sz="6" w:space="0"/>
              <w:bottom w:val="single" w:color="auto" w:sz="6" w:space="0"/>
              <w:right w:val="single" w:color="auto" w:sz="6" w:space="0"/>
            </w:tcBorders>
            <w:vAlign w:val="center"/>
          </w:tcPr>
          <w:p w14:paraId="13A89922">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14:paraId="38EE21C6">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合同</w:t>
            </w:r>
          </w:p>
          <w:p w14:paraId="1881FE49">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金额</w:t>
            </w:r>
          </w:p>
          <w:p w14:paraId="22BD0D4F">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（万元）</w:t>
            </w:r>
          </w:p>
        </w:tc>
        <w:tc>
          <w:tcPr>
            <w:tcW w:w="1155" w:type="dxa"/>
            <w:tcBorders>
              <w:top w:val="single" w:color="auto" w:sz="6" w:space="0"/>
              <w:left w:val="single" w:color="auto" w:sz="6" w:space="0"/>
              <w:bottom w:val="single" w:color="auto" w:sz="6" w:space="0"/>
              <w:right w:val="single" w:color="auto" w:sz="6" w:space="0"/>
            </w:tcBorders>
            <w:vAlign w:val="center"/>
          </w:tcPr>
          <w:p w14:paraId="2074427F">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14:paraId="52FB236A">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14:paraId="5176A052">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所在页码</w:t>
            </w:r>
          </w:p>
        </w:tc>
      </w:tr>
      <w:tr w14:paraId="2B30C886">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14:paraId="4E579810">
            <w:pPr>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34D64077">
            <w:pPr>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7DFA8929">
            <w:pPr>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671DBA45">
            <w:pPr>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4C050B37">
            <w:pPr>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4226BDCF">
            <w:pPr>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61915885">
            <w:pPr>
              <w:autoSpaceDE w:val="0"/>
              <w:autoSpaceDN w:val="0"/>
              <w:spacing w:line="360" w:lineRule="auto"/>
              <w:rPr>
                <w:rFonts w:ascii="仿宋_GB2312" w:hAnsi="仿宋_GB2312" w:eastAsia="仿宋_GB2312" w:cs="仿宋_GB2312"/>
                <w:color w:val="auto"/>
                <w:sz w:val="24"/>
                <w:highlight w:val="none"/>
              </w:rPr>
            </w:pPr>
          </w:p>
        </w:tc>
      </w:tr>
      <w:tr w14:paraId="5B4F72EA">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14:paraId="3E9C0741">
            <w:pPr>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504D8F94">
            <w:pPr>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5B6163D2">
            <w:pPr>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6F470AC4">
            <w:pPr>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0EBDE16B">
            <w:pPr>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22189954">
            <w:pPr>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6D4CA4F0">
            <w:pPr>
              <w:autoSpaceDE w:val="0"/>
              <w:autoSpaceDN w:val="0"/>
              <w:spacing w:line="360" w:lineRule="auto"/>
              <w:rPr>
                <w:rFonts w:ascii="仿宋_GB2312" w:hAnsi="仿宋_GB2312" w:eastAsia="仿宋_GB2312" w:cs="仿宋_GB2312"/>
                <w:color w:val="auto"/>
                <w:sz w:val="24"/>
                <w:highlight w:val="none"/>
              </w:rPr>
            </w:pPr>
          </w:p>
        </w:tc>
      </w:tr>
      <w:tr w14:paraId="68416F87">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14:paraId="40DF47F8">
            <w:pPr>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2657459D">
            <w:pPr>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173ABCC8">
            <w:pPr>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279ABE05">
            <w:pPr>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557A5153">
            <w:pPr>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2A56B4E1">
            <w:pPr>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1970C748">
            <w:pPr>
              <w:autoSpaceDE w:val="0"/>
              <w:autoSpaceDN w:val="0"/>
              <w:spacing w:line="360" w:lineRule="auto"/>
              <w:rPr>
                <w:rFonts w:ascii="仿宋_GB2312" w:hAnsi="仿宋_GB2312" w:eastAsia="仿宋_GB2312" w:cs="仿宋_GB2312"/>
                <w:color w:val="auto"/>
                <w:sz w:val="24"/>
                <w:highlight w:val="none"/>
              </w:rPr>
            </w:pPr>
          </w:p>
        </w:tc>
      </w:tr>
    </w:tbl>
    <w:p w14:paraId="10790BF1">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注：供应商可按上述的格式自行编制。</w:t>
      </w:r>
    </w:p>
    <w:p w14:paraId="0BB6824B">
      <w:pPr>
        <w:autoSpaceDE w:val="0"/>
        <w:autoSpaceDN w:val="0"/>
        <w:spacing w:line="360" w:lineRule="auto"/>
        <w:rPr>
          <w:rFonts w:ascii="仿宋_GB2312" w:hAnsi="仿宋_GB2312" w:eastAsia="仿宋_GB2312" w:cs="仿宋_GB2312"/>
          <w:b/>
          <w:color w:val="auto"/>
          <w:sz w:val="24"/>
          <w:highlight w:val="none"/>
        </w:rPr>
      </w:pPr>
    </w:p>
    <w:p w14:paraId="37152646">
      <w:pPr>
        <w:autoSpaceDE w:val="0"/>
        <w:autoSpaceDN w:val="0"/>
        <w:spacing w:line="360" w:lineRule="auto"/>
        <w:rPr>
          <w:rFonts w:ascii="仿宋_GB2312" w:hAnsi="仿宋_GB2312" w:eastAsia="仿宋_GB2312" w:cs="仿宋_GB2312"/>
          <w:color w:val="auto"/>
          <w:sz w:val="24"/>
          <w:highlight w:val="none"/>
        </w:rPr>
      </w:pPr>
    </w:p>
    <w:p w14:paraId="05AADEC8">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77D212AE">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0AA66A0C">
      <w:pPr>
        <w:pStyle w:val="30"/>
        <w:ind w:firstLine="0"/>
        <w:jc w:val="both"/>
        <w:rPr>
          <w:rFonts w:hAnsi="仿宋_GB2312" w:cs="仿宋_GB2312"/>
          <w:color w:val="auto"/>
          <w:highlight w:val="none"/>
        </w:rPr>
      </w:pPr>
    </w:p>
    <w:p w14:paraId="063D9510">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val="en-US" w:eastAsia="zh-CN"/>
        </w:rPr>
        <w:t>九</w:t>
      </w:r>
      <w:r>
        <w:rPr>
          <w:rFonts w:hint="eastAsia" w:ascii="仿宋_GB2312" w:hAnsi="仿宋_GB2312" w:eastAsia="仿宋_GB2312" w:cs="仿宋_GB2312"/>
          <w:b/>
          <w:bCs/>
          <w:color w:val="auto"/>
          <w:sz w:val="32"/>
          <w:szCs w:val="32"/>
          <w:highlight w:val="none"/>
        </w:rPr>
        <w:t>、技术解决方案</w:t>
      </w:r>
    </w:p>
    <w:p w14:paraId="19D53EAB">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376DFAF3">
      <w:pPr>
        <w:spacing w:line="360" w:lineRule="auto"/>
        <w:jc w:val="center"/>
        <w:rPr>
          <w:rFonts w:ascii="仿宋_GB2312" w:hAnsi="仿宋_GB2312" w:eastAsia="仿宋_GB2312" w:cs="仿宋_GB2312"/>
          <w:color w:val="auto"/>
          <w:sz w:val="24"/>
          <w:highlight w:val="none"/>
        </w:rPr>
      </w:pPr>
    </w:p>
    <w:p w14:paraId="23CA7410">
      <w:pPr>
        <w:snapToGrid w:val="0"/>
        <w:spacing w:line="360" w:lineRule="auto"/>
        <w:jc w:val="center"/>
        <w:rPr>
          <w:rFonts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sz w:val="32"/>
          <w:szCs w:val="32"/>
          <w:highlight w:val="none"/>
        </w:rPr>
        <w:t>投标产品规格配置清单</w:t>
      </w:r>
    </w:p>
    <w:tbl>
      <w:tblPr>
        <w:tblStyle w:val="15"/>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14:paraId="4FD66D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14:paraId="6470CA36">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序号</w:t>
            </w:r>
          </w:p>
        </w:tc>
        <w:tc>
          <w:tcPr>
            <w:tcW w:w="1531" w:type="dxa"/>
            <w:vAlign w:val="center"/>
          </w:tcPr>
          <w:p w14:paraId="4DC08EDD">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设备名称</w:t>
            </w:r>
          </w:p>
        </w:tc>
        <w:tc>
          <w:tcPr>
            <w:tcW w:w="2160" w:type="dxa"/>
            <w:vAlign w:val="center"/>
          </w:tcPr>
          <w:p w14:paraId="5F10ADE8">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投标品牌及型号</w:t>
            </w:r>
          </w:p>
        </w:tc>
        <w:tc>
          <w:tcPr>
            <w:tcW w:w="2340" w:type="dxa"/>
            <w:vAlign w:val="center"/>
          </w:tcPr>
          <w:p w14:paraId="11E055D6">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规格配置详细说明</w:t>
            </w:r>
          </w:p>
        </w:tc>
        <w:tc>
          <w:tcPr>
            <w:tcW w:w="1080" w:type="dxa"/>
            <w:vAlign w:val="center"/>
          </w:tcPr>
          <w:p w14:paraId="0D7B8ED1">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数量</w:t>
            </w:r>
          </w:p>
        </w:tc>
        <w:tc>
          <w:tcPr>
            <w:tcW w:w="1332" w:type="dxa"/>
            <w:vAlign w:val="center"/>
          </w:tcPr>
          <w:p w14:paraId="5CADDF45">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备注</w:t>
            </w:r>
          </w:p>
        </w:tc>
      </w:tr>
      <w:tr w14:paraId="6ADA65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14:paraId="13089BDD">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1531" w:type="dxa"/>
            <w:vAlign w:val="center"/>
          </w:tcPr>
          <w:p w14:paraId="3E77228A">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63DB7797">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073E2E73">
            <w:pPr>
              <w:spacing w:line="360" w:lineRule="auto"/>
              <w:jc w:val="center"/>
              <w:rPr>
                <w:rFonts w:ascii="仿宋_GB2312" w:hAnsi="仿宋_GB2312" w:eastAsia="仿宋_GB2312" w:cs="仿宋_GB2312"/>
                <w:color w:val="auto"/>
                <w:sz w:val="24"/>
                <w:highlight w:val="none"/>
              </w:rPr>
            </w:pPr>
          </w:p>
        </w:tc>
        <w:tc>
          <w:tcPr>
            <w:tcW w:w="1080" w:type="dxa"/>
            <w:vAlign w:val="center"/>
          </w:tcPr>
          <w:p w14:paraId="64451C31">
            <w:pPr>
              <w:spacing w:line="360" w:lineRule="auto"/>
              <w:jc w:val="center"/>
              <w:rPr>
                <w:rFonts w:ascii="仿宋_GB2312" w:hAnsi="仿宋_GB2312" w:eastAsia="仿宋_GB2312" w:cs="仿宋_GB2312"/>
                <w:color w:val="auto"/>
                <w:sz w:val="24"/>
                <w:highlight w:val="none"/>
              </w:rPr>
            </w:pPr>
          </w:p>
        </w:tc>
        <w:tc>
          <w:tcPr>
            <w:tcW w:w="1332" w:type="dxa"/>
            <w:vAlign w:val="center"/>
          </w:tcPr>
          <w:p w14:paraId="51054A47">
            <w:pPr>
              <w:spacing w:line="360" w:lineRule="auto"/>
              <w:jc w:val="center"/>
              <w:rPr>
                <w:rFonts w:ascii="仿宋_GB2312" w:hAnsi="仿宋_GB2312" w:eastAsia="仿宋_GB2312" w:cs="仿宋_GB2312"/>
                <w:color w:val="auto"/>
                <w:sz w:val="24"/>
                <w:highlight w:val="none"/>
              </w:rPr>
            </w:pPr>
          </w:p>
        </w:tc>
      </w:tr>
      <w:tr w14:paraId="0B2901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11AF54EB">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1531" w:type="dxa"/>
            <w:vAlign w:val="center"/>
          </w:tcPr>
          <w:p w14:paraId="4D2B596E">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1B5AAAB9">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69780F09">
            <w:pPr>
              <w:spacing w:line="360" w:lineRule="auto"/>
              <w:jc w:val="center"/>
              <w:rPr>
                <w:rFonts w:ascii="仿宋_GB2312" w:hAnsi="仿宋_GB2312" w:eastAsia="仿宋_GB2312" w:cs="仿宋_GB2312"/>
                <w:color w:val="auto"/>
                <w:sz w:val="24"/>
                <w:highlight w:val="none"/>
              </w:rPr>
            </w:pPr>
          </w:p>
        </w:tc>
        <w:tc>
          <w:tcPr>
            <w:tcW w:w="1080" w:type="dxa"/>
            <w:vAlign w:val="center"/>
          </w:tcPr>
          <w:p w14:paraId="7FDE0191">
            <w:pPr>
              <w:spacing w:line="360" w:lineRule="auto"/>
              <w:jc w:val="center"/>
              <w:rPr>
                <w:rFonts w:ascii="仿宋_GB2312" w:hAnsi="仿宋_GB2312" w:eastAsia="仿宋_GB2312" w:cs="仿宋_GB2312"/>
                <w:color w:val="auto"/>
                <w:sz w:val="24"/>
                <w:highlight w:val="none"/>
              </w:rPr>
            </w:pPr>
          </w:p>
        </w:tc>
        <w:tc>
          <w:tcPr>
            <w:tcW w:w="1332" w:type="dxa"/>
            <w:vAlign w:val="center"/>
          </w:tcPr>
          <w:p w14:paraId="6DDCF5A2">
            <w:pPr>
              <w:spacing w:line="360" w:lineRule="auto"/>
              <w:jc w:val="center"/>
              <w:rPr>
                <w:rFonts w:ascii="仿宋_GB2312" w:hAnsi="仿宋_GB2312" w:eastAsia="仿宋_GB2312" w:cs="仿宋_GB2312"/>
                <w:color w:val="auto"/>
                <w:sz w:val="24"/>
                <w:highlight w:val="none"/>
              </w:rPr>
            </w:pPr>
          </w:p>
        </w:tc>
      </w:tr>
      <w:tr w14:paraId="74B188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36F7849B">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1531" w:type="dxa"/>
            <w:vAlign w:val="center"/>
          </w:tcPr>
          <w:p w14:paraId="27380E94">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1224113E">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6F4946F4">
            <w:pPr>
              <w:spacing w:line="360" w:lineRule="auto"/>
              <w:jc w:val="center"/>
              <w:rPr>
                <w:rFonts w:ascii="仿宋_GB2312" w:hAnsi="仿宋_GB2312" w:eastAsia="仿宋_GB2312" w:cs="仿宋_GB2312"/>
                <w:color w:val="auto"/>
                <w:sz w:val="24"/>
                <w:highlight w:val="none"/>
              </w:rPr>
            </w:pPr>
          </w:p>
        </w:tc>
        <w:tc>
          <w:tcPr>
            <w:tcW w:w="1080" w:type="dxa"/>
            <w:vAlign w:val="center"/>
          </w:tcPr>
          <w:p w14:paraId="73DF2586">
            <w:pPr>
              <w:spacing w:line="360" w:lineRule="auto"/>
              <w:jc w:val="center"/>
              <w:rPr>
                <w:rFonts w:ascii="仿宋_GB2312" w:hAnsi="仿宋_GB2312" w:eastAsia="仿宋_GB2312" w:cs="仿宋_GB2312"/>
                <w:color w:val="auto"/>
                <w:sz w:val="24"/>
                <w:highlight w:val="none"/>
              </w:rPr>
            </w:pPr>
          </w:p>
        </w:tc>
        <w:tc>
          <w:tcPr>
            <w:tcW w:w="1332" w:type="dxa"/>
            <w:vAlign w:val="center"/>
          </w:tcPr>
          <w:p w14:paraId="3625F195">
            <w:pPr>
              <w:spacing w:line="360" w:lineRule="auto"/>
              <w:jc w:val="center"/>
              <w:rPr>
                <w:rFonts w:ascii="仿宋_GB2312" w:hAnsi="仿宋_GB2312" w:eastAsia="仿宋_GB2312" w:cs="仿宋_GB2312"/>
                <w:color w:val="auto"/>
                <w:sz w:val="24"/>
                <w:highlight w:val="none"/>
              </w:rPr>
            </w:pPr>
          </w:p>
        </w:tc>
      </w:tr>
      <w:tr w14:paraId="784F19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1369523F">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p>
        </w:tc>
        <w:tc>
          <w:tcPr>
            <w:tcW w:w="1531" w:type="dxa"/>
            <w:vAlign w:val="center"/>
          </w:tcPr>
          <w:p w14:paraId="31479D9C">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1E263954">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7C763BEE">
            <w:pPr>
              <w:spacing w:line="360" w:lineRule="auto"/>
              <w:jc w:val="center"/>
              <w:rPr>
                <w:rFonts w:ascii="仿宋_GB2312" w:hAnsi="仿宋_GB2312" w:eastAsia="仿宋_GB2312" w:cs="仿宋_GB2312"/>
                <w:color w:val="auto"/>
                <w:sz w:val="24"/>
                <w:highlight w:val="none"/>
              </w:rPr>
            </w:pPr>
          </w:p>
        </w:tc>
        <w:tc>
          <w:tcPr>
            <w:tcW w:w="1080" w:type="dxa"/>
            <w:vAlign w:val="center"/>
          </w:tcPr>
          <w:p w14:paraId="2C39D125">
            <w:pPr>
              <w:spacing w:line="360" w:lineRule="auto"/>
              <w:jc w:val="center"/>
              <w:rPr>
                <w:rFonts w:ascii="仿宋_GB2312" w:hAnsi="仿宋_GB2312" w:eastAsia="仿宋_GB2312" w:cs="仿宋_GB2312"/>
                <w:color w:val="auto"/>
                <w:sz w:val="24"/>
                <w:highlight w:val="none"/>
              </w:rPr>
            </w:pPr>
          </w:p>
        </w:tc>
        <w:tc>
          <w:tcPr>
            <w:tcW w:w="1332" w:type="dxa"/>
            <w:vAlign w:val="center"/>
          </w:tcPr>
          <w:p w14:paraId="6CF1C042">
            <w:pPr>
              <w:spacing w:line="360" w:lineRule="auto"/>
              <w:jc w:val="center"/>
              <w:rPr>
                <w:rFonts w:ascii="仿宋_GB2312" w:hAnsi="仿宋_GB2312" w:eastAsia="仿宋_GB2312" w:cs="仿宋_GB2312"/>
                <w:color w:val="auto"/>
                <w:sz w:val="24"/>
                <w:highlight w:val="none"/>
              </w:rPr>
            </w:pPr>
          </w:p>
        </w:tc>
      </w:tr>
      <w:tr w14:paraId="6CD1BA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4AEA1AD3">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w:t>
            </w:r>
          </w:p>
        </w:tc>
        <w:tc>
          <w:tcPr>
            <w:tcW w:w="1531" w:type="dxa"/>
            <w:vAlign w:val="center"/>
          </w:tcPr>
          <w:p w14:paraId="4C9246C2">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4C39460B">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13E43607">
            <w:pPr>
              <w:spacing w:line="360" w:lineRule="auto"/>
              <w:jc w:val="center"/>
              <w:rPr>
                <w:rFonts w:ascii="仿宋_GB2312" w:hAnsi="仿宋_GB2312" w:eastAsia="仿宋_GB2312" w:cs="仿宋_GB2312"/>
                <w:color w:val="auto"/>
                <w:sz w:val="24"/>
                <w:highlight w:val="none"/>
              </w:rPr>
            </w:pPr>
          </w:p>
        </w:tc>
        <w:tc>
          <w:tcPr>
            <w:tcW w:w="1080" w:type="dxa"/>
            <w:vAlign w:val="center"/>
          </w:tcPr>
          <w:p w14:paraId="12B1AD7B">
            <w:pPr>
              <w:spacing w:line="360" w:lineRule="auto"/>
              <w:jc w:val="center"/>
              <w:rPr>
                <w:rFonts w:ascii="仿宋_GB2312" w:hAnsi="仿宋_GB2312" w:eastAsia="仿宋_GB2312" w:cs="仿宋_GB2312"/>
                <w:color w:val="auto"/>
                <w:sz w:val="24"/>
                <w:highlight w:val="none"/>
              </w:rPr>
            </w:pPr>
          </w:p>
        </w:tc>
        <w:tc>
          <w:tcPr>
            <w:tcW w:w="1332" w:type="dxa"/>
            <w:vAlign w:val="center"/>
          </w:tcPr>
          <w:p w14:paraId="576709BA">
            <w:pPr>
              <w:spacing w:line="360" w:lineRule="auto"/>
              <w:jc w:val="center"/>
              <w:rPr>
                <w:rFonts w:ascii="仿宋_GB2312" w:hAnsi="仿宋_GB2312" w:eastAsia="仿宋_GB2312" w:cs="仿宋_GB2312"/>
                <w:color w:val="auto"/>
                <w:sz w:val="24"/>
                <w:highlight w:val="none"/>
              </w:rPr>
            </w:pPr>
          </w:p>
        </w:tc>
      </w:tr>
    </w:tbl>
    <w:p w14:paraId="7785CB75">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kern w:val="0"/>
          <w:sz w:val="24"/>
          <w:highlight w:val="none"/>
        </w:rPr>
        <w:t>注：1.</w:t>
      </w:r>
      <w:r>
        <w:rPr>
          <w:rFonts w:hint="eastAsia" w:ascii="仿宋_GB2312" w:hAnsi="仿宋_GB2312" w:eastAsia="仿宋_GB2312" w:cs="仿宋_GB2312"/>
          <w:b/>
          <w:color w:val="auto"/>
          <w:sz w:val="24"/>
          <w:highlight w:val="none"/>
        </w:rPr>
        <w:t>如果本项目涉及硬件设备采购，须在技术文件中提供此配置清单，提供主要投标产品的技术参数证明材料（如官网截图、产品彩页、原厂技术说明等）。</w:t>
      </w:r>
    </w:p>
    <w:p w14:paraId="5DED8526">
      <w:pPr>
        <w:autoSpaceDE w:val="0"/>
        <w:autoSpaceDN w:val="0"/>
        <w:spacing w:line="360" w:lineRule="auto"/>
        <w:rPr>
          <w:rFonts w:ascii="仿宋" w:hAnsi="仿宋" w:eastAsia="仿宋"/>
          <w:b/>
          <w:color w:val="auto"/>
          <w:spacing w:val="6"/>
          <w:sz w:val="24"/>
          <w:highlight w:val="none"/>
        </w:rPr>
      </w:pPr>
      <w:r>
        <w:rPr>
          <w:rFonts w:hint="eastAsia" w:ascii="仿宋" w:hAnsi="仿宋" w:eastAsia="仿宋"/>
          <w:b/>
          <w:color w:val="auto"/>
          <w:spacing w:val="6"/>
          <w:sz w:val="24"/>
          <w:highlight w:val="none"/>
        </w:rPr>
        <w:t>2.</w:t>
      </w:r>
      <w:r>
        <w:rPr>
          <w:rFonts w:hint="eastAsia" w:ascii="仿宋_GB2312" w:hAnsi="仿宋_GB2312" w:eastAsia="仿宋_GB2312" w:cs="仿宋_GB2312"/>
          <w:b/>
          <w:color w:val="auto"/>
          <w:sz w:val="24"/>
          <w:highlight w:val="none"/>
        </w:rPr>
        <w:t xml:space="preserve"> 本项目如需采购政府强制采购的节能产品的或投标人提供的产品是环境标志产品，投标人须提供节能产品、环境标志产品认证证书复印件。</w:t>
      </w:r>
    </w:p>
    <w:p w14:paraId="13CA68EE">
      <w:pPr>
        <w:autoSpaceDE w:val="0"/>
        <w:autoSpaceDN w:val="0"/>
        <w:spacing w:line="360" w:lineRule="auto"/>
        <w:rPr>
          <w:rFonts w:ascii="仿宋_GB2312" w:hAnsi="仿宋_GB2312" w:eastAsia="仿宋_GB2312" w:cs="仿宋_GB2312"/>
          <w:b/>
          <w:color w:val="auto"/>
          <w:kern w:val="0"/>
          <w:sz w:val="24"/>
          <w:highlight w:val="none"/>
        </w:rPr>
      </w:pPr>
      <w:r>
        <w:rPr>
          <w:rFonts w:hint="eastAsia" w:ascii="仿宋_GB2312" w:hAnsi="仿宋_GB2312" w:eastAsia="仿宋_GB2312" w:cs="仿宋_GB2312"/>
          <w:b/>
          <w:color w:val="auto"/>
          <w:kern w:val="0"/>
          <w:sz w:val="28"/>
          <w:szCs w:val="28"/>
          <w:highlight w:val="none"/>
        </w:rPr>
        <w:t>附：</w:t>
      </w:r>
      <w:r>
        <w:rPr>
          <w:rFonts w:ascii="仿宋_GB2312" w:hAnsi="仿宋_GB2312" w:eastAsia="仿宋_GB2312" w:cs="仿宋_GB2312"/>
          <w:b/>
          <w:color w:val="auto"/>
          <w:kern w:val="0"/>
          <w:sz w:val="28"/>
          <w:szCs w:val="28"/>
          <w:highlight w:val="none"/>
        </w:rPr>
        <w:object>
          <v:shape id="_x0000_i1025" o:spt="75" type="#_x0000_t75" style="height:42pt;width:443.25pt;" o:ole="t" filled="f" o:preferrelative="t" stroked="f" coordsize="21600,21600">
            <v:path/>
            <v:fill on="f" focussize="0,0"/>
            <v:stroke on="f" joinstyle="miter"/>
            <v:imagedata r:id="rId25" o:title=""/>
            <o:lock v:ext="edit" aspectratio="t"/>
            <w10:wrap type="none"/>
            <w10:anchorlock/>
          </v:shape>
          <o:OLEObject Type="Embed" ProgID="Package" ShapeID="_x0000_i1025" DrawAspect="Content" ObjectID="_1468075725" r:id="rId24">
            <o:LockedField>false</o:LockedField>
          </o:OLEObject>
        </w:object>
      </w:r>
      <w:r>
        <w:rPr>
          <w:rFonts w:ascii="仿宋_GB2312" w:hAnsi="仿宋_GB2312" w:eastAsia="仿宋_GB2312" w:cs="仿宋_GB2312"/>
          <w:b/>
          <w:color w:val="auto"/>
          <w:kern w:val="0"/>
          <w:sz w:val="28"/>
          <w:szCs w:val="28"/>
          <w:highlight w:val="none"/>
        </w:rPr>
        <w:object>
          <v:shape id="_x0000_i1026" o:spt="75" type="#_x0000_t75" style="height:42pt;width:441pt;" o:ole="t" filled="f" o:preferrelative="t" stroked="f" coordsize="21600,21600">
            <v:path/>
            <v:fill on="f" focussize="0,0"/>
            <v:stroke on="f" joinstyle="miter"/>
            <v:imagedata r:id="rId27" o:title=""/>
            <o:lock v:ext="edit" aspectratio="t"/>
            <w10:wrap type="none"/>
            <w10:anchorlock/>
          </v:shape>
          <o:OLEObject Type="Embed" ProgID="Package" ShapeID="_x0000_i1026" DrawAspect="Content" ObjectID="_1468075726" r:id="rId26">
            <o:LockedField>false</o:LockedField>
          </o:OLEObject>
        </w:object>
      </w:r>
    </w:p>
    <w:p w14:paraId="01416781">
      <w:pPr>
        <w:autoSpaceDE w:val="0"/>
        <w:autoSpaceDN w:val="0"/>
        <w:spacing w:line="360" w:lineRule="auto"/>
        <w:ind w:firstLine="4560" w:firstLineChars="1900"/>
        <w:rPr>
          <w:rFonts w:ascii="仿宋_GB2312" w:hAnsi="仿宋_GB2312" w:eastAsia="仿宋_GB2312" w:cs="仿宋_GB2312"/>
          <w:color w:val="auto"/>
          <w:kern w:val="0"/>
          <w:sz w:val="24"/>
          <w:highlight w:val="none"/>
        </w:rPr>
      </w:pPr>
    </w:p>
    <w:p w14:paraId="618D8A6A">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57BC5055">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2627D43D">
      <w:pPr>
        <w:tabs>
          <w:tab w:val="left" w:pos="2790"/>
          <w:tab w:val="center" w:pos="3835"/>
          <w:tab w:val="left" w:pos="4230"/>
          <w:tab w:val="left" w:pos="4695"/>
        </w:tabs>
        <w:autoSpaceDE w:val="0"/>
        <w:autoSpaceDN w:val="0"/>
        <w:spacing w:line="360" w:lineRule="auto"/>
        <w:ind w:right="1400"/>
        <w:jc w:val="left"/>
        <w:outlineLvl w:val="1"/>
        <w:rPr>
          <w:rFonts w:ascii="仿宋_GB2312" w:hAnsi="仿宋_GB2312" w:eastAsia="仿宋_GB2312" w:cs="仿宋_GB2312"/>
          <w:b/>
          <w:bCs/>
          <w:color w:val="auto"/>
          <w:kern w:val="0"/>
          <w:sz w:val="24"/>
          <w:highlight w:val="none"/>
          <w:lang w:val="zh-CN"/>
        </w:rPr>
      </w:pPr>
      <w:r>
        <w:rPr>
          <w:rFonts w:hint="eastAsia" w:ascii="仿宋_GB2312" w:hAnsi="仿宋_GB2312" w:eastAsia="仿宋_GB2312" w:cs="仿宋_GB2312"/>
          <w:b/>
          <w:bCs/>
          <w:color w:val="auto"/>
          <w:kern w:val="0"/>
          <w:sz w:val="24"/>
          <w:highlight w:val="none"/>
          <w:lang w:val="zh-CN"/>
        </w:rPr>
        <w:tab/>
      </w:r>
      <w:r>
        <w:rPr>
          <w:rFonts w:hint="eastAsia" w:ascii="仿宋_GB2312" w:hAnsi="仿宋_GB2312" w:eastAsia="仿宋_GB2312" w:cs="仿宋_GB2312"/>
          <w:b/>
          <w:bCs/>
          <w:color w:val="auto"/>
          <w:kern w:val="0"/>
          <w:sz w:val="24"/>
          <w:highlight w:val="none"/>
          <w:lang w:val="zh-CN"/>
        </w:rPr>
        <w:tab/>
      </w:r>
    </w:p>
    <w:p w14:paraId="6F43F838">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color w:val="auto"/>
          <w:kern w:val="0"/>
          <w:sz w:val="36"/>
          <w:szCs w:val="36"/>
          <w:highlight w:val="none"/>
          <w:lang w:val="zh-CN"/>
        </w:rPr>
      </w:pPr>
    </w:p>
    <w:p w14:paraId="340BCE2B">
      <w:pPr>
        <w:pageBreakBefore/>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color w:val="auto"/>
          <w:kern w:val="0"/>
          <w:sz w:val="32"/>
          <w:szCs w:val="32"/>
          <w:highlight w:val="none"/>
          <w:lang w:val="zh-CN"/>
        </w:rPr>
      </w:pPr>
      <w:r>
        <w:rPr>
          <w:rFonts w:hint="eastAsia" w:ascii="仿宋_GB2312" w:hAnsi="仿宋_GB2312" w:eastAsia="仿宋_GB2312" w:cs="仿宋_GB2312"/>
          <w:b/>
          <w:bCs/>
          <w:color w:val="auto"/>
          <w:kern w:val="0"/>
          <w:sz w:val="32"/>
          <w:szCs w:val="32"/>
          <w:highlight w:val="none"/>
          <w:lang w:val="en-US" w:eastAsia="zh-CN"/>
        </w:rPr>
        <w:t>十</w:t>
      </w:r>
      <w:r>
        <w:rPr>
          <w:rFonts w:hint="eastAsia" w:ascii="仿宋_GB2312" w:hAnsi="仿宋_GB2312" w:eastAsia="仿宋_GB2312" w:cs="仿宋_GB2312"/>
          <w:b/>
          <w:bCs/>
          <w:color w:val="auto"/>
          <w:kern w:val="0"/>
          <w:sz w:val="32"/>
          <w:szCs w:val="32"/>
          <w:highlight w:val="none"/>
          <w:lang w:val="zh-CN"/>
        </w:rPr>
        <w:t>、组织实施方案</w:t>
      </w:r>
    </w:p>
    <w:p w14:paraId="6B903D7A">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382AD8F2">
      <w:pPr>
        <w:tabs>
          <w:tab w:val="left" w:pos="2790"/>
          <w:tab w:val="left" w:pos="4230"/>
        </w:tabs>
        <w:autoSpaceDE w:val="0"/>
        <w:autoSpaceDN w:val="0"/>
        <w:spacing w:line="360" w:lineRule="auto"/>
        <w:ind w:right="1400"/>
        <w:outlineLvl w:val="1"/>
        <w:rPr>
          <w:rFonts w:ascii="仿宋_GB2312" w:hAnsi="仿宋_GB2312" w:eastAsia="仿宋_GB2312" w:cs="仿宋_GB2312"/>
          <w:b/>
          <w:bCs/>
          <w:color w:val="auto"/>
          <w:kern w:val="0"/>
          <w:sz w:val="24"/>
          <w:highlight w:val="none"/>
          <w:lang w:val="zh-CN"/>
        </w:rPr>
      </w:pPr>
      <w:r>
        <w:rPr>
          <w:rFonts w:hint="eastAsia" w:ascii="仿宋_GB2312" w:hAnsi="仿宋_GB2312" w:eastAsia="仿宋_GB2312" w:cs="仿宋_GB2312"/>
          <w:b/>
          <w:bCs/>
          <w:color w:val="auto"/>
          <w:kern w:val="0"/>
          <w:sz w:val="24"/>
          <w:highlight w:val="none"/>
          <w:lang w:val="zh-CN"/>
        </w:rPr>
        <w:t>附表:项目实施进度计划表</w:t>
      </w:r>
      <w:r>
        <w:rPr>
          <w:rFonts w:hint="eastAsia" w:ascii="仿宋_GB2312" w:hAnsi="仿宋_GB2312" w:eastAsia="仿宋_GB2312" w:cs="仿宋_GB2312"/>
          <w:b/>
          <w:color w:val="auto"/>
          <w:sz w:val="24"/>
          <w:highlight w:val="none"/>
        </w:rPr>
        <w:t xml:space="preserve">(以生效日算起) </w:t>
      </w:r>
    </w:p>
    <w:tbl>
      <w:tblPr>
        <w:tblStyle w:val="15"/>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445DAE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14:paraId="4AEED9F9">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工作日</w:t>
            </w:r>
          </w:p>
          <w:p w14:paraId="7CCF8682">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内容</w:t>
            </w:r>
          </w:p>
        </w:tc>
        <w:tc>
          <w:tcPr>
            <w:tcW w:w="552" w:type="dxa"/>
            <w:vAlign w:val="center"/>
          </w:tcPr>
          <w:p w14:paraId="1BE3B44E">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552" w:type="dxa"/>
            <w:vAlign w:val="center"/>
          </w:tcPr>
          <w:p w14:paraId="2FBA78A5">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552" w:type="dxa"/>
            <w:vAlign w:val="center"/>
          </w:tcPr>
          <w:p w14:paraId="1650BEDA">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552" w:type="dxa"/>
            <w:vAlign w:val="center"/>
          </w:tcPr>
          <w:p w14:paraId="0DB0DA8E">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p>
        </w:tc>
        <w:tc>
          <w:tcPr>
            <w:tcW w:w="552" w:type="dxa"/>
            <w:vAlign w:val="center"/>
          </w:tcPr>
          <w:p w14:paraId="63EDC526">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w:t>
            </w:r>
          </w:p>
        </w:tc>
        <w:tc>
          <w:tcPr>
            <w:tcW w:w="552" w:type="dxa"/>
            <w:vAlign w:val="center"/>
          </w:tcPr>
          <w:p w14:paraId="0CB59E1D">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6</w:t>
            </w:r>
          </w:p>
        </w:tc>
        <w:tc>
          <w:tcPr>
            <w:tcW w:w="553" w:type="dxa"/>
            <w:vAlign w:val="center"/>
          </w:tcPr>
          <w:p w14:paraId="627AE7AC">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7</w:t>
            </w:r>
          </w:p>
        </w:tc>
        <w:tc>
          <w:tcPr>
            <w:tcW w:w="553" w:type="dxa"/>
            <w:vAlign w:val="center"/>
          </w:tcPr>
          <w:p w14:paraId="70B3F138">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w:t>
            </w:r>
          </w:p>
        </w:tc>
        <w:tc>
          <w:tcPr>
            <w:tcW w:w="553" w:type="dxa"/>
            <w:vAlign w:val="center"/>
          </w:tcPr>
          <w:p w14:paraId="728BF8BF">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9</w:t>
            </w:r>
          </w:p>
        </w:tc>
        <w:tc>
          <w:tcPr>
            <w:tcW w:w="553" w:type="dxa"/>
            <w:vAlign w:val="center"/>
          </w:tcPr>
          <w:p w14:paraId="6BA08C9F">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10</w:t>
            </w:r>
          </w:p>
        </w:tc>
        <w:tc>
          <w:tcPr>
            <w:tcW w:w="553" w:type="dxa"/>
            <w:vAlign w:val="center"/>
          </w:tcPr>
          <w:p w14:paraId="58AE7816">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11</w:t>
            </w:r>
          </w:p>
        </w:tc>
        <w:tc>
          <w:tcPr>
            <w:tcW w:w="553" w:type="dxa"/>
            <w:vAlign w:val="center"/>
          </w:tcPr>
          <w:p w14:paraId="42D3AA1B">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12</w:t>
            </w:r>
          </w:p>
        </w:tc>
        <w:tc>
          <w:tcPr>
            <w:tcW w:w="553" w:type="dxa"/>
            <w:vAlign w:val="center"/>
          </w:tcPr>
          <w:p w14:paraId="33F182E8">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13</w:t>
            </w:r>
          </w:p>
        </w:tc>
        <w:tc>
          <w:tcPr>
            <w:tcW w:w="553" w:type="dxa"/>
            <w:vAlign w:val="center"/>
          </w:tcPr>
          <w:p w14:paraId="1356E101">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14</w:t>
            </w:r>
          </w:p>
        </w:tc>
        <w:tc>
          <w:tcPr>
            <w:tcW w:w="553" w:type="dxa"/>
            <w:vAlign w:val="center"/>
          </w:tcPr>
          <w:p w14:paraId="72600533">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15</w:t>
            </w:r>
          </w:p>
        </w:tc>
        <w:tc>
          <w:tcPr>
            <w:tcW w:w="553" w:type="dxa"/>
            <w:vAlign w:val="center"/>
          </w:tcPr>
          <w:p w14:paraId="03D1E99C">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p>
        </w:tc>
      </w:tr>
      <w:tr w14:paraId="411B0F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43710F62">
            <w:pPr>
              <w:spacing w:line="360" w:lineRule="auto"/>
              <w:rPr>
                <w:rFonts w:ascii="仿宋_GB2312" w:hAnsi="仿宋_GB2312" w:eastAsia="仿宋_GB2312" w:cs="仿宋_GB2312"/>
                <w:color w:val="auto"/>
                <w:sz w:val="24"/>
                <w:highlight w:val="none"/>
              </w:rPr>
            </w:pPr>
          </w:p>
        </w:tc>
        <w:tc>
          <w:tcPr>
            <w:tcW w:w="552" w:type="dxa"/>
          </w:tcPr>
          <w:p w14:paraId="1E68F410">
            <w:pPr>
              <w:spacing w:line="360" w:lineRule="auto"/>
              <w:rPr>
                <w:rFonts w:ascii="仿宋_GB2312" w:hAnsi="仿宋_GB2312" w:eastAsia="仿宋_GB2312" w:cs="仿宋_GB2312"/>
                <w:color w:val="auto"/>
                <w:sz w:val="24"/>
                <w:highlight w:val="none"/>
              </w:rPr>
            </w:pPr>
          </w:p>
        </w:tc>
        <w:tc>
          <w:tcPr>
            <w:tcW w:w="552" w:type="dxa"/>
          </w:tcPr>
          <w:p w14:paraId="56D1E922">
            <w:pPr>
              <w:spacing w:line="360" w:lineRule="auto"/>
              <w:rPr>
                <w:rFonts w:ascii="仿宋_GB2312" w:hAnsi="仿宋_GB2312" w:eastAsia="仿宋_GB2312" w:cs="仿宋_GB2312"/>
                <w:color w:val="auto"/>
                <w:sz w:val="24"/>
                <w:highlight w:val="none"/>
              </w:rPr>
            </w:pPr>
          </w:p>
        </w:tc>
        <w:tc>
          <w:tcPr>
            <w:tcW w:w="552" w:type="dxa"/>
          </w:tcPr>
          <w:p w14:paraId="42A1E91B">
            <w:pPr>
              <w:spacing w:line="360" w:lineRule="auto"/>
              <w:rPr>
                <w:rFonts w:ascii="仿宋_GB2312" w:hAnsi="仿宋_GB2312" w:eastAsia="仿宋_GB2312" w:cs="仿宋_GB2312"/>
                <w:color w:val="auto"/>
                <w:sz w:val="24"/>
                <w:highlight w:val="none"/>
              </w:rPr>
            </w:pPr>
          </w:p>
        </w:tc>
        <w:tc>
          <w:tcPr>
            <w:tcW w:w="552" w:type="dxa"/>
          </w:tcPr>
          <w:p w14:paraId="5BDD0F2E">
            <w:pPr>
              <w:spacing w:line="360" w:lineRule="auto"/>
              <w:rPr>
                <w:rFonts w:ascii="仿宋_GB2312" w:hAnsi="仿宋_GB2312" w:eastAsia="仿宋_GB2312" w:cs="仿宋_GB2312"/>
                <w:color w:val="auto"/>
                <w:sz w:val="24"/>
                <w:highlight w:val="none"/>
              </w:rPr>
            </w:pPr>
          </w:p>
        </w:tc>
        <w:tc>
          <w:tcPr>
            <w:tcW w:w="552" w:type="dxa"/>
          </w:tcPr>
          <w:p w14:paraId="4A5E93F3">
            <w:pPr>
              <w:spacing w:line="360" w:lineRule="auto"/>
              <w:rPr>
                <w:rFonts w:ascii="仿宋_GB2312" w:hAnsi="仿宋_GB2312" w:eastAsia="仿宋_GB2312" w:cs="仿宋_GB2312"/>
                <w:color w:val="auto"/>
                <w:sz w:val="24"/>
                <w:highlight w:val="none"/>
              </w:rPr>
            </w:pPr>
          </w:p>
        </w:tc>
        <w:tc>
          <w:tcPr>
            <w:tcW w:w="552" w:type="dxa"/>
          </w:tcPr>
          <w:p w14:paraId="71F5AEB2">
            <w:pPr>
              <w:spacing w:line="360" w:lineRule="auto"/>
              <w:rPr>
                <w:rFonts w:ascii="仿宋_GB2312" w:hAnsi="仿宋_GB2312" w:eastAsia="仿宋_GB2312" w:cs="仿宋_GB2312"/>
                <w:color w:val="auto"/>
                <w:sz w:val="24"/>
                <w:highlight w:val="none"/>
              </w:rPr>
            </w:pPr>
          </w:p>
        </w:tc>
        <w:tc>
          <w:tcPr>
            <w:tcW w:w="553" w:type="dxa"/>
          </w:tcPr>
          <w:p w14:paraId="082D4093">
            <w:pPr>
              <w:spacing w:line="360" w:lineRule="auto"/>
              <w:rPr>
                <w:rFonts w:ascii="仿宋_GB2312" w:hAnsi="仿宋_GB2312" w:eastAsia="仿宋_GB2312" w:cs="仿宋_GB2312"/>
                <w:color w:val="auto"/>
                <w:sz w:val="24"/>
                <w:highlight w:val="none"/>
              </w:rPr>
            </w:pPr>
          </w:p>
        </w:tc>
        <w:tc>
          <w:tcPr>
            <w:tcW w:w="553" w:type="dxa"/>
          </w:tcPr>
          <w:p w14:paraId="02493FC9">
            <w:pPr>
              <w:spacing w:line="360" w:lineRule="auto"/>
              <w:rPr>
                <w:rFonts w:ascii="仿宋_GB2312" w:hAnsi="仿宋_GB2312" w:eastAsia="仿宋_GB2312" w:cs="仿宋_GB2312"/>
                <w:color w:val="auto"/>
                <w:sz w:val="24"/>
                <w:highlight w:val="none"/>
              </w:rPr>
            </w:pPr>
          </w:p>
        </w:tc>
        <w:tc>
          <w:tcPr>
            <w:tcW w:w="553" w:type="dxa"/>
          </w:tcPr>
          <w:p w14:paraId="53739BA8">
            <w:pPr>
              <w:spacing w:line="360" w:lineRule="auto"/>
              <w:rPr>
                <w:rFonts w:ascii="仿宋_GB2312" w:hAnsi="仿宋_GB2312" w:eastAsia="仿宋_GB2312" w:cs="仿宋_GB2312"/>
                <w:color w:val="auto"/>
                <w:sz w:val="24"/>
                <w:highlight w:val="none"/>
              </w:rPr>
            </w:pPr>
          </w:p>
        </w:tc>
        <w:tc>
          <w:tcPr>
            <w:tcW w:w="553" w:type="dxa"/>
          </w:tcPr>
          <w:p w14:paraId="56C9BF1F">
            <w:pPr>
              <w:spacing w:line="360" w:lineRule="auto"/>
              <w:rPr>
                <w:rFonts w:ascii="仿宋_GB2312" w:hAnsi="仿宋_GB2312" w:eastAsia="仿宋_GB2312" w:cs="仿宋_GB2312"/>
                <w:color w:val="auto"/>
                <w:sz w:val="24"/>
                <w:highlight w:val="none"/>
              </w:rPr>
            </w:pPr>
          </w:p>
        </w:tc>
        <w:tc>
          <w:tcPr>
            <w:tcW w:w="553" w:type="dxa"/>
          </w:tcPr>
          <w:p w14:paraId="65D98188">
            <w:pPr>
              <w:spacing w:line="360" w:lineRule="auto"/>
              <w:rPr>
                <w:rFonts w:ascii="仿宋_GB2312" w:hAnsi="仿宋_GB2312" w:eastAsia="仿宋_GB2312" w:cs="仿宋_GB2312"/>
                <w:color w:val="auto"/>
                <w:sz w:val="24"/>
                <w:highlight w:val="none"/>
              </w:rPr>
            </w:pPr>
          </w:p>
        </w:tc>
        <w:tc>
          <w:tcPr>
            <w:tcW w:w="553" w:type="dxa"/>
          </w:tcPr>
          <w:p w14:paraId="7289B43F">
            <w:pPr>
              <w:spacing w:line="360" w:lineRule="auto"/>
              <w:rPr>
                <w:rFonts w:ascii="仿宋_GB2312" w:hAnsi="仿宋_GB2312" w:eastAsia="仿宋_GB2312" w:cs="仿宋_GB2312"/>
                <w:color w:val="auto"/>
                <w:sz w:val="24"/>
                <w:highlight w:val="none"/>
              </w:rPr>
            </w:pPr>
          </w:p>
        </w:tc>
        <w:tc>
          <w:tcPr>
            <w:tcW w:w="553" w:type="dxa"/>
          </w:tcPr>
          <w:p w14:paraId="2C85D72A">
            <w:pPr>
              <w:spacing w:line="360" w:lineRule="auto"/>
              <w:rPr>
                <w:rFonts w:ascii="仿宋_GB2312" w:hAnsi="仿宋_GB2312" w:eastAsia="仿宋_GB2312" w:cs="仿宋_GB2312"/>
                <w:color w:val="auto"/>
                <w:sz w:val="24"/>
                <w:highlight w:val="none"/>
              </w:rPr>
            </w:pPr>
          </w:p>
        </w:tc>
        <w:tc>
          <w:tcPr>
            <w:tcW w:w="553" w:type="dxa"/>
          </w:tcPr>
          <w:p w14:paraId="2FE18500">
            <w:pPr>
              <w:spacing w:line="360" w:lineRule="auto"/>
              <w:rPr>
                <w:rFonts w:ascii="仿宋_GB2312" w:hAnsi="仿宋_GB2312" w:eastAsia="仿宋_GB2312" w:cs="仿宋_GB2312"/>
                <w:color w:val="auto"/>
                <w:sz w:val="24"/>
                <w:highlight w:val="none"/>
              </w:rPr>
            </w:pPr>
          </w:p>
        </w:tc>
        <w:tc>
          <w:tcPr>
            <w:tcW w:w="553" w:type="dxa"/>
          </w:tcPr>
          <w:p w14:paraId="23E6E2D5">
            <w:pPr>
              <w:spacing w:line="360" w:lineRule="auto"/>
              <w:rPr>
                <w:rFonts w:ascii="仿宋_GB2312" w:hAnsi="仿宋_GB2312" w:eastAsia="仿宋_GB2312" w:cs="仿宋_GB2312"/>
                <w:color w:val="auto"/>
                <w:sz w:val="24"/>
                <w:highlight w:val="none"/>
              </w:rPr>
            </w:pPr>
          </w:p>
        </w:tc>
        <w:tc>
          <w:tcPr>
            <w:tcW w:w="553" w:type="dxa"/>
          </w:tcPr>
          <w:p w14:paraId="47B9CCF6">
            <w:pPr>
              <w:spacing w:line="360" w:lineRule="auto"/>
              <w:rPr>
                <w:rFonts w:ascii="仿宋_GB2312" w:hAnsi="仿宋_GB2312" w:eastAsia="仿宋_GB2312" w:cs="仿宋_GB2312"/>
                <w:color w:val="auto"/>
                <w:sz w:val="24"/>
                <w:highlight w:val="none"/>
              </w:rPr>
            </w:pPr>
          </w:p>
        </w:tc>
      </w:tr>
      <w:tr w14:paraId="0CD728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25A050A5">
            <w:pPr>
              <w:spacing w:line="360" w:lineRule="auto"/>
              <w:rPr>
                <w:rFonts w:ascii="仿宋_GB2312" w:hAnsi="仿宋_GB2312" w:eastAsia="仿宋_GB2312" w:cs="仿宋_GB2312"/>
                <w:color w:val="auto"/>
                <w:sz w:val="24"/>
                <w:highlight w:val="none"/>
              </w:rPr>
            </w:pPr>
          </w:p>
        </w:tc>
        <w:tc>
          <w:tcPr>
            <w:tcW w:w="552" w:type="dxa"/>
          </w:tcPr>
          <w:p w14:paraId="1DBD1D4D">
            <w:pPr>
              <w:spacing w:line="360" w:lineRule="auto"/>
              <w:rPr>
                <w:rFonts w:ascii="仿宋_GB2312" w:hAnsi="仿宋_GB2312" w:eastAsia="仿宋_GB2312" w:cs="仿宋_GB2312"/>
                <w:color w:val="auto"/>
                <w:sz w:val="24"/>
                <w:highlight w:val="none"/>
              </w:rPr>
            </w:pPr>
          </w:p>
        </w:tc>
        <w:tc>
          <w:tcPr>
            <w:tcW w:w="552" w:type="dxa"/>
          </w:tcPr>
          <w:p w14:paraId="23FEDD38">
            <w:pPr>
              <w:spacing w:line="360" w:lineRule="auto"/>
              <w:rPr>
                <w:rFonts w:ascii="仿宋_GB2312" w:hAnsi="仿宋_GB2312" w:eastAsia="仿宋_GB2312" w:cs="仿宋_GB2312"/>
                <w:color w:val="auto"/>
                <w:sz w:val="24"/>
                <w:highlight w:val="none"/>
              </w:rPr>
            </w:pPr>
          </w:p>
        </w:tc>
        <w:tc>
          <w:tcPr>
            <w:tcW w:w="552" w:type="dxa"/>
          </w:tcPr>
          <w:p w14:paraId="10181D60">
            <w:pPr>
              <w:spacing w:line="360" w:lineRule="auto"/>
              <w:rPr>
                <w:rFonts w:ascii="仿宋_GB2312" w:hAnsi="仿宋_GB2312" w:eastAsia="仿宋_GB2312" w:cs="仿宋_GB2312"/>
                <w:color w:val="auto"/>
                <w:sz w:val="24"/>
                <w:highlight w:val="none"/>
              </w:rPr>
            </w:pPr>
          </w:p>
        </w:tc>
        <w:tc>
          <w:tcPr>
            <w:tcW w:w="552" w:type="dxa"/>
          </w:tcPr>
          <w:p w14:paraId="21B40D7A">
            <w:pPr>
              <w:spacing w:line="360" w:lineRule="auto"/>
              <w:rPr>
                <w:rFonts w:ascii="仿宋_GB2312" w:hAnsi="仿宋_GB2312" w:eastAsia="仿宋_GB2312" w:cs="仿宋_GB2312"/>
                <w:color w:val="auto"/>
                <w:sz w:val="24"/>
                <w:highlight w:val="none"/>
              </w:rPr>
            </w:pPr>
          </w:p>
        </w:tc>
        <w:tc>
          <w:tcPr>
            <w:tcW w:w="552" w:type="dxa"/>
          </w:tcPr>
          <w:p w14:paraId="5C5ABB8E">
            <w:pPr>
              <w:spacing w:line="360" w:lineRule="auto"/>
              <w:rPr>
                <w:rFonts w:ascii="仿宋_GB2312" w:hAnsi="仿宋_GB2312" w:eastAsia="仿宋_GB2312" w:cs="仿宋_GB2312"/>
                <w:color w:val="auto"/>
                <w:sz w:val="24"/>
                <w:highlight w:val="none"/>
              </w:rPr>
            </w:pPr>
          </w:p>
        </w:tc>
        <w:tc>
          <w:tcPr>
            <w:tcW w:w="552" w:type="dxa"/>
          </w:tcPr>
          <w:p w14:paraId="6F75DBFF">
            <w:pPr>
              <w:spacing w:line="360" w:lineRule="auto"/>
              <w:rPr>
                <w:rFonts w:ascii="仿宋_GB2312" w:hAnsi="仿宋_GB2312" w:eastAsia="仿宋_GB2312" w:cs="仿宋_GB2312"/>
                <w:color w:val="auto"/>
                <w:sz w:val="24"/>
                <w:highlight w:val="none"/>
              </w:rPr>
            </w:pPr>
          </w:p>
        </w:tc>
        <w:tc>
          <w:tcPr>
            <w:tcW w:w="553" w:type="dxa"/>
          </w:tcPr>
          <w:p w14:paraId="6F590E21">
            <w:pPr>
              <w:spacing w:line="360" w:lineRule="auto"/>
              <w:rPr>
                <w:rFonts w:ascii="仿宋_GB2312" w:hAnsi="仿宋_GB2312" w:eastAsia="仿宋_GB2312" w:cs="仿宋_GB2312"/>
                <w:color w:val="auto"/>
                <w:sz w:val="24"/>
                <w:highlight w:val="none"/>
              </w:rPr>
            </w:pPr>
          </w:p>
        </w:tc>
        <w:tc>
          <w:tcPr>
            <w:tcW w:w="553" w:type="dxa"/>
          </w:tcPr>
          <w:p w14:paraId="122C3139">
            <w:pPr>
              <w:spacing w:line="360" w:lineRule="auto"/>
              <w:rPr>
                <w:rFonts w:ascii="仿宋_GB2312" w:hAnsi="仿宋_GB2312" w:eastAsia="仿宋_GB2312" w:cs="仿宋_GB2312"/>
                <w:color w:val="auto"/>
                <w:sz w:val="24"/>
                <w:highlight w:val="none"/>
              </w:rPr>
            </w:pPr>
          </w:p>
        </w:tc>
        <w:tc>
          <w:tcPr>
            <w:tcW w:w="553" w:type="dxa"/>
          </w:tcPr>
          <w:p w14:paraId="7F672960">
            <w:pPr>
              <w:spacing w:line="360" w:lineRule="auto"/>
              <w:rPr>
                <w:rFonts w:ascii="仿宋_GB2312" w:hAnsi="仿宋_GB2312" w:eastAsia="仿宋_GB2312" w:cs="仿宋_GB2312"/>
                <w:color w:val="auto"/>
                <w:sz w:val="24"/>
                <w:highlight w:val="none"/>
              </w:rPr>
            </w:pPr>
          </w:p>
        </w:tc>
        <w:tc>
          <w:tcPr>
            <w:tcW w:w="553" w:type="dxa"/>
          </w:tcPr>
          <w:p w14:paraId="0E67EE3F">
            <w:pPr>
              <w:spacing w:line="360" w:lineRule="auto"/>
              <w:rPr>
                <w:rFonts w:ascii="仿宋_GB2312" w:hAnsi="仿宋_GB2312" w:eastAsia="仿宋_GB2312" w:cs="仿宋_GB2312"/>
                <w:color w:val="auto"/>
                <w:sz w:val="24"/>
                <w:highlight w:val="none"/>
              </w:rPr>
            </w:pPr>
          </w:p>
        </w:tc>
        <w:tc>
          <w:tcPr>
            <w:tcW w:w="553" w:type="dxa"/>
          </w:tcPr>
          <w:p w14:paraId="5C129F92">
            <w:pPr>
              <w:spacing w:line="360" w:lineRule="auto"/>
              <w:rPr>
                <w:rFonts w:ascii="仿宋_GB2312" w:hAnsi="仿宋_GB2312" w:eastAsia="仿宋_GB2312" w:cs="仿宋_GB2312"/>
                <w:color w:val="auto"/>
                <w:sz w:val="24"/>
                <w:highlight w:val="none"/>
              </w:rPr>
            </w:pPr>
          </w:p>
        </w:tc>
        <w:tc>
          <w:tcPr>
            <w:tcW w:w="553" w:type="dxa"/>
          </w:tcPr>
          <w:p w14:paraId="3F625C6E">
            <w:pPr>
              <w:spacing w:line="360" w:lineRule="auto"/>
              <w:rPr>
                <w:rFonts w:ascii="仿宋_GB2312" w:hAnsi="仿宋_GB2312" w:eastAsia="仿宋_GB2312" w:cs="仿宋_GB2312"/>
                <w:color w:val="auto"/>
                <w:sz w:val="24"/>
                <w:highlight w:val="none"/>
              </w:rPr>
            </w:pPr>
          </w:p>
        </w:tc>
        <w:tc>
          <w:tcPr>
            <w:tcW w:w="553" w:type="dxa"/>
          </w:tcPr>
          <w:p w14:paraId="59AE1A71">
            <w:pPr>
              <w:spacing w:line="360" w:lineRule="auto"/>
              <w:rPr>
                <w:rFonts w:ascii="仿宋_GB2312" w:hAnsi="仿宋_GB2312" w:eastAsia="仿宋_GB2312" w:cs="仿宋_GB2312"/>
                <w:color w:val="auto"/>
                <w:sz w:val="24"/>
                <w:highlight w:val="none"/>
              </w:rPr>
            </w:pPr>
          </w:p>
        </w:tc>
        <w:tc>
          <w:tcPr>
            <w:tcW w:w="553" w:type="dxa"/>
          </w:tcPr>
          <w:p w14:paraId="48CFF8D8">
            <w:pPr>
              <w:spacing w:line="360" w:lineRule="auto"/>
              <w:rPr>
                <w:rFonts w:ascii="仿宋_GB2312" w:hAnsi="仿宋_GB2312" w:eastAsia="仿宋_GB2312" w:cs="仿宋_GB2312"/>
                <w:color w:val="auto"/>
                <w:sz w:val="24"/>
                <w:highlight w:val="none"/>
              </w:rPr>
            </w:pPr>
          </w:p>
        </w:tc>
        <w:tc>
          <w:tcPr>
            <w:tcW w:w="553" w:type="dxa"/>
          </w:tcPr>
          <w:p w14:paraId="769471BC">
            <w:pPr>
              <w:spacing w:line="360" w:lineRule="auto"/>
              <w:rPr>
                <w:rFonts w:ascii="仿宋_GB2312" w:hAnsi="仿宋_GB2312" w:eastAsia="仿宋_GB2312" w:cs="仿宋_GB2312"/>
                <w:color w:val="auto"/>
                <w:sz w:val="24"/>
                <w:highlight w:val="none"/>
              </w:rPr>
            </w:pPr>
          </w:p>
        </w:tc>
        <w:tc>
          <w:tcPr>
            <w:tcW w:w="553" w:type="dxa"/>
          </w:tcPr>
          <w:p w14:paraId="03F0F0C4">
            <w:pPr>
              <w:spacing w:line="360" w:lineRule="auto"/>
              <w:rPr>
                <w:rFonts w:ascii="仿宋_GB2312" w:hAnsi="仿宋_GB2312" w:eastAsia="仿宋_GB2312" w:cs="仿宋_GB2312"/>
                <w:color w:val="auto"/>
                <w:sz w:val="24"/>
                <w:highlight w:val="none"/>
              </w:rPr>
            </w:pPr>
          </w:p>
        </w:tc>
      </w:tr>
      <w:tr w14:paraId="41F238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7EDA4702">
            <w:pPr>
              <w:spacing w:line="360" w:lineRule="auto"/>
              <w:rPr>
                <w:rFonts w:ascii="仿宋_GB2312" w:hAnsi="仿宋_GB2312" w:eastAsia="仿宋_GB2312" w:cs="仿宋_GB2312"/>
                <w:color w:val="auto"/>
                <w:sz w:val="24"/>
                <w:highlight w:val="none"/>
              </w:rPr>
            </w:pPr>
          </w:p>
        </w:tc>
        <w:tc>
          <w:tcPr>
            <w:tcW w:w="552" w:type="dxa"/>
          </w:tcPr>
          <w:p w14:paraId="0A49DB57">
            <w:pPr>
              <w:spacing w:line="360" w:lineRule="auto"/>
              <w:rPr>
                <w:rFonts w:ascii="仿宋_GB2312" w:hAnsi="仿宋_GB2312" w:eastAsia="仿宋_GB2312" w:cs="仿宋_GB2312"/>
                <w:color w:val="auto"/>
                <w:sz w:val="24"/>
                <w:highlight w:val="none"/>
              </w:rPr>
            </w:pPr>
          </w:p>
        </w:tc>
        <w:tc>
          <w:tcPr>
            <w:tcW w:w="552" w:type="dxa"/>
          </w:tcPr>
          <w:p w14:paraId="048DFBE9">
            <w:pPr>
              <w:spacing w:line="360" w:lineRule="auto"/>
              <w:rPr>
                <w:rFonts w:ascii="仿宋_GB2312" w:hAnsi="仿宋_GB2312" w:eastAsia="仿宋_GB2312" w:cs="仿宋_GB2312"/>
                <w:color w:val="auto"/>
                <w:sz w:val="24"/>
                <w:highlight w:val="none"/>
              </w:rPr>
            </w:pPr>
          </w:p>
        </w:tc>
        <w:tc>
          <w:tcPr>
            <w:tcW w:w="552" w:type="dxa"/>
          </w:tcPr>
          <w:p w14:paraId="7E15A720">
            <w:pPr>
              <w:spacing w:line="360" w:lineRule="auto"/>
              <w:rPr>
                <w:rFonts w:ascii="仿宋_GB2312" w:hAnsi="仿宋_GB2312" w:eastAsia="仿宋_GB2312" w:cs="仿宋_GB2312"/>
                <w:color w:val="auto"/>
                <w:sz w:val="24"/>
                <w:highlight w:val="none"/>
              </w:rPr>
            </w:pPr>
          </w:p>
        </w:tc>
        <w:tc>
          <w:tcPr>
            <w:tcW w:w="552" w:type="dxa"/>
          </w:tcPr>
          <w:p w14:paraId="1D541544">
            <w:pPr>
              <w:spacing w:line="360" w:lineRule="auto"/>
              <w:rPr>
                <w:rFonts w:ascii="仿宋_GB2312" w:hAnsi="仿宋_GB2312" w:eastAsia="仿宋_GB2312" w:cs="仿宋_GB2312"/>
                <w:color w:val="auto"/>
                <w:sz w:val="24"/>
                <w:highlight w:val="none"/>
              </w:rPr>
            </w:pPr>
          </w:p>
        </w:tc>
        <w:tc>
          <w:tcPr>
            <w:tcW w:w="552" w:type="dxa"/>
          </w:tcPr>
          <w:p w14:paraId="6BE97BFB">
            <w:pPr>
              <w:spacing w:line="360" w:lineRule="auto"/>
              <w:rPr>
                <w:rFonts w:ascii="仿宋_GB2312" w:hAnsi="仿宋_GB2312" w:eastAsia="仿宋_GB2312" w:cs="仿宋_GB2312"/>
                <w:color w:val="auto"/>
                <w:sz w:val="24"/>
                <w:highlight w:val="none"/>
              </w:rPr>
            </w:pPr>
          </w:p>
        </w:tc>
        <w:tc>
          <w:tcPr>
            <w:tcW w:w="552" w:type="dxa"/>
          </w:tcPr>
          <w:p w14:paraId="4EF99E82">
            <w:pPr>
              <w:spacing w:line="360" w:lineRule="auto"/>
              <w:rPr>
                <w:rFonts w:ascii="仿宋_GB2312" w:hAnsi="仿宋_GB2312" w:eastAsia="仿宋_GB2312" w:cs="仿宋_GB2312"/>
                <w:color w:val="auto"/>
                <w:sz w:val="24"/>
                <w:highlight w:val="none"/>
              </w:rPr>
            </w:pPr>
          </w:p>
        </w:tc>
        <w:tc>
          <w:tcPr>
            <w:tcW w:w="553" w:type="dxa"/>
          </w:tcPr>
          <w:p w14:paraId="4CA3A097">
            <w:pPr>
              <w:spacing w:line="360" w:lineRule="auto"/>
              <w:rPr>
                <w:rFonts w:ascii="仿宋_GB2312" w:hAnsi="仿宋_GB2312" w:eastAsia="仿宋_GB2312" w:cs="仿宋_GB2312"/>
                <w:color w:val="auto"/>
                <w:sz w:val="24"/>
                <w:highlight w:val="none"/>
              </w:rPr>
            </w:pPr>
          </w:p>
        </w:tc>
        <w:tc>
          <w:tcPr>
            <w:tcW w:w="553" w:type="dxa"/>
          </w:tcPr>
          <w:p w14:paraId="726FCE74">
            <w:pPr>
              <w:spacing w:line="360" w:lineRule="auto"/>
              <w:rPr>
                <w:rFonts w:ascii="仿宋_GB2312" w:hAnsi="仿宋_GB2312" w:eastAsia="仿宋_GB2312" w:cs="仿宋_GB2312"/>
                <w:color w:val="auto"/>
                <w:sz w:val="24"/>
                <w:highlight w:val="none"/>
              </w:rPr>
            </w:pPr>
          </w:p>
        </w:tc>
        <w:tc>
          <w:tcPr>
            <w:tcW w:w="553" w:type="dxa"/>
          </w:tcPr>
          <w:p w14:paraId="24E809EF">
            <w:pPr>
              <w:spacing w:line="360" w:lineRule="auto"/>
              <w:rPr>
                <w:rFonts w:ascii="仿宋_GB2312" w:hAnsi="仿宋_GB2312" w:eastAsia="仿宋_GB2312" w:cs="仿宋_GB2312"/>
                <w:color w:val="auto"/>
                <w:sz w:val="24"/>
                <w:highlight w:val="none"/>
              </w:rPr>
            </w:pPr>
          </w:p>
        </w:tc>
        <w:tc>
          <w:tcPr>
            <w:tcW w:w="553" w:type="dxa"/>
          </w:tcPr>
          <w:p w14:paraId="1337FBCC">
            <w:pPr>
              <w:spacing w:line="360" w:lineRule="auto"/>
              <w:rPr>
                <w:rFonts w:ascii="仿宋_GB2312" w:hAnsi="仿宋_GB2312" w:eastAsia="仿宋_GB2312" w:cs="仿宋_GB2312"/>
                <w:color w:val="auto"/>
                <w:sz w:val="24"/>
                <w:highlight w:val="none"/>
              </w:rPr>
            </w:pPr>
          </w:p>
        </w:tc>
        <w:tc>
          <w:tcPr>
            <w:tcW w:w="553" w:type="dxa"/>
          </w:tcPr>
          <w:p w14:paraId="6443C0C3">
            <w:pPr>
              <w:spacing w:line="360" w:lineRule="auto"/>
              <w:rPr>
                <w:rFonts w:ascii="仿宋_GB2312" w:hAnsi="仿宋_GB2312" w:eastAsia="仿宋_GB2312" w:cs="仿宋_GB2312"/>
                <w:color w:val="auto"/>
                <w:sz w:val="24"/>
                <w:highlight w:val="none"/>
              </w:rPr>
            </w:pPr>
          </w:p>
        </w:tc>
        <w:tc>
          <w:tcPr>
            <w:tcW w:w="553" w:type="dxa"/>
          </w:tcPr>
          <w:p w14:paraId="090EA28E">
            <w:pPr>
              <w:spacing w:line="360" w:lineRule="auto"/>
              <w:rPr>
                <w:rFonts w:ascii="仿宋_GB2312" w:hAnsi="仿宋_GB2312" w:eastAsia="仿宋_GB2312" w:cs="仿宋_GB2312"/>
                <w:color w:val="auto"/>
                <w:sz w:val="24"/>
                <w:highlight w:val="none"/>
              </w:rPr>
            </w:pPr>
          </w:p>
        </w:tc>
        <w:tc>
          <w:tcPr>
            <w:tcW w:w="553" w:type="dxa"/>
          </w:tcPr>
          <w:p w14:paraId="74FBF50B">
            <w:pPr>
              <w:spacing w:line="360" w:lineRule="auto"/>
              <w:rPr>
                <w:rFonts w:ascii="仿宋_GB2312" w:hAnsi="仿宋_GB2312" w:eastAsia="仿宋_GB2312" w:cs="仿宋_GB2312"/>
                <w:color w:val="auto"/>
                <w:sz w:val="24"/>
                <w:highlight w:val="none"/>
              </w:rPr>
            </w:pPr>
          </w:p>
        </w:tc>
        <w:tc>
          <w:tcPr>
            <w:tcW w:w="553" w:type="dxa"/>
          </w:tcPr>
          <w:p w14:paraId="25B4A6A4">
            <w:pPr>
              <w:spacing w:line="360" w:lineRule="auto"/>
              <w:rPr>
                <w:rFonts w:ascii="仿宋_GB2312" w:hAnsi="仿宋_GB2312" w:eastAsia="仿宋_GB2312" w:cs="仿宋_GB2312"/>
                <w:color w:val="auto"/>
                <w:sz w:val="24"/>
                <w:highlight w:val="none"/>
              </w:rPr>
            </w:pPr>
          </w:p>
        </w:tc>
        <w:tc>
          <w:tcPr>
            <w:tcW w:w="553" w:type="dxa"/>
          </w:tcPr>
          <w:p w14:paraId="500DABAA">
            <w:pPr>
              <w:spacing w:line="360" w:lineRule="auto"/>
              <w:rPr>
                <w:rFonts w:ascii="仿宋_GB2312" w:hAnsi="仿宋_GB2312" w:eastAsia="仿宋_GB2312" w:cs="仿宋_GB2312"/>
                <w:color w:val="auto"/>
                <w:sz w:val="24"/>
                <w:highlight w:val="none"/>
              </w:rPr>
            </w:pPr>
          </w:p>
        </w:tc>
        <w:tc>
          <w:tcPr>
            <w:tcW w:w="553" w:type="dxa"/>
          </w:tcPr>
          <w:p w14:paraId="082BCCB2">
            <w:pPr>
              <w:spacing w:line="360" w:lineRule="auto"/>
              <w:rPr>
                <w:rFonts w:ascii="仿宋_GB2312" w:hAnsi="仿宋_GB2312" w:eastAsia="仿宋_GB2312" w:cs="仿宋_GB2312"/>
                <w:color w:val="auto"/>
                <w:sz w:val="24"/>
                <w:highlight w:val="none"/>
              </w:rPr>
            </w:pPr>
          </w:p>
        </w:tc>
      </w:tr>
    </w:tbl>
    <w:p w14:paraId="64AAEBC4">
      <w:pPr>
        <w:autoSpaceDE w:val="0"/>
        <w:autoSpaceDN w:val="0"/>
        <w:spacing w:line="360" w:lineRule="auto"/>
        <w:rPr>
          <w:rFonts w:ascii="仿宋_GB2312" w:hAnsi="仿宋_GB2312" w:eastAsia="仿宋_GB2312" w:cs="仿宋_GB2312"/>
          <w:color w:val="auto"/>
          <w:kern w:val="0"/>
          <w:sz w:val="24"/>
          <w:highlight w:val="none"/>
        </w:rPr>
      </w:pPr>
      <w:r>
        <w:rPr>
          <w:rFonts w:hint="eastAsia" w:ascii="仿宋_GB2312" w:hAnsi="仿宋_GB2312" w:eastAsia="仿宋_GB2312" w:cs="仿宋_GB2312"/>
          <w:b/>
          <w:color w:val="auto"/>
          <w:sz w:val="24"/>
          <w:highlight w:val="none"/>
        </w:rPr>
        <w:t>注：投标人可按上述时间表的格式自行编制切合实际的具体时间表。</w:t>
      </w:r>
    </w:p>
    <w:p w14:paraId="4297176D">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32304F0A">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1BC81D5B">
      <w:pPr>
        <w:spacing w:line="360" w:lineRule="auto"/>
        <w:rPr>
          <w:rFonts w:ascii="仿宋_GB2312" w:hAnsi="仿宋_GB2312" w:eastAsia="仿宋_GB2312" w:cs="仿宋_GB2312"/>
          <w:color w:val="auto"/>
          <w:kern w:val="0"/>
          <w:sz w:val="24"/>
          <w:highlight w:val="none"/>
        </w:rPr>
      </w:pPr>
    </w:p>
    <w:p w14:paraId="04DF42B4">
      <w:pPr>
        <w:spacing w:line="360" w:lineRule="auto"/>
        <w:rPr>
          <w:rFonts w:ascii="仿宋_GB2312" w:hAnsi="仿宋_GB2312" w:eastAsia="仿宋_GB2312" w:cs="仿宋_GB2312"/>
          <w:b/>
          <w:bCs/>
          <w:color w:val="auto"/>
          <w:sz w:val="32"/>
          <w:szCs w:val="32"/>
          <w:highlight w:val="none"/>
        </w:rPr>
      </w:pPr>
    </w:p>
    <w:p w14:paraId="0EA17D82">
      <w:pPr>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一</w:t>
      </w:r>
      <w:r>
        <w:rPr>
          <w:rFonts w:hint="eastAsia" w:ascii="仿宋_GB2312" w:hAnsi="仿宋_GB2312" w:eastAsia="仿宋_GB2312" w:cs="仿宋_GB2312"/>
          <w:b/>
          <w:bCs/>
          <w:color w:val="auto"/>
          <w:sz w:val="32"/>
          <w:szCs w:val="32"/>
          <w:highlight w:val="none"/>
        </w:rPr>
        <w:t>、售后服务方案</w:t>
      </w:r>
    </w:p>
    <w:p w14:paraId="0D033EC1">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1BD1DD7E">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附表A:售后服务机构情况表</w:t>
      </w:r>
      <w:r>
        <w:rPr>
          <w:rFonts w:hint="eastAsia" w:ascii="仿宋_GB2312" w:hAnsi="仿宋_GB2312" w:eastAsia="仿宋_GB2312" w:cs="仿宋_GB2312"/>
          <w:color w:val="auto"/>
          <w:sz w:val="24"/>
          <w:highlight w:val="none"/>
        </w:rPr>
        <w:t>（按此格式自制）</w:t>
      </w:r>
    </w:p>
    <w:tbl>
      <w:tblPr>
        <w:tblStyle w:val="15"/>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14:paraId="3866F6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14:paraId="07E97D2E">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序号</w:t>
            </w:r>
          </w:p>
        </w:tc>
        <w:tc>
          <w:tcPr>
            <w:tcW w:w="2160" w:type="dxa"/>
          </w:tcPr>
          <w:p w14:paraId="7C348D81">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机构名称</w:t>
            </w:r>
          </w:p>
        </w:tc>
        <w:tc>
          <w:tcPr>
            <w:tcW w:w="1620" w:type="dxa"/>
          </w:tcPr>
          <w:p w14:paraId="5AFD62EA">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机构性质</w:t>
            </w:r>
          </w:p>
        </w:tc>
        <w:tc>
          <w:tcPr>
            <w:tcW w:w="1245" w:type="dxa"/>
          </w:tcPr>
          <w:p w14:paraId="45D47AC8">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注册地址</w:t>
            </w:r>
          </w:p>
        </w:tc>
        <w:tc>
          <w:tcPr>
            <w:tcW w:w="2175" w:type="dxa"/>
          </w:tcPr>
          <w:p w14:paraId="6FA24426">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服务技术人员数量</w:t>
            </w:r>
          </w:p>
        </w:tc>
        <w:tc>
          <w:tcPr>
            <w:tcW w:w="1260" w:type="dxa"/>
          </w:tcPr>
          <w:p w14:paraId="1FF599BC">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联系电话</w:t>
            </w:r>
          </w:p>
        </w:tc>
      </w:tr>
      <w:tr w14:paraId="2F87A1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65DFE874">
            <w:pPr>
              <w:autoSpaceDE w:val="0"/>
              <w:autoSpaceDN w:val="0"/>
              <w:spacing w:line="360" w:lineRule="auto"/>
              <w:jc w:val="center"/>
              <w:rPr>
                <w:rFonts w:ascii="仿宋_GB2312" w:hAnsi="仿宋_GB2312" w:eastAsia="仿宋_GB2312" w:cs="仿宋_GB2312"/>
                <w:color w:val="auto"/>
                <w:sz w:val="24"/>
                <w:highlight w:val="none"/>
              </w:rPr>
            </w:pPr>
          </w:p>
        </w:tc>
        <w:tc>
          <w:tcPr>
            <w:tcW w:w="2160" w:type="dxa"/>
          </w:tcPr>
          <w:p w14:paraId="5FED9DF1">
            <w:pPr>
              <w:autoSpaceDE w:val="0"/>
              <w:autoSpaceDN w:val="0"/>
              <w:spacing w:line="360" w:lineRule="auto"/>
              <w:jc w:val="center"/>
              <w:rPr>
                <w:rFonts w:ascii="仿宋_GB2312" w:hAnsi="仿宋_GB2312" w:eastAsia="仿宋_GB2312" w:cs="仿宋_GB2312"/>
                <w:color w:val="auto"/>
                <w:sz w:val="24"/>
                <w:highlight w:val="none"/>
              </w:rPr>
            </w:pPr>
          </w:p>
        </w:tc>
        <w:tc>
          <w:tcPr>
            <w:tcW w:w="1620" w:type="dxa"/>
          </w:tcPr>
          <w:p w14:paraId="406834B2">
            <w:pPr>
              <w:autoSpaceDE w:val="0"/>
              <w:autoSpaceDN w:val="0"/>
              <w:spacing w:line="360" w:lineRule="auto"/>
              <w:jc w:val="center"/>
              <w:rPr>
                <w:rFonts w:ascii="仿宋_GB2312" w:hAnsi="仿宋_GB2312" w:eastAsia="仿宋_GB2312" w:cs="仿宋_GB2312"/>
                <w:color w:val="auto"/>
                <w:sz w:val="24"/>
                <w:highlight w:val="none"/>
              </w:rPr>
            </w:pPr>
          </w:p>
        </w:tc>
        <w:tc>
          <w:tcPr>
            <w:tcW w:w="1245" w:type="dxa"/>
          </w:tcPr>
          <w:p w14:paraId="42DEF07C">
            <w:pPr>
              <w:autoSpaceDE w:val="0"/>
              <w:autoSpaceDN w:val="0"/>
              <w:spacing w:line="360" w:lineRule="auto"/>
              <w:jc w:val="center"/>
              <w:rPr>
                <w:rFonts w:ascii="仿宋_GB2312" w:hAnsi="仿宋_GB2312" w:eastAsia="仿宋_GB2312" w:cs="仿宋_GB2312"/>
                <w:color w:val="auto"/>
                <w:sz w:val="24"/>
                <w:highlight w:val="none"/>
              </w:rPr>
            </w:pPr>
          </w:p>
        </w:tc>
        <w:tc>
          <w:tcPr>
            <w:tcW w:w="2175" w:type="dxa"/>
          </w:tcPr>
          <w:p w14:paraId="5ED65E32">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Pr>
          <w:p w14:paraId="1618340B">
            <w:pPr>
              <w:autoSpaceDE w:val="0"/>
              <w:autoSpaceDN w:val="0"/>
              <w:spacing w:line="360" w:lineRule="auto"/>
              <w:jc w:val="center"/>
              <w:rPr>
                <w:rFonts w:ascii="仿宋_GB2312" w:hAnsi="仿宋_GB2312" w:eastAsia="仿宋_GB2312" w:cs="仿宋_GB2312"/>
                <w:color w:val="auto"/>
                <w:sz w:val="24"/>
                <w:highlight w:val="none"/>
              </w:rPr>
            </w:pPr>
          </w:p>
        </w:tc>
      </w:tr>
      <w:tr w14:paraId="1EE62D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0A48F851">
            <w:pPr>
              <w:autoSpaceDE w:val="0"/>
              <w:autoSpaceDN w:val="0"/>
              <w:spacing w:line="360" w:lineRule="auto"/>
              <w:jc w:val="center"/>
              <w:rPr>
                <w:rFonts w:ascii="仿宋_GB2312" w:hAnsi="仿宋_GB2312" w:eastAsia="仿宋_GB2312" w:cs="仿宋_GB2312"/>
                <w:color w:val="auto"/>
                <w:sz w:val="24"/>
                <w:highlight w:val="none"/>
              </w:rPr>
            </w:pPr>
          </w:p>
        </w:tc>
        <w:tc>
          <w:tcPr>
            <w:tcW w:w="2160" w:type="dxa"/>
          </w:tcPr>
          <w:p w14:paraId="01F39817">
            <w:pPr>
              <w:autoSpaceDE w:val="0"/>
              <w:autoSpaceDN w:val="0"/>
              <w:spacing w:line="360" w:lineRule="auto"/>
              <w:jc w:val="center"/>
              <w:rPr>
                <w:rFonts w:ascii="仿宋_GB2312" w:hAnsi="仿宋_GB2312" w:eastAsia="仿宋_GB2312" w:cs="仿宋_GB2312"/>
                <w:color w:val="auto"/>
                <w:sz w:val="24"/>
                <w:highlight w:val="none"/>
              </w:rPr>
            </w:pPr>
          </w:p>
        </w:tc>
        <w:tc>
          <w:tcPr>
            <w:tcW w:w="1620" w:type="dxa"/>
          </w:tcPr>
          <w:p w14:paraId="5E8896A8">
            <w:pPr>
              <w:autoSpaceDE w:val="0"/>
              <w:autoSpaceDN w:val="0"/>
              <w:spacing w:line="360" w:lineRule="auto"/>
              <w:jc w:val="center"/>
              <w:rPr>
                <w:rFonts w:ascii="仿宋_GB2312" w:hAnsi="仿宋_GB2312" w:eastAsia="仿宋_GB2312" w:cs="仿宋_GB2312"/>
                <w:color w:val="auto"/>
                <w:sz w:val="24"/>
                <w:highlight w:val="none"/>
              </w:rPr>
            </w:pPr>
          </w:p>
        </w:tc>
        <w:tc>
          <w:tcPr>
            <w:tcW w:w="1245" w:type="dxa"/>
          </w:tcPr>
          <w:p w14:paraId="520C5B7D">
            <w:pPr>
              <w:autoSpaceDE w:val="0"/>
              <w:autoSpaceDN w:val="0"/>
              <w:spacing w:line="360" w:lineRule="auto"/>
              <w:jc w:val="center"/>
              <w:rPr>
                <w:rFonts w:ascii="仿宋_GB2312" w:hAnsi="仿宋_GB2312" w:eastAsia="仿宋_GB2312" w:cs="仿宋_GB2312"/>
                <w:color w:val="auto"/>
                <w:sz w:val="24"/>
                <w:highlight w:val="none"/>
              </w:rPr>
            </w:pPr>
          </w:p>
        </w:tc>
        <w:tc>
          <w:tcPr>
            <w:tcW w:w="2175" w:type="dxa"/>
          </w:tcPr>
          <w:p w14:paraId="3B70D939">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Pr>
          <w:p w14:paraId="3DFF65AC">
            <w:pPr>
              <w:autoSpaceDE w:val="0"/>
              <w:autoSpaceDN w:val="0"/>
              <w:spacing w:line="360" w:lineRule="auto"/>
              <w:jc w:val="center"/>
              <w:rPr>
                <w:rFonts w:ascii="仿宋_GB2312" w:hAnsi="仿宋_GB2312" w:eastAsia="仿宋_GB2312" w:cs="仿宋_GB2312"/>
                <w:color w:val="auto"/>
                <w:sz w:val="24"/>
                <w:highlight w:val="none"/>
              </w:rPr>
            </w:pPr>
          </w:p>
        </w:tc>
      </w:tr>
      <w:tr w14:paraId="324B1F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789DD2AC">
            <w:pPr>
              <w:autoSpaceDE w:val="0"/>
              <w:autoSpaceDN w:val="0"/>
              <w:spacing w:line="360" w:lineRule="auto"/>
              <w:jc w:val="center"/>
              <w:rPr>
                <w:rFonts w:ascii="仿宋_GB2312" w:hAnsi="仿宋_GB2312" w:eastAsia="仿宋_GB2312" w:cs="仿宋_GB2312"/>
                <w:color w:val="auto"/>
                <w:sz w:val="24"/>
                <w:highlight w:val="none"/>
              </w:rPr>
            </w:pPr>
          </w:p>
        </w:tc>
        <w:tc>
          <w:tcPr>
            <w:tcW w:w="2160" w:type="dxa"/>
          </w:tcPr>
          <w:p w14:paraId="2D75DE04">
            <w:pPr>
              <w:autoSpaceDE w:val="0"/>
              <w:autoSpaceDN w:val="0"/>
              <w:spacing w:line="360" w:lineRule="auto"/>
              <w:jc w:val="center"/>
              <w:rPr>
                <w:rFonts w:ascii="仿宋_GB2312" w:hAnsi="仿宋_GB2312" w:eastAsia="仿宋_GB2312" w:cs="仿宋_GB2312"/>
                <w:color w:val="auto"/>
                <w:sz w:val="24"/>
                <w:highlight w:val="none"/>
              </w:rPr>
            </w:pPr>
          </w:p>
        </w:tc>
        <w:tc>
          <w:tcPr>
            <w:tcW w:w="1620" w:type="dxa"/>
          </w:tcPr>
          <w:p w14:paraId="50AB5FA8">
            <w:pPr>
              <w:autoSpaceDE w:val="0"/>
              <w:autoSpaceDN w:val="0"/>
              <w:spacing w:line="360" w:lineRule="auto"/>
              <w:jc w:val="center"/>
              <w:rPr>
                <w:rFonts w:ascii="仿宋_GB2312" w:hAnsi="仿宋_GB2312" w:eastAsia="仿宋_GB2312" w:cs="仿宋_GB2312"/>
                <w:color w:val="auto"/>
                <w:sz w:val="24"/>
                <w:highlight w:val="none"/>
              </w:rPr>
            </w:pPr>
          </w:p>
        </w:tc>
        <w:tc>
          <w:tcPr>
            <w:tcW w:w="1245" w:type="dxa"/>
          </w:tcPr>
          <w:p w14:paraId="748C0832">
            <w:pPr>
              <w:autoSpaceDE w:val="0"/>
              <w:autoSpaceDN w:val="0"/>
              <w:spacing w:line="360" w:lineRule="auto"/>
              <w:jc w:val="center"/>
              <w:rPr>
                <w:rFonts w:ascii="仿宋_GB2312" w:hAnsi="仿宋_GB2312" w:eastAsia="仿宋_GB2312" w:cs="仿宋_GB2312"/>
                <w:color w:val="auto"/>
                <w:sz w:val="24"/>
                <w:highlight w:val="none"/>
              </w:rPr>
            </w:pPr>
          </w:p>
        </w:tc>
        <w:tc>
          <w:tcPr>
            <w:tcW w:w="2175" w:type="dxa"/>
          </w:tcPr>
          <w:p w14:paraId="28E0C632">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Pr>
          <w:p w14:paraId="2FE024E3">
            <w:pPr>
              <w:autoSpaceDE w:val="0"/>
              <w:autoSpaceDN w:val="0"/>
              <w:spacing w:line="360" w:lineRule="auto"/>
              <w:jc w:val="center"/>
              <w:rPr>
                <w:rFonts w:ascii="仿宋_GB2312" w:hAnsi="仿宋_GB2312" w:eastAsia="仿宋_GB2312" w:cs="仿宋_GB2312"/>
                <w:color w:val="auto"/>
                <w:sz w:val="24"/>
                <w:highlight w:val="none"/>
              </w:rPr>
            </w:pPr>
          </w:p>
        </w:tc>
      </w:tr>
    </w:tbl>
    <w:p w14:paraId="54B13670">
      <w:pPr>
        <w:autoSpaceDE w:val="0"/>
        <w:autoSpaceDN w:val="0"/>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注：关于项目涉及的所有售后服务机构均在本表注明，包括投标人本单位和符合条件的第三方服务机构。</w:t>
      </w:r>
    </w:p>
    <w:p w14:paraId="0DBD0DF0">
      <w:pPr>
        <w:autoSpaceDE w:val="0"/>
        <w:autoSpaceDN w:val="0"/>
        <w:rPr>
          <w:rFonts w:ascii="仿宋_GB2312" w:hAnsi="仿宋_GB2312" w:eastAsia="仿宋_GB2312" w:cs="仿宋_GB2312"/>
          <w:color w:val="auto"/>
          <w:kern w:val="0"/>
          <w:sz w:val="24"/>
          <w:highlight w:val="none"/>
        </w:rPr>
      </w:pPr>
      <w:r>
        <w:rPr>
          <w:rFonts w:hint="eastAsia" w:ascii="仿宋_GB2312" w:hAnsi="仿宋_GB2312" w:eastAsia="仿宋_GB2312" w:cs="仿宋_GB2312"/>
          <w:b/>
          <w:color w:val="auto"/>
          <w:kern w:val="0"/>
          <w:sz w:val="24"/>
          <w:highlight w:val="none"/>
        </w:rPr>
        <w:t>附表B：售后服务人员情况表</w:t>
      </w:r>
      <w:r>
        <w:rPr>
          <w:rFonts w:hint="eastAsia" w:ascii="仿宋_GB2312" w:hAnsi="仿宋_GB2312" w:eastAsia="仿宋_GB2312" w:cs="仿宋_GB2312"/>
          <w:color w:val="auto"/>
          <w:sz w:val="24"/>
          <w:highlight w:val="none"/>
        </w:rPr>
        <w:t>（按此格式自制）</w:t>
      </w:r>
    </w:p>
    <w:tbl>
      <w:tblPr>
        <w:tblStyle w:val="15"/>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14:paraId="39DD85F0">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14:paraId="7ED8451F">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序号</w:t>
            </w:r>
          </w:p>
        </w:tc>
        <w:tc>
          <w:tcPr>
            <w:tcW w:w="746" w:type="dxa"/>
            <w:tcBorders>
              <w:top w:val="single" w:color="auto" w:sz="6" w:space="0"/>
              <w:left w:val="single" w:color="auto" w:sz="4" w:space="0"/>
              <w:bottom w:val="single" w:color="auto" w:sz="6" w:space="0"/>
              <w:right w:val="single" w:color="auto" w:sz="6" w:space="0"/>
            </w:tcBorders>
            <w:vAlign w:val="center"/>
          </w:tcPr>
          <w:p w14:paraId="6AEAD8D9">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类别</w:t>
            </w:r>
          </w:p>
        </w:tc>
        <w:tc>
          <w:tcPr>
            <w:tcW w:w="787" w:type="dxa"/>
            <w:tcBorders>
              <w:top w:val="single" w:color="auto" w:sz="6" w:space="0"/>
              <w:left w:val="single" w:color="auto" w:sz="6" w:space="0"/>
              <w:bottom w:val="single" w:color="auto" w:sz="6" w:space="0"/>
              <w:right w:val="single" w:color="auto" w:sz="6" w:space="0"/>
            </w:tcBorders>
            <w:vAlign w:val="center"/>
          </w:tcPr>
          <w:p w14:paraId="1B503C95">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71E2C779">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900" w:type="dxa"/>
            <w:tcBorders>
              <w:top w:val="single" w:color="auto" w:sz="6" w:space="0"/>
              <w:left w:val="single" w:color="auto" w:sz="6" w:space="0"/>
              <w:bottom w:val="single" w:color="auto" w:sz="6" w:space="0"/>
              <w:right w:val="single" w:color="auto" w:sz="6" w:space="0"/>
            </w:tcBorders>
            <w:vAlign w:val="center"/>
          </w:tcPr>
          <w:p w14:paraId="43171D6A">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080" w:type="dxa"/>
            <w:tcBorders>
              <w:top w:val="single" w:color="auto" w:sz="6" w:space="0"/>
              <w:left w:val="single" w:color="auto" w:sz="6" w:space="0"/>
              <w:bottom w:val="single" w:color="auto" w:sz="6" w:space="0"/>
              <w:right w:val="single" w:color="auto" w:sz="6" w:space="0"/>
            </w:tcBorders>
            <w:vAlign w:val="center"/>
          </w:tcPr>
          <w:p w14:paraId="369944B4">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tc>
        <w:tc>
          <w:tcPr>
            <w:tcW w:w="1080" w:type="dxa"/>
            <w:tcBorders>
              <w:top w:val="single" w:color="auto" w:sz="6" w:space="0"/>
              <w:left w:val="single" w:color="auto" w:sz="6" w:space="0"/>
              <w:bottom w:val="single" w:color="auto" w:sz="6" w:space="0"/>
              <w:right w:val="single" w:color="auto" w:sz="6" w:space="0"/>
            </w:tcBorders>
            <w:vAlign w:val="center"/>
          </w:tcPr>
          <w:p w14:paraId="4ACF74EC">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专业</w:t>
            </w:r>
          </w:p>
        </w:tc>
        <w:tc>
          <w:tcPr>
            <w:tcW w:w="1080" w:type="dxa"/>
            <w:tcBorders>
              <w:top w:val="single" w:color="auto" w:sz="6" w:space="0"/>
              <w:left w:val="single" w:color="auto" w:sz="6" w:space="0"/>
              <w:bottom w:val="single" w:color="auto" w:sz="6" w:space="0"/>
              <w:right w:val="single" w:color="auto" w:sz="6" w:space="0"/>
            </w:tcBorders>
            <w:vAlign w:val="center"/>
          </w:tcPr>
          <w:p w14:paraId="1680712E">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tc>
        <w:tc>
          <w:tcPr>
            <w:tcW w:w="1260" w:type="dxa"/>
            <w:tcBorders>
              <w:top w:val="single" w:color="auto" w:sz="6" w:space="0"/>
              <w:left w:val="single" w:color="auto" w:sz="6" w:space="0"/>
              <w:bottom w:val="single" w:color="auto" w:sz="6" w:space="0"/>
              <w:right w:val="single" w:color="auto" w:sz="6" w:space="0"/>
            </w:tcBorders>
            <w:vAlign w:val="center"/>
          </w:tcPr>
          <w:p w14:paraId="48A21893">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60450DC3">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14:paraId="1804EE3C">
            <w:pPr>
              <w:autoSpaceDE w:val="0"/>
              <w:autoSpaceDN w:val="0"/>
              <w:spacing w:line="240" w:lineRule="exact"/>
              <w:ind w:left="-36" w:leftChars="-17" w:right="-181" w:rightChars="-86"/>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到达现场时间</w:t>
            </w:r>
          </w:p>
        </w:tc>
      </w:tr>
      <w:tr w14:paraId="4118F223">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5BCD391D">
            <w:pPr>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5C61046A">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总协调人</w:t>
            </w:r>
          </w:p>
        </w:tc>
        <w:tc>
          <w:tcPr>
            <w:tcW w:w="787" w:type="dxa"/>
            <w:tcBorders>
              <w:top w:val="single" w:color="auto" w:sz="6" w:space="0"/>
              <w:left w:val="single" w:color="auto" w:sz="6" w:space="0"/>
              <w:bottom w:val="single" w:color="auto" w:sz="6" w:space="0"/>
              <w:right w:val="single" w:color="auto" w:sz="6" w:space="0"/>
            </w:tcBorders>
          </w:tcPr>
          <w:p w14:paraId="740015D9">
            <w:pPr>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49B14B91">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2E33642A">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77AC239B">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3830246F">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48CECC9F">
            <w:pPr>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22EAA11D">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6443F392">
            <w:pPr>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2ED9A4F0">
            <w:pPr>
              <w:autoSpaceDE w:val="0"/>
              <w:autoSpaceDN w:val="0"/>
              <w:spacing w:line="240" w:lineRule="exact"/>
              <w:rPr>
                <w:rFonts w:ascii="仿宋_GB2312" w:hAnsi="仿宋_GB2312" w:eastAsia="仿宋_GB2312" w:cs="仿宋_GB2312"/>
                <w:color w:val="auto"/>
                <w:sz w:val="24"/>
                <w:highlight w:val="none"/>
              </w:rPr>
            </w:pPr>
          </w:p>
        </w:tc>
      </w:tr>
      <w:tr w14:paraId="4AE1CDED">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79027D1D">
            <w:pPr>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2F8E773F">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售后人员</w:t>
            </w:r>
          </w:p>
        </w:tc>
        <w:tc>
          <w:tcPr>
            <w:tcW w:w="787" w:type="dxa"/>
            <w:tcBorders>
              <w:top w:val="single" w:color="auto" w:sz="6" w:space="0"/>
              <w:left w:val="single" w:color="auto" w:sz="6" w:space="0"/>
              <w:bottom w:val="single" w:color="auto" w:sz="6" w:space="0"/>
              <w:right w:val="single" w:color="auto" w:sz="6" w:space="0"/>
            </w:tcBorders>
          </w:tcPr>
          <w:p w14:paraId="3249C236">
            <w:pPr>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4E81295B">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59A098F4">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66DF6158">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3DF1BAE9">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1B3F0C66">
            <w:pPr>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5B90AA35">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22C888B3">
            <w:pPr>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6D4CED49">
            <w:pPr>
              <w:autoSpaceDE w:val="0"/>
              <w:autoSpaceDN w:val="0"/>
              <w:spacing w:line="240" w:lineRule="exact"/>
              <w:rPr>
                <w:rFonts w:ascii="仿宋_GB2312" w:hAnsi="仿宋_GB2312" w:eastAsia="仿宋_GB2312" w:cs="仿宋_GB2312"/>
                <w:color w:val="auto"/>
                <w:sz w:val="24"/>
                <w:highlight w:val="none"/>
              </w:rPr>
            </w:pPr>
          </w:p>
        </w:tc>
      </w:tr>
      <w:tr w14:paraId="0F0EAB1E">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2C623EE1">
            <w:pPr>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3E96111A">
            <w:pPr>
              <w:autoSpaceDE w:val="0"/>
              <w:autoSpaceDN w:val="0"/>
              <w:spacing w:line="240" w:lineRule="exact"/>
              <w:jc w:val="center"/>
              <w:rPr>
                <w:rFonts w:ascii="仿宋_GB2312" w:hAnsi="仿宋_GB2312" w:eastAsia="仿宋_GB2312" w:cs="仿宋_GB2312"/>
                <w:color w:val="auto"/>
                <w:sz w:val="24"/>
                <w:highlight w:val="none"/>
              </w:rPr>
            </w:pPr>
            <w:r>
              <w:rPr>
                <w:rFonts w:ascii="仿宋_GB2312" w:hAnsi="仿宋_GB2312" w:eastAsia="仿宋_GB2312" w:cs="仿宋_GB2312"/>
                <w:color w:val="auto"/>
                <w:sz w:val="24"/>
                <w:highlight w:val="none"/>
              </w:rPr>
              <w:t>…</w:t>
            </w:r>
          </w:p>
        </w:tc>
        <w:tc>
          <w:tcPr>
            <w:tcW w:w="787" w:type="dxa"/>
            <w:tcBorders>
              <w:top w:val="single" w:color="auto" w:sz="6" w:space="0"/>
              <w:left w:val="single" w:color="auto" w:sz="6" w:space="0"/>
              <w:bottom w:val="single" w:color="auto" w:sz="6" w:space="0"/>
              <w:right w:val="single" w:color="auto" w:sz="6" w:space="0"/>
            </w:tcBorders>
          </w:tcPr>
          <w:p w14:paraId="2D1EE3A4">
            <w:pPr>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6908D2B8">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0FC591D6">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5E335F9E">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554384B8">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4DF511D7">
            <w:pPr>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16391144">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4BDDF4A5">
            <w:pPr>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0EE8C37B">
            <w:pPr>
              <w:autoSpaceDE w:val="0"/>
              <w:autoSpaceDN w:val="0"/>
              <w:spacing w:line="240" w:lineRule="exact"/>
              <w:rPr>
                <w:rFonts w:ascii="仿宋_GB2312" w:hAnsi="仿宋_GB2312" w:eastAsia="仿宋_GB2312" w:cs="仿宋_GB2312"/>
                <w:color w:val="auto"/>
                <w:sz w:val="24"/>
                <w:highlight w:val="none"/>
              </w:rPr>
            </w:pPr>
          </w:p>
        </w:tc>
      </w:tr>
    </w:tbl>
    <w:p w14:paraId="23A69868">
      <w:pPr>
        <w:spacing w:line="360" w:lineRule="auto"/>
        <w:ind w:firstLine="480" w:firstLineChars="200"/>
        <w:rPr>
          <w:rFonts w:ascii="仿宋_GB2312" w:hAnsi="仿宋_GB2312" w:eastAsia="仿宋_GB2312" w:cs="仿宋_GB2312"/>
          <w:color w:val="auto"/>
          <w:sz w:val="24"/>
          <w:szCs w:val="20"/>
          <w:highlight w:val="none"/>
        </w:rPr>
      </w:pPr>
    </w:p>
    <w:p w14:paraId="178EFDD7">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00BD0EB7">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4329FA12">
      <w:pPr>
        <w:spacing w:line="360" w:lineRule="auto"/>
        <w:rPr>
          <w:rFonts w:hint="eastAsia" w:ascii="仿宋_GB2312" w:hAnsi="仿宋_GB2312" w:eastAsia="仿宋_GB2312" w:cs="仿宋_GB2312"/>
          <w:b/>
          <w:color w:val="auto"/>
          <w:sz w:val="30"/>
          <w:szCs w:val="30"/>
          <w:highlight w:val="none"/>
          <w:lang w:eastAsia="zh-CN"/>
        </w:rPr>
      </w:pPr>
    </w:p>
    <w:p w14:paraId="1CB0FC04">
      <w:pPr>
        <w:pStyle w:val="29"/>
        <w:rPr>
          <w:rFonts w:hint="eastAsia"/>
          <w:color w:val="auto"/>
          <w:highlight w:val="none"/>
          <w:lang w:eastAsia="zh-CN"/>
        </w:rPr>
      </w:pPr>
    </w:p>
    <w:p w14:paraId="1989228F">
      <w:pPr>
        <w:spacing w:line="360" w:lineRule="auto"/>
        <w:jc w:val="center"/>
        <w:rPr>
          <w:rFonts w:ascii="仿宋_GB2312" w:hAnsi="仿宋_GB2312" w:eastAsia="仿宋_GB2312" w:cs="仿宋_GB2312"/>
          <w:b/>
          <w:color w:val="auto"/>
          <w:sz w:val="30"/>
          <w:szCs w:val="30"/>
          <w:highlight w:val="none"/>
        </w:rPr>
      </w:pPr>
      <w:r>
        <w:rPr>
          <w:rFonts w:hint="eastAsia" w:ascii="仿宋_GB2312" w:hAnsi="仿宋_GB2312" w:eastAsia="仿宋_GB2312" w:cs="仿宋_GB2312"/>
          <w:b/>
          <w:color w:val="auto"/>
          <w:sz w:val="30"/>
          <w:szCs w:val="30"/>
          <w:highlight w:val="none"/>
          <w:lang w:eastAsia="zh-CN"/>
        </w:rPr>
        <w:t>十</w:t>
      </w:r>
      <w:r>
        <w:rPr>
          <w:rFonts w:hint="eastAsia" w:ascii="仿宋_GB2312" w:hAnsi="仿宋_GB2312" w:eastAsia="仿宋_GB2312" w:cs="仿宋_GB2312"/>
          <w:b/>
          <w:color w:val="auto"/>
          <w:sz w:val="30"/>
          <w:szCs w:val="30"/>
          <w:highlight w:val="none"/>
          <w:lang w:val="en-US" w:eastAsia="zh-CN"/>
        </w:rPr>
        <w:t>二</w:t>
      </w:r>
      <w:r>
        <w:rPr>
          <w:rFonts w:hint="eastAsia" w:ascii="仿宋_GB2312" w:hAnsi="仿宋_GB2312" w:eastAsia="仿宋_GB2312" w:cs="仿宋_GB2312"/>
          <w:b/>
          <w:color w:val="auto"/>
          <w:sz w:val="30"/>
          <w:szCs w:val="30"/>
          <w:highlight w:val="none"/>
        </w:rPr>
        <w:t>、</w:t>
      </w:r>
      <w:r>
        <w:rPr>
          <w:rFonts w:hint="eastAsia" w:ascii="仿宋_GB2312" w:hAnsi="仿宋_GB2312" w:eastAsia="仿宋_GB2312" w:cs="仿宋_GB2312"/>
          <w:b/>
          <w:color w:val="auto"/>
          <w:sz w:val="30"/>
          <w:szCs w:val="30"/>
          <w:highlight w:val="none"/>
          <w:lang w:eastAsia="zh-CN"/>
        </w:rPr>
        <w:t>投标人</w:t>
      </w:r>
      <w:r>
        <w:rPr>
          <w:rFonts w:hint="eastAsia" w:ascii="仿宋_GB2312" w:hAnsi="仿宋_GB2312" w:eastAsia="仿宋_GB2312" w:cs="仿宋_GB2312"/>
          <w:b/>
          <w:color w:val="auto"/>
          <w:sz w:val="30"/>
          <w:szCs w:val="30"/>
          <w:highlight w:val="none"/>
        </w:rPr>
        <w:t>售后服务能力证明材料</w:t>
      </w:r>
    </w:p>
    <w:p w14:paraId="7EE9F904">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根据采购需求及磋商文件要求编制）</w:t>
      </w:r>
    </w:p>
    <w:p w14:paraId="5ADAEFE9">
      <w:pPr>
        <w:spacing w:line="336" w:lineRule="auto"/>
        <w:ind w:firstLine="3600" w:firstLineChars="1500"/>
        <w:rPr>
          <w:rFonts w:hint="eastAsia" w:ascii="仿宋" w:hAnsi="仿宋" w:eastAsia="仿宋" w:cs="仿宋"/>
          <w:color w:val="auto"/>
          <w:sz w:val="24"/>
          <w:highlight w:val="none"/>
        </w:rPr>
      </w:pPr>
    </w:p>
    <w:p w14:paraId="556F375A">
      <w:pPr>
        <w:pStyle w:val="29"/>
        <w:rPr>
          <w:rFonts w:hint="eastAsia"/>
          <w:color w:val="auto"/>
          <w:highlight w:val="none"/>
        </w:rPr>
      </w:pPr>
    </w:p>
    <w:p w14:paraId="14F649B7">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1394D2EC">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7F7F6131">
      <w:pPr>
        <w:pStyle w:val="29"/>
        <w:rPr>
          <w:color w:val="auto"/>
          <w:highlight w:val="none"/>
        </w:rPr>
      </w:pPr>
    </w:p>
    <w:p w14:paraId="4C687B27">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三</w:t>
      </w:r>
      <w:r>
        <w:rPr>
          <w:rFonts w:hint="eastAsia" w:ascii="仿宋_GB2312" w:hAnsi="仿宋_GB2312" w:eastAsia="仿宋_GB2312" w:cs="仿宋_GB2312"/>
          <w:b/>
          <w:bCs/>
          <w:color w:val="auto"/>
          <w:sz w:val="32"/>
          <w:szCs w:val="32"/>
          <w:highlight w:val="none"/>
        </w:rPr>
        <w:t>、项目小组人员名单</w:t>
      </w:r>
    </w:p>
    <w:p w14:paraId="1C99FF2C">
      <w:pPr>
        <w:spacing w:line="360" w:lineRule="auto"/>
        <w:jc w:val="center"/>
        <w:rPr>
          <w:rFonts w:ascii="仿宋_GB2312" w:hAnsi="仿宋_GB2312" w:eastAsia="仿宋_GB2312" w:cs="仿宋_GB2312"/>
          <w:b/>
          <w:bCs/>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2C912DA1">
      <w:pPr>
        <w:keepNext/>
        <w:autoSpaceDE w:val="0"/>
        <w:autoSpaceDN w:val="0"/>
        <w:spacing w:line="360" w:lineRule="auto"/>
        <w:ind w:firstLine="477"/>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附表A:本项目的项目经理情况表</w:t>
      </w:r>
    </w:p>
    <w:tbl>
      <w:tblPr>
        <w:tblStyle w:val="15"/>
        <w:tblW w:w="8755" w:type="dxa"/>
        <w:tblInd w:w="0" w:type="dxa"/>
        <w:tblLayout w:type="fixed"/>
        <w:tblCellMar>
          <w:top w:w="0" w:type="dxa"/>
          <w:left w:w="108" w:type="dxa"/>
          <w:bottom w:w="0" w:type="dxa"/>
          <w:right w:w="108" w:type="dxa"/>
        </w:tblCellMar>
      </w:tblPr>
      <w:tblGrid>
        <w:gridCol w:w="2061"/>
        <w:gridCol w:w="1287"/>
        <w:gridCol w:w="1260"/>
        <w:gridCol w:w="4147"/>
      </w:tblGrid>
      <w:tr w14:paraId="757CA254">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3B131134">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14:paraId="577C3D0A">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7DF54D6B">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4147" w:type="dxa"/>
            <w:tcBorders>
              <w:top w:val="single" w:color="auto" w:sz="6" w:space="0"/>
              <w:left w:val="single" w:color="auto" w:sz="6" w:space="0"/>
              <w:bottom w:val="single" w:color="auto" w:sz="6" w:space="0"/>
              <w:right w:val="single" w:color="auto" w:sz="6" w:space="0"/>
            </w:tcBorders>
            <w:vAlign w:val="center"/>
          </w:tcPr>
          <w:p w14:paraId="0EB11CC3">
            <w:pPr>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截止投标时间近3年业绩及承担的主要工作情况，曾担任项目经理的项目应列明细</w:t>
            </w:r>
          </w:p>
        </w:tc>
      </w:tr>
      <w:tr w14:paraId="38B5B0D6">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0BEF075C">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0301DF8E">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203D77EF">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14:paraId="630D6DEC">
            <w:pPr>
              <w:autoSpaceDE w:val="0"/>
              <w:autoSpaceDN w:val="0"/>
              <w:spacing w:line="360" w:lineRule="auto"/>
              <w:jc w:val="center"/>
              <w:rPr>
                <w:rFonts w:ascii="仿宋_GB2312" w:hAnsi="仿宋_GB2312" w:eastAsia="仿宋_GB2312" w:cs="仿宋_GB2312"/>
                <w:color w:val="auto"/>
                <w:sz w:val="24"/>
                <w:highlight w:val="none"/>
              </w:rPr>
            </w:pPr>
          </w:p>
        </w:tc>
      </w:tr>
      <w:tr w14:paraId="1385EFCC">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0AC8B236">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7BF95C83">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795230D9">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775DF929">
            <w:pPr>
              <w:autoSpaceDE w:val="0"/>
              <w:autoSpaceDN w:val="0"/>
              <w:spacing w:line="360" w:lineRule="auto"/>
              <w:jc w:val="center"/>
              <w:rPr>
                <w:rFonts w:ascii="仿宋_GB2312" w:hAnsi="仿宋_GB2312" w:eastAsia="仿宋_GB2312" w:cs="仿宋_GB2312"/>
                <w:color w:val="auto"/>
                <w:sz w:val="24"/>
                <w:highlight w:val="none"/>
              </w:rPr>
            </w:pPr>
          </w:p>
        </w:tc>
      </w:tr>
      <w:tr w14:paraId="121A76E8">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6E84756A">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tc>
        <w:tc>
          <w:tcPr>
            <w:tcW w:w="1287" w:type="dxa"/>
            <w:tcBorders>
              <w:top w:val="single" w:color="auto" w:sz="6" w:space="0"/>
              <w:left w:val="single" w:color="auto" w:sz="6" w:space="0"/>
              <w:bottom w:val="single" w:color="auto" w:sz="6" w:space="0"/>
              <w:right w:val="single" w:color="auto" w:sz="4" w:space="0"/>
            </w:tcBorders>
            <w:vAlign w:val="center"/>
          </w:tcPr>
          <w:p w14:paraId="696DDC76">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7B37861E">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66034AFB">
            <w:pPr>
              <w:autoSpaceDE w:val="0"/>
              <w:autoSpaceDN w:val="0"/>
              <w:spacing w:line="360" w:lineRule="auto"/>
              <w:jc w:val="center"/>
              <w:rPr>
                <w:rFonts w:ascii="仿宋_GB2312" w:hAnsi="仿宋_GB2312" w:eastAsia="仿宋_GB2312" w:cs="仿宋_GB2312"/>
                <w:color w:val="auto"/>
                <w:sz w:val="24"/>
                <w:highlight w:val="none"/>
              </w:rPr>
            </w:pPr>
          </w:p>
        </w:tc>
      </w:tr>
      <w:tr w14:paraId="442923F3">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12C284E0">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14:paraId="6C7ABE1C">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6BE300CF">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3DF9D3FF">
            <w:pPr>
              <w:autoSpaceDE w:val="0"/>
              <w:autoSpaceDN w:val="0"/>
              <w:spacing w:line="360" w:lineRule="auto"/>
              <w:jc w:val="center"/>
              <w:rPr>
                <w:rFonts w:ascii="仿宋_GB2312" w:hAnsi="仿宋_GB2312" w:eastAsia="仿宋_GB2312" w:cs="仿宋_GB2312"/>
                <w:color w:val="auto"/>
                <w:sz w:val="24"/>
                <w:highlight w:val="none"/>
              </w:rPr>
            </w:pPr>
          </w:p>
        </w:tc>
      </w:tr>
      <w:tr w14:paraId="691F8CD2">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14:paraId="5794A24A">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14:paraId="1CEC7CE7">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18B3C2A2">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3533B6DD">
            <w:pPr>
              <w:autoSpaceDE w:val="0"/>
              <w:autoSpaceDN w:val="0"/>
              <w:spacing w:line="360" w:lineRule="auto"/>
              <w:jc w:val="center"/>
              <w:rPr>
                <w:rFonts w:ascii="仿宋_GB2312" w:hAnsi="仿宋_GB2312" w:eastAsia="仿宋_GB2312" w:cs="仿宋_GB2312"/>
                <w:color w:val="auto"/>
                <w:sz w:val="24"/>
                <w:highlight w:val="none"/>
              </w:rPr>
            </w:pPr>
          </w:p>
        </w:tc>
      </w:tr>
      <w:tr w14:paraId="45AA44BA">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14:paraId="563DC987">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tc>
        <w:tc>
          <w:tcPr>
            <w:tcW w:w="1287" w:type="dxa"/>
            <w:tcBorders>
              <w:top w:val="single" w:color="auto" w:sz="6" w:space="0"/>
              <w:left w:val="single" w:color="auto" w:sz="6" w:space="0"/>
              <w:bottom w:val="single" w:color="auto" w:sz="6" w:space="0"/>
              <w:right w:val="single" w:color="auto" w:sz="4" w:space="0"/>
            </w:tcBorders>
            <w:vAlign w:val="center"/>
          </w:tcPr>
          <w:p w14:paraId="0A15C85E">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3AFA6A8C">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02379687">
            <w:pPr>
              <w:autoSpaceDE w:val="0"/>
              <w:autoSpaceDN w:val="0"/>
              <w:spacing w:line="360" w:lineRule="auto"/>
              <w:jc w:val="center"/>
              <w:rPr>
                <w:rFonts w:ascii="仿宋_GB2312" w:hAnsi="仿宋_GB2312" w:eastAsia="仿宋_GB2312" w:cs="仿宋_GB2312"/>
                <w:color w:val="auto"/>
                <w:sz w:val="24"/>
                <w:highlight w:val="none"/>
              </w:rPr>
            </w:pPr>
          </w:p>
        </w:tc>
      </w:tr>
      <w:tr w14:paraId="3672D4FC">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14:paraId="4C78F82C">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14:paraId="7CDC5D10">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02A88441">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2F472C2B">
            <w:pPr>
              <w:autoSpaceDE w:val="0"/>
              <w:autoSpaceDN w:val="0"/>
              <w:spacing w:line="360" w:lineRule="auto"/>
              <w:jc w:val="center"/>
              <w:rPr>
                <w:rFonts w:ascii="仿宋_GB2312" w:hAnsi="仿宋_GB2312" w:eastAsia="仿宋_GB2312" w:cs="仿宋_GB2312"/>
                <w:color w:val="auto"/>
                <w:sz w:val="24"/>
                <w:highlight w:val="none"/>
              </w:rPr>
            </w:pPr>
          </w:p>
        </w:tc>
      </w:tr>
      <w:tr w14:paraId="48813A67">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14:paraId="6835671A">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14:paraId="22CC4878">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623DFE4D">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6F7AF45C">
            <w:pPr>
              <w:autoSpaceDE w:val="0"/>
              <w:autoSpaceDN w:val="0"/>
              <w:spacing w:line="360" w:lineRule="auto"/>
              <w:jc w:val="center"/>
              <w:rPr>
                <w:rFonts w:ascii="仿宋_GB2312" w:hAnsi="仿宋_GB2312" w:eastAsia="仿宋_GB2312" w:cs="仿宋_GB2312"/>
                <w:color w:val="auto"/>
                <w:sz w:val="24"/>
                <w:highlight w:val="none"/>
              </w:rPr>
            </w:pPr>
          </w:p>
        </w:tc>
      </w:tr>
      <w:tr w14:paraId="09033F05">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22D988E0">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43BF7E02">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7AC24ED9">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4E610973">
            <w:pPr>
              <w:autoSpaceDE w:val="0"/>
              <w:autoSpaceDN w:val="0"/>
              <w:spacing w:line="360" w:lineRule="auto"/>
              <w:jc w:val="center"/>
              <w:rPr>
                <w:rFonts w:ascii="仿宋_GB2312" w:hAnsi="仿宋_GB2312" w:eastAsia="仿宋_GB2312" w:cs="仿宋_GB2312"/>
                <w:color w:val="auto"/>
                <w:sz w:val="24"/>
                <w:highlight w:val="none"/>
              </w:rPr>
            </w:pPr>
          </w:p>
        </w:tc>
      </w:tr>
    </w:tbl>
    <w:p w14:paraId="5945B3DC">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注：须随表提交相应的证书复印件并注明所在投标技术文件页码。</w:t>
      </w:r>
    </w:p>
    <w:p w14:paraId="4E5CE355">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附表B:本项目的项目小组人员情况表</w:t>
      </w:r>
      <w:r>
        <w:rPr>
          <w:rFonts w:hint="eastAsia" w:ascii="仿宋_GB2312" w:hAnsi="仿宋_GB2312" w:eastAsia="仿宋_GB2312" w:cs="仿宋_GB2312"/>
          <w:color w:val="auto"/>
          <w:sz w:val="24"/>
          <w:highlight w:val="none"/>
        </w:rPr>
        <w:t>（按此格式自制）</w:t>
      </w:r>
    </w:p>
    <w:tbl>
      <w:tblPr>
        <w:tblStyle w:val="15"/>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5297C725">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14:paraId="4562A171">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序号</w:t>
            </w:r>
          </w:p>
        </w:tc>
        <w:tc>
          <w:tcPr>
            <w:tcW w:w="787" w:type="dxa"/>
            <w:tcBorders>
              <w:top w:val="single" w:color="auto" w:sz="6" w:space="0"/>
              <w:left w:val="single" w:color="auto" w:sz="6" w:space="0"/>
              <w:bottom w:val="single" w:color="auto" w:sz="6" w:space="0"/>
              <w:right w:val="single" w:color="auto" w:sz="6" w:space="0"/>
            </w:tcBorders>
            <w:vAlign w:val="center"/>
          </w:tcPr>
          <w:p w14:paraId="7E1FD466">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0F19F7E6">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586" w:type="dxa"/>
            <w:tcBorders>
              <w:top w:val="single" w:color="auto" w:sz="6" w:space="0"/>
              <w:left w:val="single" w:color="auto" w:sz="6" w:space="0"/>
              <w:bottom w:val="single" w:color="auto" w:sz="6" w:space="0"/>
              <w:right w:val="single" w:color="auto" w:sz="6" w:space="0"/>
            </w:tcBorders>
            <w:vAlign w:val="center"/>
          </w:tcPr>
          <w:p w14:paraId="37058EB3">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035" w:type="dxa"/>
            <w:tcBorders>
              <w:top w:val="single" w:color="auto" w:sz="6" w:space="0"/>
              <w:left w:val="single" w:color="auto" w:sz="6" w:space="0"/>
              <w:bottom w:val="single" w:color="auto" w:sz="6" w:space="0"/>
              <w:right w:val="single" w:color="auto" w:sz="6" w:space="0"/>
            </w:tcBorders>
            <w:vAlign w:val="center"/>
          </w:tcPr>
          <w:p w14:paraId="462DA768">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p w14:paraId="1458EAEE">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34DBDF7A">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专业</w:t>
            </w:r>
          </w:p>
          <w:p w14:paraId="555C7E0E">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46BB7F32">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p w14:paraId="188AC3AD">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260" w:type="dxa"/>
            <w:tcBorders>
              <w:top w:val="single" w:color="auto" w:sz="6" w:space="0"/>
              <w:left w:val="single" w:color="auto" w:sz="6" w:space="0"/>
              <w:bottom w:val="single" w:color="auto" w:sz="6" w:space="0"/>
              <w:right w:val="single" w:color="auto" w:sz="6" w:space="0"/>
            </w:tcBorders>
            <w:vAlign w:val="center"/>
          </w:tcPr>
          <w:p w14:paraId="4702B30E">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13D3BDB5">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14:paraId="07370712">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参与本项目的到位情况</w:t>
            </w:r>
          </w:p>
        </w:tc>
      </w:tr>
      <w:tr w14:paraId="54062D92">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14:paraId="6EAD00A4">
            <w:pPr>
              <w:autoSpaceDE w:val="0"/>
              <w:autoSpaceDN w:val="0"/>
              <w:spacing w:line="360" w:lineRule="auto"/>
              <w:jc w:val="center"/>
              <w:rPr>
                <w:rFonts w:ascii="仿宋_GB2312" w:hAnsi="仿宋_GB2312" w:eastAsia="仿宋_GB2312" w:cs="仿宋_GB2312"/>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5FB6C6A5">
            <w:pPr>
              <w:autoSpaceDE w:val="0"/>
              <w:autoSpaceDN w:val="0"/>
              <w:spacing w:line="360" w:lineRule="auto"/>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7B0CDC94">
            <w:pPr>
              <w:autoSpaceDE w:val="0"/>
              <w:autoSpaceDN w:val="0"/>
              <w:spacing w:line="360" w:lineRule="auto"/>
              <w:rPr>
                <w:rFonts w:ascii="仿宋_GB2312" w:hAnsi="仿宋_GB2312" w:eastAsia="仿宋_GB2312" w:cs="仿宋_GB2312"/>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171B69FE">
            <w:pPr>
              <w:autoSpaceDE w:val="0"/>
              <w:autoSpaceDN w:val="0"/>
              <w:spacing w:line="360" w:lineRule="auto"/>
              <w:rPr>
                <w:rFonts w:ascii="仿宋_GB2312" w:hAnsi="仿宋_GB2312" w:eastAsia="仿宋_GB2312" w:cs="仿宋_GB2312"/>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63504CE6">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04C83FB5">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3AA418D2">
            <w:pPr>
              <w:autoSpaceDE w:val="0"/>
              <w:autoSpaceDN w:val="0"/>
              <w:spacing w:line="360" w:lineRule="auto"/>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1B13FDD0">
            <w:pPr>
              <w:autoSpaceDE w:val="0"/>
              <w:autoSpaceDN w:val="0"/>
              <w:spacing w:line="360" w:lineRule="auto"/>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73E38358">
            <w:pPr>
              <w:autoSpaceDE w:val="0"/>
              <w:autoSpaceDN w:val="0"/>
              <w:spacing w:line="360" w:lineRule="auto"/>
              <w:rPr>
                <w:rFonts w:ascii="仿宋_GB2312" w:hAnsi="仿宋_GB2312" w:eastAsia="仿宋_GB2312" w:cs="仿宋_GB2312"/>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1BE9B4DD">
            <w:pPr>
              <w:autoSpaceDE w:val="0"/>
              <w:autoSpaceDN w:val="0"/>
              <w:spacing w:line="360" w:lineRule="auto"/>
              <w:rPr>
                <w:rFonts w:ascii="仿宋_GB2312" w:hAnsi="仿宋_GB2312" w:eastAsia="仿宋_GB2312" w:cs="仿宋_GB2312"/>
                <w:color w:val="auto"/>
                <w:sz w:val="24"/>
                <w:highlight w:val="none"/>
              </w:rPr>
            </w:pPr>
          </w:p>
        </w:tc>
      </w:tr>
      <w:tr w14:paraId="07B33FE8">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14:paraId="3C7DAF26">
            <w:pPr>
              <w:autoSpaceDE w:val="0"/>
              <w:autoSpaceDN w:val="0"/>
              <w:spacing w:line="360" w:lineRule="auto"/>
              <w:jc w:val="center"/>
              <w:rPr>
                <w:rFonts w:ascii="仿宋_GB2312" w:hAnsi="仿宋_GB2312" w:eastAsia="仿宋_GB2312" w:cs="仿宋_GB2312"/>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5CF650E3">
            <w:pPr>
              <w:autoSpaceDE w:val="0"/>
              <w:autoSpaceDN w:val="0"/>
              <w:spacing w:line="360" w:lineRule="auto"/>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46BC99DF">
            <w:pPr>
              <w:autoSpaceDE w:val="0"/>
              <w:autoSpaceDN w:val="0"/>
              <w:spacing w:line="360" w:lineRule="auto"/>
              <w:rPr>
                <w:rFonts w:ascii="仿宋_GB2312" w:hAnsi="仿宋_GB2312" w:eastAsia="仿宋_GB2312" w:cs="仿宋_GB2312"/>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71EA4C1E">
            <w:pPr>
              <w:autoSpaceDE w:val="0"/>
              <w:autoSpaceDN w:val="0"/>
              <w:spacing w:line="360" w:lineRule="auto"/>
              <w:rPr>
                <w:rFonts w:ascii="仿宋_GB2312" w:hAnsi="仿宋_GB2312" w:eastAsia="仿宋_GB2312" w:cs="仿宋_GB2312"/>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28758BA4">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1E53BF81">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1DC3E870">
            <w:pPr>
              <w:autoSpaceDE w:val="0"/>
              <w:autoSpaceDN w:val="0"/>
              <w:spacing w:line="360" w:lineRule="auto"/>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13602EA7">
            <w:pPr>
              <w:autoSpaceDE w:val="0"/>
              <w:autoSpaceDN w:val="0"/>
              <w:spacing w:line="360" w:lineRule="auto"/>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38ECF134">
            <w:pPr>
              <w:autoSpaceDE w:val="0"/>
              <w:autoSpaceDN w:val="0"/>
              <w:spacing w:line="360" w:lineRule="auto"/>
              <w:rPr>
                <w:rFonts w:ascii="仿宋_GB2312" w:hAnsi="仿宋_GB2312" w:eastAsia="仿宋_GB2312" w:cs="仿宋_GB2312"/>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6CC2993C">
            <w:pPr>
              <w:autoSpaceDE w:val="0"/>
              <w:autoSpaceDN w:val="0"/>
              <w:spacing w:line="360" w:lineRule="auto"/>
              <w:rPr>
                <w:rFonts w:ascii="仿宋_GB2312" w:hAnsi="仿宋_GB2312" w:eastAsia="仿宋_GB2312" w:cs="仿宋_GB2312"/>
                <w:color w:val="auto"/>
                <w:sz w:val="24"/>
                <w:highlight w:val="none"/>
              </w:rPr>
            </w:pPr>
          </w:p>
        </w:tc>
      </w:tr>
    </w:tbl>
    <w:p w14:paraId="022CEDC3">
      <w:pPr>
        <w:spacing w:line="360" w:lineRule="auto"/>
        <w:rPr>
          <w:rFonts w:ascii="仿宋_GB2312" w:hAnsi="仿宋_GB2312" w:eastAsia="仿宋_GB2312" w:cs="仿宋_GB2312"/>
          <w:b/>
          <w:bCs/>
          <w:color w:val="auto"/>
          <w:sz w:val="24"/>
          <w:highlight w:val="none"/>
        </w:rPr>
      </w:pPr>
      <w:r>
        <w:rPr>
          <w:rFonts w:hint="eastAsia" w:ascii="仿宋_GB2312" w:hAnsi="仿宋_GB2312" w:eastAsia="仿宋_GB2312" w:cs="仿宋_GB2312"/>
          <w:b/>
          <w:color w:val="auto"/>
          <w:sz w:val="24"/>
          <w:highlight w:val="none"/>
        </w:rPr>
        <w:t>注：投标人可按上述的格式自行编制，须随表提交相应的证书复印件并注明所在投标技术文件页码。</w:t>
      </w:r>
    </w:p>
    <w:p w14:paraId="0E0F564C">
      <w:pPr>
        <w:spacing w:line="360" w:lineRule="auto"/>
        <w:rPr>
          <w:rFonts w:ascii="仿宋_GB2312" w:hAnsi="仿宋_GB2312" w:eastAsia="仿宋_GB2312" w:cs="仿宋_GB2312"/>
          <w:b/>
          <w:bCs/>
          <w:color w:val="auto"/>
          <w:sz w:val="24"/>
          <w:highlight w:val="none"/>
        </w:rPr>
      </w:pPr>
      <w:r>
        <w:rPr>
          <w:rFonts w:hint="eastAsia" w:ascii="仿宋_GB2312" w:hAnsi="仿宋_GB2312" w:eastAsia="仿宋_GB2312" w:cs="仿宋_GB2312"/>
          <w:b/>
          <w:color w:val="auto"/>
          <w:sz w:val="24"/>
          <w:highlight w:val="none"/>
        </w:rPr>
        <w:t>附表C:本项目的项目负责人和小组人员社会保障资金记录情况表</w:t>
      </w:r>
      <w:r>
        <w:rPr>
          <w:rFonts w:hint="eastAsia" w:ascii="仿宋_GB2312" w:hAnsi="仿宋_GB2312" w:eastAsia="仿宋_GB2312" w:cs="仿宋_GB2312"/>
          <w:color w:val="auto"/>
          <w:sz w:val="24"/>
          <w:highlight w:val="none"/>
        </w:rPr>
        <w:t>（以社保部门出具缴纳凭证作附件）</w:t>
      </w:r>
    </w:p>
    <w:p w14:paraId="6C6EE10F">
      <w:pPr>
        <w:spacing w:line="360" w:lineRule="auto"/>
        <w:ind w:firstLine="480" w:firstLineChars="200"/>
        <w:rPr>
          <w:rFonts w:ascii="仿宋_GB2312" w:hAnsi="仿宋_GB2312" w:eastAsia="仿宋_GB2312" w:cs="仿宋_GB2312"/>
          <w:color w:val="auto"/>
          <w:sz w:val="24"/>
          <w:szCs w:val="20"/>
          <w:highlight w:val="none"/>
        </w:rPr>
      </w:pPr>
    </w:p>
    <w:p w14:paraId="7ED79BC7">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名称（电子签名）：</w:t>
      </w:r>
    </w:p>
    <w:p w14:paraId="3222BC34">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4E49CC2D">
      <w:pPr>
        <w:snapToGrid w:val="0"/>
        <w:spacing w:line="360" w:lineRule="auto"/>
        <w:ind w:firstLine="6907" w:firstLineChars="2150"/>
        <w:rPr>
          <w:rFonts w:ascii="仿宋_GB2312" w:hAnsi="仿宋_GB2312" w:eastAsia="仿宋_GB2312" w:cs="仿宋_GB2312"/>
          <w:b/>
          <w:bCs/>
          <w:color w:val="auto"/>
          <w:sz w:val="32"/>
          <w:szCs w:val="32"/>
          <w:highlight w:val="none"/>
        </w:rPr>
      </w:pPr>
    </w:p>
    <w:p w14:paraId="2D1F012D">
      <w:pPr>
        <w:snapToGrid w:val="0"/>
        <w:spacing w:line="360" w:lineRule="auto"/>
        <w:ind w:right="960"/>
        <w:jc w:val="both"/>
        <w:rPr>
          <w:rFonts w:hint="eastAsia" w:ascii="仿宋_GB2312" w:hAnsi="仿宋_GB2312" w:eastAsia="仿宋_GB2312" w:cs="仿宋_GB2312"/>
          <w:color w:val="auto"/>
          <w:kern w:val="0"/>
          <w:sz w:val="24"/>
          <w:highlight w:val="none"/>
          <w:lang w:val="zh-CN"/>
        </w:rPr>
      </w:pPr>
    </w:p>
    <w:p w14:paraId="1F2A31A8">
      <w:pPr>
        <w:snapToGrid w:val="0"/>
        <w:spacing w:line="360" w:lineRule="auto"/>
        <w:ind w:right="960"/>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四</w:t>
      </w:r>
      <w:r>
        <w:rPr>
          <w:rFonts w:hint="eastAsia" w:ascii="仿宋_GB2312" w:hAnsi="仿宋_GB2312" w:eastAsia="仿宋_GB2312" w:cs="仿宋_GB2312"/>
          <w:b/>
          <w:bCs/>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优惠条件及特殊承诺</w:t>
      </w:r>
    </w:p>
    <w:p w14:paraId="056E1293">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根据采购需求自行编制）</w:t>
      </w:r>
    </w:p>
    <w:p w14:paraId="3F91CEC1">
      <w:pPr>
        <w:spacing w:line="360" w:lineRule="auto"/>
        <w:rPr>
          <w:rFonts w:ascii="仿宋_GB2312" w:hAnsi="仿宋_GB2312" w:eastAsia="仿宋_GB2312" w:cs="仿宋_GB2312"/>
          <w:color w:val="auto"/>
          <w:sz w:val="18"/>
          <w:szCs w:val="18"/>
          <w:highlight w:val="none"/>
        </w:rPr>
      </w:pPr>
    </w:p>
    <w:p w14:paraId="03BBEEDD">
      <w:pPr>
        <w:pStyle w:val="29"/>
        <w:rPr>
          <w:color w:val="auto"/>
          <w:highlight w:val="none"/>
        </w:rPr>
      </w:pPr>
    </w:p>
    <w:p w14:paraId="124BE102">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49E88C70">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619CCB97">
      <w:pPr>
        <w:spacing w:line="360" w:lineRule="auto"/>
        <w:rPr>
          <w:rFonts w:ascii="仿宋_GB2312" w:hAnsi="仿宋_GB2312" w:eastAsia="仿宋_GB2312" w:cs="仿宋_GB2312"/>
          <w:b/>
          <w:bCs/>
          <w:color w:val="auto"/>
          <w:sz w:val="18"/>
          <w:szCs w:val="18"/>
          <w:highlight w:val="none"/>
        </w:rPr>
      </w:pPr>
    </w:p>
    <w:p w14:paraId="4E44E127">
      <w:pPr>
        <w:spacing w:line="360" w:lineRule="auto"/>
        <w:rPr>
          <w:rFonts w:ascii="仿宋_GB2312" w:hAnsi="仿宋_GB2312" w:eastAsia="仿宋_GB2312" w:cs="仿宋_GB2312"/>
          <w:b/>
          <w:bCs/>
          <w:color w:val="auto"/>
          <w:sz w:val="32"/>
          <w:szCs w:val="32"/>
          <w:highlight w:val="none"/>
        </w:rPr>
      </w:pPr>
    </w:p>
    <w:p w14:paraId="0BCF065B">
      <w:pPr>
        <w:spacing w:line="360" w:lineRule="auto"/>
        <w:rPr>
          <w:rFonts w:ascii="仿宋_GB2312" w:hAnsi="仿宋_GB2312" w:eastAsia="仿宋_GB2312" w:cs="仿宋_GB2312"/>
          <w:b/>
          <w:bCs/>
          <w:color w:val="auto"/>
          <w:sz w:val="32"/>
          <w:szCs w:val="32"/>
          <w:highlight w:val="none"/>
        </w:rPr>
      </w:pPr>
    </w:p>
    <w:p w14:paraId="63FC522E">
      <w:pPr>
        <w:spacing w:line="360" w:lineRule="auto"/>
        <w:rPr>
          <w:rFonts w:ascii="仿宋_GB2312" w:hAnsi="仿宋_GB2312" w:eastAsia="仿宋_GB2312" w:cs="仿宋_GB2312"/>
          <w:b/>
          <w:bCs/>
          <w:color w:val="auto"/>
          <w:sz w:val="32"/>
          <w:szCs w:val="32"/>
          <w:highlight w:val="none"/>
        </w:rPr>
      </w:pPr>
    </w:p>
    <w:p w14:paraId="232DB682">
      <w:pPr>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五</w:t>
      </w:r>
      <w:r>
        <w:rPr>
          <w:rFonts w:hint="eastAsia" w:ascii="仿宋_GB2312" w:hAnsi="仿宋_GB2312" w:eastAsia="仿宋_GB2312" w:cs="仿宋_GB2312"/>
          <w:b/>
          <w:bCs/>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备品备件及供选择的配套零部件清单</w:t>
      </w:r>
    </w:p>
    <w:p w14:paraId="581E0E56">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根据采购需求自行编制）</w:t>
      </w:r>
    </w:p>
    <w:p w14:paraId="4357F382">
      <w:pPr>
        <w:snapToGrid w:val="0"/>
        <w:spacing w:line="360" w:lineRule="auto"/>
        <w:ind w:right="960"/>
        <w:jc w:val="right"/>
        <w:rPr>
          <w:rFonts w:ascii="仿宋_GB2312" w:hAnsi="仿宋_GB2312" w:eastAsia="仿宋_GB2312" w:cs="仿宋_GB2312"/>
          <w:color w:val="auto"/>
          <w:kern w:val="0"/>
          <w:sz w:val="24"/>
          <w:highlight w:val="none"/>
          <w:lang w:val="zh-CN"/>
        </w:rPr>
      </w:pPr>
    </w:p>
    <w:p w14:paraId="3AC80A8C">
      <w:pPr>
        <w:snapToGrid w:val="0"/>
        <w:spacing w:line="360" w:lineRule="auto"/>
        <w:ind w:right="960"/>
        <w:jc w:val="right"/>
        <w:rPr>
          <w:rFonts w:ascii="仿宋_GB2312" w:hAnsi="仿宋_GB2312" w:eastAsia="仿宋_GB2312" w:cs="仿宋_GB2312"/>
          <w:color w:val="auto"/>
          <w:kern w:val="0"/>
          <w:sz w:val="24"/>
          <w:highlight w:val="none"/>
          <w:lang w:val="zh-CN"/>
        </w:rPr>
      </w:pPr>
    </w:p>
    <w:p w14:paraId="7F326EEB">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4FFA9C8D">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33FCD689">
      <w:pPr>
        <w:spacing w:line="360" w:lineRule="auto"/>
        <w:rPr>
          <w:rFonts w:ascii="仿宋_GB2312" w:hAnsi="仿宋_GB2312" w:eastAsia="仿宋_GB2312" w:cs="仿宋_GB2312"/>
          <w:b/>
          <w:bCs/>
          <w:color w:val="auto"/>
          <w:sz w:val="32"/>
          <w:szCs w:val="32"/>
          <w:highlight w:val="none"/>
        </w:rPr>
      </w:pPr>
    </w:p>
    <w:p w14:paraId="23DF262F">
      <w:pPr>
        <w:spacing w:line="360" w:lineRule="auto"/>
        <w:rPr>
          <w:rFonts w:ascii="仿宋_GB2312" w:hAnsi="仿宋_GB2312" w:eastAsia="仿宋_GB2312" w:cs="仿宋_GB2312"/>
          <w:b/>
          <w:bCs/>
          <w:color w:val="auto"/>
          <w:sz w:val="32"/>
          <w:szCs w:val="32"/>
          <w:highlight w:val="none"/>
        </w:rPr>
      </w:pPr>
    </w:p>
    <w:p w14:paraId="27143077">
      <w:pPr>
        <w:spacing w:line="360" w:lineRule="auto"/>
        <w:rPr>
          <w:rFonts w:ascii="仿宋_GB2312" w:hAnsi="仿宋_GB2312" w:eastAsia="仿宋_GB2312" w:cs="仿宋_GB2312"/>
          <w:b/>
          <w:bCs/>
          <w:color w:val="auto"/>
          <w:sz w:val="32"/>
          <w:szCs w:val="32"/>
          <w:highlight w:val="none"/>
        </w:rPr>
      </w:pPr>
    </w:p>
    <w:p w14:paraId="463B84B9">
      <w:pPr>
        <w:spacing w:line="360" w:lineRule="auto"/>
        <w:rPr>
          <w:rFonts w:ascii="仿宋_GB2312" w:hAnsi="仿宋_GB2312" w:eastAsia="仿宋_GB2312" w:cs="仿宋_GB2312"/>
          <w:b/>
          <w:bCs/>
          <w:color w:val="auto"/>
          <w:sz w:val="32"/>
          <w:szCs w:val="32"/>
          <w:highlight w:val="none"/>
        </w:rPr>
      </w:pPr>
    </w:p>
    <w:p w14:paraId="04930FD0">
      <w:pPr>
        <w:keepNext w:val="0"/>
        <w:keepLines w:val="0"/>
        <w:pageBreakBefore/>
        <w:widowControl w:val="0"/>
        <w:kinsoku/>
        <w:wordWrap/>
        <w:overflowPunct/>
        <w:topLinePunct w:val="0"/>
        <w:autoSpaceDE/>
        <w:autoSpaceDN/>
        <w:bidi w:val="0"/>
        <w:adjustRightInd w:val="0"/>
        <w:snapToGrid/>
        <w:spacing w:line="360" w:lineRule="auto"/>
        <w:jc w:val="center"/>
        <w:textAlignment w:val="auto"/>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六</w:t>
      </w:r>
      <w:r>
        <w:rPr>
          <w:rFonts w:hint="eastAsia" w:ascii="仿宋_GB2312" w:hAnsi="仿宋_GB2312" w:eastAsia="仿宋_GB2312" w:cs="仿宋_GB2312"/>
          <w:b/>
          <w:bCs/>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培训计划</w:t>
      </w:r>
    </w:p>
    <w:p w14:paraId="52803259">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14:paraId="6059C4D4">
      <w:pPr>
        <w:keepNext/>
        <w:autoSpaceDE w:val="0"/>
        <w:autoSpaceDN w:val="0"/>
        <w:spacing w:line="360" w:lineRule="auto"/>
        <w:ind w:firstLine="477"/>
        <w:jc w:val="lef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 培训日程及费用</w:t>
      </w:r>
    </w:p>
    <w:tbl>
      <w:tblPr>
        <w:tblStyle w:val="15"/>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14:paraId="47C7A7C3">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14:paraId="79A0FD04">
            <w:pPr>
              <w:tabs>
                <w:tab w:val="center" w:pos="1690"/>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课程名称</w:t>
            </w:r>
          </w:p>
        </w:tc>
        <w:tc>
          <w:tcPr>
            <w:tcW w:w="1254" w:type="dxa"/>
            <w:tcBorders>
              <w:top w:val="single" w:color="auto" w:sz="6" w:space="0"/>
              <w:left w:val="single" w:color="auto" w:sz="6" w:space="0"/>
              <w:bottom w:val="nil"/>
              <w:right w:val="single" w:color="auto" w:sz="6" w:space="0"/>
            </w:tcBorders>
            <w:shd w:val="pct10" w:color="auto" w:fill="auto"/>
          </w:tcPr>
          <w:p w14:paraId="3E85581A">
            <w:pP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提供的资料</w:t>
            </w:r>
          </w:p>
        </w:tc>
        <w:tc>
          <w:tcPr>
            <w:tcW w:w="930" w:type="dxa"/>
            <w:tcBorders>
              <w:top w:val="single" w:color="auto" w:sz="6" w:space="0"/>
              <w:left w:val="single" w:color="auto" w:sz="6" w:space="0"/>
              <w:bottom w:val="nil"/>
              <w:right w:val="nil"/>
            </w:tcBorders>
            <w:shd w:val="pct10" w:color="auto" w:fill="auto"/>
            <w:vAlign w:val="center"/>
          </w:tcPr>
          <w:p w14:paraId="4A1CAD18">
            <w:pP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持续时间</w:t>
            </w:r>
          </w:p>
        </w:tc>
        <w:tc>
          <w:tcPr>
            <w:tcW w:w="953" w:type="dxa"/>
            <w:tcBorders>
              <w:top w:val="single" w:color="auto" w:sz="6" w:space="0"/>
              <w:left w:val="single" w:color="auto" w:sz="6" w:space="0"/>
              <w:bottom w:val="nil"/>
              <w:right w:val="nil"/>
            </w:tcBorders>
            <w:shd w:val="pct10" w:color="auto" w:fill="auto"/>
            <w:vAlign w:val="center"/>
          </w:tcPr>
          <w:p w14:paraId="1C109552">
            <w:pPr>
              <w:tabs>
                <w:tab w:val="center" w:pos="1028"/>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授课教师</w:t>
            </w:r>
          </w:p>
        </w:tc>
        <w:tc>
          <w:tcPr>
            <w:tcW w:w="997" w:type="dxa"/>
            <w:tcBorders>
              <w:top w:val="single" w:color="auto" w:sz="6" w:space="0"/>
              <w:left w:val="single" w:color="auto" w:sz="6" w:space="0"/>
              <w:bottom w:val="nil"/>
              <w:right w:val="nil"/>
            </w:tcBorders>
            <w:shd w:val="pct10" w:color="auto" w:fill="auto"/>
            <w:vAlign w:val="center"/>
          </w:tcPr>
          <w:p w14:paraId="3C2C5F69">
            <w:pP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培训对象</w:t>
            </w:r>
          </w:p>
        </w:tc>
        <w:tc>
          <w:tcPr>
            <w:tcW w:w="1440" w:type="dxa"/>
            <w:tcBorders>
              <w:top w:val="single" w:color="auto" w:sz="6" w:space="0"/>
              <w:left w:val="single" w:color="auto" w:sz="6" w:space="0"/>
              <w:bottom w:val="nil"/>
              <w:right w:val="nil"/>
            </w:tcBorders>
            <w:shd w:val="pct10" w:color="auto" w:fill="auto"/>
            <w:vAlign w:val="center"/>
          </w:tcPr>
          <w:p w14:paraId="2C795101">
            <w:pPr>
              <w:tabs>
                <w:tab w:val="center" w:pos="520"/>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14:paraId="4A16C097">
            <w:pPr>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课程费用</w:t>
            </w:r>
          </w:p>
        </w:tc>
      </w:tr>
      <w:tr w14:paraId="1EC4AFE3">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14:paraId="38D82913">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color w:val="auto"/>
                <w:sz w:val="24"/>
                <w:highlight w:val="none"/>
              </w:rPr>
            </w:pPr>
          </w:p>
        </w:tc>
        <w:tc>
          <w:tcPr>
            <w:tcW w:w="1254" w:type="dxa"/>
            <w:tcBorders>
              <w:top w:val="single" w:color="auto" w:sz="6" w:space="0"/>
              <w:left w:val="single" w:color="auto" w:sz="6" w:space="0"/>
              <w:bottom w:val="nil"/>
              <w:right w:val="single" w:color="auto" w:sz="6" w:space="0"/>
            </w:tcBorders>
          </w:tcPr>
          <w:p w14:paraId="4EC171A9">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30" w:type="dxa"/>
            <w:tcBorders>
              <w:top w:val="single" w:color="auto" w:sz="6" w:space="0"/>
              <w:left w:val="single" w:color="auto" w:sz="6" w:space="0"/>
              <w:bottom w:val="nil"/>
              <w:right w:val="nil"/>
            </w:tcBorders>
          </w:tcPr>
          <w:p w14:paraId="566FD749">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53" w:type="dxa"/>
            <w:tcBorders>
              <w:top w:val="single" w:color="auto" w:sz="6" w:space="0"/>
              <w:left w:val="single" w:color="auto" w:sz="6" w:space="0"/>
              <w:bottom w:val="nil"/>
              <w:right w:val="nil"/>
            </w:tcBorders>
          </w:tcPr>
          <w:p w14:paraId="38F73362">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color w:val="auto"/>
                <w:sz w:val="24"/>
                <w:highlight w:val="none"/>
              </w:rPr>
            </w:pPr>
          </w:p>
        </w:tc>
        <w:tc>
          <w:tcPr>
            <w:tcW w:w="997" w:type="dxa"/>
            <w:tcBorders>
              <w:top w:val="single" w:color="auto" w:sz="6" w:space="0"/>
              <w:left w:val="single" w:color="auto" w:sz="6" w:space="0"/>
              <w:bottom w:val="nil"/>
              <w:right w:val="nil"/>
            </w:tcBorders>
          </w:tcPr>
          <w:p w14:paraId="76C0978C">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color w:val="auto"/>
                <w:sz w:val="24"/>
                <w:highlight w:val="none"/>
              </w:rPr>
            </w:pPr>
          </w:p>
        </w:tc>
        <w:tc>
          <w:tcPr>
            <w:tcW w:w="1440" w:type="dxa"/>
            <w:tcBorders>
              <w:top w:val="single" w:color="auto" w:sz="6" w:space="0"/>
              <w:left w:val="single" w:color="auto" w:sz="6" w:space="0"/>
              <w:bottom w:val="nil"/>
              <w:right w:val="nil"/>
            </w:tcBorders>
          </w:tcPr>
          <w:p w14:paraId="6759BB78">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color w:val="auto"/>
                <w:sz w:val="24"/>
                <w:highlight w:val="none"/>
              </w:rPr>
            </w:pPr>
          </w:p>
        </w:tc>
        <w:tc>
          <w:tcPr>
            <w:tcW w:w="1620" w:type="dxa"/>
            <w:tcBorders>
              <w:top w:val="single" w:color="auto" w:sz="6" w:space="0"/>
              <w:left w:val="single" w:color="auto" w:sz="6" w:space="0"/>
              <w:bottom w:val="nil"/>
              <w:right w:val="single" w:color="auto" w:sz="6" w:space="0"/>
            </w:tcBorders>
          </w:tcPr>
          <w:p w14:paraId="0E657308">
            <w:pPr>
              <w:suppressAutoHyphens/>
              <w:autoSpaceDE w:val="0"/>
              <w:autoSpaceDN w:val="0"/>
              <w:spacing w:line="360" w:lineRule="auto"/>
              <w:rPr>
                <w:rFonts w:ascii="仿宋_GB2312" w:hAnsi="仿宋_GB2312" w:eastAsia="仿宋_GB2312" w:cs="仿宋_GB2312"/>
                <w:color w:val="auto"/>
                <w:sz w:val="24"/>
                <w:highlight w:val="none"/>
              </w:rPr>
            </w:pPr>
          </w:p>
        </w:tc>
      </w:tr>
      <w:tr w14:paraId="4A590DDB">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14:paraId="343D3F55">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费用总计</w:t>
            </w:r>
          </w:p>
        </w:tc>
        <w:tc>
          <w:tcPr>
            <w:tcW w:w="1254" w:type="dxa"/>
            <w:tcBorders>
              <w:top w:val="single" w:color="auto" w:sz="6" w:space="0"/>
              <w:left w:val="single" w:color="auto" w:sz="6" w:space="0"/>
              <w:bottom w:val="single" w:color="auto" w:sz="6" w:space="0"/>
              <w:right w:val="single" w:color="auto" w:sz="6" w:space="0"/>
            </w:tcBorders>
          </w:tcPr>
          <w:p w14:paraId="2F886E5A">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30" w:type="dxa"/>
            <w:tcBorders>
              <w:top w:val="single" w:color="auto" w:sz="6" w:space="0"/>
              <w:left w:val="single" w:color="auto" w:sz="6" w:space="0"/>
              <w:bottom w:val="single" w:color="auto" w:sz="6" w:space="0"/>
              <w:right w:val="single" w:color="auto" w:sz="6" w:space="0"/>
            </w:tcBorders>
          </w:tcPr>
          <w:p w14:paraId="792C06CC">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53" w:type="dxa"/>
            <w:tcBorders>
              <w:top w:val="single" w:color="auto" w:sz="6" w:space="0"/>
              <w:left w:val="single" w:color="auto" w:sz="6" w:space="0"/>
              <w:bottom w:val="single" w:color="auto" w:sz="6" w:space="0"/>
              <w:right w:val="single" w:color="auto" w:sz="6" w:space="0"/>
            </w:tcBorders>
          </w:tcPr>
          <w:p w14:paraId="7601F435">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color w:val="auto"/>
                <w:sz w:val="24"/>
                <w:highlight w:val="none"/>
              </w:rPr>
            </w:pPr>
          </w:p>
        </w:tc>
        <w:tc>
          <w:tcPr>
            <w:tcW w:w="997" w:type="dxa"/>
            <w:tcBorders>
              <w:top w:val="single" w:color="auto" w:sz="6" w:space="0"/>
              <w:left w:val="single" w:color="auto" w:sz="6" w:space="0"/>
              <w:bottom w:val="single" w:color="auto" w:sz="6" w:space="0"/>
              <w:right w:val="single" w:color="auto" w:sz="6" w:space="0"/>
            </w:tcBorders>
          </w:tcPr>
          <w:p w14:paraId="096414A6">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color w:val="auto"/>
                <w:sz w:val="24"/>
                <w:highlight w:val="none"/>
              </w:rPr>
            </w:pPr>
          </w:p>
        </w:tc>
        <w:tc>
          <w:tcPr>
            <w:tcW w:w="1440" w:type="dxa"/>
            <w:tcBorders>
              <w:top w:val="single" w:color="auto" w:sz="6" w:space="0"/>
              <w:left w:val="single" w:color="auto" w:sz="6" w:space="0"/>
              <w:bottom w:val="single" w:color="auto" w:sz="6" w:space="0"/>
              <w:right w:val="single" w:color="auto" w:sz="6" w:space="0"/>
            </w:tcBorders>
          </w:tcPr>
          <w:p w14:paraId="4ECD4B6E">
            <w:pPr>
              <w:tabs>
                <w:tab w:val="left" w:pos="7"/>
              </w:tabs>
              <w:suppressAutoHyphens/>
              <w:autoSpaceDE w:val="0"/>
              <w:autoSpaceDN w:val="0"/>
              <w:spacing w:line="360" w:lineRule="auto"/>
              <w:rPr>
                <w:rFonts w:ascii="仿宋_GB2312" w:hAnsi="仿宋_GB2312" w:eastAsia="仿宋_GB2312" w:cs="仿宋_GB2312"/>
                <w:color w:val="auto"/>
                <w:sz w:val="24"/>
                <w:highlight w:val="none"/>
              </w:rPr>
            </w:pPr>
          </w:p>
        </w:tc>
        <w:tc>
          <w:tcPr>
            <w:tcW w:w="1620" w:type="dxa"/>
            <w:tcBorders>
              <w:top w:val="single" w:color="auto" w:sz="6" w:space="0"/>
              <w:left w:val="single" w:color="auto" w:sz="6" w:space="0"/>
              <w:bottom w:val="single" w:color="auto" w:sz="6" w:space="0"/>
              <w:right w:val="single" w:color="auto" w:sz="6" w:space="0"/>
            </w:tcBorders>
          </w:tcPr>
          <w:p w14:paraId="3210711D">
            <w:pPr>
              <w:suppressAutoHyphens/>
              <w:autoSpaceDE w:val="0"/>
              <w:autoSpaceDN w:val="0"/>
              <w:spacing w:line="360" w:lineRule="auto"/>
              <w:rPr>
                <w:rFonts w:ascii="仿宋_GB2312" w:hAnsi="仿宋_GB2312" w:eastAsia="仿宋_GB2312" w:cs="仿宋_GB2312"/>
                <w:color w:val="auto"/>
                <w:sz w:val="24"/>
                <w:highlight w:val="none"/>
              </w:rPr>
            </w:pPr>
          </w:p>
        </w:tc>
      </w:tr>
    </w:tbl>
    <w:p w14:paraId="6F4764FC">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注解:A</w:t>
      </w:r>
      <w:r>
        <w:rPr>
          <w:rFonts w:hint="eastAsia" w:ascii="仿宋_GB2312" w:hAnsi="仿宋_GB2312" w:eastAsia="仿宋_GB2312" w:cs="仿宋_GB2312"/>
          <w:color w:val="auto"/>
          <w:sz w:val="24"/>
          <w:highlight w:val="none"/>
        </w:rPr>
        <w:tab/>
      </w:r>
      <w:r>
        <w:rPr>
          <w:rFonts w:hint="eastAsia" w:ascii="仿宋_GB2312" w:hAnsi="仿宋_GB2312" w:eastAsia="仿宋_GB2312" w:cs="仿宋_GB2312"/>
          <w:color w:val="auto"/>
          <w:sz w:val="24"/>
          <w:highlight w:val="none"/>
        </w:rPr>
        <w:t>课程清单按时间顺序排列，并提供以下详细资料：</w:t>
      </w:r>
    </w:p>
    <w:p w14:paraId="37A7005B">
      <w:pPr>
        <w:numPr>
          <w:ilvl w:val="0"/>
          <w:numId w:val="5"/>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课程概要</w:t>
      </w:r>
    </w:p>
    <w:p w14:paraId="169D68FA">
      <w:pPr>
        <w:numPr>
          <w:ilvl w:val="0"/>
          <w:numId w:val="5"/>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课程目的</w:t>
      </w:r>
    </w:p>
    <w:p w14:paraId="5F7E1AC3">
      <w:pPr>
        <w:numPr>
          <w:ilvl w:val="0"/>
          <w:numId w:val="5"/>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教学方式</w:t>
      </w:r>
    </w:p>
    <w:p w14:paraId="53A8E334">
      <w:pPr>
        <w:numPr>
          <w:ilvl w:val="0"/>
          <w:numId w:val="5"/>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先决条件</w:t>
      </w:r>
    </w:p>
    <w:p w14:paraId="546F5DF6">
      <w:pPr>
        <w:numPr>
          <w:ilvl w:val="0"/>
          <w:numId w:val="5"/>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教材目录</w:t>
      </w:r>
    </w:p>
    <w:p w14:paraId="0B866B49">
      <w:pPr>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B  按照附表A提供授课教师的简历</w:t>
      </w:r>
    </w:p>
    <w:p w14:paraId="2C089EC5">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注：须随表提交相应的证书复印件并注明所在投标技术文件页码。</w:t>
      </w:r>
    </w:p>
    <w:p w14:paraId="4DDD86ED">
      <w:pPr>
        <w:spacing w:line="360" w:lineRule="auto"/>
        <w:ind w:firstLine="480" w:firstLineChars="200"/>
        <w:rPr>
          <w:rFonts w:ascii="仿宋_GB2312" w:hAnsi="仿宋_GB2312" w:eastAsia="仿宋_GB2312" w:cs="仿宋_GB2312"/>
          <w:color w:val="auto"/>
          <w:sz w:val="24"/>
          <w:szCs w:val="20"/>
          <w:highlight w:val="none"/>
        </w:rPr>
      </w:pPr>
    </w:p>
    <w:p w14:paraId="12A47671">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7A78EEBA">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6947310F">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七</w:t>
      </w:r>
      <w:r>
        <w:rPr>
          <w:rFonts w:hint="eastAsia" w:ascii="仿宋_GB2312" w:hAnsi="仿宋_GB2312" w:eastAsia="仿宋_GB2312" w:cs="仿宋_GB2312"/>
          <w:b/>
          <w:bCs/>
          <w:color w:val="auto"/>
          <w:sz w:val="32"/>
          <w:szCs w:val="32"/>
          <w:highlight w:val="none"/>
        </w:rPr>
        <w:t>、验收方案</w:t>
      </w:r>
    </w:p>
    <w:p w14:paraId="12590295">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根据采购需求自行编制）</w:t>
      </w:r>
    </w:p>
    <w:p w14:paraId="6FFE1880">
      <w:pPr>
        <w:spacing w:line="360" w:lineRule="auto"/>
        <w:jc w:val="center"/>
        <w:rPr>
          <w:rFonts w:ascii="仿宋_GB2312" w:hAnsi="仿宋_GB2312" w:eastAsia="仿宋_GB2312" w:cs="仿宋_GB2312"/>
          <w:color w:val="auto"/>
          <w:sz w:val="24"/>
          <w:highlight w:val="none"/>
        </w:rPr>
      </w:pPr>
    </w:p>
    <w:p w14:paraId="09EBB1EA">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321C48D2">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033B81C7">
      <w:pPr>
        <w:spacing w:line="360" w:lineRule="auto"/>
        <w:jc w:val="center"/>
        <w:rPr>
          <w:rFonts w:ascii="仿宋_GB2312" w:hAnsi="仿宋_GB2312" w:eastAsia="仿宋_GB2312" w:cs="仿宋_GB2312"/>
          <w:b/>
          <w:bCs/>
          <w:color w:val="auto"/>
          <w:sz w:val="30"/>
          <w:szCs w:val="30"/>
          <w:highlight w:val="none"/>
        </w:rPr>
      </w:pPr>
    </w:p>
    <w:p w14:paraId="49857A8E">
      <w:pPr>
        <w:spacing w:line="360" w:lineRule="auto"/>
        <w:jc w:val="center"/>
        <w:rPr>
          <w:rFonts w:ascii="仿宋_GB2312" w:hAnsi="仿宋_GB2312" w:eastAsia="仿宋_GB2312" w:cs="仿宋_GB2312"/>
          <w:b/>
          <w:bCs/>
          <w:color w:val="auto"/>
          <w:sz w:val="30"/>
          <w:szCs w:val="30"/>
          <w:highlight w:val="none"/>
        </w:rPr>
      </w:pPr>
    </w:p>
    <w:p w14:paraId="7DD52CCD">
      <w:pPr>
        <w:spacing w:line="360" w:lineRule="auto"/>
        <w:jc w:val="center"/>
        <w:rPr>
          <w:rFonts w:ascii="仿宋_GB2312" w:hAnsi="仿宋_GB2312" w:eastAsia="仿宋_GB2312" w:cs="仿宋_GB2312"/>
          <w:b/>
          <w:bCs/>
          <w:color w:val="auto"/>
          <w:sz w:val="24"/>
          <w:highlight w:val="none"/>
        </w:rPr>
      </w:pPr>
    </w:p>
    <w:p w14:paraId="4B6ABCBC">
      <w:pPr>
        <w:spacing w:line="360" w:lineRule="auto"/>
        <w:jc w:val="center"/>
        <w:rPr>
          <w:rFonts w:ascii="仿宋_GB2312" w:hAnsi="仿宋_GB2312" w:eastAsia="仿宋_GB2312" w:cs="仿宋_GB2312"/>
          <w:b/>
          <w:bCs/>
          <w:color w:val="auto"/>
          <w:sz w:val="24"/>
          <w:highlight w:val="none"/>
        </w:rPr>
      </w:pPr>
    </w:p>
    <w:p w14:paraId="7E0A1334">
      <w:pPr>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八</w:t>
      </w:r>
      <w:r>
        <w:rPr>
          <w:rFonts w:hint="eastAsia" w:ascii="仿宋_GB2312" w:hAnsi="仿宋_GB2312" w:eastAsia="仿宋_GB2312" w:cs="仿宋_GB2312"/>
          <w:b/>
          <w:bCs/>
          <w:color w:val="auto"/>
          <w:sz w:val="32"/>
          <w:szCs w:val="32"/>
          <w:highlight w:val="none"/>
        </w:rPr>
        <w:t>、认为需要的</w:t>
      </w:r>
      <w:r>
        <w:rPr>
          <w:rFonts w:hint="eastAsia" w:ascii="仿宋_GB2312" w:hAnsi="仿宋_GB2312" w:eastAsia="仿宋_GB2312" w:cs="仿宋_GB2312"/>
          <w:b/>
          <w:color w:val="auto"/>
          <w:kern w:val="0"/>
          <w:sz w:val="32"/>
          <w:szCs w:val="32"/>
          <w:highlight w:val="none"/>
          <w:lang w:val="zh-CN"/>
        </w:rPr>
        <w:t>其他商务技术文件或说明</w:t>
      </w:r>
    </w:p>
    <w:p w14:paraId="53C1A025">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根据采购需求自行编制）</w:t>
      </w:r>
    </w:p>
    <w:p w14:paraId="13372B4C">
      <w:pPr>
        <w:spacing w:line="360" w:lineRule="auto"/>
        <w:rPr>
          <w:rFonts w:ascii="仿宋_GB2312" w:hAnsi="仿宋_GB2312" w:eastAsia="仿宋_GB2312" w:cs="仿宋_GB2312"/>
          <w:color w:val="auto"/>
          <w:sz w:val="24"/>
          <w:highlight w:val="none"/>
        </w:rPr>
      </w:pPr>
    </w:p>
    <w:p w14:paraId="53472BDC">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587801DF">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07131FEC">
      <w:pPr>
        <w:pStyle w:val="31"/>
        <w:rPr>
          <w:rFonts w:hint="eastAsia"/>
          <w:color w:val="auto"/>
          <w:highlight w:val="none"/>
        </w:rPr>
        <w:sectPr>
          <w:footerReference r:id="rId15" w:type="first"/>
          <w:footerReference r:id="rId14" w:type="default"/>
          <w:pgSz w:w="11906" w:h="16838"/>
          <w:pgMar w:top="1276" w:right="1418" w:bottom="1247" w:left="1418" w:header="851" w:footer="992" w:gutter="0"/>
          <w:pgNumType w:fmt="decimal"/>
          <w:cols w:space="720" w:num="1"/>
          <w:titlePg/>
          <w:docGrid w:linePitch="312" w:charSpace="0"/>
        </w:sectPr>
      </w:pPr>
    </w:p>
    <w:p w14:paraId="2CFCCAE0">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报价文件部分</w:t>
      </w:r>
    </w:p>
    <w:p w14:paraId="54C62A2C">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14:paraId="0E574F87">
      <w:pPr>
        <w:spacing w:line="360" w:lineRule="auto"/>
        <w:jc w:val="center"/>
        <w:outlineLvl w:val="0"/>
        <w:rPr>
          <w:rFonts w:hint="eastAsia" w:ascii="仿宋" w:hAnsi="仿宋" w:eastAsia="仿宋" w:cs="仿宋"/>
          <w:b/>
          <w:color w:val="auto"/>
          <w:kern w:val="0"/>
          <w:sz w:val="36"/>
          <w:szCs w:val="36"/>
          <w:highlight w:val="none"/>
        </w:rPr>
      </w:pPr>
    </w:p>
    <w:p w14:paraId="020E0F71">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（1）开标一览表（报价表）………………………………………………………（页码）</w:t>
      </w:r>
    </w:p>
    <w:p w14:paraId="6A03561C">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（2）中小企业声明函………………………………………………………………（页码）</w:t>
      </w:r>
    </w:p>
    <w:p w14:paraId="1C90027C">
      <w:pPr>
        <w:pStyle w:val="8"/>
        <w:numPr>
          <w:ilvl w:val="0"/>
          <w:numId w:val="0"/>
        </w:numPr>
        <w:snapToGrid w:val="0"/>
        <w:spacing w:line="360" w:lineRule="auto"/>
        <w:rPr>
          <w:rFonts w:hint="eastAsia" w:ascii="仿宋" w:hAnsi="仿宋" w:eastAsia="仿宋" w:cs="仿宋"/>
          <w:color w:val="auto"/>
          <w:sz w:val="24"/>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（3）残疾人福利性单位声明函……………………………………………………（页码）</w:t>
      </w:r>
    </w:p>
    <w:p w14:paraId="2411EAF2">
      <w:pPr>
        <w:snapToGrid w:val="0"/>
        <w:spacing w:line="360" w:lineRule="auto"/>
        <w:ind w:right="480"/>
        <w:jc w:val="center"/>
        <w:rPr>
          <w:rFonts w:hint="eastAsia" w:ascii="仿宋" w:hAnsi="仿宋" w:eastAsia="仿宋" w:cs="仿宋"/>
          <w:b/>
          <w:color w:val="auto"/>
          <w:kern w:val="0"/>
          <w:sz w:val="32"/>
          <w:szCs w:val="32"/>
          <w:highlight w:val="none"/>
        </w:rPr>
      </w:pPr>
    </w:p>
    <w:p w14:paraId="06E4C988">
      <w:pPr>
        <w:snapToGrid w:val="0"/>
        <w:spacing w:line="360" w:lineRule="auto"/>
        <w:ind w:right="480"/>
        <w:jc w:val="center"/>
        <w:rPr>
          <w:rFonts w:hint="eastAsia" w:ascii="仿宋" w:hAnsi="仿宋" w:eastAsia="仿宋" w:cs="仿宋"/>
          <w:b/>
          <w:color w:val="auto"/>
          <w:kern w:val="0"/>
          <w:sz w:val="32"/>
          <w:szCs w:val="32"/>
          <w:highlight w:val="none"/>
        </w:rPr>
      </w:pPr>
    </w:p>
    <w:p w14:paraId="133DD8B1">
      <w:pPr>
        <w:snapToGrid w:val="0"/>
        <w:spacing w:line="360" w:lineRule="auto"/>
        <w:ind w:right="480"/>
        <w:jc w:val="center"/>
        <w:rPr>
          <w:rFonts w:hint="eastAsia" w:ascii="仿宋" w:hAnsi="仿宋" w:eastAsia="仿宋" w:cs="仿宋"/>
          <w:b/>
          <w:color w:val="auto"/>
          <w:kern w:val="0"/>
          <w:sz w:val="32"/>
          <w:szCs w:val="32"/>
          <w:highlight w:val="none"/>
        </w:rPr>
      </w:pPr>
    </w:p>
    <w:p w14:paraId="6E7AA94C">
      <w:pPr>
        <w:snapToGrid w:val="0"/>
        <w:spacing w:line="360" w:lineRule="auto"/>
        <w:ind w:right="480"/>
        <w:jc w:val="center"/>
        <w:rPr>
          <w:rFonts w:hint="eastAsia" w:ascii="仿宋" w:hAnsi="仿宋" w:eastAsia="仿宋" w:cs="仿宋"/>
          <w:b/>
          <w:color w:val="auto"/>
          <w:kern w:val="0"/>
          <w:sz w:val="32"/>
          <w:szCs w:val="32"/>
          <w:highlight w:val="none"/>
        </w:rPr>
      </w:pPr>
    </w:p>
    <w:p w14:paraId="3A465FA8">
      <w:pPr>
        <w:snapToGrid w:val="0"/>
        <w:spacing w:line="360" w:lineRule="auto"/>
        <w:ind w:right="480"/>
        <w:jc w:val="center"/>
        <w:rPr>
          <w:rFonts w:hint="eastAsia" w:ascii="仿宋" w:hAnsi="仿宋" w:eastAsia="仿宋" w:cs="仿宋"/>
          <w:b/>
          <w:color w:val="auto"/>
          <w:kern w:val="0"/>
          <w:sz w:val="32"/>
          <w:szCs w:val="32"/>
          <w:highlight w:val="none"/>
        </w:rPr>
      </w:pPr>
    </w:p>
    <w:p w14:paraId="0EB5275F">
      <w:pPr>
        <w:snapToGrid w:val="0"/>
        <w:spacing w:line="360" w:lineRule="auto"/>
        <w:ind w:right="480"/>
        <w:jc w:val="center"/>
        <w:rPr>
          <w:rFonts w:hint="eastAsia" w:ascii="仿宋" w:hAnsi="仿宋" w:eastAsia="仿宋" w:cs="仿宋"/>
          <w:b/>
          <w:color w:val="auto"/>
          <w:kern w:val="0"/>
          <w:sz w:val="32"/>
          <w:szCs w:val="32"/>
          <w:highlight w:val="none"/>
        </w:rPr>
      </w:pPr>
    </w:p>
    <w:p w14:paraId="37104E71">
      <w:pPr>
        <w:snapToGrid w:val="0"/>
        <w:spacing w:line="360" w:lineRule="auto"/>
        <w:ind w:right="480"/>
        <w:jc w:val="center"/>
        <w:rPr>
          <w:rFonts w:hint="eastAsia" w:ascii="仿宋" w:hAnsi="仿宋" w:eastAsia="仿宋" w:cs="仿宋"/>
          <w:b/>
          <w:color w:val="auto"/>
          <w:kern w:val="0"/>
          <w:sz w:val="32"/>
          <w:szCs w:val="32"/>
          <w:highlight w:val="none"/>
        </w:rPr>
      </w:pPr>
    </w:p>
    <w:p w14:paraId="35422993">
      <w:pPr>
        <w:snapToGrid w:val="0"/>
        <w:spacing w:line="360" w:lineRule="auto"/>
        <w:ind w:right="480"/>
        <w:jc w:val="center"/>
        <w:rPr>
          <w:rFonts w:hint="eastAsia" w:ascii="仿宋" w:hAnsi="仿宋" w:eastAsia="仿宋" w:cs="仿宋"/>
          <w:b/>
          <w:color w:val="auto"/>
          <w:kern w:val="0"/>
          <w:sz w:val="32"/>
          <w:szCs w:val="32"/>
          <w:highlight w:val="none"/>
        </w:rPr>
      </w:pPr>
    </w:p>
    <w:p w14:paraId="47EF7C07">
      <w:pPr>
        <w:snapToGrid w:val="0"/>
        <w:spacing w:line="360" w:lineRule="auto"/>
        <w:ind w:right="480"/>
        <w:jc w:val="center"/>
        <w:rPr>
          <w:rFonts w:hint="eastAsia" w:ascii="仿宋" w:hAnsi="仿宋" w:eastAsia="仿宋" w:cs="仿宋"/>
          <w:b/>
          <w:color w:val="auto"/>
          <w:kern w:val="0"/>
          <w:sz w:val="32"/>
          <w:szCs w:val="32"/>
          <w:highlight w:val="none"/>
        </w:rPr>
      </w:pPr>
    </w:p>
    <w:p w14:paraId="4D3CDC94">
      <w:pPr>
        <w:snapToGrid w:val="0"/>
        <w:spacing w:line="360" w:lineRule="auto"/>
        <w:ind w:right="480"/>
        <w:jc w:val="center"/>
        <w:rPr>
          <w:rFonts w:hint="eastAsia" w:ascii="仿宋" w:hAnsi="仿宋" w:eastAsia="仿宋" w:cs="仿宋"/>
          <w:b/>
          <w:color w:val="auto"/>
          <w:kern w:val="0"/>
          <w:sz w:val="32"/>
          <w:szCs w:val="32"/>
          <w:highlight w:val="none"/>
        </w:rPr>
      </w:pPr>
    </w:p>
    <w:p w14:paraId="629E8160">
      <w:pPr>
        <w:snapToGrid w:val="0"/>
        <w:spacing w:line="360" w:lineRule="auto"/>
        <w:ind w:right="480"/>
        <w:jc w:val="center"/>
        <w:rPr>
          <w:rFonts w:hint="eastAsia" w:ascii="仿宋" w:hAnsi="仿宋" w:eastAsia="仿宋" w:cs="仿宋"/>
          <w:b/>
          <w:color w:val="auto"/>
          <w:kern w:val="0"/>
          <w:sz w:val="32"/>
          <w:szCs w:val="32"/>
          <w:highlight w:val="none"/>
        </w:rPr>
      </w:pPr>
    </w:p>
    <w:p w14:paraId="4B1E6F68">
      <w:pPr>
        <w:snapToGrid w:val="0"/>
        <w:spacing w:line="360" w:lineRule="auto"/>
        <w:ind w:right="480"/>
        <w:jc w:val="center"/>
        <w:rPr>
          <w:rFonts w:hint="eastAsia" w:ascii="仿宋" w:hAnsi="仿宋" w:eastAsia="仿宋" w:cs="仿宋"/>
          <w:b/>
          <w:color w:val="auto"/>
          <w:kern w:val="0"/>
          <w:sz w:val="32"/>
          <w:szCs w:val="32"/>
          <w:highlight w:val="none"/>
        </w:rPr>
      </w:pPr>
    </w:p>
    <w:p w14:paraId="2278E118">
      <w:pPr>
        <w:snapToGrid w:val="0"/>
        <w:spacing w:line="360" w:lineRule="auto"/>
        <w:ind w:right="480"/>
        <w:jc w:val="center"/>
        <w:rPr>
          <w:rFonts w:hint="eastAsia" w:ascii="仿宋" w:hAnsi="仿宋" w:eastAsia="仿宋" w:cs="仿宋"/>
          <w:b/>
          <w:color w:val="auto"/>
          <w:kern w:val="0"/>
          <w:sz w:val="32"/>
          <w:szCs w:val="32"/>
          <w:highlight w:val="none"/>
        </w:rPr>
      </w:pPr>
    </w:p>
    <w:p w14:paraId="55CB4641">
      <w:pPr>
        <w:snapToGrid w:val="0"/>
        <w:spacing w:line="360" w:lineRule="auto"/>
        <w:ind w:right="480"/>
        <w:jc w:val="both"/>
        <w:rPr>
          <w:rFonts w:hint="eastAsia" w:ascii="仿宋" w:hAnsi="仿宋" w:eastAsia="仿宋" w:cs="仿宋"/>
          <w:b/>
          <w:color w:val="auto"/>
          <w:kern w:val="0"/>
          <w:sz w:val="32"/>
          <w:szCs w:val="32"/>
          <w:highlight w:val="none"/>
        </w:rPr>
      </w:pPr>
    </w:p>
    <w:p w14:paraId="08D76181">
      <w:pPr>
        <w:pStyle w:val="32"/>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sectPr>
          <w:footerReference r:id="rId17" w:type="first"/>
          <w:footerReference r:id="rId16" w:type="default"/>
          <w:pgSz w:w="11906" w:h="16838"/>
          <w:pgMar w:top="1276" w:right="1418" w:bottom="1247" w:left="1418" w:header="851" w:footer="992" w:gutter="0"/>
          <w:pgNumType w:fmt="decimal"/>
          <w:cols w:space="720" w:num="1"/>
          <w:titlePg/>
          <w:docGrid w:linePitch="312" w:charSpace="0"/>
        </w:sectPr>
      </w:pPr>
    </w:p>
    <w:p w14:paraId="21067B4E">
      <w:pPr>
        <w:pStyle w:val="32"/>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pPr>
      <w:r>
        <w:rPr>
          <w:rFonts w:hint="eastAsia" w:ascii="仿宋" w:hAnsi="仿宋" w:eastAsia="仿宋" w:cs="仿宋"/>
          <w:color w:val="auto"/>
          <w:kern w:val="2"/>
          <w:sz w:val="32"/>
          <w:szCs w:val="32"/>
          <w:highlight w:val="none"/>
        </w:rPr>
        <w:t>一、开标一览表（报价表）</w:t>
      </w:r>
    </w:p>
    <w:p w14:paraId="397B0226">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（采购人）、（采购代理机构）</w:t>
      </w:r>
      <w:r>
        <w:rPr>
          <w:rFonts w:hint="eastAsia" w:ascii="仿宋" w:hAnsi="仿宋" w:eastAsia="仿宋" w:cs="仿宋"/>
          <w:color w:val="auto"/>
          <w:kern w:val="0"/>
          <w:sz w:val="24"/>
          <w:highlight w:val="none"/>
          <w:lang w:val="zh-CN"/>
        </w:rPr>
        <w:t>：</w:t>
      </w:r>
    </w:p>
    <w:p w14:paraId="14089798">
      <w:pPr>
        <w:snapToGrid w:val="0"/>
        <w:spacing w:line="360" w:lineRule="auto"/>
        <w:ind w:firstLine="482"/>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color w:val="auto"/>
          <w:sz w:val="24"/>
          <w:highlight w:val="none"/>
          <w:lang w:eastAsia="zh-CN"/>
        </w:rPr>
        <w:t>（项目名称）</w:t>
      </w:r>
      <w:r>
        <w:rPr>
          <w:rFonts w:hint="eastAsia" w:ascii="仿宋" w:hAnsi="仿宋" w:eastAsia="仿宋" w:cs="仿宋"/>
          <w:color w:val="auto"/>
          <w:kern w:val="0"/>
          <w:sz w:val="24"/>
          <w:highlight w:val="none"/>
          <w:lang w:val="zh-CN"/>
        </w:rPr>
        <w:t>【招标编号：</w:t>
      </w:r>
      <w:r>
        <w:rPr>
          <w:rFonts w:hint="eastAsia" w:ascii="仿宋" w:hAnsi="仿宋" w:eastAsia="仿宋" w:cs="仿宋"/>
          <w:color w:val="auto"/>
          <w:sz w:val="24"/>
          <w:highlight w:val="none"/>
        </w:rPr>
        <w:t>（采购编号）】的实施</w:t>
      </w:r>
      <w:r>
        <w:rPr>
          <w:rFonts w:hint="eastAsia" w:ascii="仿宋" w:hAnsi="仿宋" w:eastAsia="仿宋" w:cs="仿宋"/>
          <w:color w:val="auto"/>
          <w:kern w:val="0"/>
          <w:sz w:val="24"/>
          <w:highlight w:val="none"/>
          <w:lang w:val="zh-CN"/>
        </w:rPr>
        <w:t>。</w:t>
      </w:r>
    </w:p>
    <w:p w14:paraId="466B2933">
      <w:pPr>
        <w:spacing w:line="360" w:lineRule="auto"/>
        <w:jc w:val="center"/>
        <w:rPr>
          <w:rFonts w:hint="eastAsia"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开标一览表（报价表）(单位均为人民币元)</w:t>
      </w:r>
    </w:p>
    <w:tbl>
      <w:tblPr>
        <w:tblStyle w:val="15"/>
        <w:tblW w:w="14639" w:type="dxa"/>
        <w:tblInd w:w="12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65"/>
        <w:gridCol w:w="4659"/>
        <w:gridCol w:w="1449"/>
        <w:gridCol w:w="4642"/>
        <w:gridCol w:w="2399"/>
      </w:tblGrid>
      <w:tr w14:paraId="241697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14514" w:type="dxa"/>
            <w:gridSpan w:val="5"/>
            <w:noWrap w:val="0"/>
            <w:vAlign w:val="center"/>
          </w:tcPr>
          <w:p w14:paraId="709CB786">
            <w:pPr>
              <w:spacing w:line="360" w:lineRule="auto"/>
              <w:jc w:val="center"/>
              <w:rPr>
                <w:rFonts w:hint="eastAsia" w:ascii="仿宋" w:hAnsi="仿宋" w:eastAsia="仿宋" w:cs="仿宋_GB2312"/>
                <w:color w:val="auto"/>
                <w:sz w:val="24"/>
                <w:highlight w:val="none"/>
              </w:rPr>
            </w:pPr>
            <w:r>
              <w:rPr>
                <w:rFonts w:hint="eastAsia" w:ascii="仿宋" w:hAnsi="仿宋" w:eastAsia="仿宋"/>
                <w:b/>
                <w:color w:val="auto"/>
                <w:sz w:val="24"/>
                <w:highlight w:val="none"/>
              </w:rPr>
              <w:t>服务类</w:t>
            </w:r>
          </w:p>
        </w:tc>
      </w:tr>
      <w:tr w14:paraId="04819F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6" w:hRule="atLeast"/>
        </w:trPr>
        <w:tc>
          <w:tcPr>
            <w:tcW w:w="1365" w:type="dxa"/>
            <w:noWrap w:val="0"/>
            <w:vAlign w:val="center"/>
          </w:tcPr>
          <w:p w14:paraId="1D2D8C3F">
            <w:pPr>
              <w:spacing w:line="360" w:lineRule="auto"/>
              <w:jc w:val="center"/>
              <w:rPr>
                <w:rFonts w:hint="eastAsia" w:ascii="仿宋" w:hAnsi="仿宋" w:eastAsia="仿宋" w:cs="仿宋_GB2312"/>
                <w:b/>
                <w:color w:val="auto"/>
                <w:sz w:val="24"/>
                <w:highlight w:val="none"/>
              </w:rPr>
            </w:pPr>
            <w:r>
              <w:rPr>
                <w:rFonts w:hint="eastAsia" w:ascii="仿宋" w:hAnsi="仿宋" w:eastAsia="仿宋"/>
                <w:b/>
                <w:color w:val="auto"/>
                <w:sz w:val="24"/>
                <w:highlight w:val="none"/>
              </w:rPr>
              <w:t>序号</w:t>
            </w:r>
          </w:p>
        </w:tc>
        <w:tc>
          <w:tcPr>
            <w:tcW w:w="4659" w:type="dxa"/>
            <w:noWrap w:val="0"/>
            <w:vAlign w:val="center"/>
          </w:tcPr>
          <w:p w14:paraId="4199B41A">
            <w:pPr>
              <w:spacing w:line="360" w:lineRule="auto"/>
              <w:jc w:val="center"/>
              <w:rPr>
                <w:rFonts w:hint="eastAsia" w:ascii="仿宋" w:hAnsi="仿宋" w:eastAsia="仿宋"/>
                <w:b/>
                <w:color w:val="auto"/>
                <w:sz w:val="24"/>
                <w:highlight w:val="none"/>
              </w:rPr>
            </w:pPr>
            <w:r>
              <w:rPr>
                <w:rFonts w:hint="eastAsia" w:ascii="仿宋" w:hAnsi="仿宋" w:eastAsia="仿宋"/>
                <w:b/>
                <w:color w:val="auto"/>
                <w:sz w:val="24"/>
                <w:highlight w:val="none"/>
              </w:rPr>
              <w:t>服务内容</w:t>
            </w:r>
          </w:p>
        </w:tc>
        <w:tc>
          <w:tcPr>
            <w:tcW w:w="1449" w:type="dxa"/>
            <w:noWrap w:val="0"/>
            <w:vAlign w:val="center"/>
          </w:tcPr>
          <w:p w14:paraId="6693767C">
            <w:pPr>
              <w:spacing w:line="360" w:lineRule="auto"/>
              <w:jc w:val="center"/>
              <w:rPr>
                <w:rFonts w:hint="eastAsia" w:ascii="仿宋" w:hAnsi="仿宋" w:eastAsia="仿宋"/>
                <w:b/>
                <w:color w:val="auto"/>
                <w:sz w:val="24"/>
                <w:highlight w:val="none"/>
              </w:rPr>
            </w:pPr>
            <w:r>
              <w:rPr>
                <w:rFonts w:hint="eastAsia" w:ascii="仿宋" w:hAnsi="仿宋" w:eastAsia="仿宋"/>
                <w:b/>
                <w:color w:val="auto"/>
                <w:sz w:val="24"/>
                <w:highlight w:val="none"/>
              </w:rPr>
              <w:t>数量</w:t>
            </w:r>
          </w:p>
        </w:tc>
        <w:tc>
          <w:tcPr>
            <w:tcW w:w="4642" w:type="dxa"/>
            <w:noWrap w:val="0"/>
            <w:vAlign w:val="center"/>
          </w:tcPr>
          <w:p w14:paraId="49F28531">
            <w:pPr>
              <w:spacing w:line="360" w:lineRule="auto"/>
              <w:jc w:val="center"/>
              <w:rPr>
                <w:color w:val="auto"/>
                <w:highlight w:val="none"/>
              </w:rPr>
            </w:pPr>
            <w:r>
              <w:rPr>
                <w:rFonts w:hint="eastAsia" w:ascii="仿宋" w:hAnsi="仿宋" w:eastAsia="仿宋"/>
                <w:b/>
                <w:color w:val="auto"/>
                <w:sz w:val="24"/>
                <w:highlight w:val="none"/>
              </w:rPr>
              <w:t>投标报价（元）</w:t>
            </w:r>
          </w:p>
        </w:tc>
        <w:tc>
          <w:tcPr>
            <w:tcW w:w="2399" w:type="dxa"/>
            <w:noWrap w:val="0"/>
            <w:vAlign w:val="center"/>
          </w:tcPr>
          <w:p w14:paraId="0BE6CD67">
            <w:pPr>
              <w:spacing w:line="360" w:lineRule="auto"/>
              <w:jc w:val="center"/>
              <w:rPr>
                <w:rFonts w:hint="eastAsia" w:ascii="仿宋" w:hAnsi="仿宋" w:eastAsia="仿宋"/>
                <w:b/>
                <w:color w:val="auto"/>
                <w:sz w:val="24"/>
                <w:highlight w:val="none"/>
                <w:lang w:val="zh-CN"/>
              </w:rPr>
            </w:pPr>
            <w:r>
              <w:rPr>
                <w:rFonts w:hint="eastAsia" w:ascii="仿宋" w:hAnsi="仿宋" w:eastAsia="仿宋"/>
                <w:b/>
                <w:color w:val="auto"/>
                <w:sz w:val="24"/>
                <w:highlight w:val="none"/>
                <w:lang w:val="zh-CN"/>
              </w:rPr>
              <w:t>备注</w:t>
            </w:r>
          </w:p>
        </w:tc>
      </w:tr>
      <w:tr w14:paraId="2442B8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8" w:hRule="atLeast"/>
        </w:trPr>
        <w:tc>
          <w:tcPr>
            <w:tcW w:w="1365" w:type="dxa"/>
            <w:vMerge w:val="restart"/>
            <w:noWrap w:val="0"/>
            <w:vAlign w:val="center"/>
          </w:tcPr>
          <w:p w14:paraId="2AB6A422">
            <w:pPr>
              <w:spacing w:line="360" w:lineRule="auto"/>
              <w:jc w:val="center"/>
              <w:rPr>
                <w:rFonts w:hint="eastAsia" w:ascii="仿宋" w:hAnsi="仿宋" w:eastAsia="仿宋" w:cs="仿宋_GB2312"/>
                <w:color w:val="auto"/>
                <w:sz w:val="24"/>
                <w:highlight w:val="none"/>
              </w:rPr>
            </w:pPr>
            <w:r>
              <w:rPr>
                <w:rFonts w:hint="eastAsia" w:ascii="仿宋" w:hAnsi="仿宋" w:eastAsia="仿宋"/>
                <w:b/>
                <w:color w:val="auto"/>
                <w:sz w:val="24"/>
                <w:highlight w:val="none"/>
              </w:rPr>
              <w:t>1</w:t>
            </w:r>
          </w:p>
        </w:tc>
        <w:tc>
          <w:tcPr>
            <w:tcW w:w="4659" w:type="dxa"/>
            <w:vMerge w:val="restart"/>
            <w:noWrap w:val="0"/>
            <w:vAlign w:val="center"/>
          </w:tcPr>
          <w:p w14:paraId="4A3DEA6A">
            <w:pPr>
              <w:spacing w:line="360" w:lineRule="auto"/>
              <w:jc w:val="center"/>
              <w:rPr>
                <w:rFonts w:hint="eastAsia" w:ascii="仿宋" w:hAnsi="仿宋" w:eastAsia="仿宋" w:cs="仿宋_GB2312"/>
                <w:color w:val="auto"/>
                <w:sz w:val="24"/>
                <w:highlight w:val="none"/>
                <w:lang w:eastAsia="zh-CN"/>
              </w:rPr>
            </w:pPr>
            <w:r>
              <w:rPr>
                <w:rFonts w:hint="eastAsia" w:ascii="仿宋" w:hAnsi="仿宋" w:eastAsia="仿宋"/>
                <w:b/>
                <w:color w:val="auto"/>
                <w:sz w:val="24"/>
                <w:highlight w:val="none"/>
                <w:lang w:eastAsia="zh-CN"/>
              </w:rPr>
              <w:t>2025年柯桥区中高风险特种设备安全风险评估项目 （第二次）</w:t>
            </w:r>
          </w:p>
        </w:tc>
        <w:tc>
          <w:tcPr>
            <w:tcW w:w="1449" w:type="dxa"/>
            <w:vMerge w:val="restart"/>
            <w:noWrap w:val="0"/>
            <w:vAlign w:val="center"/>
          </w:tcPr>
          <w:p w14:paraId="6C27AE5B">
            <w:pPr>
              <w:spacing w:line="360" w:lineRule="auto"/>
              <w:jc w:val="center"/>
              <w:rPr>
                <w:rFonts w:hint="eastAsia" w:ascii="仿宋" w:hAnsi="仿宋" w:eastAsia="仿宋" w:cs="仿宋_GB2312"/>
                <w:color w:val="auto"/>
                <w:sz w:val="24"/>
                <w:highlight w:val="none"/>
              </w:rPr>
            </w:pPr>
            <w:r>
              <w:rPr>
                <w:rFonts w:hint="eastAsia" w:eastAsia="仿宋"/>
                <w:color w:val="auto"/>
                <w:sz w:val="24"/>
                <w:highlight w:val="none"/>
              </w:rPr>
              <w:t>1项</w:t>
            </w:r>
          </w:p>
        </w:tc>
        <w:tc>
          <w:tcPr>
            <w:tcW w:w="4642" w:type="dxa"/>
            <w:noWrap w:val="0"/>
            <w:vAlign w:val="center"/>
          </w:tcPr>
          <w:p w14:paraId="44FE9A9E">
            <w:pPr>
              <w:spacing w:line="360" w:lineRule="auto"/>
              <w:jc w:val="left"/>
              <w:rPr>
                <w:rFonts w:hint="eastAsia" w:ascii="仿宋" w:hAnsi="仿宋" w:eastAsia="仿宋" w:cs="仿宋_GB2312"/>
                <w:b/>
                <w:bCs/>
                <w:color w:val="auto"/>
                <w:sz w:val="24"/>
                <w:highlight w:val="none"/>
              </w:rPr>
            </w:pPr>
            <w:r>
              <w:rPr>
                <w:rFonts w:hint="eastAsia" w:ascii="仿宋" w:hAnsi="仿宋" w:eastAsia="仿宋" w:cs="仿宋_GB2312"/>
                <w:b/>
                <w:bCs/>
                <w:color w:val="auto"/>
                <w:sz w:val="24"/>
                <w:highlight w:val="none"/>
              </w:rPr>
              <w:t>大写：</w:t>
            </w:r>
          </w:p>
        </w:tc>
        <w:tc>
          <w:tcPr>
            <w:tcW w:w="2399" w:type="dxa"/>
            <w:vMerge w:val="restart"/>
            <w:noWrap w:val="0"/>
            <w:vAlign w:val="center"/>
          </w:tcPr>
          <w:p w14:paraId="17A4408A">
            <w:pPr>
              <w:spacing w:line="360" w:lineRule="auto"/>
              <w:jc w:val="center"/>
              <w:rPr>
                <w:rFonts w:hint="eastAsia" w:ascii="仿宋" w:hAnsi="仿宋" w:eastAsia="仿宋" w:cs="仿宋_GB2312"/>
                <w:color w:val="auto"/>
                <w:sz w:val="24"/>
                <w:highlight w:val="none"/>
              </w:rPr>
            </w:pPr>
          </w:p>
        </w:tc>
      </w:tr>
      <w:tr w14:paraId="333565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5" w:hRule="atLeast"/>
        </w:trPr>
        <w:tc>
          <w:tcPr>
            <w:tcW w:w="1365" w:type="dxa"/>
            <w:vMerge w:val="continue"/>
            <w:noWrap w:val="0"/>
            <w:vAlign w:val="center"/>
          </w:tcPr>
          <w:p w14:paraId="52E87969">
            <w:pPr>
              <w:spacing w:line="360" w:lineRule="auto"/>
              <w:jc w:val="center"/>
              <w:rPr>
                <w:rFonts w:hint="eastAsia" w:ascii="仿宋" w:hAnsi="仿宋" w:eastAsia="仿宋"/>
                <w:b/>
                <w:color w:val="auto"/>
                <w:sz w:val="24"/>
                <w:highlight w:val="none"/>
              </w:rPr>
            </w:pPr>
          </w:p>
        </w:tc>
        <w:tc>
          <w:tcPr>
            <w:tcW w:w="4659" w:type="dxa"/>
            <w:vMerge w:val="continue"/>
            <w:noWrap w:val="0"/>
            <w:vAlign w:val="center"/>
          </w:tcPr>
          <w:p w14:paraId="6E203E88">
            <w:pPr>
              <w:spacing w:line="360" w:lineRule="auto"/>
              <w:jc w:val="center"/>
              <w:rPr>
                <w:rFonts w:hint="eastAsia" w:ascii="仿宋" w:hAnsi="仿宋" w:eastAsia="仿宋"/>
                <w:b/>
                <w:color w:val="auto"/>
                <w:sz w:val="24"/>
                <w:highlight w:val="none"/>
              </w:rPr>
            </w:pPr>
          </w:p>
        </w:tc>
        <w:tc>
          <w:tcPr>
            <w:tcW w:w="1449" w:type="dxa"/>
            <w:vMerge w:val="continue"/>
            <w:noWrap w:val="0"/>
            <w:vAlign w:val="center"/>
          </w:tcPr>
          <w:p w14:paraId="65BD3AAA">
            <w:pPr>
              <w:spacing w:line="360" w:lineRule="auto"/>
              <w:jc w:val="center"/>
              <w:rPr>
                <w:rFonts w:hint="eastAsia" w:eastAsia="仿宋"/>
                <w:color w:val="auto"/>
                <w:sz w:val="24"/>
                <w:highlight w:val="none"/>
              </w:rPr>
            </w:pPr>
          </w:p>
        </w:tc>
        <w:tc>
          <w:tcPr>
            <w:tcW w:w="4642" w:type="dxa"/>
            <w:noWrap w:val="0"/>
            <w:vAlign w:val="center"/>
          </w:tcPr>
          <w:p w14:paraId="4E67D226">
            <w:pPr>
              <w:spacing w:line="360" w:lineRule="auto"/>
              <w:jc w:val="left"/>
              <w:rPr>
                <w:rFonts w:hint="eastAsia" w:ascii="仿宋" w:hAnsi="仿宋" w:eastAsia="仿宋" w:cs="仿宋_GB2312"/>
                <w:b/>
                <w:bCs/>
                <w:color w:val="auto"/>
                <w:sz w:val="24"/>
                <w:highlight w:val="none"/>
              </w:rPr>
            </w:pPr>
            <w:r>
              <w:rPr>
                <w:rFonts w:hint="eastAsia" w:ascii="仿宋" w:hAnsi="仿宋" w:eastAsia="仿宋" w:cs="仿宋_GB2312"/>
                <w:b/>
                <w:bCs/>
                <w:color w:val="auto"/>
                <w:sz w:val="24"/>
                <w:highlight w:val="none"/>
              </w:rPr>
              <w:t>小写：</w:t>
            </w:r>
          </w:p>
        </w:tc>
        <w:tc>
          <w:tcPr>
            <w:tcW w:w="2399" w:type="dxa"/>
            <w:vMerge w:val="continue"/>
            <w:noWrap w:val="0"/>
            <w:vAlign w:val="center"/>
          </w:tcPr>
          <w:p w14:paraId="58E5EBED">
            <w:pPr>
              <w:spacing w:line="360" w:lineRule="auto"/>
              <w:jc w:val="center"/>
              <w:rPr>
                <w:rFonts w:hint="eastAsia" w:ascii="仿宋" w:hAnsi="仿宋" w:eastAsia="仿宋" w:cs="仿宋_GB2312"/>
                <w:color w:val="auto"/>
                <w:sz w:val="24"/>
                <w:highlight w:val="none"/>
              </w:rPr>
            </w:pPr>
          </w:p>
        </w:tc>
      </w:tr>
    </w:tbl>
    <w:p w14:paraId="1BAF994E">
      <w:pPr>
        <w:snapToGrid w:val="0"/>
        <w:spacing w:line="360" w:lineRule="auto"/>
        <w:ind w:left="480"/>
        <w:rPr>
          <w:rFonts w:hint="eastAsia" w:ascii="仿宋" w:hAnsi="仿宋" w:eastAsia="仿宋" w:cs="仿宋"/>
          <w:b/>
          <w:color w:val="auto"/>
          <w:kern w:val="0"/>
          <w:sz w:val="24"/>
          <w:highlight w:val="none"/>
          <w:lang w:val="zh-CN"/>
        </w:rPr>
      </w:pPr>
    </w:p>
    <w:p w14:paraId="45783596">
      <w:pPr>
        <w:snapToGrid w:val="0"/>
        <w:spacing w:line="360" w:lineRule="auto"/>
        <w:ind w:left="480" w:firstLine="9120" w:firstLineChars="3800"/>
        <w:rPr>
          <w:rFonts w:hint="default" w:ascii="仿宋" w:hAnsi="仿宋" w:eastAsia="仿宋" w:cs="仿宋"/>
          <w:b/>
          <w:color w:val="auto"/>
          <w:kern w:val="0"/>
          <w:sz w:val="24"/>
          <w:highlight w:val="none"/>
          <w:lang w:val="en-US"/>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名称（电子签名）</w:t>
      </w:r>
      <w:r>
        <w:rPr>
          <w:rFonts w:hint="default" w:ascii="仿宋" w:hAnsi="仿宋" w:eastAsia="仿宋" w:cs="仿宋"/>
          <w:color w:val="auto"/>
          <w:sz w:val="24"/>
          <w:highlight w:val="none"/>
          <w:lang w:val="en-US"/>
        </w:rPr>
        <w:t>:</w:t>
      </w:r>
    </w:p>
    <w:p w14:paraId="25E50365">
      <w:pPr>
        <w:snapToGrid w:val="0"/>
        <w:spacing w:line="360" w:lineRule="auto"/>
        <w:ind w:firstLine="9600" w:firstLineChars="4000"/>
        <w:rPr>
          <w:rFonts w:hint="eastAsia" w:ascii="仿宋" w:hAnsi="仿宋" w:eastAsia="仿宋" w:cs="仿宋"/>
          <w:b/>
          <w:color w:val="auto"/>
          <w:kern w:val="0"/>
          <w:sz w:val="24"/>
          <w:highlight w:val="none"/>
          <w:lang w:val="zh-CN"/>
        </w:rPr>
      </w:pPr>
      <w:r>
        <w:rPr>
          <w:rFonts w:hint="eastAsia" w:ascii="仿宋" w:hAnsi="仿宋" w:eastAsia="仿宋" w:cs="仿宋"/>
          <w:color w:val="auto"/>
          <w:sz w:val="24"/>
          <w:highlight w:val="none"/>
        </w:rPr>
        <w:t>日期：  年   月   日</w:t>
      </w:r>
    </w:p>
    <w:p w14:paraId="6DCA0984">
      <w:pPr>
        <w:snapToGrid w:val="0"/>
        <w:spacing w:line="360" w:lineRule="auto"/>
        <w:ind w:left="480"/>
        <w:rPr>
          <w:rFonts w:hint="eastAsia"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注：</w:t>
      </w:r>
    </w:p>
    <w:p w14:paraId="16137B99">
      <w:pPr>
        <w:spacing w:line="360" w:lineRule="auto"/>
        <w:ind w:left="-2" w:leftChars="-1" w:firstLine="480" w:firstLineChars="2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1、投标人需按本表格式填写</w:t>
      </w:r>
      <w:r>
        <w:rPr>
          <w:rFonts w:hint="eastAsia" w:ascii="仿宋" w:hAnsi="仿宋" w:eastAsia="仿宋" w:cs="仿宋"/>
          <w:b/>
          <w:color w:val="auto"/>
          <w:kern w:val="0"/>
          <w:sz w:val="24"/>
          <w:highlight w:val="none"/>
          <w:lang w:val="zh-CN"/>
        </w:rPr>
        <w:t>，</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投标文件含有采购人不能接受的附加条件，投标无效</w:t>
      </w:r>
      <w:r>
        <w:rPr>
          <w:rFonts w:hint="eastAsia" w:ascii="仿宋" w:hAnsi="仿宋" w:eastAsia="仿宋" w:cs="仿宋"/>
          <w:b/>
          <w:color w:val="auto"/>
          <w:kern w:val="0"/>
          <w:sz w:val="24"/>
          <w:highlight w:val="none"/>
          <w:lang w:val="zh-CN"/>
        </w:rPr>
        <w:t>；</w:t>
      </w:r>
      <w:r>
        <w:rPr>
          <w:rFonts w:hint="eastAsia" w:ascii="仿宋" w:hAnsi="仿宋" w:eastAsia="仿宋" w:cs="仿宋"/>
          <w:color w:val="auto"/>
          <w:kern w:val="0"/>
          <w:sz w:val="24"/>
          <w:highlight w:val="none"/>
          <w:lang w:val="zh-CN"/>
        </w:rPr>
        <w:t>。</w:t>
      </w:r>
    </w:p>
    <w:p w14:paraId="5A6DAFB7">
      <w:pPr>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2、有关本项目实施所涉及的一切费用均计入报价。</w:t>
      </w:r>
      <w:r>
        <w:rPr>
          <w:rFonts w:hint="eastAsia" w:ascii="仿宋" w:hAnsi="仿宋" w:eastAsia="仿宋" w:cs="仿宋"/>
          <w:b/>
          <w:color w:val="auto"/>
          <w:kern w:val="0"/>
          <w:sz w:val="24"/>
          <w:highlight w:val="none"/>
          <w:lang w:val="zh-CN"/>
        </w:rPr>
        <w:t>采购人将以合同形式有偿取得货物或服务，不接受投标人给予的赠品、回扣或者与采购无关的其他商品、服务</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不得出现“0元”“免费赠送”等形式的无偿报价，</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投标文件含有采购人不能接受的附加条件，投标无效</w:t>
      </w:r>
      <w:r>
        <w:rPr>
          <w:rFonts w:hint="eastAsia" w:ascii="仿宋" w:hAnsi="仿宋" w:eastAsia="仿宋" w:cs="仿宋"/>
          <w:b/>
          <w:color w:val="auto"/>
          <w:kern w:val="0"/>
          <w:sz w:val="24"/>
          <w:highlight w:val="none"/>
          <w:lang w:val="zh-CN"/>
        </w:rPr>
        <w:t>；采购内容未包含在《开标一览表（报价表）》名称栏中，投标人不能作出合理解释的，</w:t>
      </w:r>
      <w:r>
        <w:rPr>
          <w:rFonts w:hint="eastAsia" w:ascii="仿宋" w:hAnsi="仿宋" w:eastAsia="仿宋" w:cs="仿宋"/>
          <w:b/>
          <w:color w:val="auto"/>
          <w:kern w:val="0"/>
          <w:sz w:val="24"/>
          <w:highlight w:val="none"/>
        </w:rPr>
        <w:t>视为</w:t>
      </w:r>
      <w:r>
        <w:rPr>
          <w:rFonts w:hint="eastAsia" w:ascii="仿宋" w:hAnsi="仿宋" w:eastAsia="仿宋" w:cs="仿宋"/>
          <w:b/>
          <w:color w:val="auto"/>
          <w:sz w:val="24"/>
          <w:highlight w:val="none"/>
        </w:rPr>
        <w:t>投标文件含有采购人不能接受的附加条件的，投标无效。</w:t>
      </w:r>
    </w:p>
    <w:p w14:paraId="45B7830F">
      <w:pPr>
        <w:snapToGrid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3、特别提示：采购代理机构将对项目名称和项目编号，中标供应商名称、地址和中标金额，主要中标标的名称、服务范围、服务要求、服务时间、服务标准等予以公示。</w:t>
      </w:r>
    </w:p>
    <w:p w14:paraId="261E2D50">
      <w:pPr>
        <w:snapToGrid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szCs w:val="22"/>
          <w:highlight w:val="none"/>
          <w:lang w:val="zh-CN"/>
        </w:rPr>
        <w:t>4、</w:t>
      </w:r>
      <w:r>
        <w:rPr>
          <w:rFonts w:hint="eastAsia" w:ascii="仿宋" w:hAnsi="仿宋" w:eastAsia="仿宋" w:cs="仿宋"/>
          <w:color w:val="auto"/>
          <w:kern w:val="0"/>
          <w:sz w:val="24"/>
          <w:highlight w:val="none"/>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4EB488B0">
      <w:pPr>
        <w:spacing w:line="360" w:lineRule="auto"/>
        <w:ind w:firstLine="482" w:firstLineChars="200"/>
        <w:rPr>
          <w:rFonts w:hint="eastAsia" w:ascii="仿宋" w:hAnsi="仿宋" w:eastAsia="仿宋" w:cs="仿宋"/>
          <w:b/>
          <w:color w:val="auto"/>
          <w:kern w:val="0"/>
          <w:sz w:val="24"/>
          <w:highlight w:val="none"/>
        </w:rPr>
      </w:pPr>
    </w:p>
    <w:p w14:paraId="1FE42F1A">
      <w:pPr>
        <w:pStyle w:val="32"/>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sectPr>
          <w:footerReference r:id="rId19" w:type="first"/>
          <w:footerReference r:id="rId18" w:type="default"/>
          <w:pgSz w:w="16838" w:h="11906" w:orient="landscape"/>
          <w:pgMar w:top="1418" w:right="1247" w:bottom="1418" w:left="1276" w:header="851" w:footer="992" w:gutter="0"/>
          <w:pgNumType w:fmt="decimal"/>
          <w:cols w:space="720" w:num="1"/>
          <w:titlePg/>
          <w:docGrid w:linePitch="312" w:charSpace="0"/>
        </w:sectPr>
      </w:pPr>
    </w:p>
    <w:p w14:paraId="2325E48A">
      <w:pPr>
        <w:pStyle w:val="32"/>
        <w:keepNext w:val="0"/>
        <w:pageBreakBefore w:val="0"/>
        <w:tabs>
          <w:tab w:val="clear" w:pos="720"/>
        </w:tabs>
        <w:snapToGrid w:val="0"/>
        <w:spacing w:before="120" w:after="120"/>
        <w:ind w:firstLine="643"/>
        <w:outlineLvl w:val="9"/>
        <w:rPr>
          <w:rFonts w:hint="eastAsia" w:ascii="仿宋" w:hAnsi="仿宋" w:eastAsia="仿宋" w:cs="仿宋"/>
          <w:color w:val="auto"/>
          <w:sz w:val="32"/>
          <w:szCs w:val="32"/>
          <w:highlight w:val="none"/>
        </w:rPr>
      </w:pPr>
      <w:r>
        <w:rPr>
          <w:rFonts w:hint="eastAsia" w:ascii="仿宋" w:hAnsi="仿宋" w:eastAsia="仿宋" w:cs="仿宋"/>
          <w:color w:val="auto"/>
          <w:kern w:val="2"/>
          <w:sz w:val="32"/>
          <w:szCs w:val="32"/>
          <w:highlight w:val="none"/>
        </w:rPr>
        <w:t>二、</w:t>
      </w:r>
      <w:r>
        <w:rPr>
          <w:rFonts w:hint="eastAsia" w:ascii="仿宋" w:hAnsi="仿宋" w:eastAsia="仿宋" w:cs="仿宋"/>
          <w:color w:val="auto"/>
          <w:sz w:val="32"/>
          <w:szCs w:val="32"/>
          <w:highlight w:val="none"/>
        </w:rPr>
        <w:t>中小企业声明函（如有）</w:t>
      </w:r>
    </w:p>
    <w:p w14:paraId="202356A3">
      <w:pPr>
        <w:widowControl/>
        <w:spacing w:line="360" w:lineRule="auto"/>
        <w:ind w:firstLine="120" w:firstLineChars="5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14:paraId="4CCD8B0B">
      <w:pPr>
        <w:pStyle w:val="29"/>
        <w:rPr>
          <w:rFonts w:hint="eastAsia" w:ascii="仿宋" w:hAnsi="仿宋" w:eastAsia="仿宋" w:cs="仿宋"/>
          <w:b/>
          <w:color w:val="auto"/>
          <w:sz w:val="24"/>
          <w:highlight w:val="none"/>
        </w:rPr>
      </w:pPr>
    </w:p>
    <w:p w14:paraId="1E129112">
      <w:pPr>
        <w:pStyle w:val="31"/>
        <w:rPr>
          <w:rFonts w:hint="eastAsia" w:ascii="仿宋" w:hAnsi="仿宋" w:eastAsia="仿宋" w:cs="仿宋"/>
          <w:b/>
          <w:color w:val="auto"/>
          <w:sz w:val="24"/>
          <w:highlight w:val="none"/>
        </w:rPr>
      </w:pPr>
    </w:p>
    <w:p w14:paraId="6730D0E1">
      <w:pPr>
        <w:rPr>
          <w:rFonts w:hint="eastAsia" w:ascii="仿宋" w:hAnsi="仿宋" w:eastAsia="仿宋" w:cs="仿宋"/>
          <w:b/>
          <w:color w:val="auto"/>
          <w:sz w:val="24"/>
          <w:highlight w:val="none"/>
        </w:rPr>
      </w:pPr>
    </w:p>
    <w:p w14:paraId="7F237F3C">
      <w:pPr>
        <w:pStyle w:val="29"/>
        <w:rPr>
          <w:rFonts w:hint="eastAsia" w:ascii="仿宋" w:hAnsi="仿宋" w:eastAsia="仿宋" w:cs="仿宋"/>
          <w:b/>
          <w:color w:val="auto"/>
          <w:sz w:val="24"/>
          <w:highlight w:val="none"/>
        </w:rPr>
      </w:pPr>
    </w:p>
    <w:p w14:paraId="42F88BC6">
      <w:pPr>
        <w:pStyle w:val="31"/>
        <w:rPr>
          <w:rFonts w:hint="eastAsia" w:ascii="仿宋" w:hAnsi="仿宋" w:eastAsia="仿宋" w:cs="仿宋"/>
          <w:b/>
          <w:color w:val="auto"/>
          <w:sz w:val="24"/>
          <w:highlight w:val="none"/>
        </w:rPr>
      </w:pPr>
    </w:p>
    <w:p w14:paraId="3EFC0232">
      <w:pPr>
        <w:rPr>
          <w:rFonts w:hint="eastAsia"/>
          <w:color w:val="auto"/>
          <w:highlight w:val="none"/>
          <w:lang w:eastAsia="zh-CN"/>
        </w:rPr>
      </w:pPr>
    </w:p>
    <w:p w14:paraId="198DC501">
      <w:pPr>
        <w:widowControl/>
        <w:spacing w:line="360" w:lineRule="auto"/>
        <w:ind w:firstLine="161" w:firstLineChars="50"/>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lang w:eastAsia="zh-CN"/>
        </w:rPr>
        <w:t>三、残疾人福利性单位声明函（如有）</w:t>
      </w:r>
    </w:p>
    <w:p w14:paraId="07BFD723">
      <w:pPr>
        <w:pStyle w:val="8"/>
        <w:widowControl/>
        <w:numPr>
          <w:ilvl w:val="0"/>
          <w:numId w:val="0"/>
        </w:numPr>
        <w:spacing w:line="360" w:lineRule="auto"/>
        <w:ind w:firstLine="120" w:firstLineChars="5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lang w:eastAsia="zh-CN"/>
        </w:rPr>
        <w:t>[符合条件的残疾人福利性单位，提供残疾人福利性单位声明函(附件6)，否则不需要提供。]</w:t>
      </w:r>
    </w:p>
    <w:p w14:paraId="0C515C17">
      <w:pPr>
        <w:pStyle w:val="32"/>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pPr>
    </w:p>
    <w:p w14:paraId="0DB8D06F">
      <w:pPr>
        <w:pStyle w:val="32"/>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sectPr>
          <w:pgSz w:w="11906" w:h="16838"/>
          <w:pgMar w:top="1247" w:right="1418" w:bottom="1276" w:left="1418" w:header="851" w:footer="992" w:gutter="0"/>
          <w:pgNumType w:fmt="decimal"/>
          <w:cols w:space="720" w:num="1"/>
          <w:titlePg/>
          <w:docGrid w:linePitch="312" w:charSpace="0"/>
        </w:sectPr>
      </w:pPr>
    </w:p>
    <w:p w14:paraId="73AAC4C5">
      <w:pPr>
        <w:pStyle w:val="3"/>
        <w:keepNext w:val="0"/>
        <w:keepLines w:val="0"/>
        <w:pageBreakBefore/>
        <w:widowControl/>
        <w:spacing w:before="100" w:beforeAutospacing="1" w:after="100" w:afterAutospacing="1" w:line="360" w:lineRule="auto"/>
        <w:ind w:left="1290" w:firstLine="3092" w:firstLineChars="700"/>
        <w:rPr>
          <w:rFonts w:hint="eastAsia" w:ascii="仿宋" w:hAnsi="仿宋" w:eastAsia="仿宋" w:cs="仿宋"/>
          <w:color w:val="auto"/>
          <w:highlight w:val="none"/>
        </w:rPr>
      </w:pPr>
      <w:r>
        <w:rPr>
          <w:rFonts w:hint="eastAsia" w:ascii="仿宋" w:hAnsi="仿宋" w:eastAsia="仿宋" w:cs="仿宋"/>
          <w:color w:val="auto"/>
          <w:highlight w:val="none"/>
        </w:rPr>
        <w:t>附件</w:t>
      </w:r>
    </w:p>
    <w:p w14:paraId="67EA858C">
      <w:pPr>
        <w:spacing w:line="360" w:lineRule="auto"/>
        <w:jc w:val="left"/>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附件1：质疑函范本及制作说明</w:t>
      </w:r>
    </w:p>
    <w:p w14:paraId="2B78CC01">
      <w:pPr>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质疑函范本</w:t>
      </w:r>
    </w:p>
    <w:p w14:paraId="586C3AB2">
      <w:pPr>
        <w:snapToGrid w:val="0"/>
        <w:spacing w:before="240" w:beforeLines="100"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一、质疑供应商基本信息</w:t>
      </w:r>
    </w:p>
    <w:p w14:paraId="15D2DCBB">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质疑供应商：</w:t>
      </w:r>
      <w:r>
        <w:rPr>
          <w:rFonts w:hint="eastAsia" w:ascii="仿宋" w:hAnsi="仿宋" w:eastAsia="仿宋" w:cs="仿宋"/>
          <w:color w:val="auto"/>
          <w:sz w:val="24"/>
          <w:highlight w:val="none"/>
          <w:u w:val="dotted"/>
        </w:rPr>
        <w:t xml:space="preserve">                                        </w:t>
      </w:r>
    </w:p>
    <w:p w14:paraId="1FF62CB5">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地址：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14:paraId="74676ECC">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7EA8AE04">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授权代表：</w:t>
      </w:r>
      <w:r>
        <w:rPr>
          <w:rFonts w:hint="eastAsia" w:ascii="仿宋" w:hAnsi="仿宋" w:eastAsia="仿宋" w:cs="仿宋"/>
          <w:color w:val="auto"/>
          <w:sz w:val="24"/>
          <w:highlight w:val="none"/>
          <w:u w:val="dotted"/>
        </w:rPr>
        <w:t xml:space="preserve">                                          </w:t>
      </w:r>
    </w:p>
    <w:p w14:paraId="55BA8736">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2605E8CB">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地址： </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14:paraId="2E8B89EA">
      <w:pPr>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二、质疑项目基本情况</w:t>
      </w:r>
    </w:p>
    <w:p w14:paraId="013DA90D">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质疑项目的名称：</w:t>
      </w:r>
      <w:r>
        <w:rPr>
          <w:rFonts w:hint="eastAsia" w:ascii="仿宋" w:hAnsi="仿宋" w:eastAsia="仿宋" w:cs="仿宋"/>
          <w:color w:val="auto"/>
          <w:sz w:val="24"/>
          <w:highlight w:val="none"/>
          <w:u w:val="dotted"/>
        </w:rPr>
        <w:t xml:space="preserve">                                      </w:t>
      </w:r>
    </w:p>
    <w:p w14:paraId="26EB2AC2">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质疑项目的编号：</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包号：</w:t>
      </w:r>
      <w:r>
        <w:rPr>
          <w:rFonts w:hint="eastAsia" w:ascii="仿宋" w:hAnsi="仿宋" w:eastAsia="仿宋" w:cs="仿宋"/>
          <w:color w:val="auto"/>
          <w:sz w:val="24"/>
          <w:highlight w:val="none"/>
          <w:u w:val="dotted"/>
        </w:rPr>
        <w:t xml:space="preserve">                 </w:t>
      </w:r>
    </w:p>
    <w:p w14:paraId="18D845A9">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采购人名称：</w:t>
      </w:r>
      <w:r>
        <w:rPr>
          <w:rFonts w:hint="eastAsia" w:ascii="仿宋" w:hAnsi="仿宋" w:eastAsia="仿宋" w:cs="仿宋"/>
          <w:color w:val="auto"/>
          <w:sz w:val="24"/>
          <w:highlight w:val="none"/>
          <w:u w:val="dotted"/>
        </w:rPr>
        <w:t xml:space="preserve">                                         </w:t>
      </w:r>
    </w:p>
    <w:p w14:paraId="424EC248">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采购文件获取日期：</w:t>
      </w:r>
      <w:r>
        <w:rPr>
          <w:rFonts w:hint="eastAsia" w:ascii="仿宋" w:hAnsi="仿宋" w:eastAsia="仿宋" w:cs="仿宋"/>
          <w:color w:val="auto"/>
          <w:sz w:val="24"/>
          <w:highlight w:val="none"/>
          <w:u w:val="dotted"/>
        </w:rPr>
        <w:t xml:space="preserve">                                           </w:t>
      </w:r>
    </w:p>
    <w:p w14:paraId="1A382B8B">
      <w:pPr>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三、质疑事项具体内容</w:t>
      </w:r>
    </w:p>
    <w:p w14:paraId="0F07F9E4">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质疑事项1：</w:t>
      </w:r>
      <w:r>
        <w:rPr>
          <w:rFonts w:hint="eastAsia" w:ascii="仿宋" w:hAnsi="仿宋" w:eastAsia="仿宋" w:cs="仿宋"/>
          <w:color w:val="auto"/>
          <w:sz w:val="24"/>
          <w:highlight w:val="none"/>
          <w:u w:val="dotted"/>
        </w:rPr>
        <w:t xml:space="preserve">                                         </w:t>
      </w:r>
    </w:p>
    <w:p w14:paraId="6A4A38FF">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事实依据：</w:t>
      </w:r>
      <w:r>
        <w:rPr>
          <w:rFonts w:hint="eastAsia" w:ascii="仿宋" w:hAnsi="仿宋" w:eastAsia="仿宋" w:cs="仿宋"/>
          <w:color w:val="auto"/>
          <w:sz w:val="24"/>
          <w:highlight w:val="none"/>
          <w:u w:val="dotted"/>
        </w:rPr>
        <w:t xml:space="preserve">                                          </w:t>
      </w:r>
    </w:p>
    <w:p w14:paraId="3801E154">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u w:val="dotted"/>
        </w:rPr>
        <w:t xml:space="preserve">                                                       </w:t>
      </w:r>
    </w:p>
    <w:p w14:paraId="3EFBF523">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法律依据：</w:t>
      </w:r>
      <w:r>
        <w:rPr>
          <w:rFonts w:hint="eastAsia" w:ascii="仿宋" w:hAnsi="仿宋" w:eastAsia="仿宋" w:cs="仿宋"/>
          <w:color w:val="auto"/>
          <w:sz w:val="24"/>
          <w:highlight w:val="none"/>
          <w:u w:val="dotted"/>
        </w:rPr>
        <w:t xml:space="preserve">                                          </w:t>
      </w:r>
    </w:p>
    <w:p w14:paraId="36F1F4C6">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63E39846">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质疑事项2</w:t>
      </w:r>
    </w:p>
    <w:p w14:paraId="77DBA161">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p w14:paraId="002C8076">
      <w:pPr>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四、与质疑事项相关的质疑请求</w:t>
      </w:r>
    </w:p>
    <w:p w14:paraId="30D2394F">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请求：</w:t>
      </w:r>
      <w:r>
        <w:rPr>
          <w:rFonts w:hint="eastAsia" w:ascii="仿宋" w:hAnsi="仿宋" w:eastAsia="仿宋" w:cs="仿宋"/>
          <w:color w:val="auto"/>
          <w:sz w:val="24"/>
          <w:highlight w:val="none"/>
          <w:u w:val="dotted"/>
        </w:rPr>
        <w:t xml:space="preserve">                                               </w:t>
      </w:r>
    </w:p>
    <w:p w14:paraId="4559357F">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14:paraId="59211B5D">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14:paraId="78B72620">
      <w:pPr>
        <w:spacing w:line="360" w:lineRule="auto"/>
        <w:jc w:val="center"/>
        <w:rPr>
          <w:rFonts w:hint="eastAsia" w:ascii="仿宋" w:hAnsi="仿宋" w:eastAsia="仿宋" w:cs="仿宋"/>
          <w:b/>
          <w:bCs/>
          <w:color w:val="auto"/>
          <w:sz w:val="24"/>
          <w:highlight w:val="none"/>
        </w:rPr>
      </w:pPr>
    </w:p>
    <w:p w14:paraId="1A1B52DD">
      <w:pPr>
        <w:spacing w:line="360" w:lineRule="auto"/>
        <w:rPr>
          <w:rFonts w:hint="eastAsia" w:ascii="仿宋" w:hAnsi="仿宋" w:eastAsia="仿宋" w:cs="仿宋"/>
          <w:b/>
          <w:color w:val="auto"/>
          <w:sz w:val="24"/>
          <w:highlight w:val="none"/>
        </w:rPr>
      </w:pPr>
    </w:p>
    <w:p w14:paraId="200993B4">
      <w:pPr>
        <w:spacing w:line="360" w:lineRule="auto"/>
        <w:rPr>
          <w:rFonts w:hint="eastAsia" w:ascii="仿宋" w:hAnsi="仿宋" w:eastAsia="仿宋" w:cs="仿宋"/>
          <w:b/>
          <w:color w:val="auto"/>
          <w:sz w:val="24"/>
          <w:highlight w:val="none"/>
        </w:rPr>
      </w:pPr>
    </w:p>
    <w:p w14:paraId="4EF6C7CB">
      <w:pPr>
        <w:spacing w:line="360" w:lineRule="auto"/>
        <w:rPr>
          <w:rFonts w:hint="eastAsia" w:ascii="仿宋" w:hAnsi="仿宋" w:eastAsia="仿宋" w:cs="仿宋"/>
          <w:b/>
          <w:color w:val="auto"/>
          <w:sz w:val="24"/>
          <w:highlight w:val="none"/>
        </w:rPr>
      </w:pPr>
    </w:p>
    <w:p w14:paraId="7B81779D">
      <w:pPr>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质疑函制作说明：</w:t>
      </w:r>
    </w:p>
    <w:p w14:paraId="2DB5597E">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1.供应商提出质疑时，应提交质疑函和必要的证明材料。</w:t>
      </w:r>
    </w:p>
    <w:p w14:paraId="62E0DA91">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2.质疑供应商若委托代理人进行质疑的，质疑函应按要求列明“授权代表”的有关内容，并在附件中提交由质疑</w:t>
      </w:r>
      <w:r>
        <w:rPr>
          <w:rFonts w:hint="eastAsia" w:ascii="仿宋" w:hAnsi="仿宋" w:eastAsia="仿宋" w:cs="仿宋"/>
          <w:color w:val="auto"/>
          <w:kern w:val="0"/>
          <w:sz w:val="24"/>
          <w:highlight w:val="none"/>
        </w:rPr>
        <w:t>供应商签署的授权委托书。授权委托书应载明代理人的姓名或者名称、代理事项、具体权限、期限和相关事项。</w:t>
      </w:r>
    </w:p>
    <w:p w14:paraId="5372A6B4">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3.质疑供应商若对项目的某一分包进行质疑，质疑函中应列明具体分包号。</w:t>
      </w:r>
    </w:p>
    <w:p w14:paraId="5FAF23AC">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4.质疑函的质疑事项应具体、明确，并有必要的事实依据和法律依据。</w:t>
      </w:r>
    </w:p>
    <w:p w14:paraId="7BEB03A1">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5.质疑函的质疑请求应与质疑事项相关。</w:t>
      </w:r>
    </w:p>
    <w:p w14:paraId="1C854164">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6.质疑供应商为自然人的，质疑函应由本人签字；质疑供应商为法人或者其他组织的，质疑函应由法定代表人、主要负责人，或者其授权代表签字或者盖章，并加盖公章。</w:t>
      </w:r>
    </w:p>
    <w:p w14:paraId="61040123">
      <w:pPr>
        <w:widowControl/>
        <w:spacing w:line="360" w:lineRule="auto"/>
        <w:ind w:firstLine="600" w:firstLineChars="200"/>
        <w:jc w:val="left"/>
        <w:rPr>
          <w:rFonts w:hint="eastAsia" w:ascii="仿宋" w:hAnsi="仿宋" w:eastAsia="仿宋" w:cs="仿宋"/>
          <w:color w:val="auto"/>
          <w:sz w:val="30"/>
          <w:szCs w:val="30"/>
          <w:highlight w:val="none"/>
        </w:rPr>
      </w:pPr>
    </w:p>
    <w:p w14:paraId="308C2D25">
      <w:pPr>
        <w:spacing w:line="360" w:lineRule="auto"/>
        <w:jc w:val="center"/>
        <w:rPr>
          <w:rFonts w:hint="eastAsia" w:ascii="仿宋" w:hAnsi="仿宋" w:eastAsia="仿宋" w:cs="仿宋"/>
          <w:b/>
          <w:color w:val="auto"/>
          <w:spacing w:val="6"/>
          <w:sz w:val="32"/>
          <w:szCs w:val="32"/>
          <w:highlight w:val="none"/>
        </w:rPr>
      </w:pPr>
    </w:p>
    <w:p w14:paraId="148B3858">
      <w:pPr>
        <w:spacing w:line="360" w:lineRule="auto"/>
        <w:jc w:val="center"/>
        <w:rPr>
          <w:rFonts w:hint="eastAsia" w:ascii="仿宋" w:hAnsi="仿宋" w:eastAsia="仿宋" w:cs="仿宋"/>
          <w:b/>
          <w:color w:val="auto"/>
          <w:spacing w:val="6"/>
          <w:sz w:val="32"/>
          <w:szCs w:val="32"/>
          <w:highlight w:val="none"/>
        </w:rPr>
      </w:pPr>
    </w:p>
    <w:p w14:paraId="0A0122DF">
      <w:pPr>
        <w:spacing w:line="360" w:lineRule="auto"/>
        <w:jc w:val="center"/>
        <w:rPr>
          <w:rFonts w:hint="eastAsia" w:ascii="仿宋" w:hAnsi="仿宋" w:eastAsia="仿宋" w:cs="仿宋"/>
          <w:b/>
          <w:color w:val="auto"/>
          <w:spacing w:val="6"/>
          <w:sz w:val="32"/>
          <w:szCs w:val="32"/>
          <w:highlight w:val="none"/>
        </w:rPr>
      </w:pPr>
    </w:p>
    <w:p w14:paraId="44B2FE86">
      <w:pPr>
        <w:spacing w:line="360" w:lineRule="auto"/>
        <w:jc w:val="center"/>
        <w:rPr>
          <w:rFonts w:hint="eastAsia" w:ascii="仿宋" w:hAnsi="仿宋" w:eastAsia="仿宋" w:cs="仿宋"/>
          <w:b/>
          <w:color w:val="auto"/>
          <w:spacing w:val="6"/>
          <w:sz w:val="32"/>
          <w:szCs w:val="32"/>
          <w:highlight w:val="none"/>
        </w:rPr>
      </w:pPr>
    </w:p>
    <w:p w14:paraId="47EAF980">
      <w:pPr>
        <w:spacing w:line="360" w:lineRule="auto"/>
        <w:jc w:val="center"/>
        <w:rPr>
          <w:rFonts w:hint="eastAsia" w:ascii="仿宋" w:hAnsi="仿宋" w:eastAsia="仿宋" w:cs="仿宋"/>
          <w:b/>
          <w:color w:val="auto"/>
          <w:spacing w:val="6"/>
          <w:sz w:val="32"/>
          <w:szCs w:val="32"/>
          <w:highlight w:val="none"/>
        </w:rPr>
      </w:pPr>
    </w:p>
    <w:p w14:paraId="7C4D8DE5">
      <w:pPr>
        <w:spacing w:line="360" w:lineRule="auto"/>
        <w:jc w:val="center"/>
        <w:rPr>
          <w:rFonts w:hint="eastAsia" w:ascii="仿宋" w:hAnsi="仿宋" w:eastAsia="仿宋" w:cs="仿宋"/>
          <w:b/>
          <w:color w:val="auto"/>
          <w:spacing w:val="6"/>
          <w:sz w:val="32"/>
          <w:szCs w:val="32"/>
          <w:highlight w:val="none"/>
        </w:rPr>
      </w:pPr>
    </w:p>
    <w:p w14:paraId="231784C0">
      <w:pPr>
        <w:spacing w:line="360" w:lineRule="auto"/>
        <w:jc w:val="center"/>
        <w:rPr>
          <w:rFonts w:hint="eastAsia" w:ascii="仿宋" w:hAnsi="仿宋" w:eastAsia="仿宋" w:cs="仿宋"/>
          <w:b/>
          <w:color w:val="auto"/>
          <w:spacing w:val="6"/>
          <w:sz w:val="32"/>
          <w:szCs w:val="32"/>
          <w:highlight w:val="none"/>
        </w:rPr>
      </w:pPr>
    </w:p>
    <w:p w14:paraId="49686F8F">
      <w:pPr>
        <w:spacing w:line="360" w:lineRule="auto"/>
        <w:jc w:val="left"/>
        <w:rPr>
          <w:rFonts w:hint="eastAsia" w:ascii="仿宋" w:hAnsi="仿宋" w:eastAsia="仿宋" w:cs="仿宋"/>
          <w:b/>
          <w:color w:val="auto"/>
          <w:spacing w:val="6"/>
          <w:sz w:val="32"/>
          <w:szCs w:val="32"/>
          <w:highlight w:val="none"/>
        </w:rPr>
      </w:pPr>
    </w:p>
    <w:p w14:paraId="7F60E3EE">
      <w:pPr>
        <w:spacing w:line="360" w:lineRule="auto"/>
        <w:jc w:val="left"/>
        <w:rPr>
          <w:rFonts w:hint="eastAsia" w:ascii="仿宋" w:hAnsi="仿宋" w:eastAsia="仿宋" w:cs="仿宋"/>
          <w:b/>
          <w:color w:val="auto"/>
          <w:spacing w:val="6"/>
          <w:sz w:val="32"/>
          <w:szCs w:val="32"/>
          <w:highlight w:val="none"/>
        </w:rPr>
      </w:pPr>
    </w:p>
    <w:p w14:paraId="1787BD1E">
      <w:pPr>
        <w:spacing w:line="360" w:lineRule="auto"/>
        <w:jc w:val="left"/>
        <w:rPr>
          <w:rFonts w:hint="eastAsia" w:ascii="仿宋" w:hAnsi="仿宋" w:eastAsia="仿宋" w:cs="仿宋"/>
          <w:b/>
          <w:color w:val="auto"/>
          <w:spacing w:val="6"/>
          <w:sz w:val="32"/>
          <w:szCs w:val="32"/>
          <w:highlight w:val="none"/>
        </w:rPr>
      </w:pPr>
    </w:p>
    <w:p w14:paraId="031B0575">
      <w:pPr>
        <w:spacing w:line="360" w:lineRule="auto"/>
        <w:jc w:val="left"/>
        <w:rPr>
          <w:rFonts w:hint="eastAsia" w:ascii="仿宋" w:hAnsi="仿宋" w:eastAsia="仿宋" w:cs="仿宋"/>
          <w:b/>
          <w:color w:val="auto"/>
          <w:spacing w:val="6"/>
          <w:sz w:val="32"/>
          <w:szCs w:val="32"/>
          <w:highlight w:val="none"/>
        </w:rPr>
      </w:pPr>
    </w:p>
    <w:p w14:paraId="43F67339">
      <w:pPr>
        <w:spacing w:line="360" w:lineRule="auto"/>
        <w:jc w:val="left"/>
        <w:rPr>
          <w:rFonts w:hint="eastAsia" w:ascii="仿宋" w:hAnsi="仿宋" w:eastAsia="仿宋" w:cs="仿宋"/>
          <w:b/>
          <w:color w:val="auto"/>
          <w:spacing w:val="6"/>
          <w:sz w:val="32"/>
          <w:szCs w:val="32"/>
          <w:highlight w:val="none"/>
        </w:rPr>
      </w:pPr>
    </w:p>
    <w:p w14:paraId="12A042C1">
      <w:pPr>
        <w:spacing w:line="360" w:lineRule="auto"/>
        <w:jc w:val="left"/>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2</w:t>
      </w:r>
      <w:r>
        <w:rPr>
          <w:rFonts w:hint="eastAsia" w:ascii="仿宋" w:hAnsi="仿宋" w:eastAsia="仿宋" w:cs="仿宋"/>
          <w:b/>
          <w:color w:val="auto"/>
          <w:spacing w:val="6"/>
          <w:sz w:val="32"/>
          <w:szCs w:val="32"/>
          <w:highlight w:val="none"/>
        </w:rPr>
        <w:t>：投诉书范本及制作说明</w:t>
      </w:r>
    </w:p>
    <w:p w14:paraId="7E422285">
      <w:pPr>
        <w:spacing w:line="360" w:lineRule="auto"/>
        <w:jc w:val="center"/>
        <w:rPr>
          <w:rFonts w:hint="eastAsia" w:ascii="仿宋" w:hAnsi="仿宋" w:eastAsia="仿宋" w:cs="仿宋"/>
          <w:b/>
          <w:color w:val="auto"/>
          <w:sz w:val="24"/>
          <w:highlight w:val="none"/>
        </w:rPr>
      </w:pPr>
    </w:p>
    <w:p w14:paraId="31EFBFC9">
      <w:pPr>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投诉书范本</w:t>
      </w:r>
    </w:p>
    <w:p w14:paraId="4D4DF2A3">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一、投诉相关主体基本情况</w:t>
      </w:r>
    </w:p>
    <w:p w14:paraId="2B502217">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投诉人：</w:t>
      </w:r>
      <w:r>
        <w:rPr>
          <w:rFonts w:hint="eastAsia" w:ascii="仿宋" w:hAnsi="仿宋" w:eastAsia="仿宋" w:cs="仿宋"/>
          <w:color w:val="auto"/>
          <w:sz w:val="24"/>
          <w:highlight w:val="none"/>
          <w:u w:val="dotted"/>
        </w:rPr>
        <w:t xml:space="preserve">                                               </w:t>
      </w:r>
    </w:p>
    <w:p w14:paraId="1CF63204">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3DB07F0D">
      <w:pPr>
        <w:tabs>
          <w:tab w:val="left" w:pos="6510"/>
        </w:tabs>
        <w:spacing w:line="360" w:lineRule="auto"/>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法定代表人/主要负责人：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33ADAA1F">
      <w:pPr>
        <w:tabs>
          <w:tab w:val="left" w:pos="6510"/>
        </w:tabs>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01804EE7">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授权代表：</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35A3F387">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dotted"/>
        </w:rPr>
        <w:t xml:space="preserve">                   </w:t>
      </w:r>
    </w:p>
    <w:p w14:paraId="13D5C330">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被投诉人1：</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429053D1">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2D511B82">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2667C6BF">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被投诉人2</w:t>
      </w:r>
    </w:p>
    <w:p w14:paraId="48AF0EAA">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w:t>
      </w:r>
    </w:p>
    <w:p w14:paraId="5B955743">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相关供应商：</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1988A85E">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6FA3CA3D">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2477C4E4">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二、投诉项目基本情况</w:t>
      </w:r>
    </w:p>
    <w:p w14:paraId="71AEF46A">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采购项目名称：</w:t>
      </w:r>
      <w:r>
        <w:rPr>
          <w:rFonts w:hint="eastAsia" w:ascii="仿宋" w:hAnsi="仿宋" w:eastAsia="仿宋" w:cs="仿宋"/>
          <w:color w:val="auto"/>
          <w:sz w:val="24"/>
          <w:highlight w:val="none"/>
          <w:u w:val="dotted"/>
        </w:rPr>
        <w:t xml:space="preserve">                                        </w:t>
      </w:r>
    </w:p>
    <w:p w14:paraId="077E3158">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采购项目编号：</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包号：</w:t>
      </w:r>
      <w:r>
        <w:rPr>
          <w:rFonts w:hint="eastAsia" w:ascii="仿宋" w:hAnsi="仿宋" w:eastAsia="仿宋" w:cs="仿宋"/>
          <w:color w:val="auto"/>
          <w:sz w:val="24"/>
          <w:highlight w:val="none"/>
          <w:u w:val="dotted"/>
        </w:rPr>
        <w:t xml:space="preserve">              </w:t>
      </w:r>
    </w:p>
    <w:p w14:paraId="0FF51C89">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采购人名称：</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164A36C3">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代理机构名称：</w:t>
      </w:r>
      <w:r>
        <w:rPr>
          <w:rFonts w:hint="eastAsia" w:ascii="仿宋" w:hAnsi="仿宋" w:eastAsia="仿宋" w:cs="仿宋"/>
          <w:color w:val="auto"/>
          <w:sz w:val="24"/>
          <w:highlight w:val="none"/>
          <w:u w:val="dotted"/>
        </w:rPr>
        <w:t xml:space="preserve">                                         </w:t>
      </w:r>
    </w:p>
    <w:p w14:paraId="523243FC">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采购文件公告: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r>
        <w:rPr>
          <w:rFonts w:hint="eastAsia" w:ascii="仿宋" w:hAnsi="仿宋" w:eastAsia="仿宋" w:cs="仿宋"/>
          <w:color w:val="auto"/>
          <w:sz w:val="24"/>
          <w:highlight w:val="none"/>
          <w:u w:val="dotted"/>
        </w:rPr>
        <w:t xml:space="preserve">                                 </w:t>
      </w:r>
    </w:p>
    <w:p w14:paraId="2F18C551">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采购结果公告: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r>
        <w:rPr>
          <w:rFonts w:hint="eastAsia" w:ascii="仿宋" w:hAnsi="仿宋" w:eastAsia="仿宋" w:cs="仿宋"/>
          <w:color w:val="auto"/>
          <w:sz w:val="24"/>
          <w:highlight w:val="none"/>
          <w:u w:val="dotted"/>
        </w:rPr>
        <w:t xml:space="preserve">                        </w:t>
      </w:r>
    </w:p>
    <w:p w14:paraId="66061C74">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三、质疑基本情况</w:t>
      </w:r>
    </w:p>
    <w:p w14:paraId="02381DAC">
      <w:pPr>
        <w:spacing w:line="360" w:lineRule="auto"/>
        <w:ind w:firstLine="480" w:firstLineChars="200"/>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投诉人于</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日,向</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提出质疑，质疑事项为：</w:t>
      </w:r>
      <w:r>
        <w:rPr>
          <w:rFonts w:hint="eastAsia" w:ascii="仿宋" w:hAnsi="仿宋" w:eastAsia="仿宋" w:cs="仿宋"/>
          <w:color w:val="auto"/>
          <w:sz w:val="24"/>
          <w:highlight w:val="none"/>
          <w:u w:val="dotted"/>
        </w:rPr>
        <w:t xml:space="preserve">                                </w:t>
      </w:r>
    </w:p>
    <w:p w14:paraId="7BED5F63">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41898025">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u w:val="dotted"/>
        </w:rPr>
        <w:t>采购人/代理机构</w:t>
      </w:r>
      <w:r>
        <w:rPr>
          <w:rFonts w:hint="eastAsia" w:ascii="仿宋" w:hAnsi="仿宋" w:eastAsia="仿宋" w:cs="仿宋"/>
          <w:color w:val="auto"/>
          <w:sz w:val="24"/>
          <w:highlight w:val="none"/>
        </w:rPr>
        <w:t>于</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日,就质疑事项作出了答复/没有在法定期限内作出答复。</w:t>
      </w:r>
    </w:p>
    <w:p w14:paraId="1B6FEA58">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四、投诉事项具体内容</w:t>
      </w:r>
    </w:p>
    <w:p w14:paraId="593E3B61">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投诉事项 1：</w:t>
      </w:r>
      <w:r>
        <w:rPr>
          <w:rFonts w:hint="eastAsia" w:ascii="仿宋" w:hAnsi="仿宋" w:eastAsia="仿宋" w:cs="仿宋"/>
          <w:color w:val="auto"/>
          <w:sz w:val="24"/>
          <w:highlight w:val="none"/>
          <w:u w:val="dotted"/>
        </w:rPr>
        <w:t xml:space="preserve">                                       </w:t>
      </w:r>
    </w:p>
    <w:p w14:paraId="687F285C">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事实依据：</w:t>
      </w:r>
      <w:r>
        <w:rPr>
          <w:rFonts w:hint="eastAsia" w:ascii="仿宋" w:hAnsi="仿宋" w:eastAsia="仿宋" w:cs="仿宋"/>
          <w:color w:val="auto"/>
          <w:sz w:val="24"/>
          <w:highlight w:val="none"/>
          <w:u w:val="dotted"/>
        </w:rPr>
        <w:t xml:space="preserve">                                         </w:t>
      </w:r>
    </w:p>
    <w:p w14:paraId="67BAAAA5">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3F050614">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法律依据：</w:t>
      </w:r>
      <w:r>
        <w:rPr>
          <w:rFonts w:hint="eastAsia" w:ascii="仿宋" w:hAnsi="仿宋" w:eastAsia="仿宋" w:cs="仿宋"/>
          <w:color w:val="auto"/>
          <w:sz w:val="24"/>
          <w:highlight w:val="none"/>
          <w:u w:val="dotted"/>
        </w:rPr>
        <w:t xml:space="preserve">                                          </w:t>
      </w:r>
    </w:p>
    <w:p w14:paraId="63DF39EB">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467782A1">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投诉事项2</w:t>
      </w:r>
    </w:p>
    <w:p w14:paraId="453551CF">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w:t>
      </w:r>
    </w:p>
    <w:p w14:paraId="025D2913">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五、与投诉事项相关的投诉请求</w:t>
      </w:r>
    </w:p>
    <w:p w14:paraId="3B6BBB8B">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请求：</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28164758">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 xml:space="preserve">                                                                                                    </w:t>
      </w:r>
    </w:p>
    <w:p w14:paraId="3D933373">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14:paraId="0B18AB8F">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14:paraId="14E10E9E">
      <w:pPr>
        <w:spacing w:line="360" w:lineRule="auto"/>
        <w:rPr>
          <w:rFonts w:hint="eastAsia" w:ascii="仿宋" w:hAnsi="仿宋" w:eastAsia="仿宋" w:cs="仿宋"/>
          <w:b/>
          <w:color w:val="auto"/>
          <w:sz w:val="24"/>
          <w:highlight w:val="none"/>
        </w:rPr>
      </w:pPr>
    </w:p>
    <w:p w14:paraId="2500FF3D">
      <w:pPr>
        <w:spacing w:line="360" w:lineRule="auto"/>
        <w:rPr>
          <w:rFonts w:hint="eastAsia" w:ascii="仿宋" w:hAnsi="仿宋" w:eastAsia="仿宋" w:cs="仿宋"/>
          <w:b/>
          <w:color w:val="auto"/>
          <w:sz w:val="24"/>
          <w:highlight w:val="none"/>
        </w:rPr>
      </w:pPr>
    </w:p>
    <w:p w14:paraId="5195D172">
      <w:pPr>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投诉书制作说明：</w:t>
      </w:r>
    </w:p>
    <w:p w14:paraId="7179681C">
      <w:pPr>
        <w:widowControl/>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1.投诉人提起投诉时，应当提交投诉书和必要的证明材料，并按照被投诉人和与投诉事项有关的供应商数量提供投诉书副本。</w:t>
      </w:r>
    </w:p>
    <w:p w14:paraId="4C0ACDB0">
      <w:pPr>
        <w:widowControl/>
        <w:spacing w:line="360" w:lineRule="auto"/>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2.投诉人若委托代理人进行投诉的，投诉书应按照要求列明“授权代表”的有关内容，并在附件中提交由</w:t>
      </w:r>
      <w:r>
        <w:rPr>
          <w:rFonts w:hint="eastAsia" w:ascii="仿宋" w:hAnsi="仿宋" w:eastAsia="仿宋" w:cs="仿宋"/>
          <w:color w:val="auto"/>
          <w:kern w:val="0"/>
          <w:sz w:val="24"/>
          <w:highlight w:val="none"/>
        </w:rPr>
        <w:t>投诉人签署的授权委托书。授权委托书应当载明代理人的姓名或者名称、代理事项、具体权限、期限和相关事项。</w:t>
      </w:r>
    </w:p>
    <w:p w14:paraId="03324AE5">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3.投诉人若对项目的某一分包进行投诉，投诉书应列明具体分包号。</w:t>
      </w:r>
    </w:p>
    <w:p w14:paraId="1BA1F840">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4.投诉书应简要列明质疑事项，质疑函、质疑答复等作为附件材料提供。</w:t>
      </w:r>
    </w:p>
    <w:p w14:paraId="635358EB">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5.投诉书的投诉事项应具体、明确，并有必要的事实依据和法律依据。</w:t>
      </w:r>
    </w:p>
    <w:p w14:paraId="72038875">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6.投诉书的投诉请求应与投诉事项相关。</w:t>
      </w:r>
    </w:p>
    <w:p w14:paraId="7E6CBE59">
      <w:pPr>
        <w:widowControl/>
        <w:spacing w:line="360" w:lineRule="auto"/>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7.投诉人为自然人的，投诉书应当由本人签字；投诉人为法人或者其他组织的，投诉书应当由法定代表人、主要负责人，或者其授权代表签字或者盖章，并加盖公章。</w:t>
      </w:r>
    </w:p>
    <w:p w14:paraId="15FB656D">
      <w:pPr>
        <w:spacing w:line="360" w:lineRule="auto"/>
        <w:rPr>
          <w:rFonts w:hint="eastAsia" w:ascii="仿宋" w:hAnsi="仿宋" w:eastAsia="仿宋" w:cs="仿宋"/>
          <w:b/>
          <w:color w:val="auto"/>
          <w:sz w:val="24"/>
          <w:highlight w:val="none"/>
        </w:rPr>
      </w:pPr>
    </w:p>
    <w:p w14:paraId="6D321299">
      <w:pPr>
        <w:autoSpaceDE w:val="0"/>
        <w:autoSpaceDN w:val="0"/>
        <w:jc w:val="center"/>
        <w:rPr>
          <w:rFonts w:hint="eastAsia" w:ascii="仿宋" w:hAnsi="仿宋" w:eastAsia="仿宋" w:cs="仿宋"/>
          <w:b/>
          <w:color w:val="auto"/>
          <w:spacing w:val="6"/>
          <w:sz w:val="32"/>
          <w:szCs w:val="32"/>
          <w:highlight w:val="none"/>
        </w:rPr>
      </w:pPr>
    </w:p>
    <w:p w14:paraId="406FC1B3">
      <w:pPr>
        <w:autoSpaceDE w:val="0"/>
        <w:autoSpaceDN w:val="0"/>
        <w:jc w:val="center"/>
        <w:rPr>
          <w:rFonts w:hint="eastAsia" w:ascii="仿宋" w:hAnsi="仿宋" w:eastAsia="仿宋" w:cs="仿宋"/>
          <w:b/>
          <w:color w:val="auto"/>
          <w:spacing w:val="6"/>
          <w:sz w:val="32"/>
          <w:szCs w:val="32"/>
          <w:highlight w:val="none"/>
        </w:rPr>
      </w:pPr>
    </w:p>
    <w:p w14:paraId="6C75BE34">
      <w:pPr>
        <w:autoSpaceDE w:val="0"/>
        <w:autoSpaceDN w:val="0"/>
        <w:jc w:val="center"/>
        <w:rPr>
          <w:rFonts w:hint="eastAsia" w:ascii="仿宋" w:hAnsi="仿宋" w:eastAsia="仿宋" w:cs="仿宋"/>
          <w:b/>
          <w:bCs/>
          <w:color w:val="auto"/>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3</w:t>
      </w:r>
      <w:r>
        <w:rPr>
          <w:rFonts w:hint="eastAsia" w:ascii="仿宋" w:hAnsi="仿宋" w:eastAsia="仿宋" w:cs="仿宋"/>
          <w:b/>
          <w:color w:val="auto"/>
          <w:spacing w:val="6"/>
          <w:sz w:val="32"/>
          <w:szCs w:val="32"/>
          <w:highlight w:val="none"/>
        </w:rPr>
        <w:t>：</w:t>
      </w:r>
      <w:r>
        <w:rPr>
          <w:rFonts w:hint="eastAsia" w:ascii="仿宋" w:hAnsi="仿宋" w:eastAsia="仿宋" w:cs="仿宋"/>
          <w:b/>
          <w:bCs/>
          <w:color w:val="auto"/>
          <w:sz w:val="32"/>
          <w:szCs w:val="32"/>
          <w:highlight w:val="none"/>
        </w:rPr>
        <w:t>业务专用章使用说明函</w:t>
      </w:r>
    </w:p>
    <w:p w14:paraId="7AC17BE6">
      <w:pPr>
        <w:spacing w:line="360" w:lineRule="auto"/>
        <w:rPr>
          <w:rFonts w:hint="eastAsia" w:ascii="仿宋" w:hAnsi="仿宋" w:eastAsia="仿宋" w:cs="仿宋"/>
          <w:color w:val="auto"/>
          <w:sz w:val="24"/>
          <w:highlight w:val="none"/>
          <w:u w:val="single"/>
        </w:rPr>
      </w:pPr>
    </w:p>
    <w:p w14:paraId="589B3AF2">
      <w:pPr>
        <w:keepNext w:val="0"/>
        <w:keepLines w:val="0"/>
        <w:pageBreakBefore w:val="0"/>
        <w:widowControl w:val="0"/>
        <w:kinsoku/>
        <w:wordWrap/>
        <w:overflowPunct/>
        <w:topLinePunct w:val="0"/>
        <w:autoSpaceDE/>
        <w:autoSpaceDN/>
        <w:bidi w:val="0"/>
        <w:adjustRightInd w:val="0"/>
        <w:snapToGrid/>
        <w:spacing w:line="440" w:lineRule="exac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u w:val="single"/>
        </w:rPr>
        <w:t>（采购人）、（采购代理机构）：</w:t>
      </w:r>
    </w:p>
    <w:p w14:paraId="6DE59349">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val="zh-CN"/>
        </w:rPr>
        <w:t>我方</w:t>
      </w:r>
      <w:r>
        <w:rPr>
          <w:rFonts w:hint="eastAsia" w:ascii="仿宋" w:hAnsi="仿宋" w:eastAsia="仿宋" w:cs="仿宋"/>
          <w:color w:val="auto"/>
          <w:kern w:val="0"/>
          <w:sz w:val="24"/>
          <w:highlight w:val="none"/>
          <w:u w:val="single"/>
          <w:lang w:val="zh-CN"/>
        </w:rPr>
        <w:t xml:space="preserve">                         </w:t>
      </w:r>
      <w:r>
        <w:rPr>
          <w:rFonts w:hint="eastAsia" w:ascii="仿宋" w:hAnsi="仿宋" w:eastAsia="仿宋" w:cs="仿宋"/>
          <w:color w:val="auto"/>
          <w:sz w:val="24"/>
          <w:highlight w:val="none"/>
        </w:rPr>
        <w:t>(投标人全称)是中华人民共和国依法登记注册的合法企业，</w:t>
      </w:r>
      <w:r>
        <w:rPr>
          <w:rFonts w:hint="eastAsia" w:ascii="仿宋" w:hAnsi="仿宋" w:eastAsia="仿宋" w:cs="仿宋"/>
          <w:bCs/>
          <w:color w:val="auto"/>
          <w:sz w:val="24"/>
          <w:highlight w:val="none"/>
        </w:rPr>
        <w:t>在参加</w:t>
      </w:r>
      <w:r>
        <w:rPr>
          <w:rFonts w:hint="eastAsia" w:ascii="仿宋" w:hAnsi="仿宋" w:eastAsia="仿宋" w:cs="仿宋"/>
          <w:color w:val="auto"/>
          <w:sz w:val="24"/>
          <w:highlight w:val="none"/>
        </w:rPr>
        <w:t>你方组织的</w:t>
      </w:r>
      <w:r>
        <w:rPr>
          <w:rFonts w:hint="eastAsia" w:ascii="仿宋" w:hAnsi="仿宋" w:eastAsia="仿宋" w:cs="仿宋"/>
          <w:color w:val="auto"/>
          <w:sz w:val="24"/>
          <w:highlight w:val="none"/>
          <w:lang w:eastAsia="zh-CN"/>
        </w:rPr>
        <w:t>（项目名称）</w:t>
      </w:r>
      <w:r>
        <w:rPr>
          <w:rFonts w:hint="eastAsia" w:ascii="仿宋" w:hAnsi="仿宋" w:eastAsia="仿宋" w:cs="仿宋"/>
          <w:color w:val="auto"/>
          <w:sz w:val="24"/>
          <w:highlight w:val="none"/>
        </w:rPr>
        <w:t>【招标编号：（采购编号）】</w:t>
      </w:r>
      <w:r>
        <w:rPr>
          <w:rFonts w:hint="eastAsia" w:ascii="仿宋" w:hAnsi="仿宋" w:eastAsia="仿宋" w:cs="仿宋"/>
          <w:bCs/>
          <w:color w:val="auto"/>
          <w:sz w:val="24"/>
          <w:highlight w:val="none"/>
        </w:rPr>
        <w:t>投标活动中作如下说明：</w:t>
      </w:r>
      <w:r>
        <w:rPr>
          <w:rFonts w:hint="eastAsia" w:ascii="仿宋" w:hAnsi="仿宋" w:eastAsia="仿宋" w:cs="仿宋"/>
          <w:color w:val="auto"/>
          <w:sz w:val="24"/>
          <w:highlight w:val="none"/>
        </w:rPr>
        <w:t xml:space="preserve">我方所使用的“XX专用章”与法定名称章具有同等的法律效力，对使用“XX专用章”的行为予以完全承认，并愿意承担相应责任。   </w:t>
      </w:r>
    </w:p>
    <w:p w14:paraId="1FA2784C">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特此说明。</w:t>
      </w:r>
    </w:p>
    <w:p w14:paraId="78F4D063">
      <w:pPr>
        <w:spacing w:line="360" w:lineRule="auto"/>
        <w:ind w:firstLine="494"/>
        <w:rPr>
          <w:rFonts w:hint="eastAsia" w:ascii="仿宋" w:hAnsi="仿宋" w:eastAsia="仿宋" w:cs="仿宋"/>
          <w:color w:val="auto"/>
          <w:sz w:val="24"/>
          <w:highlight w:val="none"/>
        </w:rPr>
      </w:pPr>
    </w:p>
    <w:p w14:paraId="77659B5C">
      <w:pPr>
        <w:spacing w:line="360" w:lineRule="auto"/>
        <w:ind w:firstLine="494"/>
        <w:rPr>
          <w:rFonts w:hint="eastAsia" w:ascii="仿宋" w:hAnsi="仿宋" w:eastAsia="仿宋" w:cs="仿宋"/>
          <w:color w:val="auto"/>
          <w:sz w:val="24"/>
          <w:highlight w:val="none"/>
        </w:rPr>
      </w:pPr>
    </w:p>
    <w:p w14:paraId="12BB7512">
      <w:pPr>
        <w:spacing w:line="360" w:lineRule="auto"/>
        <w:ind w:firstLine="494"/>
        <w:rPr>
          <w:rFonts w:hint="eastAsia" w:ascii="仿宋" w:hAnsi="仿宋" w:eastAsia="仿宋" w:cs="仿宋"/>
          <w:color w:val="auto"/>
          <w:sz w:val="24"/>
          <w:highlight w:val="none"/>
        </w:rPr>
      </w:pPr>
    </w:p>
    <w:p w14:paraId="6D1E7040">
      <w:pPr>
        <w:spacing w:line="360" w:lineRule="auto"/>
        <w:ind w:firstLine="494"/>
        <w:rPr>
          <w:rFonts w:hint="eastAsia" w:ascii="仿宋" w:hAnsi="仿宋" w:eastAsia="仿宋" w:cs="仿宋"/>
          <w:color w:val="auto"/>
          <w:sz w:val="24"/>
          <w:highlight w:val="none"/>
        </w:rPr>
      </w:pPr>
    </w:p>
    <w:p w14:paraId="6FD0D7A0">
      <w:pPr>
        <w:spacing w:line="360" w:lineRule="auto"/>
        <w:ind w:right="480" w:firstLine="4080" w:firstLineChars="170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投标单位（法定名称章）：</w:t>
      </w:r>
    </w:p>
    <w:p w14:paraId="4C288780">
      <w:pPr>
        <w:ind w:right="1440" w:firstLine="494"/>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5A83FB39">
      <w:pPr>
        <w:rPr>
          <w:rFonts w:hint="eastAsia" w:ascii="仿宋" w:hAnsi="仿宋" w:eastAsia="仿宋" w:cs="仿宋"/>
          <w:color w:val="auto"/>
          <w:sz w:val="24"/>
          <w:highlight w:val="none"/>
        </w:rPr>
      </w:pPr>
      <w:r>
        <w:rPr>
          <w:rFonts w:hint="eastAsia" w:ascii="仿宋" w:hAnsi="仿宋" w:eastAsia="仿宋" w:cs="仿宋"/>
          <w:b/>
          <w:bCs/>
          <w:color w:val="auto"/>
          <w:sz w:val="24"/>
          <w:highlight w:val="none"/>
        </w:rPr>
        <w:t>附：</w:t>
      </w:r>
    </w:p>
    <w:p w14:paraId="4C6036D1">
      <w:pPr>
        <w:spacing w:line="360" w:lineRule="auto"/>
        <w:rPr>
          <w:rFonts w:hint="eastAsia" w:ascii="仿宋" w:hAnsi="仿宋" w:eastAsia="仿宋" w:cs="仿宋"/>
          <w:bCs/>
          <w:color w:val="auto"/>
          <w:sz w:val="24"/>
          <w:highlight w:val="none"/>
        </w:rPr>
      </w:pPr>
      <w:r>
        <w:rPr>
          <w:rFonts w:hint="eastAsia" w:ascii="仿宋" w:hAnsi="仿宋" w:eastAsia="仿宋" w:cs="仿宋"/>
          <w:b/>
          <w:bCs/>
          <w:color w:val="auto"/>
          <w:sz w:val="24"/>
          <w:highlight w:val="none"/>
        </w:rPr>
        <mc:AlternateContent>
          <mc:Choice Requires="wps">
            <w:drawing>
              <wp:anchor distT="0" distB="0" distL="0" distR="0" simplePos="0" relativeHeight="251660288" behindDoc="1" locked="0" layoutInCell="1" allowOverlap="1">
                <wp:simplePos x="0" y="0"/>
                <wp:positionH relativeFrom="column">
                  <wp:posOffset>3034030</wp:posOffset>
                </wp:positionH>
                <wp:positionV relativeFrom="paragraph">
                  <wp:posOffset>356235</wp:posOffset>
                </wp:positionV>
                <wp:extent cx="2704465" cy="2253615"/>
                <wp:effectExtent l="5080" t="4445" r="14605" b="8890"/>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7" o:spid="_x0000_s1026" o:spt="1" style="position:absolute;left:0pt;margin-left:238.9pt;margin-top:28.05pt;height:177.45pt;width:212.95pt;z-index:-251656192;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x&#10;z/jB2AAAAAoBAAAPAAAAAAAAAAEAIAAAACIAAABkcnMvZG93bnJldi54bWxQSwECFAAUAAAACACH&#10;TuJADfIsy+sBAAAaBAAADgAAAAAAAAABACAAAAAnAQAAZHJzL2Uyb0RvYy54bWxQSwUGAAAAAAYA&#10;BgBZAQAAhAUAAAAA&#10;">
                <v:fill on="t" focussize="0,0"/>
                <v:stroke color="#000000" joinstyle="miter"/>
                <v:imagedata o:title=""/>
                <o:lock v:ext="edit" aspectratio="f"/>
              </v:rect>
            </w:pict>
          </mc:Fallback>
        </mc:AlternateContent>
      </w:r>
      <w:r>
        <w:rPr>
          <w:rFonts w:hint="eastAsia" w:ascii="仿宋" w:hAnsi="仿宋" w:eastAsia="仿宋" w:cs="仿宋"/>
          <w:b/>
          <w:bCs/>
          <w:color w:val="auto"/>
          <w:sz w:val="24"/>
          <w:highlight w:val="none"/>
        </w:rPr>
        <mc:AlternateContent>
          <mc:Choice Requires="wps">
            <w:drawing>
              <wp:anchor distT="0" distB="0" distL="0" distR="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5080" t="4445" r="13970" b="8890"/>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ndOwWNgAAAAKAQAADwAAAAAAAAABACAAAAAiAAAAZHJzL2Rvd25yZXYueG1sUEsBAhQAFAAAAAgA&#10;h07iQJjnx4nsAQAAGgQAAA4AAAAAAAAAAQAgAAAAJwEAAGRycy9lMm9Eb2MueG1sUEsFBgAAAAAG&#10;AAYAWQEAAIUFAAAAAA==&#10;">
                <v:fill on="t" focussize="0,0"/>
                <v:stroke color="#000000" joinstyle="miter"/>
                <v:imagedata o:title=""/>
                <o:lock v:ext="edit" aspectratio="f"/>
              </v:rect>
            </w:pict>
          </mc:Fallback>
        </mc:AlternateContent>
      </w:r>
      <w:r>
        <w:rPr>
          <w:rFonts w:hint="eastAsia" w:ascii="仿宋" w:hAnsi="仿宋" w:eastAsia="仿宋" w:cs="仿宋"/>
          <w:color w:val="auto"/>
          <w:sz w:val="24"/>
          <w:highlight w:val="none"/>
        </w:rPr>
        <w:t>投标单位法定名称章（印模）                投标单位“XX专用章”（印模）</w:t>
      </w:r>
    </w:p>
    <w:p w14:paraId="04AEBFDF">
      <w:pPr>
        <w:autoSpaceDE w:val="0"/>
        <w:autoSpaceDN w:val="0"/>
        <w:jc w:val="center"/>
        <w:rPr>
          <w:rFonts w:hint="eastAsia" w:ascii="仿宋" w:hAnsi="仿宋" w:eastAsia="仿宋" w:cs="仿宋"/>
          <w:b/>
          <w:color w:val="auto"/>
          <w:spacing w:val="6"/>
          <w:sz w:val="32"/>
          <w:szCs w:val="32"/>
          <w:highlight w:val="none"/>
        </w:rPr>
      </w:pPr>
    </w:p>
    <w:p w14:paraId="59D36779">
      <w:pPr>
        <w:autoSpaceDE w:val="0"/>
        <w:autoSpaceDN w:val="0"/>
        <w:jc w:val="center"/>
        <w:rPr>
          <w:rFonts w:hint="eastAsia" w:ascii="仿宋" w:hAnsi="仿宋" w:eastAsia="仿宋" w:cs="仿宋"/>
          <w:b/>
          <w:color w:val="auto"/>
          <w:spacing w:val="6"/>
          <w:sz w:val="32"/>
          <w:szCs w:val="32"/>
          <w:highlight w:val="none"/>
        </w:rPr>
      </w:pPr>
    </w:p>
    <w:p w14:paraId="343F1854">
      <w:pPr>
        <w:autoSpaceDE w:val="0"/>
        <w:autoSpaceDN w:val="0"/>
        <w:jc w:val="center"/>
        <w:rPr>
          <w:rFonts w:hint="eastAsia" w:ascii="仿宋" w:hAnsi="仿宋" w:eastAsia="仿宋" w:cs="仿宋"/>
          <w:b/>
          <w:color w:val="auto"/>
          <w:spacing w:val="6"/>
          <w:sz w:val="32"/>
          <w:szCs w:val="32"/>
          <w:highlight w:val="none"/>
        </w:rPr>
      </w:pPr>
    </w:p>
    <w:p w14:paraId="60ADC6F4">
      <w:pPr>
        <w:autoSpaceDE w:val="0"/>
        <w:autoSpaceDN w:val="0"/>
        <w:jc w:val="center"/>
        <w:rPr>
          <w:rFonts w:hint="eastAsia" w:ascii="仿宋" w:hAnsi="仿宋" w:eastAsia="仿宋" w:cs="仿宋"/>
          <w:b/>
          <w:color w:val="auto"/>
          <w:spacing w:val="6"/>
          <w:sz w:val="32"/>
          <w:szCs w:val="32"/>
          <w:highlight w:val="none"/>
        </w:rPr>
      </w:pPr>
    </w:p>
    <w:p w14:paraId="377AAD2C">
      <w:pPr>
        <w:autoSpaceDE w:val="0"/>
        <w:autoSpaceDN w:val="0"/>
        <w:jc w:val="center"/>
        <w:rPr>
          <w:rFonts w:hint="eastAsia" w:ascii="仿宋" w:hAnsi="仿宋" w:eastAsia="仿宋" w:cs="仿宋"/>
          <w:b/>
          <w:color w:val="auto"/>
          <w:spacing w:val="6"/>
          <w:sz w:val="32"/>
          <w:szCs w:val="32"/>
          <w:highlight w:val="none"/>
        </w:rPr>
      </w:pPr>
    </w:p>
    <w:p w14:paraId="00821192">
      <w:pPr>
        <w:autoSpaceDE w:val="0"/>
        <w:autoSpaceDN w:val="0"/>
        <w:jc w:val="center"/>
        <w:rPr>
          <w:rFonts w:hint="eastAsia" w:ascii="仿宋" w:hAnsi="仿宋" w:eastAsia="仿宋" w:cs="仿宋"/>
          <w:b/>
          <w:color w:val="auto"/>
          <w:spacing w:val="6"/>
          <w:sz w:val="32"/>
          <w:szCs w:val="32"/>
          <w:highlight w:val="none"/>
        </w:rPr>
      </w:pPr>
    </w:p>
    <w:p w14:paraId="49B7E453">
      <w:pPr>
        <w:autoSpaceDE w:val="0"/>
        <w:autoSpaceDN w:val="0"/>
        <w:jc w:val="center"/>
        <w:rPr>
          <w:rFonts w:hint="eastAsia" w:ascii="仿宋" w:hAnsi="仿宋" w:eastAsia="仿宋" w:cs="仿宋"/>
          <w:b/>
          <w:color w:val="auto"/>
          <w:spacing w:val="6"/>
          <w:sz w:val="32"/>
          <w:szCs w:val="32"/>
          <w:highlight w:val="none"/>
        </w:rPr>
      </w:pPr>
    </w:p>
    <w:p w14:paraId="2E145615">
      <w:pPr>
        <w:autoSpaceDE w:val="0"/>
        <w:autoSpaceDN w:val="0"/>
        <w:jc w:val="center"/>
        <w:rPr>
          <w:rFonts w:hint="eastAsia" w:ascii="仿宋" w:hAnsi="仿宋" w:eastAsia="仿宋" w:cs="仿宋"/>
          <w:b/>
          <w:color w:val="auto"/>
          <w:spacing w:val="6"/>
          <w:sz w:val="32"/>
          <w:szCs w:val="32"/>
          <w:highlight w:val="none"/>
        </w:rPr>
      </w:pPr>
    </w:p>
    <w:p w14:paraId="50CEFAF8">
      <w:pPr>
        <w:autoSpaceDE w:val="0"/>
        <w:autoSpaceDN w:val="0"/>
        <w:jc w:val="center"/>
        <w:rPr>
          <w:rFonts w:hint="eastAsia" w:ascii="仿宋" w:hAnsi="仿宋" w:eastAsia="仿宋" w:cs="仿宋"/>
          <w:b/>
          <w:color w:val="auto"/>
          <w:spacing w:val="6"/>
          <w:sz w:val="32"/>
          <w:szCs w:val="32"/>
          <w:highlight w:val="none"/>
        </w:rPr>
      </w:pPr>
    </w:p>
    <w:p w14:paraId="5D31C1FF">
      <w:pPr>
        <w:autoSpaceDE w:val="0"/>
        <w:autoSpaceDN w:val="0"/>
        <w:jc w:val="center"/>
        <w:rPr>
          <w:rFonts w:hint="eastAsia" w:ascii="仿宋" w:hAnsi="仿宋" w:eastAsia="仿宋" w:cs="仿宋"/>
          <w:b/>
          <w:color w:val="auto"/>
          <w:spacing w:val="6"/>
          <w:sz w:val="32"/>
          <w:szCs w:val="32"/>
          <w:highlight w:val="none"/>
        </w:rPr>
      </w:pPr>
    </w:p>
    <w:p w14:paraId="33B586ED">
      <w:pPr>
        <w:autoSpaceDE w:val="0"/>
        <w:autoSpaceDN w:val="0"/>
        <w:jc w:val="center"/>
        <w:rPr>
          <w:rFonts w:hint="eastAsia" w:ascii="仿宋" w:hAnsi="仿宋" w:eastAsia="仿宋" w:cs="仿宋"/>
          <w:b/>
          <w:color w:val="auto"/>
          <w:spacing w:val="6"/>
          <w:sz w:val="32"/>
          <w:szCs w:val="32"/>
          <w:highlight w:val="none"/>
        </w:rPr>
      </w:pPr>
    </w:p>
    <w:p w14:paraId="01CC6448">
      <w:pPr>
        <w:autoSpaceDE w:val="0"/>
        <w:autoSpaceDN w:val="0"/>
        <w:jc w:val="center"/>
        <w:rPr>
          <w:rFonts w:hint="eastAsia" w:ascii="仿宋" w:hAnsi="仿宋" w:eastAsia="仿宋" w:cs="仿宋"/>
          <w:b/>
          <w:color w:val="auto"/>
          <w:spacing w:val="6"/>
          <w:sz w:val="32"/>
          <w:szCs w:val="32"/>
          <w:highlight w:val="none"/>
        </w:rPr>
      </w:pPr>
    </w:p>
    <w:p w14:paraId="439FAA10">
      <w:pPr>
        <w:autoSpaceDE w:val="0"/>
        <w:autoSpaceDN w:val="0"/>
        <w:jc w:val="center"/>
        <w:rPr>
          <w:rFonts w:hint="eastAsia" w:ascii="仿宋" w:hAnsi="仿宋" w:eastAsia="仿宋" w:cs="仿宋"/>
          <w:b/>
          <w:color w:val="auto"/>
          <w:spacing w:val="6"/>
          <w:sz w:val="32"/>
          <w:szCs w:val="32"/>
          <w:highlight w:val="none"/>
        </w:rPr>
      </w:pPr>
    </w:p>
    <w:p w14:paraId="2B922896">
      <w:pPr>
        <w:autoSpaceDE w:val="0"/>
        <w:autoSpaceDN w:val="0"/>
        <w:jc w:val="center"/>
        <w:rPr>
          <w:rFonts w:hint="eastAsia" w:ascii="仿宋" w:hAnsi="仿宋" w:eastAsia="仿宋" w:cs="仿宋"/>
          <w:b/>
          <w:color w:val="auto"/>
          <w:spacing w:val="6"/>
          <w:sz w:val="32"/>
          <w:szCs w:val="32"/>
          <w:highlight w:val="none"/>
        </w:rPr>
      </w:pPr>
    </w:p>
    <w:p w14:paraId="4B783EA8">
      <w:pPr>
        <w:autoSpaceDE w:val="0"/>
        <w:autoSpaceDN w:val="0"/>
        <w:jc w:val="center"/>
        <w:rPr>
          <w:rFonts w:hint="eastAsia" w:ascii="仿宋" w:hAnsi="仿宋" w:eastAsia="仿宋" w:cs="仿宋"/>
          <w:b/>
          <w:color w:val="auto"/>
          <w:spacing w:val="6"/>
          <w:sz w:val="32"/>
          <w:szCs w:val="32"/>
          <w:highlight w:val="none"/>
        </w:rPr>
      </w:pPr>
    </w:p>
    <w:p w14:paraId="4843EED2">
      <w:pPr>
        <w:autoSpaceDE w:val="0"/>
        <w:autoSpaceDN w:val="0"/>
        <w:jc w:val="center"/>
        <w:rPr>
          <w:rFonts w:hint="eastAsia" w:ascii="仿宋" w:hAnsi="仿宋" w:eastAsia="仿宋" w:cs="仿宋"/>
          <w:b/>
          <w:color w:val="auto"/>
          <w:spacing w:val="6"/>
          <w:sz w:val="32"/>
          <w:szCs w:val="32"/>
          <w:highlight w:val="none"/>
        </w:rPr>
      </w:pPr>
    </w:p>
    <w:p w14:paraId="378D1F5F">
      <w:pPr>
        <w:autoSpaceDE w:val="0"/>
        <w:autoSpaceDN w:val="0"/>
        <w:jc w:val="center"/>
        <w:rPr>
          <w:rFonts w:hint="eastAsia" w:ascii="仿宋" w:hAnsi="仿宋" w:eastAsia="仿宋" w:cs="仿宋"/>
          <w:b/>
          <w:color w:val="auto"/>
          <w:spacing w:val="6"/>
          <w:sz w:val="32"/>
          <w:szCs w:val="32"/>
          <w:highlight w:val="none"/>
        </w:rPr>
      </w:pPr>
    </w:p>
    <w:p w14:paraId="22D482F8">
      <w:pPr>
        <w:autoSpaceDE w:val="0"/>
        <w:autoSpaceDN w:val="0"/>
        <w:jc w:val="center"/>
        <w:rPr>
          <w:rFonts w:hint="eastAsia" w:ascii="仿宋" w:hAnsi="仿宋" w:eastAsia="仿宋" w:cs="仿宋"/>
          <w:b/>
          <w:color w:val="auto"/>
          <w:kern w:val="0"/>
          <w:sz w:val="32"/>
          <w:szCs w:val="32"/>
          <w:highlight w:val="none"/>
          <w:lang w:val="zh-CN"/>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4</w:t>
      </w:r>
      <w:r>
        <w:rPr>
          <w:rFonts w:hint="eastAsia" w:ascii="仿宋" w:hAnsi="仿宋" w:eastAsia="仿宋" w:cs="仿宋"/>
          <w:b/>
          <w:color w:val="auto"/>
          <w:spacing w:val="6"/>
          <w:sz w:val="32"/>
          <w:szCs w:val="32"/>
          <w:highlight w:val="none"/>
        </w:rPr>
        <w:t>：</w:t>
      </w:r>
      <w:r>
        <w:rPr>
          <w:rFonts w:hint="eastAsia" w:ascii="仿宋" w:hAnsi="仿宋" w:eastAsia="仿宋" w:cs="仿宋"/>
          <w:b/>
          <w:color w:val="auto"/>
          <w:kern w:val="0"/>
          <w:sz w:val="32"/>
          <w:szCs w:val="32"/>
          <w:highlight w:val="none"/>
          <w:lang w:val="zh-CN"/>
        </w:rPr>
        <w:t>联合协议</w:t>
      </w:r>
    </w:p>
    <w:p w14:paraId="532E3EE5">
      <w:pPr>
        <w:keepNext w:val="0"/>
        <w:keepLines w:val="0"/>
        <w:pageBreakBefore w:val="0"/>
        <w:widowControl/>
        <w:kinsoku/>
        <w:wordWrap/>
        <w:overflowPunct/>
        <w:topLinePunct w:val="0"/>
        <w:autoSpaceDE/>
        <w:autoSpaceDN/>
        <w:bidi w:val="0"/>
        <w:adjustRightInd w:val="0"/>
        <w:spacing w:line="440" w:lineRule="exact"/>
        <w:ind w:righ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（以联合体形式投标的，提供联合协议；本项目不接受联合体投标或者投标人不以联合体形式投标的，则不需要提供）</w:t>
      </w:r>
    </w:p>
    <w:p w14:paraId="77E0F410">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（联合体所有成员名称）</w:t>
      </w:r>
      <w:r>
        <w:rPr>
          <w:rFonts w:hint="eastAsia" w:ascii="仿宋" w:hAnsi="仿宋" w:eastAsia="仿宋" w:cs="仿宋"/>
          <w:color w:val="auto"/>
          <w:kern w:val="0"/>
          <w:sz w:val="24"/>
          <w:highlight w:val="none"/>
        </w:rPr>
        <w:t>自愿</w:t>
      </w:r>
      <w:r>
        <w:rPr>
          <w:rFonts w:hint="eastAsia" w:ascii="仿宋" w:hAnsi="仿宋" w:eastAsia="仿宋" w:cs="仿宋"/>
          <w:color w:val="auto"/>
          <w:kern w:val="0"/>
          <w:sz w:val="24"/>
          <w:highlight w:val="none"/>
          <w:lang w:val="zh-CN"/>
        </w:rPr>
        <w:t>组成一个联合体，以一个投标人的身份</w:t>
      </w:r>
      <w:r>
        <w:rPr>
          <w:rFonts w:hint="eastAsia" w:ascii="仿宋" w:hAnsi="仿宋" w:eastAsia="仿宋" w:cs="仿宋"/>
          <w:color w:val="auto"/>
          <w:kern w:val="0"/>
          <w:sz w:val="24"/>
          <w:highlight w:val="none"/>
        </w:rPr>
        <w:t>参加</w:t>
      </w:r>
      <w:r>
        <w:rPr>
          <w:rFonts w:hint="eastAsia" w:ascii="仿宋" w:hAnsi="仿宋" w:eastAsia="仿宋" w:cs="仿宋"/>
          <w:color w:val="auto"/>
          <w:sz w:val="24"/>
          <w:highlight w:val="none"/>
          <w:lang w:eastAsia="zh-CN"/>
        </w:rPr>
        <w:t>（项目名称）</w:t>
      </w:r>
      <w:r>
        <w:rPr>
          <w:rFonts w:hint="eastAsia" w:ascii="仿宋" w:hAnsi="仿宋" w:eastAsia="仿宋" w:cs="仿宋"/>
          <w:color w:val="auto"/>
          <w:sz w:val="24"/>
          <w:highlight w:val="none"/>
        </w:rPr>
        <w:t>【招标编号：（采购编号）】</w:t>
      </w:r>
      <w:r>
        <w:rPr>
          <w:rFonts w:hint="eastAsia" w:ascii="仿宋" w:hAnsi="仿宋" w:eastAsia="仿宋" w:cs="仿宋"/>
          <w:color w:val="auto"/>
          <w:kern w:val="0"/>
          <w:sz w:val="24"/>
          <w:highlight w:val="none"/>
          <w:lang w:val="zh-CN"/>
        </w:rPr>
        <w:t xml:space="preserve">投标。 </w:t>
      </w:r>
    </w:p>
    <w:p w14:paraId="56B832A4">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一、各方一致决定，</w:t>
      </w:r>
      <w:r>
        <w:rPr>
          <w:rFonts w:hint="eastAsia" w:ascii="仿宋" w:hAnsi="仿宋" w:eastAsia="仿宋" w:cs="仿宋"/>
          <w:color w:val="auto"/>
          <w:kern w:val="0"/>
          <w:sz w:val="24"/>
          <w:highlight w:val="none"/>
          <w:u w:val="single"/>
        </w:rPr>
        <w:t>（某联合体成员名称）</w:t>
      </w:r>
      <w:r>
        <w:rPr>
          <w:rFonts w:hint="eastAsia" w:ascii="仿宋" w:hAnsi="仿宋" w:eastAsia="仿宋" w:cs="仿宋"/>
          <w:color w:val="auto"/>
          <w:kern w:val="0"/>
          <w:sz w:val="24"/>
          <w:highlight w:val="none"/>
        </w:rPr>
        <w:t>为联合体</w:t>
      </w:r>
      <w:r>
        <w:rPr>
          <w:rFonts w:hint="eastAsia" w:ascii="仿宋" w:hAnsi="仿宋" w:eastAsia="仿宋" w:cs="仿宋"/>
          <w:color w:val="auto"/>
          <w:kern w:val="0"/>
          <w:sz w:val="24"/>
          <w:highlight w:val="none"/>
          <w:lang w:val="zh-CN"/>
        </w:rPr>
        <w:t>牵头人</w:t>
      </w:r>
      <w:r>
        <w:rPr>
          <w:rFonts w:hint="eastAsia" w:ascii="仿宋" w:hAnsi="仿宋" w:eastAsia="仿宋" w:cs="仿宋"/>
          <w:color w:val="auto"/>
          <w:sz w:val="24"/>
          <w:highlight w:val="none"/>
        </w:rPr>
        <w:t>，代表所有联合体成员负责投标和合同实施阶段的主办、协调工作</w:t>
      </w:r>
      <w:r>
        <w:rPr>
          <w:rFonts w:hint="eastAsia" w:ascii="仿宋" w:hAnsi="仿宋" w:eastAsia="仿宋" w:cs="仿宋"/>
          <w:color w:val="auto"/>
          <w:kern w:val="0"/>
          <w:sz w:val="24"/>
          <w:highlight w:val="none"/>
          <w:lang w:val="zh-CN"/>
        </w:rPr>
        <w:t>。</w:t>
      </w:r>
    </w:p>
    <w:p w14:paraId="7D6E307F">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w:t>
      </w:r>
      <w:r>
        <w:rPr>
          <w:rFonts w:hint="eastAsia" w:ascii="仿宋" w:hAnsi="仿宋" w:eastAsia="仿宋" w:cs="仿宋"/>
          <w:color w:val="auto"/>
          <w:sz w:val="24"/>
          <w:highlight w:val="none"/>
        </w:rPr>
        <w:t>所有联合体成员各方签署授权书，授权书载明的</w:t>
      </w:r>
      <w:r>
        <w:rPr>
          <w:rFonts w:hint="eastAsia" w:ascii="仿宋" w:hAnsi="仿宋" w:eastAsia="仿宋" w:cs="仿宋"/>
          <w:color w:val="auto"/>
          <w:kern w:val="0"/>
          <w:sz w:val="24"/>
          <w:highlight w:val="none"/>
          <w:lang w:val="zh-CN"/>
        </w:rPr>
        <w:t>授权代表根据招标文件规定及投标内容而对采购人、采购代理机构所作的任何合法承诺，包括书面澄清及相应等均对联合投标各方产生约束力。</w:t>
      </w:r>
    </w:p>
    <w:p w14:paraId="03D62391">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三、本次联合投标中，分工如下：</w:t>
      </w:r>
    </w:p>
    <w:p w14:paraId="72E04357">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（联合体成员1）</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p>
    <w:p w14:paraId="3492AB15">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（联合体成员2）</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p>
    <w:p w14:paraId="03FA472D">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w:t>
      </w:r>
    </w:p>
    <w:p w14:paraId="01AB3F43">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四、联合体成员中小企业合同份额。</w:t>
      </w:r>
    </w:p>
    <w:p w14:paraId="4854FD80">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lang w:val="zh-CN"/>
        </w:rPr>
        <w:t>1、</w:t>
      </w:r>
      <w:r>
        <w:rPr>
          <w:rFonts w:hint="eastAsia" w:ascii="仿宋" w:hAnsi="仿宋" w:eastAsia="仿宋" w:cs="仿宋"/>
          <w:color w:val="auto"/>
          <w:kern w:val="0"/>
          <w:sz w:val="24"/>
          <w:highlight w:val="none"/>
          <w:u w:val="single"/>
        </w:rPr>
        <w:t>（</w:t>
      </w:r>
      <w:bookmarkStart w:id="183" w:name="_Hlk101131882"/>
      <w:r>
        <w:rPr>
          <w:rFonts w:hint="eastAsia" w:ascii="仿宋" w:hAnsi="仿宋" w:eastAsia="仿宋" w:cs="仿宋"/>
          <w:color w:val="auto"/>
          <w:kern w:val="0"/>
          <w:sz w:val="24"/>
          <w:highlight w:val="none"/>
          <w:u w:val="single"/>
        </w:rPr>
        <w:t>联合体成员X,……</w:t>
      </w:r>
      <w:bookmarkEnd w:id="183"/>
      <w:r>
        <w:rPr>
          <w:rFonts w:hint="eastAsia" w:ascii="仿宋" w:hAnsi="仿宋" w:eastAsia="仿宋" w:cs="仿宋"/>
          <w:color w:val="auto"/>
          <w:kern w:val="0"/>
          <w:sz w:val="24"/>
          <w:highlight w:val="none"/>
          <w:u w:val="single"/>
        </w:rPr>
        <w:t>）</w:t>
      </w:r>
      <w:r>
        <w:rPr>
          <w:rFonts w:hint="eastAsia" w:ascii="仿宋" w:hAnsi="仿宋" w:eastAsia="仿宋" w:cs="仿宋"/>
          <w:color w:val="auto"/>
          <w:kern w:val="0"/>
          <w:sz w:val="24"/>
          <w:highlight w:val="none"/>
        </w:rPr>
        <w:t>提供的服务由小微企业承接，其合同份额占到合同总金额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w:t>
      </w:r>
      <w:bookmarkStart w:id="184" w:name="_Hlk101133598"/>
      <w:r>
        <w:rPr>
          <w:rFonts w:hint="eastAsia" w:ascii="仿宋" w:hAnsi="仿宋" w:eastAsia="仿宋" w:cs="仿宋"/>
          <w:b/>
          <w:color w:val="auto"/>
          <w:kern w:val="0"/>
          <w:sz w:val="24"/>
          <w:highlight w:val="none"/>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color w:val="auto"/>
          <w:sz w:val="24"/>
          <w:highlight w:val="none"/>
        </w:rPr>
        <w:t>拟享受以上价格扣除政策的，填写有关内容。</w:t>
      </w:r>
      <w:bookmarkEnd w:id="184"/>
      <w:r>
        <w:rPr>
          <w:rFonts w:hint="eastAsia" w:ascii="仿宋" w:hAnsi="仿宋" w:eastAsia="仿宋" w:cs="仿宋"/>
          <w:b/>
          <w:color w:val="auto"/>
          <w:kern w:val="0"/>
          <w:sz w:val="24"/>
          <w:highlight w:val="none"/>
          <w:lang w:val="zh-CN"/>
        </w:rPr>
        <w:t>）</w:t>
      </w:r>
    </w:p>
    <w:p w14:paraId="2002F678">
      <w:pPr>
        <w:keepNext w:val="0"/>
        <w:keepLines w:val="0"/>
        <w:pageBreakBefore w:val="0"/>
        <w:kinsoku/>
        <w:wordWrap/>
        <w:overflowPunct/>
        <w:topLinePunct w:val="0"/>
        <w:autoSpaceDE/>
        <w:autoSpaceDN/>
        <w:bidi w:val="0"/>
        <w:adjustRightInd w:val="0"/>
        <w:spacing w:line="440" w:lineRule="exact"/>
        <w:ind w:right="0" w:firstLine="600" w:firstLineChars="250"/>
        <w:textAlignment w:val="auto"/>
        <w:rPr>
          <w:rFonts w:hint="eastAsia" w:ascii="仿宋" w:hAnsi="仿宋" w:eastAsia="仿宋" w:cs="仿宋"/>
          <w:b/>
          <w:bCs/>
          <w:color w:val="auto"/>
          <w:kern w:val="0"/>
          <w:sz w:val="24"/>
          <w:highlight w:val="none"/>
          <w:lang w:val="zh-CN"/>
        </w:rPr>
      </w:pPr>
      <w:r>
        <w:rPr>
          <w:rFonts w:hint="eastAsia" w:ascii="仿宋" w:hAnsi="仿宋" w:eastAsia="仿宋" w:cs="仿宋"/>
          <w:color w:val="auto"/>
          <w:sz w:val="24"/>
          <w:highlight w:val="none"/>
        </w:rPr>
        <w:t>2、</w:t>
      </w:r>
      <w:bookmarkStart w:id="185" w:name="_Hlk101133173"/>
      <w:r>
        <w:rPr>
          <w:rFonts w:hint="eastAsia" w:ascii="仿宋" w:hAnsi="仿宋" w:eastAsia="仿宋" w:cs="仿宋"/>
          <w:color w:val="auto"/>
          <w:sz w:val="24"/>
          <w:highlight w:val="none"/>
        </w:rPr>
        <w:t>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color w:val="auto"/>
          <w:kern w:val="0"/>
          <w:sz w:val="24"/>
          <w:highlight w:val="none"/>
          <w:lang w:val="zh-CN"/>
        </w:rPr>
        <w:t>）</w:t>
      </w:r>
      <w:bookmarkEnd w:id="185"/>
    </w:p>
    <w:p w14:paraId="654AE96D">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五、如果中标，</w:t>
      </w:r>
      <w:r>
        <w:rPr>
          <w:rFonts w:hint="eastAsia" w:ascii="仿宋" w:hAnsi="仿宋" w:eastAsia="仿宋" w:cs="仿宋"/>
          <w:color w:val="auto"/>
          <w:sz w:val="24"/>
          <w:highlight w:val="none"/>
        </w:rPr>
        <w:t>联合体各成员方共同与采购人签订合同，并就采购合同约定的事项对采购人承担连带责任。</w:t>
      </w:r>
    </w:p>
    <w:p w14:paraId="6A437388">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六、有关本次联合投标的其他事宜：</w:t>
      </w:r>
    </w:p>
    <w:p w14:paraId="5EAAF56C">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1、联合体各方不再单独参加或者与其他供应商另外组成联合体参加同一合同项下的政府采购活动。</w:t>
      </w:r>
    </w:p>
    <w:p w14:paraId="0C171310">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2、联合体中有同类资质的各方按照联合体分工承担相同工作的，按照资质等级较低的供应商确定资质等级。</w:t>
      </w:r>
    </w:p>
    <w:p w14:paraId="4E67BC03">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3、本协议提交采购人、采购代理机构后，联合体各方不得以任何形式对上述内容进行修改或撤销。</w:t>
      </w:r>
    </w:p>
    <w:p w14:paraId="7B6B7719">
      <w:pPr>
        <w:keepNext w:val="0"/>
        <w:keepLines w:val="0"/>
        <w:pageBreakBefore w:val="0"/>
        <w:kinsoku/>
        <w:wordWrap/>
        <w:overflowPunct/>
        <w:topLinePunct w:val="0"/>
        <w:autoSpaceDE/>
        <w:autoSpaceDN/>
        <w:bidi w:val="0"/>
        <w:adjustRightInd w:val="0"/>
        <w:snapToGrid w:val="0"/>
        <w:spacing w:line="440" w:lineRule="exact"/>
        <w:ind w:right="0" w:firstLine="5040" w:firstLineChars="210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4ED5EED7">
      <w:pPr>
        <w:keepNext w:val="0"/>
        <w:keepLines w:val="0"/>
        <w:pageBreakBefore w:val="0"/>
        <w:kinsoku/>
        <w:wordWrap/>
        <w:overflowPunct/>
        <w:topLinePunct w:val="0"/>
        <w:autoSpaceDE/>
        <w:autoSpaceDN/>
        <w:bidi w:val="0"/>
        <w:adjustRightInd w:val="0"/>
        <w:snapToGrid w:val="0"/>
        <w:spacing w:line="440" w:lineRule="exact"/>
        <w:ind w:right="0" w:firstLine="5040" w:firstLineChars="210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20796B18">
      <w:pPr>
        <w:keepNext w:val="0"/>
        <w:keepLines w:val="0"/>
        <w:pageBreakBefore w:val="0"/>
        <w:kinsoku/>
        <w:wordWrap/>
        <w:overflowPunct/>
        <w:topLinePunct w:val="0"/>
        <w:autoSpaceDE/>
        <w:autoSpaceDN/>
        <w:bidi w:val="0"/>
        <w:adjustRightInd w:val="0"/>
        <w:snapToGrid w:val="0"/>
        <w:spacing w:line="440" w:lineRule="exact"/>
        <w:ind w:right="0"/>
        <w:jc w:val="center"/>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w:t>
      </w:r>
    </w:p>
    <w:p w14:paraId="35FD10A5">
      <w:pPr>
        <w:keepNext w:val="0"/>
        <w:keepLines w:val="0"/>
        <w:pageBreakBefore w:val="0"/>
        <w:kinsoku/>
        <w:wordWrap/>
        <w:overflowPunct/>
        <w:topLinePunct w:val="0"/>
        <w:autoSpaceDE/>
        <w:autoSpaceDN/>
        <w:bidi w:val="0"/>
        <w:adjustRightInd w:val="0"/>
        <w:snapToGrid w:val="0"/>
        <w:spacing w:line="440" w:lineRule="exact"/>
        <w:ind w:right="0"/>
        <w:jc w:val="right"/>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  年  月   日</w:t>
      </w:r>
    </w:p>
    <w:p w14:paraId="2AC9A9E2">
      <w:pPr>
        <w:keepNext w:val="0"/>
        <w:keepLines w:val="0"/>
        <w:pageBreakBefore w:val="0"/>
        <w:kinsoku/>
        <w:wordWrap/>
        <w:overflowPunct/>
        <w:topLinePunct w:val="0"/>
        <w:autoSpaceDE/>
        <w:autoSpaceDN/>
        <w:bidi w:val="0"/>
        <w:adjustRightInd w:val="0"/>
        <w:spacing w:line="440" w:lineRule="exact"/>
        <w:ind w:right="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4DB61787">
      <w:pPr>
        <w:autoSpaceDE w:val="0"/>
        <w:autoSpaceDN w:val="0"/>
        <w:jc w:val="center"/>
        <w:rPr>
          <w:rFonts w:hint="eastAsia" w:ascii="仿宋" w:hAnsi="仿宋" w:eastAsia="仿宋" w:cs="仿宋"/>
          <w:b/>
          <w:color w:val="auto"/>
          <w:spacing w:val="6"/>
          <w:sz w:val="32"/>
          <w:szCs w:val="32"/>
          <w:highlight w:val="none"/>
        </w:rPr>
      </w:pPr>
    </w:p>
    <w:p w14:paraId="411EDA43">
      <w:pPr>
        <w:autoSpaceDE w:val="0"/>
        <w:autoSpaceDN w:val="0"/>
        <w:jc w:val="center"/>
        <w:rPr>
          <w:rFonts w:hint="eastAsia" w:ascii="仿宋" w:hAnsi="仿宋" w:eastAsia="仿宋" w:cs="仿宋"/>
          <w:b/>
          <w:color w:val="auto"/>
          <w:spacing w:val="6"/>
          <w:sz w:val="32"/>
          <w:szCs w:val="32"/>
          <w:highlight w:val="none"/>
        </w:rPr>
      </w:pPr>
    </w:p>
    <w:p w14:paraId="6CEBEC66">
      <w:pPr>
        <w:autoSpaceDE w:val="0"/>
        <w:autoSpaceDN w:val="0"/>
        <w:jc w:val="center"/>
        <w:rPr>
          <w:rFonts w:hint="eastAsia" w:ascii="仿宋" w:hAnsi="仿宋" w:eastAsia="仿宋" w:cs="仿宋"/>
          <w:b/>
          <w:color w:val="auto"/>
          <w:spacing w:val="6"/>
          <w:sz w:val="32"/>
          <w:szCs w:val="32"/>
          <w:highlight w:val="none"/>
        </w:rPr>
      </w:pPr>
    </w:p>
    <w:p w14:paraId="00CF0045">
      <w:pPr>
        <w:autoSpaceDE w:val="0"/>
        <w:autoSpaceDN w:val="0"/>
        <w:jc w:val="center"/>
        <w:rPr>
          <w:rFonts w:hint="eastAsia" w:ascii="仿宋" w:hAnsi="仿宋" w:eastAsia="仿宋" w:cs="仿宋"/>
          <w:b/>
          <w:color w:val="auto"/>
          <w:spacing w:val="6"/>
          <w:sz w:val="32"/>
          <w:szCs w:val="32"/>
          <w:highlight w:val="none"/>
        </w:rPr>
      </w:pPr>
    </w:p>
    <w:p w14:paraId="76CB5287">
      <w:pPr>
        <w:autoSpaceDE w:val="0"/>
        <w:autoSpaceDN w:val="0"/>
        <w:jc w:val="center"/>
        <w:rPr>
          <w:rFonts w:hint="eastAsia" w:ascii="仿宋" w:hAnsi="仿宋" w:eastAsia="仿宋" w:cs="仿宋"/>
          <w:b/>
          <w:color w:val="auto"/>
          <w:spacing w:val="6"/>
          <w:sz w:val="32"/>
          <w:szCs w:val="32"/>
          <w:highlight w:val="none"/>
        </w:rPr>
      </w:pPr>
    </w:p>
    <w:p w14:paraId="1E48E99F">
      <w:pPr>
        <w:autoSpaceDE w:val="0"/>
        <w:autoSpaceDN w:val="0"/>
        <w:jc w:val="center"/>
        <w:rPr>
          <w:rFonts w:hint="eastAsia" w:ascii="仿宋" w:hAnsi="仿宋" w:eastAsia="仿宋" w:cs="仿宋"/>
          <w:b/>
          <w:color w:val="auto"/>
          <w:spacing w:val="6"/>
          <w:sz w:val="32"/>
          <w:szCs w:val="32"/>
          <w:highlight w:val="none"/>
        </w:rPr>
      </w:pPr>
    </w:p>
    <w:p w14:paraId="38291156">
      <w:pPr>
        <w:autoSpaceDE w:val="0"/>
        <w:autoSpaceDN w:val="0"/>
        <w:jc w:val="center"/>
        <w:rPr>
          <w:rFonts w:hint="eastAsia" w:ascii="仿宋" w:hAnsi="仿宋" w:eastAsia="仿宋" w:cs="仿宋"/>
          <w:b/>
          <w:color w:val="auto"/>
          <w:spacing w:val="6"/>
          <w:sz w:val="32"/>
          <w:szCs w:val="32"/>
          <w:highlight w:val="none"/>
        </w:rPr>
      </w:pPr>
    </w:p>
    <w:p w14:paraId="213C1CF6">
      <w:pPr>
        <w:autoSpaceDE w:val="0"/>
        <w:autoSpaceDN w:val="0"/>
        <w:jc w:val="center"/>
        <w:rPr>
          <w:rFonts w:hint="eastAsia" w:ascii="仿宋" w:hAnsi="仿宋" w:eastAsia="仿宋" w:cs="仿宋"/>
          <w:b/>
          <w:color w:val="auto"/>
          <w:spacing w:val="6"/>
          <w:sz w:val="32"/>
          <w:szCs w:val="32"/>
          <w:highlight w:val="none"/>
        </w:rPr>
      </w:pPr>
    </w:p>
    <w:p w14:paraId="3FDF0D99">
      <w:pPr>
        <w:autoSpaceDE w:val="0"/>
        <w:autoSpaceDN w:val="0"/>
        <w:jc w:val="center"/>
        <w:rPr>
          <w:rFonts w:hint="eastAsia" w:ascii="仿宋" w:hAnsi="仿宋" w:eastAsia="仿宋" w:cs="仿宋"/>
          <w:b/>
          <w:color w:val="auto"/>
          <w:spacing w:val="6"/>
          <w:sz w:val="32"/>
          <w:szCs w:val="32"/>
          <w:highlight w:val="none"/>
        </w:rPr>
      </w:pPr>
    </w:p>
    <w:p w14:paraId="2D32DD0E">
      <w:pPr>
        <w:autoSpaceDE w:val="0"/>
        <w:autoSpaceDN w:val="0"/>
        <w:jc w:val="center"/>
        <w:rPr>
          <w:rFonts w:hint="eastAsia" w:ascii="仿宋" w:hAnsi="仿宋" w:eastAsia="仿宋" w:cs="仿宋"/>
          <w:b/>
          <w:color w:val="auto"/>
          <w:spacing w:val="6"/>
          <w:sz w:val="32"/>
          <w:szCs w:val="32"/>
          <w:highlight w:val="none"/>
        </w:rPr>
      </w:pPr>
    </w:p>
    <w:p w14:paraId="77091ECF">
      <w:pPr>
        <w:autoSpaceDE w:val="0"/>
        <w:autoSpaceDN w:val="0"/>
        <w:jc w:val="center"/>
        <w:rPr>
          <w:rFonts w:hint="eastAsia" w:ascii="仿宋" w:hAnsi="仿宋" w:eastAsia="仿宋" w:cs="仿宋"/>
          <w:b/>
          <w:color w:val="auto"/>
          <w:spacing w:val="6"/>
          <w:sz w:val="32"/>
          <w:szCs w:val="32"/>
          <w:highlight w:val="none"/>
        </w:rPr>
      </w:pPr>
    </w:p>
    <w:p w14:paraId="148CD772">
      <w:pPr>
        <w:autoSpaceDE w:val="0"/>
        <w:autoSpaceDN w:val="0"/>
        <w:jc w:val="center"/>
        <w:rPr>
          <w:rFonts w:hint="eastAsia" w:ascii="仿宋" w:hAnsi="仿宋" w:eastAsia="仿宋" w:cs="仿宋"/>
          <w:b/>
          <w:color w:val="auto"/>
          <w:spacing w:val="6"/>
          <w:sz w:val="32"/>
          <w:szCs w:val="32"/>
          <w:highlight w:val="none"/>
        </w:rPr>
      </w:pPr>
    </w:p>
    <w:p w14:paraId="35DA8767">
      <w:pPr>
        <w:autoSpaceDE w:val="0"/>
        <w:autoSpaceDN w:val="0"/>
        <w:jc w:val="center"/>
        <w:rPr>
          <w:rFonts w:hint="eastAsia" w:ascii="仿宋" w:hAnsi="仿宋" w:eastAsia="仿宋" w:cs="仿宋"/>
          <w:b/>
          <w:color w:val="auto"/>
          <w:spacing w:val="6"/>
          <w:sz w:val="32"/>
          <w:szCs w:val="32"/>
          <w:highlight w:val="none"/>
        </w:rPr>
      </w:pPr>
    </w:p>
    <w:p w14:paraId="321D0BB4">
      <w:pPr>
        <w:autoSpaceDE w:val="0"/>
        <w:autoSpaceDN w:val="0"/>
        <w:jc w:val="center"/>
        <w:rPr>
          <w:rFonts w:hint="eastAsia" w:ascii="仿宋" w:hAnsi="仿宋" w:eastAsia="仿宋" w:cs="仿宋"/>
          <w:b/>
          <w:color w:val="auto"/>
          <w:spacing w:val="6"/>
          <w:sz w:val="32"/>
          <w:szCs w:val="32"/>
          <w:highlight w:val="none"/>
        </w:rPr>
      </w:pPr>
    </w:p>
    <w:p w14:paraId="74F8F729">
      <w:pPr>
        <w:autoSpaceDE w:val="0"/>
        <w:autoSpaceDN w:val="0"/>
        <w:jc w:val="center"/>
        <w:rPr>
          <w:rFonts w:hint="eastAsia" w:ascii="仿宋" w:hAnsi="仿宋" w:eastAsia="仿宋" w:cs="仿宋"/>
          <w:b/>
          <w:color w:val="auto"/>
          <w:spacing w:val="6"/>
          <w:sz w:val="32"/>
          <w:szCs w:val="32"/>
          <w:highlight w:val="none"/>
        </w:rPr>
      </w:pPr>
    </w:p>
    <w:p w14:paraId="16F2BE07">
      <w:pPr>
        <w:autoSpaceDE w:val="0"/>
        <w:autoSpaceDN w:val="0"/>
        <w:jc w:val="center"/>
        <w:rPr>
          <w:rFonts w:hint="eastAsia" w:ascii="仿宋" w:hAnsi="仿宋" w:eastAsia="仿宋" w:cs="仿宋"/>
          <w:b/>
          <w:color w:val="auto"/>
          <w:spacing w:val="6"/>
          <w:sz w:val="32"/>
          <w:szCs w:val="32"/>
          <w:highlight w:val="none"/>
        </w:rPr>
      </w:pPr>
    </w:p>
    <w:p w14:paraId="2551E271">
      <w:pPr>
        <w:autoSpaceDE w:val="0"/>
        <w:autoSpaceDN w:val="0"/>
        <w:jc w:val="center"/>
        <w:rPr>
          <w:rFonts w:hint="eastAsia" w:ascii="仿宋" w:hAnsi="仿宋" w:eastAsia="仿宋" w:cs="仿宋"/>
          <w:b/>
          <w:color w:val="auto"/>
          <w:spacing w:val="6"/>
          <w:sz w:val="32"/>
          <w:szCs w:val="32"/>
          <w:highlight w:val="none"/>
        </w:rPr>
      </w:pPr>
    </w:p>
    <w:p w14:paraId="0AFD2FFE">
      <w:pPr>
        <w:autoSpaceDE w:val="0"/>
        <w:autoSpaceDN w:val="0"/>
        <w:jc w:val="center"/>
        <w:rPr>
          <w:rFonts w:hint="eastAsia" w:ascii="仿宋" w:hAnsi="仿宋" w:eastAsia="仿宋" w:cs="仿宋"/>
          <w:b/>
          <w:color w:val="auto"/>
          <w:spacing w:val="6"/>
          <w:sz w:val="32"/>
          <w:szCs w:val="32"/>
          <w:highlight w:val="none"/>
        </w:rPr>
      </w:pPr>
    </w:p>
    <w:p w14:paraId="0EE4BA46">
      <w:pPr>
        <w:autoSpaceDE w:val="0"/>
        <w:autoSpaceDN w:val="0"/>
        <w:jc w:val="center"/>
        <w:rPr>
          <w:rFonts w:hint="eastAsia" w:ascii="仿宋" w:hAnsi="仿宋" w:eastAsia="仿宋" w:cs="仿宋"/>
          <w:b/>
          <w:color w:val="auto"/>
          <w:spacing w:val="6"/>
          <w:sz w:val="32"/>
          <w:szCs w:val="32"/>
          <w:highlight w:val="none"/>
        </w:rPr>
      </w:pPr>
    </w:p>
    <w:p w14:paraId="29F9E1B8">
      <w:pPr>
        <w:autoSpaceDE w:val="0"/>
        <w:autoSpaceDN w:val="0"/>
        <w:jc w:val="center"/>
        <w:rPr>
          <w:rFonts w:hint="eastAsia" w:ascii="仿宋" w:hAnsi="仿宋" w:eastAsia="仿宋" w:cs="仿宋"/>
          <w:b/>
          <w:color w:val="auto"/>
          <w:spacing w:val="6"/>
          <w:sz w:val="32"/>
          <w:szCs w:val="32"/>
          <w:highlight w:val="none"/>
        </w:rPr>
      </w:pPr>
    </w:p>
    <w:p w14:paraId="6776FC18">
      <w:pPr>
        <w:autoSpaceDE w:val="0"/>
        <w:autoSpaceDN w:val="0"/>
        <w:jc w:val="center"/>
        <w:rPr>
          <w:rFonts w:hint="eastAsia" w:ascii="仿宋" w:hAnsi="仿宋" w:eastAsia="仿宋" w:cs="仿宋"/>
          <w:b/>
          <w:color w:val="auto"/>
          <w:spacing w:val="6"/>
          <w:sz w:val="32"/>
          <w:szCs w:val="32"/>
          <w:highlight w:val="none"/>
        </w:rPr>
      </w:pPr>
    </w:p>
    <w:p w14:paraId="240F4699">
      <w:pPr>
        <w:autoSpaceDE w:val="0"/>
        <w:autoSpaceDN w:val="0"/>
        <w:jc w:val="center"/>
        <w:rPr>
          <w:rFonts w:hint="eastAsia" w:ascii="仿宋" w:hAnsi="仿宋" w:eastAsia="仿宋" w:cs="仿宋"/>
          <w:b/>
          <w:color w:val="auto"/>
          <w:spacing w:val="6"/>
          <w:sz w:val="32"/>
          <w:szCs w:val="32"/>
          <w:highlight w:val="none"/>
        </w:rPr>
      </w:pPr>
    </w:p>
    <w:p w14:paraId="42639C85">
      <w:pPr>
        <w:autoSpaceDE w:val="0"/>
        <w:autoSpaceDN w:val="0"/>
        <w:jc w:val="center"/>
        <w:rPr>
          <w:rFonts w:hint="eastAsia" w:ascii="仿宋" w:hAnsi="仿宋" w:eastAsia="仿宋" w:cs="仿宋"/>
          <w:b/>
          <w:color w:val="auto"/>
          <w:spacing w:val="6"/>
          <w:sz w:val="32"/>
          <w:szCs w:val="32"/>
          <w:highlight w:val="none"/>
        </w:rPr>
      </w:pPr>
    </w:p>
    <w:p w14:paraId="75ADEE40">
      <w:pPr>
        <w:snapToGrid w:val="0"/>
        <w:spacing w:line="360" w:lineRule="auto"/>
        <w:ind w:firstLine="3666" w:firstLineChars="1100"/>
        <w:rPr>
          <w:rFonts w:hint="eastAsia" w:ascii="仿宋" w:hAnsi="仿宋" w:eastAsia="仿宋" w:cs="仿宋"/>
          <w:b/>
          <w:color w:val="auto"/>
          <w:spacing w:val="6"/>
          <w:sz w:val="32"/>
          <w:szCs w:val="32"/>
          <w:highlight w:val="none"/>
        </w:rPr>
      </w:pPr>
    </w:p>
    <w:p w14:paraId="1AC0DEC4">
      <w:pPr>
        <w:widowControl/>
        <w:adjustRightInd/>
        <w:jc w:val="left"/>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br w:type="page"/>
      </w:r>
    </w:p>
    <w:p w14:paraId="3DBF61EB">
      <w:pPr>
        <w:snapToGrid w:val="0"/>
        <w:spacing w:line="360" w:lineRule="auto"/>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5</w:t>
      </w:r>
      <w:r>
        <w:rPr>
          <w:rFonts w:hint="eastAsia" w:ascii="仿宋" w:hAnsi="仿宋" w:eastAsia="仿宋" w:cs="仿宋"/>
          <w:b/>
          <w:color w:val="auto"/>
          <w:spacing w:val="6"/>
          <w:sz w:val="32"/>
          <w:szCs w:val="32"/>
          <w:highlight w:val="none"/>
        </w:rPr>
        <w:t>：</w:t>
      </w:r>
      <w:r>
        <w:rPr>
          <w:rFonts w:hint="eastAsia" w:ascii="仿宋" w:hAnsi="仿宋" w:eastAsia="仿宋" w:cs="仿宋"/>
          <w:b/>
          <w:color w:val="auto"/>
          <w:kern w:val="0"/>
          <w:sz w:val="32"/>
          <w:szCs w:val="32"/>
          <w:highlight w:val="none"/>
        </w:rPr>
        <w:t>分包意向协议</w:t>
      </w:r>
    </w:p>
    <w:p w14:paraId="317B80F9">
      <w:pPr>
        <w:pageBreakBefore w:val="0"/>
        <w:widowControl/>
        <w:kinsoku/>
        <w:wordWrap/>
        <w:overflowPunct/>
        <w:topLinePunct w:val="0"/>
        <w:autoSpaceDE/>
        <w:autoSpaceDN/>
        <w:bidi w:val="0"/>
        <w:spacing w:line="440" w:lineRule="exact"/>
        <w:ind w:left="0" w:leftChars="0" w:right="0" w:firstLine="120" w:firstLineChars="5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b/>
          <w:color w:val="auto"/>
          <w:sz w:val="24"/>
          <w:highlight w:val="none"/>
        </w:rPr>
        <w:t>中标后以分包方式履行合同的，提供分包意向协议；采购人不同意分包或者投标人中标后不以分包方式履行合同的，则不需要提供。</w:t>
      </w:r>
      <w:r>
        <w:rPr>
          <w:rFonts w:hint="eastAsia" w:ascii="仿宋" w:hAnsi="仿宋" w:eastAsia="仿宋" w:cs="仿宋"/>
          <w:color w:val="auto"/>
          <w:sz w:val="24"/>
          <w:highlight w:val="none"/>
        </w:rPr>
        <w:t>）</w:t>
      </w:r>
    </w:p>
    <w:p w14:paraId="086B92AA">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若成为</w:t>
      </w:r>
      <w:r>
        <w:rPr>
          <w:rFonts w:hint="eastAsia" w:ascii="仿宋" w:hAnsi="仿宋" w:eastAsia="仿宋" w:cs="仿宋"/>
          <w:color w:val="auto"/>
          <w:sz w:val="24"/>
          <w:highlight w:val="none"/>
          <w:lang w:eastAsia="zh-CN"/>
        </w:rPr>
        <w:t>（项目名称）</w:t>
      </w:r>
      <w:r>
        <w:rPr>
          <w:rFonts w:hint="eastAsia" w:ascii="仿宋" w:hAnsi="仿宋" w:eastAsia="仿宋" w:cs="仿宋"/>
          <w:color w:val="auto"/>
          <w:sz w:val="24"/>
          <w:highlight w:val="none"/>
        </w:rPr>
        <w:t>【招标编号：（采购编号）】</w:t>
      </w:r>
      <w:r>
        <w:rPr>
          <w:rFonts w:hint="eastAsia" w:ascii="仿宋" w:hAnsi="仿宋" w:eastAsia="仿宋" w:cs="仿宋"/>
          <w:color w:val="auto"/>
          <w:kern w:val="0"/>
          <w:sz w:val="24"/>
          <w:highlight w:val="none"/>
          <w:lang w:val="zh-CN"/>
        </w:rPr>
        <w:t>的中标供应商，将依法采取分包方式履行合同。</w:t>
      </w: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rPr>
        <w:t>与</w:t>
      </w:r>
      <w:r>
        <w:rPr>
          <w:rFonts w:hint="eastAsia" w:ascii="仿宋" w:hAnsi="仿宋" w:eastAsia="仿宋" w:cs="仿宋"/>
          <w:color w:val="auto"/>
          <w:kern w:val="0"/>
          <w:sz w:val="24"/>
          <w:highlight w:val="none"/>
          <w:u w:val="single"/>
        </w:rPr>
        <w:t>（所有分包供应商名称）</w:t>
      </w:r>
      <w:r>
        <w:rPr>
          <w:rFonts w:hint="eastAsia" w:ascii="仿宋" w:hAnsi="仿宋" w:eastAsia="仿宋" w:cs="仿宋"/>
          <w:color w:val="auto"/>
          <w:kern w:val="0"/>
          <w:sz w:val="24"/>
          <w:highlight w:val="none"/>
        </w:rPr>
        <w:t>达成分包意向协议</w:t>
      </w:r>
      <w:r>
        <w:rPr>
          <w:rFonts w:hint="eastAsia" w:ascii="仿宋" w:hAnsi="仿宋" w:eastAsia="仿宋" w:cs="仿宋"/>
          <w:color w:val="auto"/>
          <w:kern w:val="0"/>
          <w:sz w:val="24"/>
          <w:highlight w:val="none"/>
          <w:lang w:val="zh-CN"/>
        </w:rPr>
        <w:t xml:space="preserve">。 </w:t>
      </w:r>
    </w:p>
    <w:p w14:paraId="4B9241CE">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一、分包标的及数量</w:t>
      </w:r>
    </w:p>
    <w:p w14:paraId="1ADDC730">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将</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u w:val="single"/>
        </w:rPr>
        <w:t xml:space="preserve"> XX工作内容   </w:t>
      </w:r>
      <w:r>
        <w:rPr>
          <w:rFonts w:hint="eastAsia" w:ascii="仿宋" w:hAnsi="仿宋" w:eastAsia="仿宋" w:cs="仿宋"/>
          <w:color w:val="auto"/>
          <w:sz w:val="24"/>
          <w:highlight w:val="none"/>
        </w:rPr>
        <w:t>分包给</w:t>
      </w:r>
      <w:r>
        <w:rPr>
          <w:rFonts w:hint="eastAsia" w:ascii="仿宋" w:hAnsi="仿宋" w:eastAsia="仿宋" w:cs="仿宋"/>
          <w:color w:val="auto"/>
          <w:kern w:val="0"/>
          <w:sz w:val="24"/>
          <w:highlight w:val="none"/>
          <w:u w:val="single"/>
        </w:rPr>
        <w:t>（分包供应商1名称）</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u w:val="single"/>
        </w:rPr>
        <w:t>（分包供应商2名称），</w:t>
      </w:r>
      <w:r>
        <w:rPr>
          <w:rFonts w:hint="eastAsia" w:ascii="仿宋" w:hAnsi="仿宋" w:eastAsia="仿宋" w:cs="仿宋"/>
          <w:color w:val="auto"/>
          <w:kern w:val="0"/>
          <w:sz w:val="24"/>
          <w:highlight w:val="none"/>
          <w:lang w:val="zh-CN"/>
        </w:rPr>
        <w:t>具备承</w:t>
      </w:r>
      <w:r>
        <w:rPr>
          <w:rFonts w:hint="eastAsia" w:ascii="仿宋" w:hAnsi="仿宋" w:eastAsia="仿宋" w:cs="仿宋"/>
          <w:color w:val="auto"/>
          <w:kern w:val="0"/>
          <w:sz w:val="24"/>
          <w:highlight w:val="none"/>
        </w:rPr>
        <w:t>担</w:t>
      </w:r>
      <w:r>
        <w:rPr>
          <w:rFonts w:hint="eastAsia" w:ascii="仿宋" w:hAnsi="仿宋" w:eastAsia="仿宋" w:cs="仿宋"/>
          <w:color w:val="auto"/>
          <w:kern w:val="0"/>
          <w:sz w:val="24"/>
          <w:highlight w:val="none"/>
          <w:u w:val="single"/>
          <w:lang w:val="zh-CN"/>
        </w:rPr>
        <w:t>XX工作内容</w:t>
      </w:r>
      <w:r>
        <w:rPr>
          <w:rFonts w:hint="eastAsia" w:ascii="仿宋" w:hAnsi="仿宋" w:eastAsia="仿宋" w:cs="仿宋"/>
          <w:color w:val="auto"/>
          <w:kern w:val="0"/>
          <w:sz w:val="24"/>
          <w:highlight w:val="none"/>
          <w:lang w:val="zh-CN"/>
        </w:rPr>
        <w:t>相应资质条件且不得再次分包；</w:t>
      </w:r>
    </w:p>
    <w:p w14:paraId="41896781">
      <w:pPr>
        <w:pStyle w:val="4"/>
        <w:pageBreakBefore w:val="0"/>
        <w:kinsoku/>
        <w:wordWrap/>
        <w:overflowPunct/>
        <w:topLinePunct w:val="0"/>
        <w:autoSpaceDE/>
        <w:autoSpaceDN/>
        <w:bidi w:val="0"/>
        <w:spacing w:line="440" w:lineRule="exact"/>
        <w:ind w:left="0" w:leftChars="0" w:right="0" w:firstLine="229" w:firstLineChars="95"/>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w:t>
      </w:r>
    </w:p>
    <w:p w14:paraId="19E30795">
      <w:pPr>
        <w:pageBreakBefore w:val="0"/>
        <w:kinsoku/>
        <w:wordWrap/>
        <w:overflowPunct/>
        <w:topLinePunct w:val="0"/>
        <w:autoSpaceDE/>
        <w:autoSpaceDN/>
        <w:bidi w:val="0"/>
        <w:spacing w:line="440" w:lineRule="exact"/>
        <w:ind w:left="0" w:leftChars="0" w:right="0"/>
        <w:textAlignment w:val="auto"/>
        <w:rPr>
          <w:rFonts w:hint="eastAsia" w:ascii="仿宋" w:hAnsi="仿宋" w:eastAsia="仿宋" w:cs="仿宋"/>
          <w:color w:val="auto"/>
          <w:highlight w:val="none"/>
        </w:rPr>
      </w:pPr>
      <w:r>
        <w:rPr>
          <w:rFonts w:hint="eastAsia" w:ascii="仿宋" w:hAnsi="仿宋" w:eastAsia="仿宋" w:cs="仿宋"/>
          <w:color w:val="auto"/>
          <w:highlight w:val="none"/>
          <w:lang w:val="zh-CN"/>
        </w:rPr>
        <w:t xml:space="preserve"> </w:t>
      </w:r>
    </w:p>
    <w:p w14:paraId="1DDF51DA">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二、分包供应商中小企业合同份额</w:t>
      </w:r>
    </w:p>
    <w:p w14:paraId="28D36132">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rPr>
        <w:t>1、</w:t>
      </w:r>
      <w:r>
        <w:rPr>
          <w:rFonts w:hint="eastAsia" w:ascii="仿宋" w:hAnsi="仿宋" w:eastAsia="仿宋" w:cs="仿宋"/>
          <w:color w:val="auto"/>
          <w:kern w:val="0"/>
          <w:sz w:val="24"/>
          <w:highlight w:val="none"/>
          <w:u w:val="single"/>
        </w:rPr>
        <w:t>（分包供应商X,……）提供的服务全部由小微企业承接，</w:t>
      </w:r>
      <w:r>
        <w:rPr>
          <w:rFonts w:hint="eastAsia" w:ascii="仿宋" w:hAnsi="仿宋" w:eastAsia="仿宋" w:cs="仿宋"/>
          <w:color w:val="auto"/>
          <w:kern w:val="0"/>
          <w:sz w:val="24"/>
          <w:highlight w:val="none"/>
        </w:rPr>
        <w:t>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highlight w:val="none"/>
        </w:rPr>
        <w:t>。</w:t>
      </w:r>
      <w:r>
        <w:rPr>
          <w:rFonts w:hint="eastAsia" w:ascii="仿宋" w:hAnsi="仿宋" w:eastAsia="仿宋" w:cs="仿宋"/>
          <w:b/>
          <w:color w:val="auto"/>
          <w:kern w:val="0"/>
          <w:sz w:val="24"/>
          <w:highlight w:val="none"/>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color w:val="auto"/>
          <w:sz w:val="24"/>
          <w:highlight w:val="none"/>
        </w:rPr>
        <w:t>拟享受以上价格扣除政策的，填写有关内容。</w:t>
      </w:r>
      <w:r>
        <w:rPr>
          <w:rFonts w:hint="eastAsia" w:ascii="仿宋" w:hAnsi="仿宋" w:eastAsia="仿宋" w:cs="仿宋"/>
          <w:b/>
          <w:color w:val="auto"/>
          <w:kern w:val="0"/>
          <w:sz w:val="24"/>
          <w:highlight w:val="none"/>
          <w:lang w:val="zh-CN"/>
        </w:rPr>
        <w:t>）</w:t>
      </w:r>
    </w:p>
    <w:p w14:paraId="4A992BC1">
      <w:pPr>
        <w:pageBreakBefore w:val="0"/>
        <w:kinsoku/>
        <w:wordWrap/>
        <w:overflowPunct/>
        <w:topLinePunct w:val="0"/>
        <w:autoSpaceDE/>
        <w:autoSpaceDN/>
        <w:bidi w:val="0"/>
        <w:spacing w:line="440" w:lineRule="exact"/>
        <w:ind w:left="0" w:leftChars="0" w:right="0" w:firstLine="480" w:firstLineChars="200"/>
        <w:textAlignment w:val="auto"/>
        <w:rPr>
          <w:rFonts w:hint="eastAsia" w:ascii="仿宋" w:hAnsi="仿宋" w:eastAsia="仿宋" w:cs="仿宋"/>
          <w:b/>
          <w:bCs/>
          <w:color w:val="auto"/>
          <w:kern w:val="0"/>
          <w:sz w:val="24"/>
          <w:highlight w:val="none"/>
          <w:lang w:val="zh-CN"/>
        </w:rPr>
      </w:pPr>
      <w:r>
        <w:rPr>
          <w:rFonts w:hint="eastAsia" w:ascii="仿宋" w:hAnsi="仿宋" w:eastAsia="仿宋" w:cs="仿宋"/>
          <w:color w:val="auto"/>
          <w:sz w:val="24"/>
          <w:highlight w:val="none"/>
        </w:rPr>
        <w:t>2、中小企业合同金额达到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要求合同分包形式参加的项目或采购包，供应商按招标文件第一部分招标公告申请人的资格要求中规定的</w:t>
      </w:r>
      <w:r>
        <w:rPr>
          <w:rFonts w:hint="eastAsia" w:ascii="仿宋" w:hAnsi="仿宋" w:eastAsia="仿宋" w:cs="仿宋"/>
          <w:b/>
          <w:color w:val="auto"/>
          <w:kern w:val="0"/>
          <w:sz w:val="24"/>
          <w:highlight w:val="none"/>
          <w:lang w:val="zh-CN"/>
        </w:rPr>
        <w:t>分包意向协议</w:t>
      </w:r>
      <w:r>
        <w:rPr>
          <w:rFonts w:hint="eastAsia" w:ascii="仿宋" w:hAnsi="仿宋" w:eastAsia="仿宋" w:cs="仿宋"/>
          <w:b/>
          <w:bCs/>
          <w:color w:val="auto"/>
          <w:sz w:val="24"/>
          <w:highlight w:val="none"/>
        </w:rPr>
        <w:t>中中小企业、小微企业合同金额应当达到的比例要求填写。</w:t>
      </w:r>
      <w:r>
        <w:rPr>
          <w:rFonts w:hint="eastAsia" w:ascii="仿宋" w:hAnsi="仿宋" w:eastAsia="仿宋" w:cs="仿宋"/>
          <w:b/>
          <w:bCs/>
          <w:color w:val="auto"/>
          <w:kern w:val="0"/>
          <w:sz w:val="24"/>
          <w:highlight w:val="none"/>
          <w:lang w:val="zh-CN"/>
        </w:rPr>
        <w:t>）</w:t>
      </w:r>
    </w:p>
    <w:p w14:paraId="292049BB">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三、分包工作履行期限、地点、方式</w:t>
      </w:r>
    </w:p>
    <w:p w14:paraId="6BFA482E">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highlight w:val="none"/>
          <w:u w:val="single"/>
        </w:rPr>
      </w:pPr>
      <w:r>
        <w:rPr>
          <w:rFonts w:hint="eastAsia" w:ascii="仿宋" w:hAnsi="仿宋" w:eastAsia="仿宋" w:cs="仿宋"/>
          <w:color w:val="auto"/>
          <w:highlight w:val="none"/>
          <w:u w:val="single"/>
        </w:rPr>
        <w:t xml:space="preserve">                                                                                  </w:t>
      </w:r>
    </w:p>
    <w:p w14:paraId="18728A34">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四、质量</w:t>
      </w:r>
    </w:p>
    <w:p w14:paraId="08C6819D">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0710391F">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五、价款或者报酬</w:t>
      </w:r>
    </w:p>
    <w:p w14:paraId="34DF178E">
      <w:pPr>
        <w:pageBreakBefore w:val="0"/>
        <w:kinsoku/>
        <w:wordWrap/>
        <w:overflowPunct/>
        <w:topLinePunct w:val="0"/>
        <w:autoSpaceDE/>
        <w:autoSpaceDN/>
        <w:bidi w:val="0"/>
        <w:snapToGrid w:val="0"/>
        <w:spacing w:line="440" w:lineRule="exact"/>
        <w:ind w:left="0" w:leftChars="0" w:right="0" w:firstLine="525" w:firstLineChars="250"/>
        <w:textAlignment w:val="auto"/>
        <w:rPr>
          <w:rFonts w:hint="eastAsia" w:ascii="仿宋" w:hAnsi="仿宋" w:eastAsia="仿宋" w:cs="仿宋"/>
          <w:color w:val="auto"/>
          <w:highlight w:val="none"/>
          <w:u w:val="single"/>
        </w:rPr>
      </w:pPr>
      <w:r>
        <w:rPr>
          <w:rFonts w:hint="eastAsia" w:ascii="仿宋" w:hAnsi="仿宋" w:eastAsia="仿宋" w:cs="仿宋"/>
          <w:color w:val="auto"/>
          <w:highlight w:val="none"/>
          <w:u w:val="single"/>
        </w:rPr>
        <w:t xml:space="preserve">                                                                                 </w:t>
      </w:r>
    </w:p>
    <w:p w14:paraId="1161C37F">
      <w:pPr>
        <w:pageBreakBefore w:val="0"/>
        <w:kinsoku/>
        <w:wordWrap/>
        <w:overflowPunct/>
        <w:topLinePunct w:val="0"/>
        <w:autoSpaceDE/>
        <w:autoSpaceDN/>
        <w:bidi w:val="0"/>
        <w:snapToGrid w:val="0"/>
        <w:spacing w:line="440" w:lineRule="exact"/>
        <w:ind w:left="0" w:leftChars="0" w:right="0" w:firstLine="600" w:firstLineChars="25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六、违约责任</w:t>
      </w:r>
    </w:p>
    <w:p w14:paraId="38458C79">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12A5DEAD">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七、争议解决的办法</w:t>
      </w:r>
    </w:p>
    <w:p w14:paraId="63C624EB">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773E1DD4">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八、其他</w:t>
      </w:r>
    </w:p>
    <w:p w14:paraId="031FCD0B">
      <w:pPr>
        <w:pageBreakBefore w:val="0"/>
        <w:kinsoku/>
        <w:wordWrap/>
        <w:overflowPunct/>
        <w:topLinePunct w:val="0"/>
        <w:autoSpaceDE/>
        <w:autoSpaceDN/>
        <w:bidi w:val="0"/>
        <w:snapToGrid w:val="0"/>
        <w:spacing w:line="440" w:lineRule="exact"/>
        <w:ind w:left="5040" w:leftChars="0" w:right="0" w:hanging="5040" w:hangingChars="210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sz w:val="24"/>
          <w:highlight w:val="none"/>
        </w:rPr>
        <w:t>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 xml:space="preserve">  。                                           投标人名称(电子签名)：</w:t>
      </w:r>
    </w:p>
    <w:p w14:paraId="354B492B">
      <w:pPr>
        <w:pageBreakBefore w:val="0"/>
        <w:kinsoku/>
        <w:wordWrap/>
        <w:overflowPunct/>
        <w:topLinePunct w:val="0"/>
        <w:autoSpaceDE/>
        <w:autoSpaceDN/>
        <w:bidi w:val="0"/>
        <w:snapToGrid w:val="0"/>
        <w:spacing w:line="440" w:lineRule="exact"/>
        <w:ind w:left="0" w:leftChars="0" w:right="0"/>
        <w:jc w:val="right"/>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分包供应商名称(电子签名/公章)：</w:t>
      </w:r>
    </w:p>
    <w:p w14:paraId="2452A3C6">
      <w:pPr>
        <w:pageBreakBefore w:val="0"/>
        <w:kinsoku/>
        <w:wordWrap/>
        <w:overflowPunct/>
        <w:topLinePunct w:val="0"/>
        <w:autoSpaceDE/>
        <w:autoSpaceDN/>
        <w:bidi w:val="0"/>
        <w:snapToGrid w:val="0"/>
        <w:spacing w:line="440" w:lineRule="exact"/>
        <w:ind w:left="0" w:leftChars="0" w:right="0" w:firstLine="5760" w:firstLineChars="2400"/>
        <w:textAlignment w:val="auto"/>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14:paraId="2FA7F281">
      <w:pPr>
        <w:pageBreakBefore w:val="0"/>
        <w:kinsoku/>
        <w:wordWrap/>
        <w:overflowPunct/>
        <w:topLinePunct w:val="0"/>
        <w:autoSpaceDE/>
        <w:autoSpaceDN/>
        <w:bidi w:val="0"/>
        <w:snapToGrid w:val="0"/>
        <w:spacing w:line="440" w:lineRule="exact"/>
        <w:ind w:left="5040" w:leftChars="0" w:right="0" w:hanging="5040" w:hangingChars="210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14:paraId="5DCA225D">
      <w:pPr>
        <w:pageBreakBefore w:val="0"/>
        <w:kinsoku/>
        <w:wordWrap/>
        <w:overflowPunct/>
        <w:topLinePunct w:val="0"/>
        <w:autoSpaceDE/>
        <w:autoSpaceDN/>
        <w:bidi w:val="0"/>
        <w:spacing w:line="440" w:lineRule="exact"/>
        <w:ind w:left="0" w:leftChars="0" w:right="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77F375EC">
      <w:pPr>
        <w:autoSpaceDE w:val="0"/>
        <w:autoSpaceDN w:val="0"/>
        <w:jc w:val="center"/>
        <w:rPr>
          <w:rFonts w:hint="eastAsia" w:ascii="仿宋" w:hAnsi="仿宋" w:eastAsia="仿宋" w:cs="仿宋"/>
          <w:b/>
          <w:color w:val="auto"/>
          <w:spacing w:val="6"/>
          <w:sz w:val="32"/>
          <w:szCs w:val="32"/>
          <w:highlight w:val="none"/>
        </w:rPr>
      </w:pPr>
    </w:p>
    <w:p w14:paraId="11410ED9">
      <w:pPr>
        <w:autoSpaceDE w:val="0"/>
        <w:autoSpaceDN w:val="0"/>
        <w:jc w:val="center"/>
        <w:rPr>
          <w:rFonts w:hint="eastAsia" w:ascii="仿宋" w:hAnsi="仿宋" w:eastAsia="仿宋" w:cs="仿宋"/>
          <w:b/>
          <w:color w:val="auto"/>
          <w:spacing w:val="6"/>
          <w:sz w:val="32"/>
          <w:szCs w:val="32"/>
          <w:highlight w:val="none"/>
        </w:rPr>
      </w:pPr>
    </w:p>
    <w:p w14:paraId="6DBEAFC8">
      <w:pPr>
        <w:autoSpaceDE w:val="0"/>
        <w:autoSpaceDN w:val="0"/>
        <w:jc w:val="center"/>
        <w:rPr>
          <w:rFonts w:hint="eastAsia" w:ascii="仿宋" w:hAnsi="仿宋" w:eastAsia="仿宋" w:cs="仿宋"/>
          <w:b/>
          <w:color w:val="auto"/>
          <w:spacing w:val="6"/>
          <w:sz w:val="32"/>
          <w:szCs w:val="32"/>
          <w:highlight w:val="none"/>
        </w:rPr>
      </w:pPr>
    </w:p>
    <w:p w14:paraId="4CBD3619">
      <w:pPr>
        <w:pStyle w:val="29"/>
        <w:rPr>
          <w:rFonts w:hint="eastAsia" w:ascii="仿宋" w:hAnsi="仿宋" w:eastAsia="仿宋" w:cs="仿宋"/>
          <w:b/>
          <w:color w:val="auto"/>
          <w:spacing w:val="6"/>
          <w:sz w:val="32"/>
          <w:szCs w:val="32"/>
          <w:highlight w:val="none"/>
        </w:rPr>
      </w:pPr>
    </w:p>
    <w:p w14:paraId="7F00DCBC">
      <w:pPr>
        <w:pStyle w:val="31"/>
        <w:rPr>
          <w:rFonts w:hint="eastAsia" w:ascii="仿宋" w:hAnsi="仿宋" w:eastAsia="仿宋" w:cs="仿宋"/>
          <w:b/>
          <w:color w:val="auto"/>
          <w:spacing w:val="6"/>
          <w:sz w:val="32"/>
          <w:szCs w:val="32"/>
          <w:highlight w:val="none"/>
        </w:rPr>
      </w:pPr>
    </w:p>
    <w:p w14:paraId="679F64A3">
      <w:pPr>
        <w:rPr>
          <w:rFonts w:hint="eastAsia" w:ascii="仿宋" w:hAnsi="仿宋" w:eastAsia="仿宋" w:cs="仿宋"/>
          <w:b/>
          <w:color w:val="auto"/>
          <w:spacing w:val="6"/>
          <w:sz w:val="32"/>
          <w:szCs w:val="32"/>
          <w:highlight w:val="none"/>
        </w:rPr>
      </w:pPr>
    </w:p>
    <w:p w14:paraId="37CF076F">
      <w:pPr>
        <w:pStyle w:val="29"/>
        <w:rPr>
          <w:rFonts w:hint="eastAsia" w:ascii="仿宋" w:hAnsi="仿宋" w:eastAsia="仿宋" w:cs="仿宋"/>
          <w:b/>
          <w:color w:val="auto"/>
          <w:spacing w:val="6"/>
          <w:sz w:val="32"/>
          <w:szCs w:val="32"/>
          <w:highlight w:val="none"/>
        </w:rPr>
      </w:pPr>
    </w:p>
    <w:p w14:paraId="3847CD9E">
      <w:pPr>
        <w:pStyle w:val="31"/>
        <w:rPr>
          <w:rFonts w:hint="eastAsia" w:ascii="仿宋" w:hAnsi="仿宋" w:eastAsia="仿宋" w:cs="仿宋"/>
          <w:b/>
          <w:color w:val="auto"/>
          <w:spacing w:val="6"/>
          <w:sz w:val="32"/>
          <w:szCs w:val="32"/>
          <w:highlight w:val="none"/>
        </w:rPr>
      </w:pPr>
    </w:p>
    <w:p w14:paraId="1D0C7CC4">
      <w:pPr>
        <w:rPr>
          <w:rFonts w:hint="eastAsia" w:ascii="仿宋" w:hAnsi="仿宋" w:eastAsia="仿宋" w:cs="仿宋"/>
          <w:b/>
          <w:color w:val="auto"/>
          <w:spacing w:val="6"/>
          <w:sz w:val="32"/>
          <w:szCs w:val="32"/>
          <w:highlight w:val="none"/>
        </w:rPr>
      </w:pPr>
    </w:p>
    <w:p w14:paraId="61B77E7D">
      <w:pPr>
        <w:pStyle w:val="29"/>
        <w:rPr>
          <w:rFonts w:hint="eastAsia" w:ascii="仿宋" w:hAnsi="仿宋" w:eastAsia="仿宋" w:cs="仿宋"/>
          <w:b/>
          <w:color w:val="auto"/>
          <w:spacing w:val="6"/>
          <w:sz w:val="32"/>
          <w:szCs w:val="32"/>
          <w:highlight w:val="none"/>
        </w:rPr>
      </w:pPr>
    </w:p>
    <w:p w14:paraId="2D3B1553">
      <w:pPr>
        <w:pStyle w:val="31"/>
        <w:rPr>
          <w:rFonts w:hint="eastAsia" w:ascii="仿宋" w:hAnsi="仿宋" w:eastAsia="仿宋" w:cs="仿宋"/>
          <w:b/>
          <w:color w:val="auto"/>
          <w:spacing w:val="6"/>
          <w:sz w:val="32"/>
          <w:szCs w:val="32"/>
          <w:highlight w:val="none"/>
        </w:rPr>
      </w:pPr>
    </w:p>
    <w:p w14:paraId="504CB717">
      <w:pPr>
        <w:rPr>
          <w:rFonts w:hint="eastAsia" w:ascii="仿宋" w:hAnsi="仿宋" w:eastAsia="仿宋" w:cs="仿宋"/>
          <w:b/>
          <w:color w:val="auto"/>
          <w:spacing w:val="6"/>
          <w:sz w:val="32"/>
          <w:szCs w:val="32"/>
          <w:highlight w:val="none"/>
        </w:rPr>
      </w:pPr>
    </w:p>
    <w:p w14:paraId="0CD32015">
      <w:pPr>
        <w:pStyle w:val="29"/>
        <w:rPr>
          <w:rFonts w:hint="eastAsia" w:ascii="仿宋" w:hAnsi="仿宋" w:eastAsia="仿宋" w:cs="仿宋"/>
          <w:b/>
          <w:color w:val="auto"/>
          <w:spacing w:val="6"/>
          <w:sz w:val="32"/>
          <w:szCs w:val="32"/>
          <w:highlight w:val="none"/>
        </w:rPr>
      </w:pPr>
    </w:p>
    <w:p w14:paraId="22E92391">
      <w:pPr>
        <w:pStyle w:val="31"/>
        <w:rPr>
          <w:rFonts w:hint="eastAsia" w:ascii="仿宋" w:hAnsi="仿宋" w:eastAsia="仿宋" w:cs="仿宋"/>
          <w:b/>
          <w:color w:val="auto"/>
          <w:spacing w:val="6"/>
          <w:sz w:val="32"/>
          <w:szCs w:val="32"/>
          <w:highlight w:val="none"/>
        </w:rPr>
      </w:pPr>
    </w:p>
    <w:p w14:paraId="0586767E">
      <w:pPr>
        <w:rPr>
          <w:rFonts w:hint="eastAsia" w:ascii="仿宋" w:hAnsi="仿宋" w:eastAsia="仿宋" w:cs="仿宋"/>
          <w:b/>
          <w:color w:val="auto"/>
          <w:spacing w:val="6"/>
          <w:sz w:val="32"/>
          <w:szCs w:val="32"/>
          <w:highlight w:val="none"/>
        </w:rPr>
      </w:pPr>
    </w:p>
    <w:p w14:paraId="4888C6D8">
      <w:pPr>
        <w:pStyle w:val="29"/>
        <w:rPr>
          <w:rFonts w:hint="eastAsia" w:ascii="仿宋" w:hAnsi="仿宋" w:eastAsia="仿宋" w:cs="仿宋"/>
          <w:b/>
          <w:color w:val="auto"/>
          <w:spacing w:val="6"/>
          <w:sz w:val="32"/>
          <w:szCs w:val="32"/>
          <w:highlight w:val="none"/>
        </w:rPr>
      </w:pPr>
    </w:p>
    <w:p w14:paraId="70227590">
      <w:pPr>
        <w:pStyle w:val="31"/>
        <w:rPr>
          <w:rFonts w:hint="eastAsia" w:ascii="仿宋" w:hAnsi="仿宋" w:eastAsia="仿宋" w:cs="仿宋"/>
          <w:b/>
          <w:color w:val="auto"/>
          <w:spacing w:val="6"/>
          <w:sz w:val="32"/>
          <w:szCs w:val="32"/>
          <w:highlight w:val="none"/>
        </w:rPr>
      </w:pPr>
    </w:p>
    <w:p w14:paraId="7ED5CBDA">
      <w:pPr>
        <w:rPr>
          <w:rFonts w:hint="eastAsia" w:ascii="仿宋" w:hAnsi="仿宋" w:eastAsia="仿宋" w:cs="仿宋"/>
          <w:b/>
          <w:color w:val="auto"/>
          <w:spacing w:val="6"/>
          <w:sz w:val="32"/>
          <w:szCs w:val="32"/>
          <w:highlight w:val="none"/>
        </w:rPr>
      </w:pPr>
    </w:p>
    <w:p w14:paraId="5B2ACA74">
      <w:pPr>
        <w:pStyle w:val="29"/>
        <w:rPr>
          <w:rFonts w:hint="eastAsia" w:ascii="仿宋" w:hAnsi="仿宋" w:eastAsia="仿宋" w:cs="仿宋"/>
          <w:b/>
          <w:color w:val="auto"/>
          <w:spacing w:val="6"/>
          <w:sz w:val="32"/>
          <w:szCs w:val="32"/>
          <w:highlight w:val="none"/>
        </w:rPr>
      </w:pPr>
    </w:p>
    <w:p w14:paraId="7FA7E349">
      <w:pPr>
        <w:pStyle w:val="31"/>
        <w:rPr>
          <w:rFonts w:hint="eastAsia" w:ascii="仿宋" w:hAnsi="仿宋" w:eastAsia="仿宋" w:cs="仿宋"/>
          <w:b/>
          <w:color w:val="auto"/>
          <w:spacing w:val="6"/>
          <w:sz w:val="32"/>
          <w:szCs w:val="32"/>
          <w:highlight w:val="none"/>
        </w:rPr>
      </w:pPr>
    </w:p>
    <w:p w14:paraId="668F6A71">
      <w:pPr>
        <w:rPr>
          <w:rFonts w:hint="eastAsia" w:ascii="仿宋" w:hAnsi="仿宋" w:eastAsia="仿宋" w:cs="仿宋"/>
          <w:b/>
          <w:color w:val="auto"/>
          <w:spacing w:val="6"/>
          <w:sz w:val="32"/>
          <w:szCs w:val="32"/>
          <w:highlight w:val="none"/>
        </w:rPr>
      </w:pPr>
    </w:p>
    <w:p w14:paraId="715FD94C">
      <w:pPr>
        <w:pStyle w:val="29"/>
        <w:rPr>
          <w:rFonts w:hint="eastAsia"/>
          <w:color w:val="auto"/>
          <w:highlight w:val="none"/>
        </w:rPr>
      </w:pPr>
    </w:p>
    <w:p w14:paraId="27D4BCC2">
      <w:pPr>
        <w:autoSpaceDE w:val="0"/>
        <w:autoSpaceDN w:val="0"/>
        <w:jc w:val="center"/>
        <w:rPr>
          <w:rFonts w:hint="eastAsia" w:ascii="仿宋" w:hAnsi="仿宋" w:eastAsia="仿宋" w:cs="仿宋"/>
          <w:b/>
          <w:color w:val="auto"/>
          <w:spacing w:val="6"/>
          <w:sz w:val="32"/>
          <w:szCs w:val="32"/>
          <w:highlight w:val="none"/>
        </w:rPr>
      </w:pPr>
    </w:p>
    <w:p w14:paraId="28E55EF2">
      <w:pPr>
        <w:autoSpaceDE w:val="0"/>
        <w:autoSpaceDN w:val="0"/>
        <w:jc w:val="center"/>
        <w:rPr>
          <w:rFonts w:hint="eastAsia" w:ascii="仿宋" w:hAnsi="仿宋" w:eastAsia="仿宋" w:cs="仿宋"/>
          <w:b/>
          <w:color w:val="auto"/>
          <w:spacing w:val="6"/>
          <w:sz w:val="32"/>
          <w:szCs w:val="32"/>
          <w:highlight w:val="none"/>
        </w:rPr>
      </w:pPr>
    </w:p>
    <w:p w14:paraId="76A9FA34">
      <w:pPr>
        <w:autoSpaceDE w:val="0"/>
        <w:autoSpaceDN w:val="0"/>
        <w:jc w:val="center"/>
        <w:rPr>
          <w:rFonts w:hint="eastAsia" w:ascii="仿宋" w:hAnsi="仿宋" w:eastAsia="仿宋" w:cs="仿宋"/>
          <w:b/>
          <w:color w:val="auto"/>
          <w:spacing w:val="6"/>
          <w:sz w:val="32"/>
          <w:szCs w:val="32"/>
          <w:highlight w:val="none"/>
        </w:rPr>
      </w:pPr>
    </w:p>
    <w:p w14:paraId="6E4FCFF5">
      <w:pPr>
        <w:autoSpaceDE w:val="0"/>
        <w:autoSpaceDN w:val="0"/>
        <w:jc w:val="center"/>
        <w:rPr>
          <w:rFonts w:hint="eastAsia" w:ascii="仿宋" w:hAnsi="仿宋" w:eastAsia="仿宋" w:cs="仿宋"/>
          <w:b/>
          <w:color w:val="auto"/>
          <w:spacing w:val="6"/>
          <w:sz w:val="32"/>
          <w:szCs w:val="32"/>
          <w:highlight w:val="none"/>
        </w:rPr>
      </w:pPr>
    </w:p>
    <w:p w14:paraId="07244372">
      <w:pPr>
        <w:spacing w:line="360" w:lineRule="auto"/>
        <w:jc w:val="center"/>
        <w:rPr>
          <w:rFonts w:hint="eastAsia" w:ascii="仿宋" w:hAnsi="仿宋" w:eastAsia="仿宋" w:cs="仿宋"/>
          <w:b/>
          <w:color w:val="auto"/>
          <w:spacing w:val="6"/>
          <w:sz w:val="32"/>
          <w:szCs w:val="32"/>
          <w:highlight w:val="none"/>
        </w:rPr>
      </w:pPr>
    </w:p>
    <w:p w14:paraId="6880024C">
      <w:pPr>
        <w:spacing w:line="360" w:lineRule="auto"/>
        <w:jc w:val="center"/>
        <w:rPr>
          <w:rFonts w:hint="eastAsia" w:ascii="仿宋" w:hAnsi="仿宋" w:eastAsia="仿宋" w:cs="仿宋"/>
          <w:b/>
          <w:color w:val="auto"/>
          <w:spacing w:val="6"/>
          <w:sz w:val="32"/>
          <w:szCs w:val="32"/>
          <w:highlight w:val="none"/>
        </w:rPr>
      </w:pPr>
    </w:p>
    <w:p w14:paraId="3C89C8DB">
      <w:pPr>
        <w:spacing w:line="360" w:lineRule="auto"/>
        <w:jc w:val="center"/>
        <w:rPr>
          <w:rFonts w:hint="eastAsia" w:ascii="仿宋" w:hAnsi="仿宋" w:eastAsia="仿宋" w:cs="仿宋"/>
          <w:b/>
          <w:color w:val="auto"/>
          <w:spacing w:val="6"/>
          <w:sz w:val="32"/>
          <w:szCs w:val="32"/>
          <w:highlight w:val="none"/>
        </w:rPr>
      </w:pPr>
      <w:bookmarkStart w:id="193" w:name="_GoBack"/>
      <w:bookmarkEnd w:id="193"/>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6</w:t>
      </w:r>
      <w:r>
        <w:rPr>
          <w:rFonts w:hint="eastAsia" w:ascii="仿宋" w:hAnsi="仿宋" w:eastAsia="仿宋" w:cs="仿宋"/>
          <w:b/>
          <w:color w:val="auto"/>
          <w:spacing w:val="6"/>
          <w:sz w:val="32"/>
          <w:szCs w:val="32"/>
          <w:highlight w:val="none"/>
        </w:rPr>
        <w:t>：</w:t>
      </w:r>
      <w:bookmarkStart w:id="186" w:name="OLE_LINK14"/>
      <w:bookmarkStart w:id="187" w:name="OLE_LINK13"/>
      <w:r>
        <w:rPr>
          <w:rFonts w:hint="eastAsia" w:ascii="仿宋" w:hAnsi="仿宋" w:eastAsia="仿宋" w:cs="仿宋"/>
          <w:b/>
          <w:color w:val="auto"/>
          <w:spacing w:val="6"/>
          <w:sz w:val="32"/>
          <w:szCs w:val="32"/>
          <w:highlight w:val="none"/>
        </w:rPr>
        <w:t>残疾人福利性单位声明函</w:t>
      </w:r>
    </w:p>
    <w:bookmarkEnd w:id="186"/>
    <w:bookmarkEnd w:id="187"/>
    <w:p w14:paraId="1BE4707A">
      <w:pPr>
        <w:spacing w:line="360" w:lineRule="auto"/>
        <w:rPr>
          <w:rFonts w:hint="eastAsia" w:ascii="仿宋" w:hAnsi="仿宋" w:eastAsia="仿宋" w:cs="仿宋"/>
          <w:b/>
          <w:color w:val="auto"/>
          <w:spacing w:val="6"/>
          <w:sz w:val="30"/>
          <w:szCs w:val="30"/>
          <w:highlight w:val="none"/>
        </w:rPr>
      </w:pPr>
    </w:p>
    <w:p w14:paraId="2C2151F3">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本单位郑重声明，根据《财政部 民政部 中国残疾人联合会关于促进残疾人就业政府采购政策的通知》（财库〔2017〕 141号）的规定，本单位为符合条件的残疾人福利性单位，且本单位参加_</w:t>
      </w:r>
      <w:r>
        <w:rPr>
          <w:rFonts w:hint="eastAsia" w:ascii="仿宋" w:hAnsi="仿宋" w:eastAsia="仿宋" w:cs="仿宋"/>
          <w:color w:val="auto"/>
          <w:sz w:val="24"/>
          <w:highlight w:val="none"/>
          <w:u w:val="single"/>
        </w:rPr>
        <w:t>(采购人)</w:t>
      </w:r>
      <w:r>
        <w:rPr>
          <w:rFonts w:hint="eastAsia" w:ascii="仿宋" w:hAnsi="仿宋" w:eastAsia="仿宋" w:cs="仿宋"/>
          <w:color w:val="auto"/>
          <w:sz w:val="24"/>
          <w:highlight w:val="none"/>
        </w:rPr>
        <w:t>_单位的_</w:t>
      </w:r>
      <w:r>
        <w:rPr>
          <w:rFonts w:hint="eastAsia" w:ascii="仿宋" w:hAnsi="仿宋" w:eastAsia="仿宋" w:cs="仿宋"/>
          <w:color w:val="auto"/>
          <w:sz w:val="24"/>
          <w:highlight w:val="none"/>
          <w:u w:val="single"/>
          <w:lang w:eastAsia="zh-CN"/>
        </w:rPr>
        <w:t>（项目名称）</w:t>
      </w:r>
      <w:r>
        <w:rPr>
          <w:rFonts w:hint="eastAsia" w:ascii="仿宋" w:hAnsi="仿宋" w:eastAsia="仿宋" w:cs="仿宋"/>
          <w:color w:val="auto"/>
          <w:sz w:val="24"/>
          <w:highlight w:val="none"/>
        </w:rPr>
        <w:t>__项目采购活动提供本单位制造的货物（由本单位承担工程/提供服务），或者提供其他残疾人福利性单位制造的货物（不包括使用非残疾人福利性单位注册商标的货物）。</w:t>
      </w:r>
    </w:p>
    <w:p w14:paraId="72EBB811">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本单位对上述声明的真实性负责。如有虚假，将依法承担相应责任。</w:t>
      </w:r>
    </w:p>
    <w:p w14:paraId="42D394DD">
      <w:pPr>
        <w:spacing w:line="360" w:lineRule="auto"/>
        <w:ind w:firstLine="480" w:firstLineChars="200"/>
        <w:rPr>
          <w:rFonts w:hint="eastAsia" w:ascii="仿宋" w:hAnsi="仿宋" w:eastAsia="仿宋" w:cs="仿宋"/>
          <w:color w:val="auto"/>
          <w:sz w:val="24"/>
          <w:highlight w:val="none"/>
        </w:rPr>
      </w:pPr>
    </w:p>
    <w:p w14:paraId="29A7EF0D">
      <w:pPr>
        <w:spacing w:line="360" w:lineRule="auto"/>
        <w:ind w:firstLine="480" w:firstLineChars="200"/>
        <w:rPr>
          <w:rFonts w:hint="eastAsia" w:ascii="仿宋" w:hAnsi="仿宋" w:eastAsia="仿宋" w:cs="仿宋"/>
          <w:color w:val="auto"/>
          <w:sz w:val="24"/>
          <w:highlight w:val="none"/>
        </w:rPr>
      </w:pPr>
    </w:p>
    <w:p w14:paraId="1627C025">
      <w:pPr>
        <w:tabs>
          <w:tab w:val="left" w:pos="4860"/>
        </w:tabs>
        <w:spacing w:line="360" w:lineRule="auto"/>
        <w:ind w:right="1560" w:firstLine="480" w:firstLineChars="20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w:t>
      </w:r>
      <w:r>
        <w:rPr>
          <w:rFonts w:hint="eastAsia" w:ascii="仿宋" w:hAnsi="仿宋" w:eastAsia="仿宋" w:cs="仿宋"/>
          <w:color w:val="auto"/>
          <w:kern w:val="0"/>
          <w:sz w:val="24"/>
          <w:highlight w:val="none"/>
          <w:lang w:val="zh-CN"/>
        </w:rPr>
        <w:t>投标人名称（电子签名）</w:t>
      </w:r>
      <w:r>
        <w:rPr>
          <w:rFonts w:hint="eastAsia" w:ascii="仿宋" w:hAnsi="仿宋" w:eastAsia="仿宋" w:cs="仿宋"/>
          <w:color w:val="auto"/>
          <w:sz w:val="24"/>
          <w:highlight w:val="none"/>
        </w:rPr>
        <w:t>：</w:t>
      </w:r>
    </w:p>
    <w:p w14:paraId="1D9AE45D">
      <w:pPr>
        <w:tabs>
          <w:tab w:val="left" w:pos="4860"/>
        </w:tabs>
        <w:spacing w:line="360" w:lineRule="auto"/>
        <w:ind w:right="1560" w:firstLine="480" w:firstLineChars="20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  期：</w:t>
      </w:r>
    </w:p>
    <w:p w14:paraId="72460AC2">
      <w:pPr>
        <w:autoSpaceDE w:val="0"/>
        <w:autoSpaceDN w:val="0"/>
        <w:jc w:val="center"/>
        <w:rPr>
          <w:rFonts w:hint="eastAsia" w:ascii="仿宋" w:hAnsi="仿宋" w:eastAsia="仿宋" w:cs="仿宋"/>
          <w:b/>
          <w:color w:val="auto"/>
          <w:spacing w:val="6"/>
          <w:sz w:val="32"/>
          <w:szCs w:val="32"/>
          <w:highlight w:val="none"/>
        </w:rPr>
      </w:pPr>
    </w:p>
    <w:p w14:paraId="7D13FFEC">
      <w:pPr>
        <w:autoSpaceDE w:val="0"/>
        <w:autoSpaceDN w:val="0"/>
        <w:jc w:val="center"/>
        <w:rPr>
          <w:rFonts w:hint="eastAsia" w:ascii="仿宋" w:hAnsi="仿宋" w:eastAsia="仿宋" w:cs="仿宋"/>
          <w:b/>
          <w:color w:val="auto"/>
          <w:spacing w:val="6"/>
          <w:sz w:val="32"/>
          <w:szCs w:val="32"/>
          <w:highlight w:val="none"/>
        </w:rPr>
      </w:pPr>
    </w:p>
    <w:p w14:paraId="5F4D1D0F">
      <w:pPr>
        <w:autoSpaceDE w:val="0"/>
        <w:autoSpaceDN w:val="0"/>
        <w:jc w:val="center"/>
        <w:rPr>
          <w:rFonts w:hint="eastAsia" w:ascii="仿宋" w:hAnsi="仿宋" w:eastAsia="仿宋" w:cs="仿宋"/>
          <w:b/>
          <w:color w:val="auto"/>
          <w:spacing w:val="6"/>
          <w:sz w:val="32"/>
          <w:szCs w:val="32"/>
          <w:highlight w:val="none"/>
        </w:rPr>
      </w:pPr>
    </w:p>
    <w:p w14:paraId="019040F1">
      <w:pPr>
        <w:autoSpaceDE w:val="0"/>
        <w:autoSpaceDN w:val="0"/>
        <w:jc w:val="center"/>
        <w:rPr>
          <w:rFonts w:hint="eastAsia" w:ascii="仿宋" w:hAnsi="仿宋" w:eastAsia="仿宋" w:cs="仿宋"/>
          <w:b/>
          <w:color w:val="auto"/>
          <w:spacing w:val="6"/>
          <w:sz w:val="32"/>
          <w:szCs w:val="32"/>
          <w:highlight w:val="none"/>
        </w:rPr>
      </w:pPr>
    </w:p>
    <w:p w14:paraId="0A5C6A72">
      <w:pPr>
        <w:autoSpaceDE w:val="0"/>
        <w:autoSpaceDN w:val="0"/>
        <w:jc w:val="center"/>
        <w:rPr>
          <w:rFonts w:hint="eastAsia" w:ascii="仿宋" w:hAnsi="仿宋" w:eastAsia="仿宋" w:cs="仿宋"/>
          <w:b/>
          <w:color w:val="auto"/>
          <w:spacing w:val="6"/>
          <w:sz w:val="32"/>
          <w:szCs w:val="32"/>
          <w:highlight w:val="none"/>
        </w:rPr>
      </w:pPr>
    </w:p>
    <w:p w14:paraId="086BA052">
      <w:pPr>
        <w:autoSpaceDE w:val="0"/>
        <w:autoSpaceDN w:val="0"/>
        <w:jc w:val="center"/>
        <w:rPr>
          <w:rFonts w:hint="eastAsia" w:ascii="仿宋" w:hAnsi="仿宋" w:eastAsia="仿宋" w:cs="仿宋"/>
          <w:b/>
          <w:color w:val="auto"/>
          <w:spacing w:val="6"/>
          <w:sz w:val="32"/>
          <w:szCs w:val="32"/>
          <w:highlight w:val="none"/>
        </w:rPr>
      </w:pPr>
    </w:p>
    <w:p w14:paraId="0821EA2E">
      <w:pPr>
        <w:autoSpaceDE w:val="0"/>
        <w:autoSpaceDN w:val="0"/>
        <w:jc w:val="center"/>
        <w:rPr>
          <w:rFonts w:hint="eastAsia" w:ascii="仿宋" w:hAnsi="仿宋" w:eastAsia="仿宋" w:cs="仿宋"/>
          <w:b/>
          <w:color w:val="auto"/>
          <w:spacing w:val="6"/>
          <w:sz w:val="32"/>
          <w:szCs w:val="32"/>
          <w:highlight w:val="none"/>
        </w:rPr>
      </w:pPr>
    </w:p>
    <w:p w14:paraId="78066A30">
      <w:pPr>
        <w:autoSpaceDE w:val="0"/>
        <w:autoSpaceDN w:val="0"/>
        <w:jc w:val="center"/>
        <w:rPr>
          <w:rFonts w:hint="eastAsia" w:ascii="仿宋" w:hAnsi="仿宋" w:eastAsia="仿宋" w:cs="仿宋"/>
          <w:b/>
          <w:color w:val="auto"/>
          <w:spacing w:val="6"/>
          <w:sz w:val="32"/>
          <w:szCs w:val="32"/>
          <w:highlight w:val="none"/>
        </w:rPr>
      </w:pPr>
    </w:p>
    <w:p w14:paraId="78526119">
      <w:pPr>
        <w:autoSpaceDE w:val="0"/>
        <w:autoSpaceDN w:val="0"/>
        <w:jc w:val="center"/>
        <w:rPr>
          <w:rFonts w:hint="eastAsia" w:ascii="仿宋" w:hAnsi="仿宋" w:eastAsia="仿宋" w:cs="仿宋"/>
          <w:b/>
          <w:color w:val="auto"/>
          <w:spacing w:val="6"/>
          <w:sz w:val="32"/>
          <w:szCs w:val="32"/>
          <w:highlight w:val="none"/>
        </w:rPr>
      </w:pPr>
    </w:p>
    <w:p w14:paraId="618D467B">
      <w:pPr>
        <w:autoSpaceDE w:val="0"/>
        <w:autoSpaceDN w:val="0"/>
        <w:jc w:val="center"/>
        <w:rPr>
          <w:rFonts w:hint="eastAsia" w:ascii="仿宋" w:hAnsi="仿宋" w:eastAsia="仿宋" w:cs="仿宋"/>
          <w:b/>
          <w:color w:val="auto"/>
          <w:spacing w:val="6"/>
          <w:sz w:val="32"/>
          <w:szCs w:val="32"/>
          <w:highlight w:val="none"/>
        </w:rPr>
      </w:pPr>
    </w:p>
    <w:p w14:paraId="09566B4A">
      <w:pPr>
        <w:autoSpaceDE w:val="0"/>
        <w:autoSpaceDN w:val="0"/>
        <w:jc w:val="center"/>
        <w:rPr>
          <w:rFonts w:hint="eastAsia" w:ascii="仿宋" w:hAnsi="仿宋" w:eastAsia="仿宋" w:cs="仿宋"/>
          <w:b/>
          <w:color w:val="auto"/>
          <w:spacing w:val="6"/>
          <w:sz w:val="32"/>
          <w:szCs w:val="32"/>
          <w:highlight w:val="none"/>
        </w:rPr>
      </w:pPr>
    </w:p>
    <w:p w14:paraId="60FEE543">
      <w:pPr>
        <w:autoSpaceDE w:val="0"/>
        <w:autoSpaceDN w:val="0"/>
        <w:jc w:val="center"/>
        <w:rPr>
          <w:rFonts w:hint="eastAsia" w:ascii="仿宋" w:hAnsi="仿宋" w:eastAsia="仿宋" w:cs="仿宋"/>
          <w:b/>
          <w:color w:val="auto"/>
          <w:spacing w:val="6"/>
          <w:sz w:val="32"/>
          <w:szCs w:val="32"/>
          <w:highlight w:val="none"/>
        </w:rPr>
      </w:pPr>
    </w:p>
    <w:p w14:paraId="048A7050">
      <w:pPr>
        <w:autoSpaceDE w:val="0"/>
        <w:autoSpaceDN w:val="0"/>
        <w:jc w:val="center"/>
        <w:rPr>
          <w:rFonts w:hint="eastAsia" w:ascii="仿宋" w:hAnsi="仿宋" w:eastAsia="仿宋" w:cs="仿宋"/>
          <w:b/>
          <w:color w:val="auto"/>
          <w:spacing w:val="6"/>
          <w:sz w:val="32"/>
          <w:szCs w:val="32"/>
          <w:highlight w:val="none"/>
        </w:rPr>
      </w:pPr>
    </w:p>
    <w:p w14:paraId="24A62BA4">
      <w:pPr>
        <w:autoSpaceDE w:val="0"/>
        <w:autoSpaceDN w:val="0"/>
        <w:jc w:val="center"/>
        <w:rPr>
          <w:rFonts w:hint="eastAsia" w:ascii="仿宋" w:hAnsi="仿宋" w:eastAsia="仿宋" w:cs="仿宋"/>
          <w:b/>
          <w:color w:val="auto"/>
          <w:spacing w:val="6"/>
          <w:sz w:val="32"/>
          <w:szCs w:val="32"/>
          <w:highlight w:val="none"/>
        </w:rPr>
      </w:pPr>
    </w:p>
    <w:p w14:paraId="63FF2155">
      <w:pPr>
        <w:autoSpaceDE w:val="0"/>
        <w:autoSpaceDN w:val="0"/>
        <w:jc w:val="center"/>
        <w:rPr>
          <w:rFonts w:hint="eastAsia" w:ascii="仿宋" w:hAnsi="仿宋" w:eastAsia="仿宋" w:cs="仿宋"/>
          <w:b/>
          <w:color w:val="auto"/>
          <w:spacing w:val="6"/>
          <w:sz w:val="32"/>
          <w:szCs w:val="32"/>
          <w:highlight w:val="none"/>
        </w:rPr>
      </w:pPr>
    </w:p>
    <w:p w14:paraId="0959092E">
      <w:pPr>
        <w:pStyle w:val="8"/>
        <w:rPr>
          <w:rFonts w:hint="eastAsia" w:ascii="仿宋" w:hAnsi="仿宋" w:eastAsia="仿宋" w:cs="仿宋"/>
          <w:color w:val="auto"/>
          <w:highlight w:val="none"/>
        </w:rPr>
      </w:pPr>
    </w:p>
    <w:p w14:paraId="29A3D36B">
      <w:pPr>
        <w:snapToGrid w:val="0"/>
        <w:spacing w:line="360" w:lineRule="auto"/>
        <w:rPr>
          <w:rFonts w:hint="eastAsia" w:ascii="仿宋" w:hAnsi="仿宋" w:eastAsia="仿宋" w:cs="仿宋"/>
          <w:b/>
          <w:color w:val="auto"/>
          <w:kern w:val="0"/>
          <w:sz w:val="32"/>
          <w:szCs w:val="32"/>
          <w:highlight w:val="none"/>
        </w:rPr>
      </w:pPr>
    </w:p>
    <w:p w14:paraId="74B13053">
      <w:pPr>
        <w:snapToGrid w:val="0"/>
        <w:spacing w:line="360" w:lineRule="auto"/>
        <w:rPr>
          <w:rFonts w:hint="eastAsia" w:ascii="仿宋" w:hAnsi="仿宋" w:eastAsia="仿宋" w:cs="仿宋"/>
          <w:b/>
          <w:color w:val="auto"/>
          <w:kern w:val="0"/>
          <w:sz w:val="32"/>
          <w:szCs w:val="32"/>
          <w:highlight w:val="none"/>
        </w:rPr>
      </w:pPr>
    </w:p>
    <w:p w14:paraId="13F8DD1D">
      <w:pPr>
        <w:snapToGrid w:val="0"/>
        <w:spacing w:line="360" w:lineRule="auto"/>
        <w:rPr>
          <w:rFonts w:hint="eastAsia" w:ascii="仿宋" w:hAnsi="仿宋" w:eastAsia="仿宋" w:cs="仿宋"/>
          <w:b/>
          <w:color w:val="auto"/>
          <w:kern w:val="0"/>
          <w:sz w:val="32"/>
          <w:szCs w:val="32"/>
          <w:highlight w:val="none"/>
        </w:rPr>
      </w:pPr>
    </w:p>
    <w:p w14:paraId="34DC4DE9">
      <w:pPr>
        <w:snapToGrid w:val="0"/>
        <w:spacing w:line="360" w:lineRule="auto"/>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附件</w:t>
      </w:r>
      <w:r>
        <w:rPr>
          <w:rFonts w:hint="eastAsia" w:ascii="仿宋" w:hAnsi="仿宋" w:eastAsia="仿宋" w:cs="仿宋"/>
          <w:b/>
          <w:color w:val="auto"/>
          <w:kern w:val="0"/>
          <w:sz w:val="32"/>
          <w:szCs w:val="32"/>
          <w:highlight w:val="none"/>
          <w:lang w:val="en-US" w:eastAsia="zh-CN"/>
        </w:rPr>
        <w:t>7</w:t>
      </w:r>
      <w:r>
        <w:rPr>
          <w:rFonts w:hint="eastAsia" w:ascii="仿宋" w:hAnsi="仿宋" w:eastAsia="仿宋" w:cs="仿宋"/>
          <w:b/>
          <w:color w:val="auto"/>
          <w:kern w:val="0"/>
          <w:sz w:val="32"/>
          <w:szCs w:val="32"/>
          <w:highlight w:val="none"/>
        </w:rPr>
        <w:t>：中小企业声明函</w:t>
      </w:r>
    </w:p>
    <w:p w14:paraId="66128E24">
      <w:pPr>
        <w:spacing w:line="360" w:lineRule="auto"/>
        <w:jc w:val="center"/>
        <w:rPr>
          <w:rFonts w:hint="eastAsia" w:ascii="仿宋" w:hAnsi="仿宋" w:eastAsia="仿宋" w:cs="仿宋"/>
          <w:color w:val="auto"/>
          <w:sz w:val="24"/>
          <w:highlight w:val="none"/>
          <w:u w:val="single"/>
        </w:rPr>
      </w:pPr>
    </w:p>
    <w:p w14:paraId="2778BA68">
      <w:pPr>
        <w:spacing w:line="360" w:lineRule="auto"/>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中小企业声明函（服务）</w:t>
      </w:r>
    </w:p>
    <w:p w14:paraId="77B91CD8">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本公司（联合体）郑重声明，根据《政府采购促进中小企业发展管理办法》（财库﹝2020﹞46 号）的规定，本公司（联合体）参加 </w:t>
      </w:r>
      <w:r>
        <w:rPr>
          <w:rFonts w:hint="eastAsia" w:ascii="仿宋" w:hAnsi="仿宋" w:eastAsia="仿宋" w:cs="仿宋"/>
          <w:color w:val="auto"/>
          <w:sz w:val="24"/>
          <w:highlight w:val="none"/>
          <w:u w:val="single"/>
        </w:rPr>
        <w:t xml:space="preserve">（采购人） </w:t>
      </w:r>
      <w:r>
        <w:rPr>
          <w:rFonts w:hint="eastAsia" w:ascii="仿宋" w:hAnsi="仿宋" w:eastAsia="仿宋" w:cs="仿宋"/>
          <w:color w:val="auto"/>
          <w:sz w:val="24"/>
          <w:highlight w:val="none"/>
        </w:rPr>
        <w:t>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eastAsia="zh-CN"/>
        </w:rPr>
        <w:t>（项目名称）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采购活动</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服务全部由符合政策要求的中小企业承接。相关企业（含联合体中的中小企业、签订分包意向协议的中小企业）的具体情况如下：</w:t>
      </w:r>
    </w:p>
    <w:p w14:paraId="30BE8632">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rPr>
        <w:t>（标的名称）</w:t>
      </w:r>
      <w:r>
        <w:rPr>
          <w:rFonts w:hint="eastAsia" w:ascii="仿宋" w:hAnsi="仿宋" w:eastAsia="仿宋" w:cs="仿宋"/>
          <w:color w:val="auto"/>
          <w:sz w:val="24"/>
          <w:highlight w:val="none"/>
        </w:rPr>
        <w:t>，属于</w:t>
      </w:r>
      <w:r>
        <w:rPr>
          <w:rFonts w:hint="eastAsia" w:ascii="仿宋" w:hAnsi="仿宋" w:eastAsia="仿宋" w:cs="仿宋"/>
          <w:color w:val="auto"/>
          <w:sz w:val="24"/>
          <w:highlight w:val="none"/>
          <w:u w:val="single"/>
        </w:rPr>
        <w:t xml:space="preserve"> 其他未列明行业</w:t>
      </w:r>
      <w:r>
        <w:rPr>
          <w:rFonts w:hint="eastAsia" w:ascii="仿宋" w:hAnsi="仿宋" w:eastAsia="仿宋" w:cs="仿宋"/>
          <w:color w:val="auto"/>
          <w:sz w:val="24"/>
          <w:highlight w:val="none"/>
        </w:rPr>
        <w:t xml:space="preserve"> ；承建（承接）企业为 </w:t>
      </w:r>
      <w:r>
        <w:rPr>
          <w:rFonts w:hint="eastAsia" w:ascii="仿宋" w:hAnsi="仿宋" w:eastAsia="仿宋" w:cs="仿宋"/>
          <w:color w:val="auto"/>
          <w:sz w:val="24"/>
          <w:highlight w:val="none"/>
          <w:u w:val="single"/>
        </w:rPr>
        <w:t>（企业名称）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 </w:t>
      </w:r>
      <w:r>
        <w:rPr>
          <w:rFonts w:hint="eastAsia" w:ascii="仿宋" w:hAnsi="仿宋" w:eastAsia="仿宋" w:cs="仿宋"/>
          <w:color w:val="auto"/>
          <w:sz w:val="24"/>
          <w:highlight w:val="none"/>
        </w:rPr>
        <w:t>；</w:t>
      </w:r>
    </w:p>
    <w:p w14:paraId="395F74BD">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u w:val="single"/>
        </w:rPr>
        <w:t xml:space="preserve"> （标的名称），</w:t>
      </w:r>
      <w:r>
        <w:rPr>
          <w:rFonts w:hint="eastAsia" w:ascii="仿宋" w:hAnsi="仿宋" w:eastAsia="仿宋" w:cs="仿宋"/>
          <w:color w:val="auto"/>
          <w:sz w:val="24"/>
          <w:highlight w:val="none"/>
        </w:rPr>
        <w:t xml:space="preserve">属于 </w:t>
      </w:r>
      <w:r>
        <w:rPr>
          <w:rFonts w:hint="eastAsia" w:ascii="仿宋" w:hAnsi="仿宋" w:eastAsia="仿宋" w:cs="仿宋"/>
          <w:color w:val="auto"/>
          <w:sz w:val="24"/>
          <w:highlight w:val="none"/>
          <w:u w:val="single"/>
        </w:rPr>
        <w:t xml:space="preserve">（采购文件中明确的所属行业） </w:t>
      </w:r>
      <w:r>
        <w:rPr>
          <w:rFonts w:hint="eastAsia" w:ascii="仿宋" w:hAnsi="仿宋" w:eastAsia="仿宋" w:cs="仿宋"/>
          <w:color w:val="auto"/>
          <w:sz w:val="24"/>
          <w:highlight w:val="none"/>
        </w:rPr>
        <w:t xml:space="preserve">；承建（承接）企业为 </w:t>
      </w:r>
      <w:r>
        <w:rPr>
          <w:rFonts w:hint="eastAsia" w:ascii="仿宋" w:hAnsi="仿宋" w:eastAsia="仿宋" w:cs="仿宋"/>
          <w:color w:val="auto"/>
          <w:sz w:val="24"/>
          <w:highlight w:val="none"/>
          <w:u w:val="single"/>
        </w:rPr>
        <w:t>（企业名称）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 </w:t>
      </w:r>
      <w:r>
        <w:rPr>
          <w:rFonts w:hint="eastAsia" w:ascii="仿宋" w:hAnsi="仿宋" w:eastAsia="仿宋" w:cs="仿宋"/>
          <w:color w:val="auto"/>
          <w:sz w:val="24"/>
          <w:highlight w:val="none"/>
        </w:rPr>
        <w:t>；</w:t>
      </w:r>
    </w:p>
    <w:p w14:paraId="6C534DA6">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p w14:paraId="642616ED">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以上企业，不属于大企业的分支机构，不存在控股股东为大企业的情形，也不存在与大企业的负责人为同一人的情形。</w:t>
      </w:r>
    </w:p>
    <w:p w14:paraId="343C5CF1">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本企业对上述声明内容的真实性负责。如有虚假，将依法承担相应责任。</w:t>
      </w:r>
    </w:p>
    <w:p w14:paraId="399495CC">
      <w:pPr>
        <w:spacing w:line="360" w:lineRule="auto"/>
        <w:ind w:right="1760"/>
        <w:jc w:val="righ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投标人名称（电子签名）：</w:t>
      </w:r>
    </w:p>
    <w:p w14:paraId="02F8A911">
      <w:pPr>
        <w:spacing w:line="360" w:lineRule="auto"/>
        <w:ind w:right="1120" w:firstLine="4680" w:firstLineChars="1950"/>
        <w:rPr>
          <w:rFonts w:hint="eastAsia" w:ascii="仿宋" w:hAnsi="仿宋" w:eastAsia="仿宋" w:cs="仿宋"/>
          <w:color w:val="auto"/>
          <w:sz w:val="24"/>
          <w:highlight w:val="none"/>
        </w:rPr>
      </w:pPr>
      <w:r>
        <w:rPr>
          <w:rFonts w:hint="eastAsia" w:ascii="仿宋" w:hAnsi="仿宋" w:eastAsia="仿宋" w:cs="仿宋"/>
          <w:color w:val="auto"/>
          <w:sz w:val="24"/>
          <w:highlight w:val="none"/>
        </w:rPr>
        <w:t>日 期：</w:t>
      </w:r>
    </w:p>
    <w:p w14:paraId="35AAD6D3">
      <w:pPr>
        <w:spacing w:line="360" w:lineRule="auto"/>
        <w:ind w:firstLine="310" w:firstLineChars="147"/>
        <w:jc w:val="left"/>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从业人员、营业收入、资产总额填报上一年度数据，无上一年度数据的新成立企业可不填报。</w:t>
      </w:r>
    </w:p>
    <w:p w14:paraId="09B1A743">
      <w:pPr>
        <w:spacing w:line="360" w:lineRule="auto"/>
        <w:ind w:right="420"/>
        <w:rPr>
          <w:rFonts w:hint="eastAsia" w:ascii="仿宋" w:hAnsi="仿宋" w:eastAsia="仿宋" w:cs="仿宋"/>
          <w:color w:val="auto"/>
          <w:sz w:val="24"/>
          <w:highlight w:val="none"/>
        </w:rPr>
      </w:pPr>
    </w:p>
    <w:p w14:paraId="0FF89805">
      <w:pPr>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w:t>
      </w:r>
      <w:bookmarkStart w:id="188" w:name="OLE_LINK6"/>
      <w:r>
        <w:rPr>
          <w:rFonts w:hint="eastAsia" w:ascii="仿宋" w:hAnsi="仿宋" w:eastAsia="仿宋" w:cs="仿宋"/>
          <w:color w:val="auto"/>
          <w:sz w:val="24"/>
          <w:highlight w:val="none"/>
        </w:rPr>
        <w:t>注：</w:t>
      </w:r>
    </w:p>
    <w:p w14:paraId="70913E70">
      <w:pPr>
        <w:spacing w:line="360" w:lineRule="auto"/>
        <w:ind w:right="42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bookmarkEnd w:id="188"/>
    </w:p>
    <w:p w14:paraId="189CD617">
      <w:pPr>
        <w:spacing w:line="360" w:lineRule="auto"/>
        <w:ind w:right="42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71DE72DE">
      <w:pPr>
        <w:pStyle w:val="4"/>
        <w:rPr>
          <w:rFonts w:hint="eastAsia" w:ascii="仿宋" w:hAnsi="仿宋" w:eastAsia="仿宋" w:cs="仿宋"/>
          <w:color w:val="auto"/>
          <w:highlight w:val="none"/>
          <w:lang w:val="en-US"/>
        </w:rPr>
      </w:pPr>
    </w:p>
    <w:p w14:paraId="4C8C8E57">
      <w:pPr>
        <w:pageBreakBefore/>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国家统计局关于印发《统计上大中小微型企业划分办法（2017）》的通知</w:t>
      </w:r>
    </w:p>
    <w:p w14:paraId="3AC1AF59">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各省、自治区、直辖市统计局，新疆生产建设兵团统计局，国务院各有关部门，国家统计局各调查总队：</w:t>
      </w:r>
    </w:p>
    <w:p w14:paraId="19D88499">
      <w:pPr>
        <w:widowControl/>
        <w:shd w:val="clear" w:color="auto" w:fill="FFFFFF"/>
        <w:spacing w:before="150" w:line="420" w:lineRule="atLeast"/>
        <w:ind w:firstLine="420" w:firstLineChars="200"/>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69FDFCDD">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附件：《统计上大中小微型企业划分办法（2017）》修订说明</w:t>
      </w:r>
    </w:p>
    <w:p w14:paraId="27B78FC8">
      <w:pPr>
        <w:widowControl/>
        <w:shd w:val="clear" w:color="auto" w:fill="FFFFFF"/>
        <w:spacing w:before="150" w:line="420" w:lineRule="atLeast"/>
        <w:ind w:right="825"/>
        <w:jc w:val="righ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国家统计局  </w:t>
      </w:r>
    </w:p>
    <w:p w14:paraId="178BE226">
      <w:pPr>
        <w:widowControl/>
        <w:shd w:val="clear" w:color="auto" w:fill="FFFFFF"/>
        <w:spacing w:before="150" w:line="420" w:lineRule="atLeast"/>
        <w:ind w:right="825"/>
        <w:jc w:val="righ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2017年12月28日</w:t>
      </w:r>
    </w:p>
    <w:p w14:paraId="2CC521C7">
      <w:pPr>
        <w:pStyle w:val="8"/>
        <w:rPr>
          <w:rFonts w:hint="eastAsia"/>
          <w:color w:val="auto"/>
          <w:highlight w:val="none"/>
          <w:lang w:val="en-US" w:eastAsia="zh-CN"/>
        </w:rPr>
      </w:pPr>
    </w:p>
    <w:p w14:paraId="20F3C059">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w:t>
      </w:r>
    </w:p>
    <w:p w14:paraId="1A50BACC">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一、根据工业和信息化部、国家统计局、国家发展改革委、财政部《关于印发中小企业划型标准规定的通知》（工信部联企业〔2011〕300号），以《国民经济行业分类》（GB/T4754-2017）为基础，结合统计工作的实际情况，制定本办法。</w:t>
      </w:r>
    </w:p>
    <w:p w14:paraId="46536156">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二、本办法适用对象为在中华人民共和国境内依法设立的各种组织形式的法人企业或单位。个体工商户参照本办法进行划分。</w:t>
      </w:r>
    </w:p>
    <w:p w14:paraId="5726D33E">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2771543F">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四、本办法按照行业门类、大类、中类和组合类别，依据从业人员、营业收入、资产总额等指标或替代指标，将我国的企业划分为大型、中型、小型、微型等四种类型。具体划分标准见附表。</w:t>
      </w:r>
    </w:p>
    <w:p w14:paraId="61F65FC9">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五、企业划分由政府综合统计部门根据统计年报每年确定一次，定报统计原则上不进行调整。</w:t>
      </w:r>
    </w:p>
    <w:p w14:paraId="0867A91A">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六、本办法自印发之日起执行，国家统计局2011年印发的《统计上大中小微型企业划分办法》（国统字〔2011〕75号）同时废止。</w:t>
      </w:r>
    </w:p>
    <w:p w14:paraId="70729AB3">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附表：统计上大中小微型企业划分标准</w:t>
      </w:r>
    </w:p>
    <w:p w14:paraId="3F21BF26">
      <w:pPr>
        <w:widowControl/>
        <w:jc w:val="left"/>
        <w:rPr>
          <w:rFonts w:hint="eastAsia" w:ascii="仿宋" w:hAnsi="仿宋" w:eastAsia="仿宋" w:cs="仿宋"/>
          <w:color w:val="auto"/>
          <w:kern w:val="0"/>
          <w:sz w:val="24"/>
          <w:highlight w:val="none"/>
        </w:rPr>
      </w:pPr>
    </w:p>
    <w:p w14:paraId="1C0B9D9D">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统计上大中小微型企业划分标准</w:t>
      </w:r>
    </w:p>
    <w:tbl>
      <w:tblPr>
        <w:tblStyle w:val="15"/>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14:paraId="2D414F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14:paraId="2F360596">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行业名称</w:t>
            </w:r>
          </w:p>
        </w:tc>
        <w:tc>
          <w:tcPr>
            <w:tcW w:w="1560" w:type="dxa"/>
            <w:tcMar>
              <w:top w:w="75" w:type="dxa"/>
              <w:left w:w="75" w:type="dxa"/>
              <w:bottom w:w="75" w:type="dxa"/>
              <w:right w:w="75" w:type="dxa"/>
            </w:tcMar>
            <w:vAlign w:val="bottom"/>
          </w:tcPr>
          <w:p w14:paraId="7BDFB09E">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指标名称</w:t>
            </w:r>
          </w:p>
        </w:tc>
        <w:tc>
          <w:tcPr>
            <w:tcW w:w="671" w:type="dxa"/>
            <w:tcMar>
              <w:top w:w="75" w:type="dxa"/>
              <w:left w:w="75" w:type="dxa"/>
              <w:bottom w:w="75" w:type="dxa"/>
              <w:right w:w="75" w:type="dxa"/>
            </w:tcMar>
            <w:vAlign w:val="bottom"/>
          </w:tcPr>
          <w:p w14:paraId="6AE9C523">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计量单位</w:t>
            </w:r>
          </w:p>
        </w:tc>
        <w:tc>
          <w:tcPr>
            <w:tcW w:w="1231" w:type="dxa"/>
            <w:tcMar>
              <w:top w:w="75" w:type="dxa"/>
              <w:left w:w="75" w:type="dxa"/>
              <w:bottom w:w="75" w:type="dxa"/>
              <w:right w:w="75" w:type="dxa"/>
            </w:tcMar>
            <w:vAlign w:val="bottom"/>
          </w:tcPr>
          <w:p w14:paraId="186E3A2C">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大型</w:t>
            </w:r>
          </w:p>
        </w:tc>
        <w:tc>
          <w:tcPr>
            <w:tcW w:w="1891" w:type="dxa"/>
            <w:tcMar>
              <w:top w:w="75" w:type="dxa"/>
              <w:left w:w="75" w:type="dxa"/>
              <w:bottom w:w="75" w:type="dxa"/>
              <w:right w:w="75" w:type="dxa"/>
            </w:tcMar>
            <w:vAlign w:val="bottom"/>
          </w:tcPr>
          <w:p w14:paraId="5F7BBBCB">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中型</w:t>
            </w:r>
          </w:p>
        </w:tc>
        <w:tc>
          <w:tcPr>
            <w:tcW w:w="1730" w:type="dxa"/>
            <w:tcMar>
              <w:top w:w="75" w:type="dxa"/>
              <w:left w:w="75" w:type="dxa"/>
              <w:bottom w:w="75" w:type="dxa"/>
              <w:right w:w="75" w:type="dxa"/>
            </w:tcMar>
            <w:vAlign w:val="bottom"/>
          </w:tcPr>
          <w:p w14:paraId="217CCFF8">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小型</w:t>
            </w:r>
          </w:p>
        </w:tc>
        <w:tc>
          <w:tcPr>
            <w:tcW w:w="1203" w:type="dxa"/>
            <w:tcMar>
              <w:top w:w="75" w:type="dxa"/>
              <w:left w:w="75" w:type="dxa"/>
              <w:bottom w:w="75" w:type="dxa"/>
              <w:right w:w="75" w:type="dxa"/>
            </w:tcMar>
            <w:vAlign w:val="bottom"/>
          </w:tcPr>
          <w:p w14:paraId="3A36E9FC">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微型</w:t>
            </w:r>
          </w:p>
        </w:tc>
      </w:tr>
      <w:tr w14:paraId="412214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5EE7900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农、林、牧、渔业</w:t>
            </w:r>
          </w:p>
        </w:tc>
        <w:tc>
          <w:tcPr>
            <w:tcW w:w="1560" w:type="dxa"/>
            <w:vAlign w:val="center"/>
          </w:tcPr>
          <w:p w14:paraId="6233421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2B7501E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3FDCBAF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14:paraId="61C92A5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14:paraId="392B2C9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50≤Y＜500</w:t>
            </w:r>
          </w:p>
        </w:tc>
        <w:tc>
          <w:tcPr>
            <w:tcW w:w="1203" w:type="dxa"/>
            <w:vAlign w:val="center"/>
          </w:tcPr>
          <w:p w14:paraId="2F5B093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14:paraId="5D27F9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4EE421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工业 *</w:t>
            </w:r>
          </w:p>
        </w:tc>
        <w:tc>
          <w:tcPr>
            <w:tcW w:w="1560" w:type="dxa"/>
            <w:vAlign w:val="center"/>
          </w:tcPr>
          <w:p w14:paraId="70AF84E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4FE220E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5B79C7E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6AFB615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16C8CFF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42A562F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0A3E38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BC85DD2">
            <w:pPr>
              <w:widowControl/>
              <w:jc w:val="left"/>
              <w:rPr>
                <w:rFonts w:hint="eastAsia" w:ascii="仿宋" w:hAnsi="仿宋" w:eastAsia="仿宋" w:cs="仿宋"/>
                <w:color w:val="auto"/>
                <w:kern w:val="0"/>
                <w:sz w:val="24"/>
                <w:highlight w:val="none"/>
              </w:rPr>
            </w:pPr>
          </w:p>
        </w:tc>
        <w:tc>
          <w:tcPr>
            <w:tcW w:w="1560" w:type="dxa"/>
            <w:vAlign w:val="center"/>
          </w:tcPr>
          <w:p w14:paraId="39AE719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4CA3029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367DD96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14:paraId="58465CA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2000≤Y＜40000</w:t>
            </w:r>
          </w:p>
        </w:tc>
        <w:tc>
          <w:tcPr>
            <w:tcW w:w="1730" w:type="dxa"/>
            <w:vAlign w:val="center"/>
          </w:tcPr>
          <w:p w14:paraId="39E13B5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300≤Y＜2000</w:t>
            </w:r>
          </w:p>
        </w:tc>
        <w:tc>
          <w:tcPr>
            <w:tcW w:w="1203" w:type="dxa"/>
            <w:vAlign w:val="center"/>
          </w:tcPr>
          <w:p w14:paraId="1E5B2B6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14:paraId="2D96D2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D36990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建筑业</w:t>
            </w:r>
          </w:p>
        </w:tc>
        <w:tc>
          <w:tcPr>
            <w:tcW w:w="1560" w:type="dxa"/>
            <w:vAlign w:val="center"/>
          </w:tcPr>
          <w:p w14:paraId="458F3CC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23C8BE9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4EEDF98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Y≥80000</w:t>
            </w:r>
          </w:p>
        </w:tc>
        <w:tc>
          <w:tcPr>
            <w:tcW w:w="1891" w:type="dxa"/>
            <w:vAlign w:val="center"/>
          </w:tcPr>
          <w:p w14:paraId="37432AF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6000≤Y＜80000</w:t>
            </w:r>
          </w:p>
        </w:tc>
        <w:tc>
          <w:tcPr>
            <w:tcW w:w="1730" w:type="dxa"/>
            <w:vAlign w:val="center"/>
          </w:tcPr>
          <w:p w14:paraId="2873B02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300≤Y＜6000</w:t>
            </w:r>
          </w:p>
        </w:tc>
        <w:tc>
          <w:tcPr>
            <w:tcW w:w="1203" w:type="dxa"/>
            <w:vAlign w:val="center"/>
          </w:tcPr>
          <w:p w14:paraId="5BFCBA7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14:paraId="3A089A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BE313D3">
            <w:pPr>
              <w:widowControl/>
              <w:jc w:val="left"/>
              <w:rPr>
                <w:rFonts w:hint="eastAsia" w:ascii="仿宋" w:hAnsi="仿宋" w:eastAsia="仿宋" w:cs="仿宋"/>
                <w:color w:val="auto"/>
                <w:kern w:val="0"/>
                <w:sz w:val="24"/>
                <w:highlight w:val="none"/>
              </w:rPr>
            </w:pPr>
          </w:p>
        </w:tc>
        <w:tc>
          <w:tcPr>
            <w:tcW w:w="1560" w:type="dxa"/>
            <w:vAlign w:val="center"/>
          </w:tcPr>
          <w:p w14:paraId="41D5F6B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4532405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6D53C8B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Z≥80000</w:t>
            </w:r>
          </w:p>
        </w:tc>
        <w:tc>
          <w:tcPr>
            <w:tcW w:w="1891" w:type="dxa"/>
            <w:vAlign w:val="center"/>
          </w:tcPr>
          <w:p w14:paraId="69DCCD9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5000≤Z＜80000</w:t>
            </w:r>
          </w:p>
        </w:tc>
        <w:tc>
          <w:tcPr>
            <w:tcW w:w="1730" w:type="dxa"/>
            <w:vAlign w:val="center"/>
          </w:tcPr>
          <w:p w14:paraId="3B0A88E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300≤Z＜5000</w:t>
            </w:r>
          </w:p>
        </w:tc>
        <w:tc>
          <w:tcPr>
            <w:tcW w:w="1203" w:type="dxa"/>
            <w:vAlign w:val="center"/>
          </w:tcPr>
          <w:p w14:paraId="14300E2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Z＜300</w:t>
            </w:r>
          </w:p>
        </w:tc>
      </w:tr>
      <w:tr w14:paraId="1F9CF7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FF8C4D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批发业</w:t>
            </w:r>
          </w:p>
        </w:tc>
        <w:tc>
          <w:tcPr>
            <w:tcW w:w="1560" w:type="dxa"/>
            <w:vAlign w:val="center"/>
          </w:tcPr>
          <w:p w14:paraId="7B89B25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26D41C6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2459912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14:paraId="184B9CC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20≤X＜200</w:t>
            </w:r>
          </w:p>
        </w:tc>
        <w:tc>
          <w:tcPr>
            <w:tcW w:w="1730" w:type="dxa"/>
            <w:vAlign w:val="center"/>
          </w:tcPr>
          <w:p w14:paraId="33D30BF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5≤X＜20</w:t>
            </w:r>
          </w:p>
        </w:tc>
        <w:tc>
          <w:tcPr>
            <w:tcW w:w="1203" w:type="dxa"/>
            <w:vAlign w:val="center"/>
          </w:tcPr>
          <w:p w14:paraId="197A7D9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X＜5</w:t>
            </w:r>
          </w:p>
        </w:tc>
      </w:tr>
      <w:tr w14:paraId="6E8A2C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042C2CA">
            <w:pPr>
              <w:widowControl/>
              <w:jc w:val="left"/>
              <w:rPr>
                <w:rFonts w:hint="eastAsia" w:ascii="仿宋" w:hAnsi="仿宋" w:eastAsia="仿宋" w:cs="仿宋"/>
                <w:color w:val="auto"/>
                <w:kern w:val="0"/>
                <w:sz w:val="24"/>
                <w:highlight w:val="none"/>
              </w:rPr>
            </w:pPr>
          </w:p>
        </w:tc>
        <w:tc>
          <w:tcPr>
            <w:tcW w:w="1560" w:type="dxa"/>
            <w:vAlign w:val="center"/>
          </w:tcPr>
          <w:p w14:paraId="109FEC3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28D5230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4196668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14:paraId="6F58BDC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5000≤Y＜40000</w:t>
            </w:r>
          </w:p>
        </w:tc>
        <w:tc>
          <w:tcPr>
            <w:tcW w:w="1730" w:type="dxa"/>
            <w:vAlign w:val="center"/>
          </w:tcPr>
          <w:p w14:paraId="3361277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203" w:type="dxa"/>
            <w:vAlign w:val="center"/>
          </w:tcPr>
          <w:p w14:paraId="352E2FD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w:t>
            </w:r>
          </w:p>
        </w:tc>
      </w:tr>
      <w:tr w14:paraId="115115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806775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零售业</w:t>
            </w:r>
          </w:p>
        </w:tc>
        <w:tc>
          <w:tcPr>
            <w:tcW w:w="1560" w:type="dxa"/>
            <w:vAlign w:val="center"/>
          </w:tcPr>
          <w:p w14:paraId="7D381DA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52E492D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155CA49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67587FD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50≤X＜300</w:t>
            </w:r>
          </w:p>
        </w:tc>
        <w:tc>
          <w:tcPr>
            <w:tcW w:w="1730" w:type="dxa"/>
            <w:vAlign w:val="center"/>
          </w:tcPr>
          <w:p w14:paraId="2364628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10≤X＜50</w:t>
            </w:r>
          </w:p>
        </w:tc>
        <w:tc>
          <w:tcPr>
            <w:tcW w:w="1203" w:type="dxa"/>
            <w:vAlign w:val="center"/>
          </w:tcPr>
          <w:p w14:paraId="69EB1CC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48B65D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C3B68E5">
            <w:pPr>
              <w:widowControl/>
              <w:jc w:val="left"/>
              <w:rPr>
                <w:rFonts w:hint="eastAsia" w:ascii="仿宋" w:hAnsi="仿宋" w:eastAsia="仿宋" w:cs="仿宋"/>
                <w:color w:val="auto"/>
                <w:kern w:val="0"/>
                <w:sz w:val="24"/>
                <w:highlight w:val="none"/>
              </w:rPr>
            </w:pPr>
          </w:p>
        </w:tc>
        <w:tc>
          <w:tcPr>
            <w:tcW w:w="1560" w:type="dxa"/>
            <w:vAlign w:val="center"/>
          </w:tcPr>
          <w:p w14:paraId="1C6E77B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0A9D805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5FC3B12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14:paraId="62C8BA6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14:paraId="2D0FD63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100≤Y＜500</w:t>
            </w:r>
          </w:p>
        </w:tc>
        <w:tc>
          <w:tcPr>
            <w:tcW w:w="1203" w:type="dxa"/>
            <w:vAlign w:val="center"/>
          </w:tcPr>
          <w:p w14:paraId="2CDDC12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2D6F65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508514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交通运输业 *</w:t>
            </w:r>
          </w:p>
        </w:tc>
        <w:tc>
          <w:tcPr>
            <w:tcW w:w="1560" w:type="dxa"/>
            <w:vAlign w:val="center"/>
          </w:tcPr>
          <w:p w14:paraId="45A4F61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30D76C5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75D569E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290DED0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5B02D5E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64478FB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44D619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53D2092">
            <w:pPr>
              <w:widowControl/>
              <w:jc w:val="left"/>
              <w:rPr>
                <w:rFonts w:hint="eastAsia" w:ascii="仿宋" w:hAnsi="仿宋" w:eastAsia="仿宋" w:cs="仿宋"/>
                <w:color w:val="auto"/>
                <w:kern w:val="0"/>
                <w:sz w:val="24"/>
                <w:highlight w:val="none"/>
              </w:rPr>
            </w:pPr>
          </w:p>
        </w:tc>
        <w:tc>
          <w:tcPr>
            <w:tcW w:w="1560" w:type="dxa"/>
            <w:vAlign w:val="center"/>
          </w:tcPr>
          <w:p w14:paraId="1BE387D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5B28340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511A447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2C45726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3000≤Y＜30000</w:t>
            </w:r>
          </w:p>
        </w:tc>
        <w:tc>
          <w:tcPr>
            <w:tcW w:w="1730" w:type="dxa"/>
            <w:vAlign w:val="center"/>
          </w:tcPr>
          <w:p w14:paraId="23259F9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200≤Y＜3000</w:t>
            </w:r>
          </w:p>
        </w:tc>
        <w:tc>
          <w:tcPr>
            <w:tcW w:w="1203" w:type="dxa"/>
            <w:vAlign w:val="center"/>
          </w:tcPr>
          <w:p w14:paraId="0C820CD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w:t>
            </w:r>
          </w:p>
        </w:tc>
      </w:tr>
      <w:tr w14:paraId="342129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FB0F07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仓储业*</w:t>
            </w:r>
          </w:p>
        </w:tc>
        <w:tc>
          <w:tcPr>
            <w:tcW w:w="1560" w:type="dxa"/>
            <w:vAlign w:val="center"/>
          </w:tcPr>
          <w:p w14:paraId="25C4273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58BE54C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3F8FD8D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14:paraId="4C82DD9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100≤X＜200</w:t>
            </w:r>
          </w:p>
        </w:tc>
        <w:tc>
          <w:tcPr>
            <w:tcW w:w="1730" w:type="dxa"/>
            <w:vAlign w:val="center"/>
          </w:tcPr>
          <w:p w14:paraId="72A928C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20≤X＜100</w:t>
            </w:r>
          </w:p>
        </w:tc>
        <w:tc>
          <w:tcPr>
            <w:tcW w:w="1203" w:type="dxa"/>
            <w:vAlign w:val="center"/>
          </w:tcPr>
          <w:p w14:paraId="736DAF0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30052E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E87DD4A">
            <w:pPr>
              <w:widowControl/>
              <w:jc w:val="left"/>
              <w:rPr>
                <w:rFonts w:hint="eastAsia" w:ascii="仿宋" w:hAnsi="仿宋" w:eastAsia="仿宋" w:cs="仿宋"/>
                <w:color w:val="auto"/>
                <w:kern w:val="0"/>
                <w:sz w:val="24"/>
                <w:highlight w:val="none"/>
              </w:rPr>
            </w:pPr>
          </w:p>
        </w:tc>
        <w:tc>
          <w:tcPr>
            <w:tcW w:w="1560" w:type="dxa"/>
            <w:vAlign w:val="center"/>
          </w:tcPr>
          <w:p w14:paraId="7AFA67C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5E08A28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1C9B6AF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3D9BF58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1000≤Y＜30000</w:t>
            </w:r>
          </w:p>
        </w:tc>
        <w:tc>
          <w:tcPr>
            <w:tcW w:w="1730" w:type="dxa"/>
            <w:vAlign w:val="center"/>
          </w:tcPr>
          <w:p w14:paraId="7ABCFCE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228D5AD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5E8E93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A14E70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邮政业</w:t>
            </w:r>
          </w:p>
        </w:tc>
        <w:tc>
          <w:tcPr>
            <w:tcW w:w="1560" w:type="dxa"/>
            <w:vAlign w:val="center"/>
          </w:tcPr>
          <w:p w14:paraId="2D47AD3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05539C5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7718E34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23A6B40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49B1D98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285870F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4EB628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02EAEE9">
            <w:pPr>
              <w:widowControl/>
              <w:jc w:val="left"/>
              <w:rPr>
                <w:rFonts w:hint="eastAsia" w:ascii="仿宋" w:hAnsi="仿宋" w:eastAsia="仿宋" w:cs="仿宋"/>
                <w:color w:val="auto"/>
                <w:kern w:val="0"/>
                <w:sz w:val="24"/>
                <w:highlight w:val="none"/>
              </w:rPr>
            </w:pPr>
          </w:p>
        </w:tc>
        <w:tc>
          <w:tcPr>
            <w:tcW w:w="1560" w:type="dxa"/>
            <w:vAlign w:val="center"/>
          </w:tcPr>
          <w:p w14:paraId="5A69868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086BC79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3A03CB4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1480ACB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2000≤Y＜30000</w:t>
            </w:r>
          </w:p>
        </w:tc>
        <w:tc>
          <w:tcPr>
            <w:tcW w:w="1730" w:type="dxa"/>
            <w:vAlign w:val="center"/>
          </w:tcPr>
          <w:p w14:paraId="57824CB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47EE26E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6369D3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1F60D8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住宿业</w:t>
            </w:r>
          </w:p>
        </w:tc>
        <w:tc>
          <w:tcPr>
            <w:tcW w:w="1560" w:type="dxa"/>
            <w:vAlign w:val="center"/>
          </w:tcPr>
          <w:p w14:paraId="55DDBC1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150550A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7D16ECA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10BB8E3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3311E40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49CD3BC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1C0FC2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4E66288">
            <w:pPr>
              <w:widowControl/>
              <w:jc w:val="left"/>
              <w:rPr>
                <w:rFonts w:hint="eastAsia" w:ascii="仿宋" w:hAnsi="仿宋" w:eastAsia="仿宋" w:cs="仿宋"/>
                <w:color w:val="auto"/>
                <w:kern w:val="0"/>
                <w:sz w:val="24"/>
                <w:highlight w:val="none"/>
              </w:rPr>
            </w:pPr>
          </w:p>
        </w:tc>
        <w:tc>
          <w:tcPr>
            <w:tcW w:w="1560" w:type="dxa"/>
            <w:vAlign w:val="center"/>
          </w:tcPr>
          <w:p w14:paraId="238F4EA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1682F80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5CFDEDB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74ADE3C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14:paraId="2DC510F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3485C8E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2D5FCE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6552D5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餐饮业</w:t>
            </w:r>
          </w:p>
        </w:tc>
        <w:tc>
          <w:tcPr>
            <w:tcW w:w="1560" w:type="dxa"/>
            <w:vAlign w:val="center"/>
          </w:tcPr>
          <w:p w14:paraId="197B1C6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0B3A1A3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7DF4E8A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779A8A9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68D416B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50FDFE4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4CF295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BC3C32C">
            <w:pPr>
              <w:widowControl/>
              <w:jc w:val="left"/>
              <w:rPr>
                <w:rFonts w:hint="eastAsia" w:ascii="仿宋" w:hAnsi="仿宋" w:eastAsia="仿宋" w:cs="仿宋"/>
                <w:color w:val="auto"/>
                <w:kern w:val="0"/>
                <w:sz w:val="24"/>
                <w:highlight w:val="none"/>
              </w:rPr>
            </w:pPr>
          </w:p>
        </w:tc>
        <w:tc>
          <w:tcPr>
            <w:tcW w:w="1560" w:type="dxa"/>
            <w:vAlign w:val="center"/>
          </w:tcPr>
          <w:p w14:paraId="0A11533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155C380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48F6386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4668833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14:paraId="1582EF3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0183CF7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24D8C3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C74894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信息传输业 *</w:t>
            </w:r>
          </w:p>
        </w:tc>
        <w:tc>
          <w:tcPr>
            <w:tcW w:w="1560" w:type="dxa"/>
            <w:vAlign w:val="center"/>
          </w:tcPr>
          <w:p w14:paraId="6039F7F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212A93D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05E8867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X≥2000</w:t>
            </w:r>
          </w:p>
        </w:tc>
        <w:tc>
          <w:tcPr>
            <w:tcW w:w="1891" w:type="dxa"/>
            <w:vAlign w:val="center"/>
          </w:tcPr>
          <w:p w14:paraId="6980480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100≤X＜2000</w:t>
            </w:r>
          </w:p>
        </w:tc>
        <w:tc>
          <w:tcPr>
            <w:tcW w:w="1730" w:type="dxa"/>
            <w:vAlign w:val="center"/>
          </w:tcPr>
          <w:p w14:paraId="0CA7713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5994F58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01B468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16C4B68">
            <w:pPr>
              <w:widowControl/>
              <w:jc w:val="left"/>
              <w:rPr>
                <w:rFonts w:hint="eastAsia" w:ascii="仿宋" w:hAnsi="仿宋" w:eastAsia="仿宋" w:cs="仿宋"/>
                <w:color w:val="auto"/>
                <w:kern w:val="0"/>
                <w:sz w:val="24"/>
                <w:highlight w:val="none"/>
              </w:rPr>
            </w:pPr>
          </w:p>
        </w:tc>
        <w:tc>
          <w:tcPr>
            <w:tcW w:w="1560" w:type="dxa"/>
            <w:vAlign w:val="center"/>
          </w:tcPr>
          <w:p w14:paraId="738B9AA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0A8621D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443202E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Y≥100000</w:t>
            </w:r>
          </w:p>
        </w:tc>
        <w:tc>
          <w:tcPr>
            <w:tcW w:w="1891" w:type="dxa"/>
            <w:vAlign w:val="center"/>
          </w:tcPr>
          <w:p w14:paraId="54193F2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1000≤Y＜100000</w:t>
            </w:r>
          </w:p>
        </w:tc>
        <w:tc>
          <w:tcPr>
            <w:tcW w:w="1730" w:type="dxa"/>
            <w:vAlign w:val="center"/>
          </w:tcPr>
          <w:p w14:paraId="27158C8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1E07CDF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510D9F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21CE7F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软件和信息技术服务业</w:t>
            </w:r>
          </w:p>
        </w:tc>
        <w:tc>
          <w:tcPr>
            <w:tcW w:w="1560" w:type="dxa"/>
            <w:vAlign w:val="center"/>
          </w:tcPr>
          <w:p w14:paraId="2C17312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7459CD7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0737323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7A46387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251C1F3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3332784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1C6653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B801CC6">
            <w:pPr>
              <w:widowControl/>
              <w:jc w:val="left"/>
              <w:rPr>
                <w:rFonts w:hint="eastAsia" w:ascii="仿宋" w:hAnsi="仿宋" w:eastAsia="仿宋" w:cs="仿宋"/>
                <w:color w:val="auto"/>
                <w:kern w:val="0"/>
                <w:sz w:val="24"/>
                <w:highlight w:val="none"/>
              </w:rPr>
            </w:pPr>
          </w:p>
        </w:tc>
        <w:tc>
          <w:tcPr>
            <w:tcW w:w="1560" w:type="dxa"/>
            <w:vAlign w:val="center"/>
          </w:tcPr>
          <w:p w14:paraId="58473E3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061A405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73AA98F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5FD9124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w:t>
            </w:r>
          </w:p>
        </w:tc>
        <w:tc>
          <w:tcPr>
            <w:tcW w:w="1730" w:type="dxa"/>
            <w:vAlign w:val="center"/>
          </w:tcPr>
          <w:p w14:paraId="5A48174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50≤Y＜1000</w:t>
            </w:r>
          </w:p>
        </w:tc>
        <w:tc>
          <w:tcPr>
            <w:tcW w:w="1203" w:type="dxa"/>
            <w:vAlign w:val="center"/>
          </w:tcPr>
          <w:p w14:paraId="1944293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14:paraId="18F1A1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650810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房地产开发经营</w:t>
            </w:r>
          </w:p>
        </w:tc>
        <w:tc>
          <w:tcPr>
            <w:tcW w:w="1560" w:type="dxa"/>
            <w:vAlign w:val="center"/>
          </w:tcPr>
          <w:p w14:paraId="703375D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02941BD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33CB9A6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Y≥200000</w:t>
            </w:r>
          </w:p>
        </w:tc>
        <w:tc>
          <w:tcPr>
            <w:tcW w:w="1891" w:type="dxa"/>
            <w:vAlign w:val="center"/>
          </w:tcPr>
          <w:p w14:paraId="3614F39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1000≤Y＜200000</w:t>
            </w:r>
          </w:p>
        </w:tc>
        <w:tc>
          <w:tcPr>
            <w:tcW w:w="1730" w:type="dxa"/>
            <w:vAlign w:val="center"/>
          </w:tcPr>
          <w:p w14:paraId="61E4C26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202698B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475993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1EDAEA2">
            <w:pPr>
              <w:widowControl/>
              <w:jc w:val="left"/>
              <w:rPr>
                <w:rFonts w:hint="eastAsia" w:ascii="仿宋" w:hAnsi="仿宋" w:eastAsia="仿宋" w:cs="仿宋"/>
                <w:color w:val="auto"/>
                <w:kern w:val="0"/>
                <w:sz w:val="24"/>
                <w:highlight w:val="none"/>
              </w:rPr>
            </w:pPr>
          </w:p>
        </w:tc>
        <w:tc>
          <w:tcPr>
            <w:tcW w:w="1560" w:type="dxa"/>
            <w:vAlign w:val="center"/>
          </w:tcPr>
          <w:p w14:paraId="775C8FC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3805B49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1CAE675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Z≥10000</w:t>
            </w:r>
          </w:p>
        </w:tc>
        <w:tc>
          <w:tcPr>
            <w:tcW w:w="1891" w:type="dxa"/>
            <w:vAlign w:val="center"/>
          </w:tcPr>
          <w:p w14:paraId="69CC486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5000≤Z＜10000</w:t>
            </w:r>
          </w:p>
        </w:tc>
        <w:tc>
          <w:tcPr>
            <w:tcW w:w="1730" w:type="dxa"/>
            <w:vAlign w:val="center"/>
          </w:tcPr>
          <w:p w14:paraId="54BF964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2000≤Z＜5000</w:t>
            </w:r>
          </w:p>
        </w:tc>
        <w:tc>
          <w:tcPr>
            <w:tcW w:w="1203" w:type="dxa"/>
            <w:vAlign w:val="center"/>
          </w:tcPr>
          <w:p w14:paraId="343B8D3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Z＜2000</w:t>
            </w:r>
          </w:p>
        </w:tc>
      </w:tr>
      <w:tr w14:paraId="5D5F73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B474CE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物业管理</w:t>
            </w:r>
          </w:p>
        </w:tc>
        <w:tc>
          <w:tcPr>
            <w:tcW w:w="1560" w:type="dxa"/>
            <w:vAlign w:val="center"/>
          </w:tcPr>
          <w:p w14:paraId="22235A8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1370A86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567EADE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36907B6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70379BF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203" w:type="dxa"/>
            <w:vAlign w:val="center"/>
          </w:tcPr>
          <w:p w14:paraId="37924FF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w:t>
            </w:r>
          </w:p>
        </w:tc>
      </w:tr>
      <w:tr w14:paraId="32B911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EAE6090">
            <w:pPr>
              <w:widowControl/>
              <w:jc w:val="left"/>
              <w:rPr>
                <w:rFonts w:hint="eastAsia" w:ascii="仿宋" w:hAnsi="仿宋" w:eastAsia="仿宋" w:cs="仿宋"/>
                <w:color w:val="auto"/>
                <w:kern w:val="0"/>
                <w:sz w:val="24"/>
                <w:highlight w:val="none"/>
              </w:rPr>
            </w:pPr>
          </w:p>
        </w:tc>
        <w:tc>
          <w:tcPr>
            <w:tcW w:w="1560" w:type="dxa"/>
            <w:vAlign w:val="center"/>
          </w:tcPr>
          <w:p w14:paraId="02511F0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57F85E5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04A3EFB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Y≥5000</w:t>
            </w:r>
          </w:p>
        </w:tc>
        <w:tc>
          <w:tcPr>
            <w:tcW w:w="1891" w:type="dxa"/>
            <w:vAlign w:val="center"/>
          </w:tcPr>
          <w:p w14:paraId="1D77481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730" w:type="dxa"/>
            <w:vAlign w:val="center"/>
          </w:tcPr>
          <w:p w14:paraId="4290F1E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500≤Y＜1000</w:t>
            </w:r>
          </w:p>
        </w:tc>
        <w:tc>
          <w:tcPr>
            <w:tcW w:w="1203" w:type="dxa"/>
            <w:vAlign w:val="center"/>
          </w:tcPr>
          <w:p w14:paraId="26F8DFD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Y＜500</w:t>
            </w:r>
          </w:p>
        </w:tc>
      </w:tr>
      <w:tr w14:paraId="4237BA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EF75BB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租赁和商务服务业</w:t>
            </w:r>
          </w:p>
        </w:tc>
        <w:tc>
          <w:tcPr>
            <w:tcW w:w="1560" w:type="dxa"/>
            <w:vAlign w:val="center"/>
          </w:tcPr>
          <w:p w14:paraId="61998B5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32D06E4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4530E2A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04D5EA5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5D30F1D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63902A3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037B11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90D6DD6">
            <w:pPr>
              <w:widowControl/>
              <w:jc w:val="left"/>
              <w:rPr>
                <w:rFonts w:hint="eastAsia" w:ascii="仿宋" w:hAnsi="仿宋" w:eastAsia="仿宋" w:cs="仿宋"/>
                <w:color w:val="auto"/>
                <w:kern w:val="0"/>
                <w:sz w:val="24"/>
                <w:highlight w:val="none"/>
              </w:rPr>
            </w:pPr>
          </w:p>
        </w:tc>
        <w:tc>
          <w:tcPr>
            <w:tcW w:w="1560" w:type="dxa"/>
            <w:vAlign w:val="center"/>
          </w:tcPr>
          <w:p w14:paraId="4846129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682A2D0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16AECC7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Z≥120000</w:t>
            </w:r>
          </w:p>
        </w:tc>
        <w:tc>
          <w:tcPr>
            <w:tcW w:w="1891" w:type="dxa"/>
            <w:vAlign w:val="center"/>
          </w:tcPr>
          <w:p w14:paraId="47E66BD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8000≤Z＜120000</w:t>
            </w:r>
          </w:p>
        </w:tc>
        <w:tc>
          <w:tcPr>
            <w:tcW w:w="1730" w:type="dxa"/>
            <w:vAlign w:val="center"/>
          </w:tcPr>
          <w:p w14:paraId="3B0B9FB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100≤Z＜8000</w:t>
            </w:r>
          </w:p>
        </w:tc>
        <w:tc>
          <w:tcPr>
            <w:tcW w:w="1203" w:type="dxa"/>
            <w:vAlign w:val="center"/>
          </w:tcPr>
          <w:p w14:paraId="23A2EF1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Z＜100</w:t>
            </w:r>
          </w:p>
        </w:tc>
      </w:tr>
      <w:tr w14:paraId="104617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24EE3A9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其他未列明行业 *</w:t>
            </w:r>
          </w:p>
        </w:tc>
        <w:tc>
          <w:tcPr>
            <w:tcW w:w="1560" w:type="dxa"/>
            <w:vAlign w:val="center"/>
          </w:tcPr>
          <w:p w14:paraId="76693EF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1F2D6E4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296D93D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697DBEA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0412C8E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1F77A72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bl>
    <w:p w14:paraId="520E6F21">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说明： 　　</w:t>
      </w:r>
    </w:p>
    <w:p w14:paraId="086F1E32">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1.大型、中型和小型企业须同时满足所列指标的下限，否则下划一档；微型企业只须满足所列指标中的一项即可。 　　</w:t>
      </w:r>
    </w:p>
    <w:p w14:paraId="06FE0C8D">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14:paraId="70A0921A">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3.企业划分指标以现行统计制度为准。</w:t>
      </w:r>
    </w:p>
    <w:p w14:paraId="1A413040">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（1）从业人员，是指期末从业人员数，没有期末从业人员数的，采用全年平均人员数代替。</w:t>
      </w:r>
    </w:p>
    <w:p w14:paraId="6304C993">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3246B6D0">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（3）资产总额，采用资产总计代替。</w:t>
      </w:r>
    </w:p>
    <w:p w14:paraId="29D58001">
      <w:pPr>
        <w:widowControl/>
        <w:jc w:val="left"/>
        <w:rPr>
          <w:rFonts w:hint="eastAsia" w:ascii="仿宋" w:hAnsi="仿宋" w:eastAsia="仿宋" w:cs="仿宋"/>
          <w:color w:val="auto"/>
          <w:kern w:val="0"/>
          <w:sz w:val="24"/>
          <w:highlight w:val="none"/>
        </w:rPr>
      </w:pPr>
    </w:p>
    <w:p w14:paraId="522C8780">
      <w:pPr>
        <w:widowControl/>
        <w:jc w:val="left"/>
        <w:rPr>
          <w:rFonts w:hint="eastAsia" w:ascii="仿宋" w:hAnsi="仿宋" w:eastAsia="仿宋" w:cs="仿宋"/>
          <w:color w:val="auto"/>
          <w:kern w:val="0"/>
          <w:sz w:val="24"/>
          <w:highlight w:val="none"/>
        </w:rPr>
      </w:pPr>
    </w:p>
    <w:p w14:paraId="273EDA66">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《统计上大中小微型企业划分办法（2017）》修订说明</w:t>
      </w:r>
    </w:p>
    <w:p w14:paraId="7DE5F4FA">
      <w:pPr>
        <w:widowControl/>
        <w:shd w:val="clear" w:color="auto" w:fill="FFFFFF"/>
        <w:spacing w:before="150" w:line="540" w:lineRule="atLeast"/>
        <w:jc w:val="left"/>
        <w:textAlignment w:val="baseline"/>
        <w:rPr>
          <w:rFonts w:hint="eastAsia"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一、修订背景</w:t>
      </w:r>
    </w:p>
    <w:p w14:paraId="28ED07EE">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14:paraId="6B771EE8">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1A2CD52C">
      <w:pPr>
        <w:widowControl/>
        <w:shd w:val="clear" w:color="auto" w:fill="FFFFFF"/>
        <w:spacing w:before="150" w:line="540" w:lineRule="atLeast"/>
        <w:jc w:val="left"/>
        <w:textAlignment w:val="baseline"/>
        <w:rPr>
          <w:rFonts w:hint="eastAsia"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二、修订主要内容</w:t>
      </w:r>
    </w:p>
    <w:p w14:paraId="65026559">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5C08DC72">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将交通运输业中包括的“装卸搬运和运输代理业”修改为“多式联运和运输代理业、装卸搬运”。</w:t>
      </w:r>
    </w:p>
    <w:p w14:paraId="714806B9">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仓储业所包括的行业中类，根据《国民经济行业分类》（GB/T4754—2017）调整为“通用仓储，低温仓储，危险品仓储，谷物、棉花等农产品仓储，中药材仓储和其他仓储业”。</w:t>
      </w:r>
    </w:p>
    <w:p w14:paraId="7F79E9BC">
      <w:pPr>
        <w:widowControl/>
        <w:jc w:val="left"/>
        <w:rPr>
          <w:rFonts w:hint="eastAsia" w:ascii="仿宋" w:hAnsi="仿宋" w:eastAsia="仿宋" w:cs="仿宋"/>
          <w:color w:val="auto"/>
          <w:kern w:val="0"/>
          <w:sz w:val="18"/>
          <w:szCs w:val="18"/>
          <w:highlight w:val="none"/>
        </w:rPr>
      </w:pPr>
    </w:p>
    <w:p w14:paraId="04D02C0B">
      <w:pPr>
        <w:widowControl/>
        <w:jc w:val="left"/>
        <w:rPr>
          <w:rFonts w:hint="eastAsia" w:ascii="仿宋" w:hAnsi="仿宋" w:eastAsia="仿宋" w:cs="仿宋"/>
          <w:color w:val="auto"/>
          <w:kern w:val="0"/>
          <w:sz w:val="18"/>
          <w:szCs w:val="18"/>
          <w:highlight w:val="none"/>
        </w:rPr>
      </w:pPr>
    </w:p>
    <w:p w14:paraId="53EF8A16">
      <w:pPr>
        <w:widowControl/>
        <w:jc w:val="left"/>
        <w:rPr>
          <w:rFonts w:hint="eastAsia" w:ascii="仿宋" w:hAnsi="仿宋" w:eastAsia="仿宋" w:cs="仿宋"/>
          <w:color w:val="auto"/>
          <w:kern w:val="0"/>
          <w:sz w:val="18"/>
          <w:szCs w:val="18"/>
          <w:highlight w:val="none"/>
        </w:rPr>
      </w:pPr>
    </w:p>
    <w:p w14:paraId="750D70D0">
      <w:pPr>
        <w:widowControl/>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中国人民银行中国银行业监督管理委员会</w:t>
      </w:r>
    </w:p>
    <w:p w14:paraId="4874F680">
      <w:pPr>
        <w:widowControl/>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中国证券监督管理委员会中国保险监督管理委员会</w:t>
      </w:r>
    </w:p>
    <w:p w14:paraId="0DE0F6C8">
      <w:pPr>
        <w:widowControl/>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国家统计局关于印发《金融业企业划型标准规定》的通知</w:t>
      </w:r>
    </w:p>
    <w:p w14:paraId="2D286C4C">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14:paraId="4932D2AC">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请人民银行上海总部，各分行、营业管理部、省会（首府）城市中心支行、副省级城市中心支行会同所在省（区、市）银监局、证监局、保监局、统计局将本通知联合转发至辖内相关机构。</w:t>
      </w:r>
    </w:p>
    <w:p w14:paraId="05B2512E">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附件：金融业企业划型标准规定</w:t>
      </w:r>
    </w:p>
    <w:p w14:paraId="51ABC524">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金融业企业划型标准规定</w:t>
      </w:r>
    </w:p>
    <w:p w14:paraId="4ADBC516">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一、根据《中华人民共和国中小企业促进法》、《国务院关于进一步促进中小企业发展的若干意见》（国发〔2009〕36号）和《国务院办公厅关于金融支持小微企业发展的实施意见》（国办发〔2013〕87号），制定本规定。</w:t>
      </w:r>
    </w:p>
    <w:p w14:paraId="5C84214D">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二、适用范围。本规定适用于从事《国民经济行业分类》(GB/T4754-2011)中J门类（金融业）活动的企业。</w:t>
      </w:r>
    </w:p>
    <w:p w14:paraId="134A9802">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三、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63BB5620">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四、划型标准指标。采用一个完整会计年度中四个季度末法人并表口径的资产总额（信托公司为信托资产）平均值作为划型指标，该指标以监管部门数据为准。</w:t>
      </w:r>
    </w:p>
    <w:p w14:paraId="14956E08">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五、指标标准值。依据指标标准值，将各类金融业企业划分为大、中、小、微四个规模类型，中型企业标准上限及以上的为大型企业。</w:t>
      </w:r>
    </w:p>
    <w:p w14:paraId="79E2176A">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(一) 银行业存款类金融机构。资产总额40000亿元以下的为中小微型企业。其中，资产总额5000亿元及以上的为中型企业，资产总额50亿元及以上的为小型企业，资产总额50亿元以下的为微型企业。</w:t>
      </w:r>
    </w:p>
    <w:p w14:paraId="3EA9337E">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(二) 银行业非存款类金融机构。资产总额1000亿元以下的为中小微型企业。其中，资产总额200亿元及以上的为中型企业，资产总额50亿元及以上的为小型企业，资产总额50亿元以下的为微型企业。</w:t>
      </w:r>
    </w:p>
    <w:p w14:paraId="3C038CB4">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(三) 贷款公司、小额贷款公司及典当行。资产总额1000亿元以下的为中小微型企业。其中，资产总额200亿元及以上的为中型企业，资产总额50亿元及以上的为小型企业，资产总额50亿元以下的为微型企业。</w:t>
      </w:r>
    </w:p>
    <w:p w14:paraId="7EDF6DEF">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(四) 证券业金融机构。资产总额1000亿元以下的为中小微型企业。其中，资产总额100亿元及以上的为中型企业，资产总额10亿元及以上的为小型企业，资产总额10亿元以下的为微型企业。</w:t>
      </w:r>
    </w:p>
    <w:p w14:paraId="37F1ECDA">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(五) 保险业金融机构。资产总额5000亿元以下的为中小微型企业。其中，资产总额400亿元及以上的为中型企业，资产总额20亿元及以上的为小型企业，资产总额20亿元以下的为微型企业。</w:t>
      </w:r>
    </w:p>
    <w:p w14:paraId="2DCB0CA4">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(六) 信托公司。信托资产1000亿元以下的为中小微型企业。其中，信托资产400亿元及以上的为中型企业，信托资产20亿元及以上的为小型企业，信托资产20亿元以下的为微型企业。</w:t>
      </w:r>
    </w:p>
    <w:p w14:paraId="0C0083D9">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(七) 金融控股公司。资产总额40000亿元以下的为中小微型企业。其中，资产总额5000亿元及以上的为中型企业，资产总额50亿元及以上的为小型企业，资产总额50亿元以下的为微型企业。</w:t>
      </w:r>
    </w:p>
    <w:p w14:paraId="6DCB8727">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14:paraId="26679C8D">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六、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14:paraId="7FABE936">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七、标准值的评估和调整。金融业企业划型标准工作组毎五年对划型标准值受经济发展与通货膨胀等因素的响程度进行评估和调整。</w:t>
      </w:r>
    </w:p>
    <w:p w14:paraId="053F9134">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八、本规定的中型金融业企业标准上限即为大型金融业企业下限。国务院有关部门据此进行相关数据的统计分析，不得制定与本规定不一致的金融业企业划型标准。</w:t>
      </w:r>
    </w:p>
    <w:p w14:paraId="724C2961">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eastAsia" w:ascii="仿宋" w:hAnsi="仿宋" w:eastAsia="仿宋" w:cs="仿宋"/>
          <w:color w:val="auto"/>
          <w:kern w:val="0"/>
          <w:szCs w:val="21"/>
          <w:highlight w:val="none"/>
          <w:lang w:val="en-US" w:eastAsia="zh-CN"/>
        </w:rPr>
        <w:t xml:space="preserve"> </w:t>
      </w:r>
      <w:r>
        <w:rPr>
          <w:rFonts w:hint="eastAsia" w:ascii="仿宋" w:hAnsi="仿宋" w:eastAsia="仿宋" w:cs="仿宋"/>
          <w:color w:val="auto"/>
          <w:kern w:val="0"/>
          <w:szCs w:val="21"/>
          <w:highlight w:val="none"/>
        </w:rPr>
        <w:t>九</w:t>
      </w:r>
      <w:r>
        <w:rPr>
          <w:rFonts w:hint="eastAsia" w:ascii="仿宋" w:hAnsi="仿宋" w:eastAsia="仿宋" w:cs="仿宋"/>
          <w:color w:val="auto"/>
          <w:kern w:val="0"/>
          <w:szCs w:val="21"/>
          <w:highlight w:val="none"/>
          <w:lang w:eastAsia="zh-CN"/>
        </w:rPr>
        <w:t>、</w:t>
      </w:r>
      <w:r>
        <w:rPr>
          <w:rFonts w:hint="eastAsia" w:ascii="仿宋" w:hAnsi="仿宋" w:eastAsia="仿宋" w:cs="仿宋"/>
          <w:color w:val="auto"/>
          <w:kern w:val="0"/>
          <w:szCs w:val="21"/>
          <w:highlight w:val="none"/>
        </w:rPr>
        <w:t>融资担保公司参照本规定中“除贷款公司、小额贷款公司、典当行以外的其他金融机构”标准划型。</w:t>
      </w:r>
    </w:p>
    <w:p w14:paraId="2AA93461">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eastAsia" w:ascii="仿宋" w:hAnsi="仿宋" w:eastAsia="仿宋" w:cs="仿宋"/>
          <w:color w:val="auto"/>
          <w:kern w:val="0"/>
          <w:szCs w:val="21"/>
          <w:highlight w:val="none"/>
          <w:lang w:val="en-US" w:eastAsia="zh-CN"/>
        </w:rPr>
        <w:t xml:space="preserve"> </w:t>
      </w:r>
      <w:r>
        <w:rPr>
          <w:rFonts w:hint="eastAsia" w:ascii="仿宋" w:hAnsi="仿宋" w:eastAsia="仿宋" w:cs="仿宋"/>
          <w:color w:val="auto"/>
          <w:kern w:val="0"/>
          <w:szCs w:val="21"/>
          <w:highlight w:val="none"/>
        </w:rPr>
        <w:t>十、本规定由人民银行会同银监会，证监会、保监会和统计局负责解释。</w:t>
      </w:r>
    </w:p>
    <w:p w14:paraId="4C9DEE4F">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eastAsia" w:ascii="仿宋" w:hAnsi="仿宋" w:eastAsia="仿宋" w:cs="仿宋"/>
          <w:color w:val="auto"/>
          <w:kern w:val="0"/>
          <w:szCs w:val="21"/>
          <w:highlight w:val="none"/>
          <w:lang w:val="en-US" w:eastAsia="zh-CN"/>
        </w:rPr>
        <w:t xml:space="preserve"> </w:t>
      </w:r>
      <w:r>
        <w:rPr>
          <w:rFonts w:hint="eastAsia" w:ascii="仿宋" w:hAnsi="仿宋" w:eastAsia="仿宋" w:cs="仿宋"/>
          <w:color w:val="auto"/>
          <w:kern w:val="0"/>
          <w:szCs w:val="21"/>
          <w:highlight w:val="none"/>
        </w:rPr>
        <w:t>十一、本规定自发布之日起实施。</w:t>
      </w:r>
    </w:p>
    <w:p w14:paraId="26D32318">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附：金融业企业划型标准</w:t>
      </w:r>
    </w:p>
    <w:p w14:paraId="79598F7D">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w:t>
      </w:r>
    </w:p>
    <w:tbl>
      <w:tblPr>
        <w:tblStyle w:val="15"/>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14:paraId="488BAB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14:paraId="3FCFB0D0">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w:t>
            </w:r>
          </w:p>
        </w:tc>
        <w:tc>
          <w:tcPr>
            <w:tcW w:w="2836" w:type="dxa"/>
            <w:tcMar>
              <w:top w:w="75" w:type="dxa"/>
              <w:left w:w="75" w:type="dxa"/>
              <w:bottom w:w="75" w:type="dxa"/>
              <w:right w:w="75" w:type="dxa"/>
            </w:tcMar>
            <w:vAlign w:val="bottom"/>
          </w:tcPr>
          <w:p w14:paraId="262A8E2B">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类别</w:t>
            </w:r>
          </w:p>
        </w:tc>
        <w:tc>
          <w:tcPr>
            <w:tcW w:w="606" w:type="dxa"/>
            <w:tcMar>
              <w:top w:w="75" w:type="dxa"/>
              <w:left w:w="75" w:type="dxa"/>
              <w:bottom w:w="75" w:type="dxa"/>
              <w:right w:w="75" w:type="dxa"/>
            </w:tcMar>
            <w:vAlign w:val="bottom"/>
          </w:tcPr>
          <w:p w14:paraId="2231F575">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类型</w:t>
            </w:r>
          </w:p>
        </w:tc>
        <w:tc>
          <w:tcPr>
            <w:tcW w:w="3326" w:type="dxa"/>
            <w:tcMar>
              <w:top w:w="75" w:type="dxa"/>
              <w:left w:w="75" w:type="dxa"/>
              <w:bottom w:w="75" w:type="dxa"/>
              <w:right w:w="75" w:type="dxa"/>
            </w:tcMar>
            <w:vAlign w:val="bottom"/>
          </w:tcPr>
          <w:p w14:paraId="734045BC">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资产总额</w:t>
            </w:r>
          </w:p>
        </w:tc>
      </w:tr>
      <w:tr w14:paraId="3B4230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5C63273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货币金融服务</w:t>
            </w:r>
          </w:p>
        </w:tc>
        <w:tc>
          <w:tcPr>
            <w:tcW w:w="1025" w:type="dxa"/>
            <w:vMerge w:val="restart"/>
            <w:vAlign w:val="center"/>
          </w:tcPr>
          <w:p w14:paraId="5EC9A2F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货币银行服务</w:t>
            </w:r>
          </w:p>
        </w:tc>
        <w:tc>
          <w:tcPr>
            <w:tcW w:w="2836" w:type="dxa"/>
            <w:vMerge w:val="restart"/>
            <w:vAlign w:val="center"/>
          </w:tcPr>
          <w:p w14:paraId="3EB73CA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银行业存款类金融机构</w:t>
            </w:r>
          </w:p>
        </w:tc>
        <w:tc>
          <w:tcPr>
            <w:tcW w:w="606" w:type="dxa"/>
            <w:vAlign w:val="center"/>
          </w:tcPr>
          <w:p w14:paraId="09D2E4D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112B11A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14:paraId="6B7BBE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1B71176">
            <w:pPr>
              <w:widowControl/>
              <w:jc w:val="left"/>
              <w:rPr>
                <w:rFonts w:hint="eastAsia" w:ascii="仿宋" w:hAnsi="仿宋" w:eastAsia="仿宋" w:cs="仿宋"/>
                <w:color w:val="auto"/>
                <w:kern w:val="0"/>
                <w:sz w:val="24"/>
                <w:highlight w:val="none"/>
              </w:rPr>
            </w:pPr>
          </w:p>
        </w:tc>
        <w:tc>
          <w:tcPr>
            <w:tcW w:w="1025" w:type="dxa"/>
            <w:vMerge w:val="continue"/>
            <w:vAlign w:val="center"/>
          </w:tcPr>
          <w:p w14:paraId="45FF7D5A">
            <w:pPr>
              <w:widowControl/>
              <w:jc w:val="left"/>
              <w:rPr>
                <w:rFonts w:hint="eastAsia" w:ascii="仿宋" w:hAnsi="仿宋" w:eastAsia="仿宋" w:cs="仿宋"/>
                <w:color w:val="auto"/>
                <w:kern w:val="0"/>
                <w:sz w:val="24"/>
                <w:highlight w:val="none"/>
              </w:rPr>
            </w:pPr>
          </w:p>
        </w:tc>
        <w:tc>
          <w:tcPr>
            <w:tcW w:w="2836" w:type="dxa"/>
            <w:vMerge w:val="continue"/>
            <w:vAlign w:val="center"/>
          </w:tcPr>
          <w:p w14:paraId="765A109D">
            <w:pPr>
              <w:widowControl/>
              <w:jc w:val="left"/>
              <w:rPr>
                <w:rFonts w:hint="eastAsia" w:ascii="仿宋" w:hAnsi="仿宋" w:eastAsia="仿宋" w:cs="仿宋"/>
                <w:color w:val="auto"/>
                <w:kern w:val="0"/>
                <w:sz w:val="24"/>
                <w:highlight w:val="none"/>
              </w:rPr>
            </w:pPr>
          </w:p>
        </w:tc>
        <w:tc>
          <w:tcPr>
            <w:tcW w:w="606" w:type="dxa"/>
            <w:vAlign w:val="center"/>
          </w:tcPr>
          <w:p w14:paraId="055FF05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78EFBE0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14:paraId="51E75B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923EB79">
            <w:pPr>
              <w:widowControl/>
              <w:jc w:val="left"/>
              <w:rPr>
                <w:rFonts w:hint="eastAsia" w:ascii="仿宋" w:hAnsi="仿宋" w:eastAsia="仿宋" w:cs="仿宋"/>
                <w:color w:val="auto"/>
                <w:kern w:val="0"/>
                <w:sz w:val="24"/>
                <w:highlight w:val="none"/>
              </w:rPr>
            </w:pPr>
          </w:p>
        </w:tc>
        <w:tc>
          <w:tcPr>
            <w:tcW w:w="1025" w:type="dxa"/>
            <w:vMerge w:val="continue"/>
            <w:vAlign w:val="center"/>
          </w:tcPr>
          <w:p w14:paraId="01EC8BC3">
            <w:pPr>
              <w:widowControl/>
              <w:jc w:val="left"/>
              <w:rPr>
                <w:rFonts w:hint="eastAsia" w:ascii="仿宋" w:hAnsi="仿宋" w:eastAsia="仿宋" w:cs="仿宋"/>
                <w:color w:val="auto"/>
                <w:kern w:val="0"/>
                <w:sz w:val="24"/>
                <w:highlight w:val="none"/>
              </w:rPr>
            </w:pPr>
          </w:p>
        </w:tc>
        <w:tc>
          <w:tcPr>
            <w:tcW w:w="2836" w:type="dxa"/>
            <w:vMerge w:val="continue"/>
            <w:vAlign w:val="center"/>
          </w:tcPr>
          <w:p w14:paraId="337A44DF">
            <w:pPr>
              <w:widowControl/>
              <w:jc w:val="left"/>
              <w:rPr>
                <w:rFonts w:hint="eastAsia" w:ascii="仿宋" w:hAnsi="仿宋" w:eastAsia="仿宋" w:cs="仿宋"/>
                <w:color w:val="auto"/>
                <w:kern w:val="0"/>
                <w:sz w:val="24"/>
                <w:highlight w:val="none"/>
              </w:rPr>
            </w:pPr>
          </w:p>
        </w:tc>
        <w:tc>
          <w:tcPr>
            <w:tcW w:w="606" w:type="dxa"/>
            <w:vAlign w:val="center"/>
          </w:tcPr>
          <w:p w14:paraId="1D5E460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36CB380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6383D0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36B124A">
            <w:pPr>
              <w:widowControl/>
              <w:jc w:val="left"/>
              <w:rPr>
                <w:rFonts w:hint="eastAsia" w:ascii="仿宋" w:hAnsi="仿宋" w:eastAsia="仿宋" w:cs="仿宋"/>
                <w:color w:val="auto"/>
                <w:kern w:val="0"/>
                <w:sz w:val="24"/>
                <w:highlight w:val="none"/>
              </w:rPr>
            </w:pPr>
          </w:p>
        </w:tc>
        <w:tc>
          <w:tcPr>
            <w:tcW w:w="1025" w:type="dxa"/>
            <w:vMerge w:val="restart"/>
            <w:vAlign w:val="center"/>
          </w:tcPr>
          <w:p w14:paraId="0B73148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非货币银行服务</w:t>
            </w:r>
          </w:p>
        </w:tc>
        <w:tc>
          <w:tcPr>
            <w:tcW w:w="2836" w:type="dxa"/>
            <w:vMerge w:val="restart"/>
            <w:vAlign w:val="center"/>
          </w:tcPr>
          <w:p w14:paraId="401D65B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银行业非存款类金融机构</w:t>
            </w:r>
          </w:p>
        </w:tc>
        <w:tc>
          <w:tcPr>
            <w:tcW w:w="606" w:type="dxa"/>
            <w:vAlign w:val="center"/>
          </w:tcPr>
          <w:p w14:paraId="40057DD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1AF994E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44F61B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17A130B">
            <w:pPr>
              <w:widowControl/>
              <w:jc w:val="left"/>
              <w:rPr>
                <w:rFonts w:hint="eastAsia" w:ascii="仿宋" w:hAnsi="仿宋" w:eastAsia="仿宋" w:cs="仿宋"/>
                <w:color w:val="auto"/>
                <w:kern w:val="0"/>
                <w:sz w:val="24"/>
                <w:highlight w:val="none"/>
              </w:rPr>
            </w:pPr>
          </w:p>
        </w:tc>
        <w:tc>
          <w:tcPr>
            <w:tcW w:w="1025" w:type="dxa"/>
            <w:vMerge w:val="continue"/>
            <w:vAlign w:val="center"/>
          </w:tcPr>
          <w:p w14:paraId="5F9AA6ED">
            <w:pPr>
              <w:widowControl/>
              <w:jc w:val="left"/>
              <w:rPr>
                <w:rFonts w:hint="eastAsia" w:ascii="仿宋" w:hAnsi="仿宋" w:eastAsia="仿宋" w:cs="仿宋"/>
                <w:color w:val="auto"/>
                <w:kern w:val="0"/>
                <w:sz w:val="24"/>
                <w:highlight w:val="none"/>
              </w:rPr>
            </w:pPr>
          </w:p>
        </w:tc>
        <w:tc>
          <w:tcPr>
            <w:tcW w:w="2836" w:type="dxa"/>
            <w:vMerge w:val="continue"/>
            <w:vAlign w:val="center"/>
          </w:tcPr>
          <w:p w14:paraId="68638D0B">
            <w:pPr>
              <w:widowControl/>
              <w:jc w:val="left"/>
              <w:rPr>
                <w:rFonts w:hint="eastAsia" w:ascii="仿宋" w:hAnsi="仿宋" w:eastAsia="仿宋" w:cs="仿宋"/>
                <w:color w:val="auto"/>
                <w:kern w:val="0"/>
                <w:sz w:val="24"/>
                <w:highlight w:val="none"/>
              </w:rPr>
            </w:pPr>
          </w:p>
        </w:tc>
        <w:tc>
          <w:tcPr>
            <w:tcW w:w="606" w:type="dxa"/>
            <w:vAlign w:val="center"/>
          </w:tcPr>
          <w:p w14:paraId="25E9829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30BDF87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53A5EB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E28753C">
            <w:pPr>
              <w:widowControl/>
              <w:jc w:val="left"/>
              <w:rPr>
                <w:rFonts w:hint="eastAsia" w:ascii="仿宋" w:hAnsi="仿宋" w:eastAsia="仿宋" w:cs="仿宋"/>
                <w:color w:val="auto"/>
                <w:kern w:val="0"/>
                <w:sz w:val="24"/>
                <w:highlight w:val="none"/>
              </w:rPr>
            </w:pPr>
          </w:p>
        </w:tc>
        <w:tc>
          <w:tcPr>
            <w:tcW w:w="1025" w:type="dxa"/>
            <w:vMerge w:val="continue"/>
            <w:vAlign w:val="center"/>
          </w:tcPr>
          <w:p w14:paraId="4A3277C6">
            <w:pPr>
              <w:widowControl/>
              <w:jc w:val="left"/>
              <w:rPr>
                <w:rFonts w:hint="eastAsia" w:ascii="仿宋" w:hAnsi="仿宋" w:eastAsia="仿宋" w:cs="仿宋"/>
                <w:color w:val="auto"/>
                <w:kern w:val="0"/>
                <w:sz w:val="24"/>
                <w:highlight w:val="none"/>
              </w:rPr>
            </w:pPr>
          </w:p>
        </w:tc>
        <w:tc>
          <w:tcPr>
            <w:tcW w:w="2836" w:type="dxa"/>
            <w:vMerge w:val="continue"/>
            <w:vAlign w:val="center"/>
          </w:tcPr>
          <w:p w14:paraId="1A585071">
            <w:pPr>
              <w:widowControl/>
              <w:jc w:val="left"/>
              <w:rPr>
                <w:rFonts w:hint="eastAsia" w:ascii="仿宋" w:hAnsi="仿宋" w:eastAsia="仿宋" w:cs="仿宋"/>
                <w:color w:val="auto"/>
                <w:kern w:val="0"/>
                <w:sz w:val="24"/>
                <w:highlight w:val="none"/>
              </w:rPr>
            </w:pPr>
          </w:p>
        </w:tc>
        <w:tc>
          <w:tcPr>
            <w:tcW w:w="606" w:type="dxa"/>
            <w:vAlign w:val="center"/>
          </w:tcPr>
          <w:p w14:paraId="34A664E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15B2F8E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54AC6D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09FB0E2">
            <w:pPr>
              <w:widowControl/>
              <w:jc w:val="left"/>
              <w:rPr>
                <w:rFonts w:hint="eastAsia" w:ascii="仿宋" w:hAnsi="仿宋" w:eastAsia="仿宋" w:cs="仿宋"/>
                <w:color w:val="auto"/>
                <w:kern w:val="0"/>
                <w:sz w:val="24"/>
                <w:highlight w:val="none"/>
              </w:rPr>
            </w:pPr>
          </w:p>
        </w:tc>
        <w:tc>
          <w:tcPr>
            <w:tcW w:w="1025" w:type="dxa"/>
            <w:vMerge w:val="continue"/>
            <w:vAlign w:val="center"/>
          </w:tcPr>
          <w:p w14:paraId="23451F46">
            <w:pPr>
              <w:widowControl/>
              <w:jc w:val="left"/>
              <w:rPr>
                <w:rFonts w:hint="eastAsia" w:ascii="仿宋" w:hAnsi="仿宋" w:eastAsia="仿宋" w:cs="仿宋"/>
                <w:color w:val="auto"/>
                <w:kern w:val="0"/>
                <w:sz w:val="24"/>
                <w:highlight w:val="none"/>
              </w:rPr>
            </w:pPr>
          </w:p>
        </w:tc>
        <w:tc>
          <w:tcPr>
            <w:tcW w:w="2836" w:type="dxa"/>
            <w:vMerge w:val="restart"/>
            <w:vAlign w:val="center"/>
          </w:tcPr>
          <w:p w14:paraId="3701296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贷款公司、小额贷款公司及典当行</w:t>
            </w:r>
          </w:p>
        </w:tc>
        <w:tc>
          <w:tcPr>
            <w:tcW w:w="606" w:type="dxa"/>
            <w:vAlign w:val="center"/>
          </w:tcPr>
          <w:p w14:paraId="67AEB9D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7BBF4A7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26528A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53CC722">
            <w:pPr>
              <w:widowControl/>
              <w:jc w:val="left"/>
              <w:rPr>
                <w:rFonts w:hint="eastAsia" w:ascii="仿宋" w:hAnsi="仿宋" w:eastAsia="仿宋" w:cs="仿宋"/>
                <w:color w:val="auto"/>
                <w:kern w:val="0"/>
                <w:sz w:val="24"/>
                <w:highlight w:val="none"/>
              </w:rPr>
            </w:pPr>
          </w:p>
        </w:tc>
        <w:tc>
          <w:tcPr>
            <w:tcW w:w="1025" w:type="dxa"/>
            <w:vMerge w:val="continue"/>
            <w:vAlign w:val="center"/>
          </w:tcPr>
          <w:p w14:paraId="0EAFBC93">
            <w:pPr>
              <w:widowControl/>
              <w:jc w:val="left"/>
              <w:rPr>
                <w:rFonts w:hint="eastAsia" w:ascii="仿宋" w:hAnsi="仿宋" w:eastAsia="仿宋" w:cs="仿宋"/>
                <w:color w:val="auto"/>
                <w:kern w:val="0"/>
                <w:sz w:val="24"/>
                <w:highlight w:val="none"/>
              </w:rPr>
            </w:pPr>
          </w:p>
        </w:tc>
        <w:tc>
          <w:tcPr>
            <w:tcW w:w="2836" w:type="dxa"/>
            <w:vMerge w:val="continue"/>
            <w:vAlign w:val="center"/>
          </w:tcPr>
          <w:p w14:paraId="30F05134">
            <w:pPr>
              <w:widowControl/>
              <w:jc w:val="left"/>
              <w:rPr>
                <w:rFonts w:hint="eastAsia" w:ascii="仿宋" w:hAnsi="仿宋" w:eastAsia="仿宋" w:cs="仿宋"/>
                <w:color w:val="auto"/>
                <w:kern w:val="0"/>
                <w:sz w:val="24"/>
                <w:highlight w:val="none"/>
              </w:rPr>
            </w:pPr>
          </w:p>
        </w:tc>
        <w:tc>
          <w:tcPr>
            <w:tcW w:w="606" w:type="dxa"/>
            <w:vAlign w:val="center"/>
          </w:tcPr>
          <w:p w14:paraId="1DC5414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6842C60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51E871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B62CE8C">
            <w:pPr>
              <w:widowControl/>
              <w:jc w:val="left"/>
              <w:rPr>
                <w:rFonts w:hint="eastAsia" w:ascii="仿宋" w:hAnsi="仿宋" w:eastAsia="仿宋" w:cs="仿宋"/>
                <w:color w:val="auto"/>
                <w:kern w:val="0"/>
                <w:sz w:val="24"/>
                <w:highlight w:val="none"/>
              </w:rPr>
            </w:pPr>
          </w:p>
        </w:tc>
        <w:tc>
          <w:tcPr>
            <w:tcW w:w="1025" w:type="dxa"/>
            <w:vMerge w:val="continue"/>
            <w:vAlign w:val="center"/>
          </w:tcPr>
          <w:p w14:paraId="4CD69BCB">
            <w:pPr>
              <w:widowControl/>
              <w:jc w:val="left"/>
              <w:rPr>
                <w:rFonts w:hint="eastAsia" w:ascii="仿宋" w:hAnsi="仿宋" w:eastAsia="仿宋" w:cs="仿宋"/>
                <w:color w:val="auto"/>
                <w:kern w:val="0"/>
                <w:sz w:val="24"/>
                <w:highlight w:val="none"/>
              </w:rPr>
            </w:pPr>
          </w:p>
        </w:tc>
        <w:tc>
          <w:tcPr>
            <w:tcW w:w="2836" w:type="dxa"/>
            <w:vMerge w:val="continue"/>
            <w:vAlign w:val="center"/>
          </w:tcPr>
          <w:p w14:paraId="62FB203E">
            <w:pPr>
              <w:widowControl/>
              <w:jc w:val="left"/>
              <w:rPr>
                <w:rFonts w:hint="eastAsia" w:ascii="仿宋" w:hAnsi="仿宋" w:eastAsia="仿宋" w:cs="仿宋"/>
                <w:color w:val="auto"/>
                <w:kern w:val="0"/>
                <w:sz w:val="24"/>
                <w:highlight w:val="none"/>
              </w:rPr>
            </w:pPr>
          </w:p>
        </w:tc>
        <w:tc>
          <w:tcPr>
            <w:tcW w:w="606" w:type="dxa"/>
            <w:vAlign w:val="center"/>
          </w:tcPr>
          <w:p w14:paraId="4841321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0C8C30B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19A172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3D6819E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资本市场服务</w:t>
            </w:r>
          </w:p>
        </w:tc>
        <w:tc>
          <w:tcPr>
            <w:tcW w:w="2836" w:type="dxa"/>
            <w:vMerge w:val="restart"/>
            <w:vAlign w:val="center"/>
          </w:tcPr>
          <w:p w14:paraId="1F0D138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证券业金融机构</w:t>
            </w:r>
          </w:p>
        </w:tc>
        <w:tc>
          <w:tcPr>
            <w:tcW w:w="606" w:type="dxa"/>
            <w:vAlign w:val="center"/>
          </w:tcPr>
          <w:p w14:paraId="4B61C20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274805E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100亿元（含）至1000亿元</w:t>
            </w:r>
          </w:p>
        </w:tc>
      </w:tr>
      <w:tr w14:paraId="3283AC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063E88CE">
            <w:pPr>
              <w:widowControl/>
              <w:jc w:val="left"/>
              <w:rPr>
                <w:rFonts w:hint="eastAsia" w:ascii="仿宋" w:hAnsi="仿宋" w:eastAsia="仿宋" w:cs="仿宋"/>
                <w:color w:val="auto"/>
                <w:kern w:val="0"/>
                <w:sz w:val="24"/>
                <w:highlight w:val="none"/>
              </w:rPr>
            </w:pPr>
          </w:p>
        </w:tc>
        <w:tc>
          <w:tcPr>
            <w:tcW w:w="2836" w:type="dxa"/>
            <w:vMerge w:val="continue"/>
            <w:vAlign w:val="center"/>
          </w:tcPr>
          <w:p w14:paraId="29B97ACA">
            <w:pPr>
              <w:widowControl/>
              <w:jc w:val="left"/>
              <w:rPr>
                <w:rFonts w:hint="eastAsia" w:ascii="仿宋" w:hAnsi="仿宋" w:eastAsia="仿宋" w:cs="仿宋"/>
                <w:color w:val="auto"/>
                <w:kern w:val="0"/>
                <w:sz w:val="24"/>
                <w:highlight w:val="none"/>
              </w:rPr>
            </w:pPr>
          </w:p>
        </w:tc>
        <w:tc>
          <w:tcPr>
            <w:tcW w:w="606" w:type="dxa"/>
            <w:vAlign w:val="center"/>
          </w:tcPr>
          <w:p w14:paraId="4FBE477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16130E3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10亿元（含）至100亿元</w:t>
            </w:r>
          </w:p>
        </w:tc>
      </w:tr>
      <w:tr w14:paraId="7BB331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697A3519">
            <w:pPr>
              <w:widowControl/>
              <w:jc w:val="left"/>
              <w:rPr>
                <w:rFonts w:hint="eastAsia" w:ascii="仿宋" w:hAnsi="仿宋" w:eastAsia="仿宋" w:cs="仿宋"/>
                <w:color w:val="auto"/>
                <w:kern w:val="0"/>
                <w:sz w:val="24"/>
                <w:highlight w:val="none"/>
              </w:rPr>
            </w:pPr>
          </w:p>
        </w:tc>
        <w:tc>
          <w:tcPr>
            <w:tcW w:w="2836" w:type="dxa"/>
            <w:vMerge w:val="continue"/>
            <w:vAlign w:val="center"/>
          </w:tcPr>
          <w:p w14:paraId="395D1810">
            <w:pPr>
              <w:widowControl/>
              <w:jc w:val="left"/>
              <w:rPr>
                <w:rFonts w:hint="eastAsia" w:ascii="仿宋" w:hAnsi="仿宋" w:eastAsia="仿宋" w:cs="仿宋"/>
                <w:color w:val="auto"/>
                <w:kern w:val="0"/>
                <w:sz w:val="24"/>
                <w:highlight w:val="none"/>
              </w:rPr>
            </w:pPr>
          </w:p>
        </w:tc>
        <w:tc>
          <w:tcPr>
            <w:tcW w:w="606" w:type="dxa"/>
            <w:vAlign w:val="center"/>
          </w:tcPr>
          <w:p w14:paraId="342FFAA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16B525F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10亿元以下</w:t>
            </w:r>
          </w:p>
        </w:tc>
      </w:tr>
      <w:tr w14:paraId="6A5FA4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4769395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保险业</w:t>
            </w:r>
          </w:p>
        </w:tc>
        <w:tc>
          <w:tcPr>
            <w:tcW w:w="2836" w:type="dxa"/>
            <w:vMerge w:val="restart"/>
            <w:vAlign w:val="center"/>
          </w:tcPr>
          <w:p w14:paraId="3E30083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保险业金融机构</w:t>
            </w:r>
          </w:p>
        </w:tc>
        <w:tc>
          <w:tcPr>
            <w:tcW w:w="606" w:type="dxa"/>
            <w:vAlign w:val="center"/>
          </w:tcPr>
          <w:p w14:paraId="12EE791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0895778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400亿元（含）至5000亿元</w:t>
            </w:r>
          </w:p>
        </w:tc>
      </w:tr>
      <w:tr w14:paraId="5EE01A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03060819">
            <w:pPr>
              <w:widowControl/>
              <w:jc w:val="left"/>
              <w:rPr>
                <w:rFonts w:hint="eastAsia" w:ascii="仿宋" w:hAnsi="仿宋" w:eastAsia="仿宋" w:cs="仿宋"/>
                <w:color w:val="auto"/>
                <w:kern w:val="0"/>
                <w:sz w:val="24"/>
                <w:highlight w:val="none"/>
              </w:rPr>
            </w:pPr>
          </w:p>
        </w:tc>
        <w:tc>
          <w:tcPr>
            <w:tcW w:w="2836" w:type="dxa"/>
            <w:vMerge w:val="continue"/>
            <w:vAlign w:val="center"/>
          </w:tcPr>
          <w:p w14:paraId="447B628B">
            <w:pPr>
              <w:widowControl/>
              <w:jc w:val="left"/>
              <w:rPr>
                <w:rFonts w:hint="eastAsia" w:ascii="仿宋" w:hAnsi="仿宋" w:eastAsia="仿宋" w:cs="仿宋"/>
                <w:color w:val="auto"/>
                <w:kern w:val="0"/>
                <w:sz w:val="24"/>
                <w:highlight w:val="none"/>
              </w:rPr>
            </w:pPr>
          </w:p>
        </w:tc>
        <w:tc>
          <w:tcPr>
            <w:tcW w:w="606" w:type="dxa"/>
            <w:vAlign w:val="center"/>
          </w:tcPr>
          <w:p w14:paraId="6F1551C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480ECFF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14:paraId="39EA93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3780632F">
            <w:pPr>
              <w:widowControl/>
              <w:jc w:val="left"/>
              <w:rPr>
                <w:rFonts w:hint="eastAsia" w:ascii="仿宋" w:hAnsi="仿宋" w:eastAsia="仿宋" w:cs="仿宋"/>
                <w:color w:val="auto"/>
                <w:kern w:val="0"/>
                <w:sz w:val="24"/>
                <w:highlight w:val="none"/>
              </w:rPr>
            </w:pPr>
          </w:p>
        </w:tc>
        <w:tc>
          <w:tcPr>
            <w:tcW w:w="2836" w:type="dxa"/>
            <w:vMerge w:val="continue"/>
            <w:vAlign w:val="center"/>
          </w:tcPr>
          <w:p w14:paraId="0C3A81BC">
            <w:pPr>
              <w:widowControl/>
              <w:jc w:val="left"/>
              <w:rPr>
                <w:rFonts w:hint="eastAsia" w:ascii="仿宋" w:hAnsi="仿宋" w:eastAsia="仿宋" w:cs="仿宋"/>
                <w:color w:val="auto"/>
                <w:kern w:val="0"/>
                <w:sz w:val="24"/>
                <w:highlight w:val="none"/>
              </w:rPr>
            </w:pPr>
          </w:p>
        </w:tc>
        <w:tc>
          <w:tcPr>
            <w:tcW w:w="606" w:type="dxa"/>
            <w:vAlign w:val="center"/>
          </w:tcPr>
          <w:p w14:paraId="354239C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65F26E0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14:paraId="587F1A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603BC72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其他金融业</w:t>
            </w:r>
          </w:p>
        </w:tc>
        <w:tc>
          <w:tcPr>
            <w:tcW w:w="1025" w:type="dxa"/>
            <w:vMerge w:val="restart"/>
            <w:vAlign w:val="center"/>
          </w:tcPr>
          <w:p w14:paraId="47D2C1E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金融信托与管理服务</w:t>
            </w:r>
          </w:p>
        </w:tc>
        <w:tc>
          <w:tcPr>
            <w:tcW w:w="2836" w:type="dxa"/>
            <w:vMerge w:val="restart"/>
            <w:vAlign w:val="center"/>
          </w:tcPr>
          <w:p w14:paraId="4175E71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信托公司</w:t>
            </w:r>
          </w:p>
        </w:tc>
        <w:tc>
          <w:tcPr>
            <w:tcW w:w="606" w:type="dxa"/>
            <w:vAlign w:val="center"/>
          </w:tcPr>
          <w:p w14:paraId="58F6436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5124DCE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400亿元（含）至1000亿元</w:t>
            </w:r>
          </w:p>
        </w:tc>
      </w:tr>
      <w:tr w14:paraId="092A54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A7825B0">
            <w:pPr>
              <w:widowControl/>
              <w:jc w:val="left"/>
              <w:rPr>
                <w:rFonts w:hint="eastAsia" w:ascii="仿宋" w:hAnsi="仿宋" w:eastAsia="仿宋" w:cs="仿宋"/>
                <w:color w:val="auto"/>
                <w:kern w:val="0"/>
                <w:sz w:val="24"/>
                <w:highlight w:val="none"/>
              </w:rPr>
            </w:pPr>
          </w:p>
        </w:tc>
        <w:tc>
          <w:tcPr>
            <w:tcW w:w="1025" w:type="dxa"/>
            <w:vMerge w:val="continue"/>
            <w:vAlign w:val="center"/>
          </w:tcPr>
          <w:p w14:paraId="0AA9272A">
            <w:pPr>
              <w:widowControl/>
              <w:jc w:val="left"/>
              <w:rPr>
                <w:rFonts w:hint="eastAsia" w:ascii="仿宋" w:hAnsi="仿宋" w:eastAsia="仿宋" w:cs="仿宋"/>
                <w:color w:val="auto"/>
                <w:kern w:val="0"/>
                <w:sz w:val="24"/>
                <w:highlight w:val="none"/>
              </w:rPr>
            </w:pPr>
          </w:p>
        </w:tc>
        <w:tc>
          <w:tcPr>
            <w:tcW w:w="2836" w:type="dxa"/>
            <w:vMerge w:val="continue"/>
            <w:vAlign w:val="center"/>
          </w:tcPr>
          <w:p w14:paraId="2C2C4897">
            <w:pPr>
              <w:widowControl/>
              <w:jc w:val="left"/>
              <w:rPr>
                <w:rFonts w:hint="eastAsia" w:ascii="仿宋" w:hAnsi="仿宋" w:eastAsia="仿宋" w:cs="仿宋"/>
                <w:color w:val="auto"/>
                <w:kern w:val="0"/>
                <w:sz w:val="24"/>
                <w:highlight w:val="none"/>
              </w:rPr>
            </w:pPr>
          </w:p>
        </w:tc>
        <w:tc>
          <w:tcPr>
            <w:tcW w:w="606" w:type="dxa"/>
            <w:vAlign w:val="center"/>
          </w:tcPr>
          <w:p w14:paraId="26F1901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3A643EB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14:paraId="39A72A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7502890">
            <w:pPr>
              <w:widowControl/>
              <w:jc w:val="left"/>
              <w:rPr>
                <w:rFonts w:hint="eastAsia" w:ascii="仿宋" w:hAnsi="仿宋" w:eastAsia="仿宋" w:cs="仿宋"/>
                <w:color w:val="auto"/>
                <w:kern w:val="0"/>
                <w:sz w:val="24"/>
                <w:highlight w:val="none"/>
              </w:rPr>
            </w:pPr>
          </w:p>
        </w:tc>
        <w:tc>
          <w:tcPr>
            <w:tcW w:w="1025" w:type="dxa"/>
            <w:vMerge w:val="continue"/>
            <w:vAlign w:val="center"/>
          </w:tcPr>
          <w:p w14:paraId="6FDD3CCB">
            <w:pPr>
              <w:widowControl/>
              <w:jc w:val="left"/>
              <w:rPr>
                <w:rFonts w:hint="eastAsia" w:ascii="仿宋" w:hAnsi="仿宋" w:eastAsia="仿宋" w:cs="仿宋"/>
                <w:color w:val="auto"/>
                <w:kern w:val="0"/>
                <w:sz w:val="24"/>
                <w:highlight w:val="none"/>
              </w:rPr>
            </w:pPr>
          </w:p>
        </w:tc>
        <w:tc>
          <w:tcPr>
            <w:tcW w:w="2836" w:type="dxa"/>
            <w:vMerge w:val="continue"/>
            <w:vAlign w:val="center"/>
          </w:tcPr>
          <w:p w14:paraId="572FB88E">
            <w:pPr>
              <w:widowControl/>
              <w:jc w:val="left"/>
              <w:rPr>
                <w:rFonts w:hint="eastAsia" w:ascii="仿宋" w:hAnsi="仿宋" w:eastAsia="仿宋" w:cs="仿宋"/>
                <w:color w:val="auto"/>
                <w:kern w:val="0"/>
                <w:sz w:val="24"/>
                <w:highlight w:val="none"/>
              </w:rPr>
            </w:pPr>
          </w:p>
        </w:tc>
        <w:tc>
          <w:tcPr>
            <w:tcW w:w="606" w:type="dxa"/>
            <w:vAlign w:val="center"/>
          </w:tcPr>
          <w:p w14:paraId="7390793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7D081DD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14:paraId="363A66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AFDC3B9">
            <w:pPr>
              <w:widowControl/>
              <w:jc w:val="left"/>
              <w:rPr>
                <w:rFonts w:hint="eastAsia" w:ascii="仿宋" w:hAnsi="仿宋" w:eastAsia="仿宋" w:cs="仿宋"/>
                <w:color w:val="auto"/>
                <w:kern w:val="0"/>
                <w:sz w:val="24"/>
                <w:highlight w:val="none"/>
              </w:rPr>
            </w:pPr>
          </w:p>
        </w:tc>
        <w:tc>
          <w:tcPr>
            <w:tcW w:w="1025" w:type="dxa"/>
            <w:vMerge w:val="restart"/>
            <w:vAlign w:val="center"/>
          </w:tcPr>
          <w:p w14:paraId="521331B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控股公司服务</w:t>
            </w:r>
          </w:p>
        </w:tc>
        <w:tc>
          <w:tcPr>
            <w:tcW w:w="2836" w:type="dxa"/>
            <w:vMerge w:val="restart"/>
            <w:vAlign w:val="center"/>
          </w:tcPr>
          <w:p w14:paraId="6B1C681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金融控股公司</w:t>
            </w:r>
          </w:p>
        </w:tc>
        <w:tc>
          <w:tcPr>
            <w:tcW w:w="606" w:type="dxa"/>
            <w:vAlign w:val="center"/>
          </w:tcPr>
          <w:p w14:paraId="37DE945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6008CD0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14:paraId="24BD25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BD80316">
            <w:pPr>
              <w:widowControl/>
              <w:jc w:val="left"/>
              <w:rPr>
                <w:rFonts w:hint="eastAsia" w:ascii="仿宋" w:hAnsi="仿宋" w:eastAsia="仿宋" w:cs="仿宋"/>
                <w:color w:val="auto"/>
                <w:kern w:val="0"/>
                <w:sz w:val="24"/>
                <w:highlight w:val="none"/>
              </w:rPr>
            </w:pPr>
          </w:p>
        </w:tc>
        <w:tc>
          <w:tcPr>
            <w:tcW w:w="1025" w:type="dxa"/>
            <w:vMerge w:val="continue"/>
            <w:vAlign w:val="center"/>
          </w:tcPr>
          <w:p w14:paraId="6699AB38">
            <w:pPr>
              <w:widowControl/>
              <w:jc w:val="left"/>
              <w:rPr>
                <w:rFonts w:hint="eastAsia" w:ascii="仿宋" w:hAnsi="仿宋" w:eastAsia="仿宋" w:cs="仿宋"/>
                <w:color w:val="auto"/>
                <w:kern w:val="0"/>
                <w:sz w:val="24"/>
                <w:highlight w:val="none"/>
              </w:rPr>
            </w:pPr>
          </w:p>
        </w:tc>
        <w:tc>
          <w:tcPr>
            <w:tcW w:w="2836" w:type="dxa"/>
            <w:vMerge w:val="continue"/>
            <w:vAlign w:val="center"/>
          </w:tcPr>
          <w:p w14:paraId="39844465">
            <w:pPr>
              <w:widowControl/>
              <w:jc w:val="left"/>
              <w:rPr>
                <w:rFonts w:hint="eastAsia" w:ascii="仿宋" w:hAnsi="仿宋" w:eastAsia="仿宋" w:cs="仿宋"/>
                <w:color w:val="auto"/>
                <w:kern w:val="0"/>
                <w:sz w:val="24"/>
                <w:highlight w:val="none"/>
              </w:rPr>
            </w:pPr>
          </w:p>
        </w:tc>
        <w:tc>
          <w:tcPr>
            <w:tcW w:w="606" w:type="dxa"/>
            <w:vAlign w:val="center"/>
          </w:tcPr>
          <w:p w14:paraId="0F9189C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085C414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14:paraId="403457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6D1B9D1">
            <w:pPr>
              <w:widowControl/>
              <w:jc w:val="left"/>
              <w:rPr>
                <w:rFonts w:hint="eastAsia" w:ascii="仿宋" w:hAnsi="仿宋" w:eastAsia="仿宋" w:cs="仿宋"/>
                <w:color w:val="auto"/>
                <w:kern w:val="0"/>
                <w:sz w:val="24"/>
                <w:highlight w:val="none"/>
              </w:rPr>
            </w:pPr>
          </w:p>
        </w:tc>
        <w:tc>
          <w:tcPr>
            <w:tcW w:w="1025" w:type="dxa"/>
            <w:vMerge w:val="continue"/>
            <w:vAlign w:val="center"/>
          </w:tcPr>
          <w:p w14:paraId="7FA2ACB1">
            <w:pPr>
              <w:widowControl/>
              <w:jc w:val="left"/>
              <w:rPr>
                <w:rFonts w:hint="eastAsia" w:ascii="仿宋" w:hAnsi="仿宋" w:eastAsia="仿宋" w:cs="仿宋"/>
                <w:color w:val="auto"/>
                <w:kern w:val="0"/>
                <w:sz w:val="24"/>
                <w:highlight w:val="none"/>
              </w:rPr>
            </w:pPr>
          </w:p>
        </w:tc>
        <w:tc>
          <w:tcPr>
            <w:tcW w:w="2836" w:type="dxa"/>
            <w:vMerge w:val="continue"/>
            <w:vAlign w:val="center"/>
          </w:tcPr>
          <w:p w14:paraId="2043F546">
            <w:pPr>
              <w:widowControl/>
              <w:jc w:val="left"/>
              <w:rPr>
                <w:rFonts w:hint="eastAsia" w:ascii="仿宋" w:hAnsi="仿宋" w:eastAsia="仿宋" w:cs="仿宋"/>
                <w:color w:val="auto"/>
                <w:kern w:val="0"/>
                <w:sz w:val="24"/>
                <w:highlight w:val="none"/>
              </w:rPr>
            </w:pPr>
          </w:p>
        </w:tc>
        <w:tc>
          <w:tcPr>
            <w:tcW w:w="606" w:type="dxa"/>
            <w:vAlign w:val="center"/>
          </w:tcPr>
          <w:p w14:paraId="0AD9A0F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5AE947C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20EDE2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9BCF11F">
            <w:pPr>
              <w:widowControl/>
              <w:jc w:val="left"/>
              <w:rPr>
                <w:rFonts w:hint="eastAsia" w:ascii="仿宋" w:hAnsi="仿宋" w:eastAsia="仿宋" w:cs="仿宋"/>
                <w:color w:val="auto"/>
                <w:kern w:val="0"/>
                <w:sz w:val="24"/>
                <w:highlight w:val="none"/>
              </w:rPr>
            </w:pPr>
          </w:p>
        </w:tc>
        <w:tc>
          <w:tcPr>
            <w:tcW w:w="1025" w:type="dxa"/>
            <w:vMerge w:val="restart"/>
            <w:vAlign w:val="center"/>
          </w:tcPr>
          <w:p w14:paraId="6CC7146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其他未包括的金融业</w:t>
            </w:r>
          </w:p>
        </w:tc>
        <w:tc>
          <w:tcPr>
            <w:tcW w:w="2836" w:type="dxa"/>
            <w:vMerge w:val="restart"/>
            <w:vAlign w:val="center"/>
          </w:tcPr>
          <w:p w14:paraId="24F4E3C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除贷款公司、小额贷款公司及典当行以外的其他金融机构</w:t>
            </w:r>
          </w:p>
        </w:tc>
        <w:tc>
          <w:tcPr>
            <w:tcW w:w="606" w:type="dxa"/>
            <w:vAlign w:val="center"/>
          </w:tcPr>
          <w:p w14:paraId="6AFE0EC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419AEE6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582A69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935F291">
            <w:pPr>
              <w:widowControl/>
              <w:jc w:val="left"/>
              <w:rPr>
                <w:rFonts w:hint="eastAsia" w:ascii="仿宋" w:hAnsi="仿宋" w:eastAsia="仿宋" w:cs="仿宋"/>
                <w:color w:val="auto"/>
                <w:kern w:val="0"/>
                <w:sz w:val="24"/>
                <w:highlight w:val="none"/>
              </w:rPr>
            </w:pPr>
          </w:p>
        </w:tc>
        <w:tc>
          <w:tcPr>
            <w:tcW w:w="1025" w:type="dxa"/>
            <w:vMerge w:val="continue"/>
            <w:vAlign w:val="center"/>
          </w:tcPr>
          <w:p w14:paraId="59275759">
            <w:pPr>
              <w:widowControl/>
              <w:jc w:val="left"/>
              <w:rPr>
                <w:rFonts w:hint="eastAsia" w:ascii="仿宋" w:hAnsi="仿宋" w:eastAsia="仿宋" w:cs="仿宋"/>
                <w:color w:val="auto"/>
                <w:kern w:val="0"/>
                <w:sz w:val="24"/>
                <w:highlight w:val="none"/>
              </w:rPr>
            </w:pPr>
          </w:p>
        </w:tc>
        <w:tc>
          <w:tcPr>
            <w:tcW w:w="2836" w:type="dxa"/>
            <w:vMerge w:val="continue"/>
            <w:vAlign w:val="center"/>
          </w:tcPr>
          <w:p w14:paraId="4837680D">
            <w:pPr>
              <w:widowControl/>
              <w:jc w:val="left"/>
              <w:rPr>
                <w:rFonts w:hint="eastAsia" w:ascii="仿宋" w:hAnsi="仿宋" w:eastAsia="仿宋" w:cs="仿宋"/>
                <w:color w:val="auto"/>
                <w:kern w:val="0"/>
                <w:sz w:val="24"/>
                <w:highlight w:val="none"/>
              </w:rPr>
            </w:pPr>
          </w:p>
        </w:tc>
        <w:tc>
          <w:tcPr>
            <w:tcW w:w="606" w:type="dxa"/>
            <w:vAlign w:val="center"/>
          </w:tcPr>
          <w:p w14:paraId="0CD791E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0BC1A16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0D78FF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8D99CFA">
            <w:pPr>
              <w:widowControl/>
              <w:jc w:val="left"/>
              <w:rPr>
                <w:rFonts w:hint="eastAsia" w:ascii="仿宋" w:hAnsi="仿宋" w:eastAsia="仿宋" w:cs="仿宋"/>
                <w:color w:val="auto"/>
                <w:kern w:val="0"/>
                <w:sz w:val="24"/>
                <w:highlight w:val="none"/>
              </w:rPr>
            </w:pPr>
          </w:p>
        </w:tc>
        <w:tc>
          <w:tcPr>
            <w:tcW w:w="1025" w:type="dxa"/>
            <w:vMerge w:val="continue"/>
            <w:vAlign w:val="center"/>
          </w:tcPr>
          <w:p w14:paraId="7721FABB">
            <w:pPr>
              <w:widowControl/>
              <w:jc w:val="left"/>
              <w:rPr>
                <w:rFonts w:hint="eastAsia" w:ascii="仿宋" w:hAnsi="仿宋" w:eastAsia="仿宋" w:cs="仿宋"/>
                <w:color w:val="auto"/>
                <w:kern w:val="0"/>
                <w:sz w:val="24"/>
                <w:highlight w:val="none"/>
              </w:rPr>
            </w:pPr>
          </w:p>
        </w:tc>
        <w:tc>
          <w:tcPr>
            <w:tcW w:w="2836" w:type="dxa"/>
            <w:vMerge w:val="continue"/>
            <w:vAlign w:val="center"/>
          </w:tcPr>
          <w:p w14:paraId="48DC1B69">
            <w:pPr>
              <w:widowControl/>
              <w:jc w:val="left"/>
              <w:rPr>
                <w:rFonts w:hint="eastAsia" w:ascii="仿宋" w:hAnsi="仿宋" w:eastAsia="仿宋" w:cs="仿宋"/>
                <w:color w:val="auto"/>
                <w:kern w:val="0"/>
                <w:sz w:val="24"/>
                <w:highlight w:val="none"/>
              </w:rPr>
            </w:pPr>
          </w:p>
        </w:tc>
        <w:tc>
          <w:tcPr>
            <w:tcW w:w="606" w:type="dxa"/>
            <w:vAlign w:val="center"/>
          </w:tcPr>
          <w:p w14:paraId="165DFA4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051121D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bl>
    <w:p w14:paraId="68C05286">
      <w:pPr>
        <w:rPr>
          <w:rFonts w:hint="eastAsia" w:ascii="仿宋" w:hAnsi="仿宋" w:eastAsia="仿宋" w:cs="仿宋"/>
          <w:color w:val="auto"/>
          <w:sz w:val="24"/>
          <w:highlight w:val="none"/>
        </w:rPr>
      </w:pPr>
    </w:p>
    <w:p w14:paraId="4B6735F7">
      <w:pPr>
        <w:ind w:firstLine="420" w:firstLineChars="200"/>
        <w:rPr>
          <w:rFonts w:hint="eastAsia" w:ascii="仿宋" w:hAnsi="仿宋" w:eastAsia="仿宋" w:cs="仿宋"/>
          <w:color w:val="auto"/>
          <w:highlight w:val="none"/>
        </w:rPr>
      </w:pPr>
    </w:p>
    <w:p w14:paraId="3A87C744">
      <w:pPr>
        <w:spacing w:line="360" w:lineRule="auto"/>
        <w:ind w:right="420"/>
        <w:rPr>
          <w:rFonts w:hint="eastAsia" w:ascii="仿宋" w:hAnsi="仿宋" w:eastAsia="仿宋" w:cs="仿宋"/>
          <w:color w:val="auto"/>
          <w:highlight w:val="none"/>
        </w:rPr>
      </w:pPr>
    </w:p>
    <w:p w14:paraId="1A53B208">
      <w:pPr>
        <w:spacing w:line="360" w:lineRule="auto"/>
        <w:rPr>
          <w:rFonts w:ascii="宋体" w:hAnsi="宋体" w:cs="宋体"/>
          <w:bCs/>
          <w:color w:val="auto"/>
          <w:sz w:val="24"/>
          <w:highlight w:val="none"/>
        </w:rPr>
      </w:pPr>
    </w:p>
    <w:p w14:paraId="14001A9A">
      <w:pPr>
        <w:rPr>
          <w:color w:val="auto"/>
          <w:highlight w:val="none"/>
        </w:rPr>
      </w:pPr>
    </w:p>
    <w:p w14:paraId="6492F847">
      <w:pPr>
        <w:rPr>
          <w:color w:val="auto"/>
          <w:highlight w:val="none"/>
        </w:rPr>
      </w:pPr>
    </w:p>
    <w:sectPr>
      <w:footerReference r:id="rId22" w:type="first"/>
      <w:footerReference r:id="rId20" w:type="default"/>
      <w:footerReference r:id="rId21" w:type="even"/>
      <w:pgSz w:w="11906" w:h="16838"/>
      <w:pgMar w:top="1276" w:right="1418" w:bottom="1247" w:left="1418" w:header="851" w:footer="992" w:gutter="0"/>
      <w:pgNumType w:fmt="decimal"/>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8"/>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Lucida Sans">
    <w:altName w:val="Lucida Sans Unicode"/>
    <w:panose1 w:val="020B0602030504020204"/>
    <w:charset w:val="00"/>
    <w:family w:val="swiss"/>
    <w:pitch w:val="default"/>
    <w:sig w:usb0="00000000" w:usb1="00000000" w:usb2="00000000" w:usb3="00000000" w:csb0="20000001" w:csb1="00000000"/>
  </w:font>
  <w:font w:name="Lucida Sans Unicode">
    <w:panose1 w:val="020B0602030504020204"/>
    <w:charset w:val="00"/>
    <w:family w:val="auto"/>
    <w:pitch w:val="default"/>
    <w:sig w:usb0="80001AFF" w:usb1="0000396B" w:usb2="00000000" w:usb3="00000000" w:csb0="200000BF" w:csb1="D7F70000"/>
  </w:font>
  <w:font w:name="Wingdings 2">
    <w:altName w:val="Wingdings"/>
    <w:panose1 w:val="05020102010507070707"/>
    <w:charset w:val="02"/>
    <w:family w:val="decorative"/>
    <w:pitch w:val="default"/>
    <w:sig w:usb0="00000000" w:usb1="00000000" w:usb2="00000000" w:usb3="00000000" w:csb0="80000000" w:csb1="00000000"/>
  </w:font>
  <w:font w:name="MS Gothic">
    <w:panose1 w:val="020B0609070205080204"/>
    <w:charset w:val="80"/>
    <w:family w:val="modern"/>
    <w:pitch w:val="default"/>
    <w:sig w:usb0="E00002FF" w:usb1="6AC7FDFB" w:usb2="08000012" w:usb3="00000000" w:csb0="4002009F" w:csb1="DFD70000"/>
  </w:font>
  <w:font w:name="Helvetica">
    <w:altName w:val="Arial"/>
    <w:panose1 w:val="020B0604020000020204"/>
    <w:charset w:val="00"/>
    <w:family w:val="swiss"/>
    <w:pitch w:val="default"/>
    <w:sig w:usb0="00000000" w:usb1="00000000" w:usb2="00000000" w:usb3="00000000" w:csb0="00000001" w:csb1="00000000"/>
  </w:font>
  <w:font w:name="方正小标宋简体">
    <w:altName w:val="黑体"/>
    <w:panose1 w:val="03000509000000000000"/>
    <w:charset w:val="86"/>
    <w:family w:val="auto"/>
    <w:pitch w:val="default"/>
    <w:sig w:usb0="00000000" w:usb1="00000000" w:usb2="00000000" w:usb3="00000000" w:csb0="00040000" w:csb1="00000000"/>
  </w:font>
  <w:font w:name="Kingsoft UE">
    <w:panose1 w:val="02000100010000000000"/>
    <w:charset w:val="00"/>
    <w:family w:val="auto"/>
    <w:pitch w:val="default"/>
    <w:sig w:usb0="00000001" w:usb1="00004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E22994">
    <w:pPr>
      <w:pStyle w:val="13"/>
      <w:framePr w:wrap="around" w:vAnchor="text" w:hAnchor="margin" w:xAlign="right" w:y="1"/>
      <w:rPr>
        <w:rStyle w:val="18"/>
      </w:rPr>
    </w:pPr>
    <w:r>
      <w:fldChar w:fldCharType="begin"/>
    </w:r>
    <w:r>
      <w:rPr>
        <w:rStyle w:val="18"/>
      </w:rPr>
      <w:instrText xml:space="preserve">PAGE  </w:instrText>
    </w:r>
    <w:r>
      <w:fldChar w:fldCharType="end"/>
    </w:r>
  </w:p>
  <w:p w14:paraId="2947FC28">
    <w:pPr>
      <w:pStyle w:val="13"/>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9B616A">
    <w:pPr>
      <w:pStyle w:val="13"/>
      <w:jc w:val="center"/>
      <w:rPr>
        <w:rFonts w:ascii="仿宋_GB2312" w:eastAsia="仿宋_GB2312"/>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E739452">
                          <w:pPr>
                            <w:pStyle w:val="13"/>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58</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6E739452">
                    <w:pPr>
                      <w:pStyle w:val="13"/>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58</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p w14:paraId="57B46389">
    <w:pPr>
      <w:rPr>
        <w:rFonts w:ascii="仿宋_GB2312" w:eastAsia="仿宋_GB2312"/>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87186B">
    <w:pPr>
      <w:pStyle w:val="13"/>
      <w:jc w:val="center"/>
      <w:rPr>
        <w:rFonts w:ascii="仿宋_GB2312" w:eastAsia="仿宋_GB2312"/>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E4F591D">
                          <w:pPr>
                            <w:pStyle w:val="13"/>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57</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14:paraId="2E4F591D">
                    <w:pPr>
                      <w:pStyle w:val="13"/>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57</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p w14:paraId="5AB48256">
    <w:pPr>
      <w:rPr>
        <w:rFonts w:ascii="仿宋_GB2312" w:eastAsia="仿宋_GB2312"/>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5D3E92">
    <w:pPr>
      <w:pStyle w:val="13"/>
      <w:jc w:val="center"/>
      <w:rPr>
        <w:rFonts w:ascii="仿宋_GB2312" w:eastAsia="仿宋_GB2312"/>
      </w:rPr>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1943256">
                          <w:pPr>
                            <w:pStyle w:val="13"/>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58</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14:paraId="61943256">
                    <w:pPr>
                      <w:pStyle w:val="13"/>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58</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p w14:paraId="03A4D3F7">
    <w:pPr>
      <w:rPr>
        <w:rFonts w:ascii="仿宋_GB2312" w:eastAsia="仿宋_GB2312"/>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ECE26A">
    <w:pPr>
      <w:pStyle w:val="13"/>
      <w:jc w:val="center"/>
      <w:rPr>
        <w:rFonts w:ascii="仿宋_GB2312" w:eastAsia="仿宋_GB2312"/>
      </w:rPr>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561562C">
                          <w:pPr>
                            <w:pStyle w:val="13"/>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57</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KVIPQyAgAAY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pUg9DICAABhBAAADgAAAAAAAAABACAAAAAfAQAAZHJzL2Uyb0RvYy54bWxQSwUG&#10;AAAAAAYABgBZAQAAwwUAAAAA&#10;">
              <v:fill on="f" focussize="0,0"/>
              <v:stroke on="f" weight="0.5pt"/>
              <v:imagedata o:title=""/>
              <o:lock v:ext="edit" aspectratio="f"/>
              <v:textbox inset="0mm,0mm,0mm,0mm" style="mso-fit-shape-to-text:t;">
                <w:txbxContent>
                  <w:p w14:paraId="2561562C">
                    <w:pPr>
                      <w:pStyle w:val="13"/>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57</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p w14:paraId="6CEB531A">
    <w:pPr>
      <w:rPr>
        <w:rFonts w:ascii="仿宋_GB2312" w:eastAsia="仿宋_GB2312"/>
      </w:rP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55D615">
    <w:pPr>
      <w:pStyle w:val="13"/>
      <w:jc w:val="center"/>
      <w:rPr>
        <w:rFonts w:ascii="仿宋_GB2312" w:eastAsia="仿宋_GB2312"/>
        <w:szCs w:val="24"/>
      </w:rP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141513E">
                          <w:pPr>
                            <w:pStyle w:val="13"/>
                            <w:jc w:val="cente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r>
                            <w:rPr>
                              <w:rFonts w:hint="eastAsia" w:ascii="仿宋_GB2312" w:eastAsia="仿宋_GB2312"/>
                              <w:kern w:val="0"/>
                              <w:szCs w:val="21"/>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14:paraId="5141513E">
                    <w:pPr>
                      <w:pStyle w:val="13"/>
                      <w:jc w:val="cente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r>
                      <w:rPr>
                        <w:rFonts w:hint="eastAsia" w:ascii="仿宋_GB2312" w:eastAsia="仿宋_GB2312"/>
                        <w:kern w:val="0"/>
                        <w:szCs w:val="21"/>
                      </w:rPr>
                      <w:t xml:space="preserve"> 页</w:t>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97F547">
    <w:pPr>
      <w:pStyle w:val="13"/>
      <w:framePr w:wrap="around" w:vAnchor="text" w:hAnchor="margin" w:xAlign="right" w:y="1"/>
      <w:rPr>
        <w:rStyle w:val="18"/>
      </w:rPr>
    </w:pPr>
    <w:r>
      <w:fldChar w:fldCharType="begin"/>
    </w:r>
    <w:r>
      <w:rPr>
        <w:rStyle w:val="18"/>
      </w:rPr>
      <w:instrText xml:space="preserve">PAGE  </w:instrText>
    </w:r>
    <w:r>
      <w:fldChar w:fldCharType="end"/>
    </w:r>
  </w:p>
  <w:p w14:paraId="00080EAE">
    <w:pPr>
      <w:pStyle w:val="13"/>
      <w:ind w:right="360"/>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BF0C22">
    <w:pPr>
      <w:pStyle w:val="13"/>
      <w:jc w:val="center"/>
      <w:rPr>
        <w:rFonts w:ascii="仿宋_GB2312" w:eastAsia="仿宋_GB2312"/>
      </w:rP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86948C9">
                          <w:pPr>
                            <w:pStyle w:val="13"/>
                            <w:jc w:val="cente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59</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bookmarkStart w:id="189" w:name="_Toc164085800"/>
                          <w:bookmarkStart w:id="190" w:name="_Toc91899912"/>
                          <w:bookmarkStart w:id="191" w:name="_Toc36110187"/>
                          <w:bookmarkStart w:id="192" w:name="_Toc131845147"/>
                          <w:r>
                            <w:rPr>
                              <w:rFonts w:hint="eastAsia" w:ascii="仿宋_GB2312" w:eastAsia="仿宋_GB2312"/>
                              <w:kern w:val="0"/>
                              <w:szCs w:val="21"/>
                            </w:rPr>
                            <w:t xml:space="preserve"> 页</w:t>
                          </w:r>
                          <w:bookmarkEnd w:id="189"/>
                          <w:bookmarkEnd w:id="190"/>
                          <w:bookmarkEnd w:id="191"/>
                          <w:bookmarkEnd w:id="192"/>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14:paraId="686948C9">
                    <w:pPr>
                      <w:pStyle w:val="13"/>
                      <w:jc w:val="cente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59</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bookmarkStart w:id="189" w:name="_Toc164085800"/>
                    <w:bookmarkStart w:id="190" w:name="_Toc91899912"/>
                    <w:bookmarkStart w:id="191" w:name="_Toc36110187"/>
                    <w:bookmarkStart w:id="192" w:name="_Toc131845147"/>
                    <w:r>
                      <w:rPr>
                        <w:rFonts w:hint="eastAsia" w:ascii="仿宋_GB2312" w:eastAsia="仿宋_GB2312"/>
                        <w:kern w:val="0"/>
                        <w:szCs w:val="21"/>
                      </w:rPr>
                      <w:t xml:space="preserve"> 页</w:t>
                    </w:r>
                    <w:bookmarkEnd w:id="189"/>
                    <w:bookmarkEnd w:id="190"/>
                    <w:bookmarkEnd w:id="191"/>
                    <w:bookmarkEnd w:id="192"/>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9F11B2">
    <w:pPr>
      <w:pStyle w:val="13"/>
      <w:jc w:val="center"/>
      <w:rPr>
        <w:rFonts w:ascii="仿宋_GB2312" w:eastAsia="仿宋_GB231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70AFD0">
    <w:pPr>
      <w:pStyle w:val="13"/>
      <w:jc w:val="center"/>
      <w:rPr>
        <w:rFonts w:ascii="仿宋_GB2312" w:eastAsia="仿宋_GB2312"/>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DF47C70">
                          <w:pPr>
                            <w:pStyle w:val="13"/>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23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6DF47C70">
                    <w:pPr>
                      <w:pStyle w:val="13"/>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23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600410">
    <w:pPr>
      <w:pStyle w:val="13"/>
      <w:jc w:val="center"/>
      <w:rPr>
        <w:rFonts w:hint="eastAsia"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28</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70</w:t>
    </w:r>
    <w:r>
      <w:rPr>
        <w:rFonts w:hint="eastAsia" w:ascii="仿宋_GB2312" w:eastAsia="仿宋_GB2312"/>
        <w:kern w:val="0"/>
      </w:rPr>
      <w:fldChar w:fldCharType="end"/>
    </w:r>
    <w:r>
      <w:rPr>
        <w:rFonts w:hint="eastAsia" w:ascii="仿宋_GB2312" w:eastAsia="仿宋_GB2312"/>
        <w:kern w:val="0"/>
      </w:rPr>
      <w:t xml:space="preserve"> 页</w:t>
    </w:r>
  </w:p>
  <w:p w14:paraId="3FB9867B">
    <w:pPr>
      <w:rPr>
        <w:rFonts w:hint="eastAsia"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599C04">
    <w:pPr>
      <w:pStyle w:val="13"/>
      <w:jc w:val="center"/>
      <w:rPr>
        <w:rFonts w:hint="eastAsia" w:ascii="仿宋_GB2312" w:eastAsia="仿宋_GB2312"/>
      </w:rPr>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14:paraId="20F8E907">
                          <w:pPr>
                            <w:pStyle w:val="13"/>
                            <w:jc w:val="center"/>
                          </w:pPr>
                          <w:r>
                            <w:fldChar w:fldCharType="begin"/>
                          </w:r>
                          <w:r>
                            <w:instrText xml:space="preserve"> PAGE  \* MERGEFORMAT </w:instrText>
                          </w:r>
                          <w:r>
                            <w:fldChar w:fldCharType="separate"/>
                          </w:r>
                          <w:r>
                            <w:t>85</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BoaYJL0wAAAAUBAAAPAAAAAAAAAAEAIAAAACIAAABk&#10;cnMvZG93bnJldi54bWxQSwECFAAUAAAACACHTuJA3VQoz9IBAAClAwAADgAAAAAAAAABACAAAAAi&#10;AQAAZHJzL2Uyb0RvYy54bWxQSwUGAAAAAAYABgBZAQAAZgUAAAAA&#10;">
              <v:fill on="f" focussize="0,0"/>
              <v:stroke on="f" weight="1.25pt"/>
              <v:imagedata o:title=""/>
              <o:lock v:ext="edit" aspectratio="f"/>
              <v:textbox inset="0mm,0mm,0mm,0mm" style="mso-fit-shape-to-text:t;">
                <w:txbxContent>
                  <w:p w14:paraId="20F8E907">
                    <w:pPr>
                      <w:pStyle w:val="13"/>
                      <w:jc w:val="center"/>
                    </w:pPr>
                    <w:r>
                      <w:fldChar w:fldCharType="begin"/>
                    </w:r>
                    <w:r>
                      <w:instrText xml:space="preserve"> PAGE  \* MERGEFORMAT </w:instrText>
                    </w:r>
                    <w:r>
                      <w:fldChar w:fldCharType="separate"/>
                    </w:r>
                    <w:r>
                      <w:t>85</w:t>
                    </w:r>
                    <w:r>
                      <w:fldChar w:fldCharType="end"/>
                    </w:r>
                  </w:p>
                </w:txbxContent>
              </v:textbox>
            </v:shape>
          </w:pict>
        </mc:Fallback>
      </mc:AlternateContent>
    </w:r>
  </w:p>
  <w:p w14:paraId="44448288">
    <w:pPr>
      <w:rPr>
        <w:rFonts w:hint="eastAsia"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0668CF">
    <w:pPr>
      <w:pStyle w:val="13"/>
      <w:framePr w:wrap="around" w:vAnchor="text" w:hAnchor="margin" w:xAlign="right" w:y="1"/>
      <w:rPr>
        <w:rStyle w:val="18"/>
      </w:rPr>
    </w:pPr>
    <w:r>
      <w:fldChar w:fldCharType="begin"/>
    </w:r>
    <w:r>
      <w:rPr>
        <w:rStyle w:val="18"/>
      </w:rPr>
      <w:instrText xml:space="preserve">PAGE  </w:instrText>
    </w:r>
    <w:r>
      <w:fldChar w:fldCharType="separate"/>
    </w:r>
    <w:r>
      <w:fldChar w:fldCharType="end"/>
    </w:r>
  </w:p>
  <w:p w14:paraId="6147B23D">
    <w:pPr>
      <w:pStyle w:val="13"/>
      <w:ind w:right="360"/>
    </w:pPr>
  </w:p>
  <w:p w14:paraId="0BB21051"/>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37549D">
    <w:pPr>
      <w:pStyle w:val="13"/>
      <w:jc w:val="center"/>
      <w:rPr>
        <w:rFonts w:hint="eastAsia" w:ascii="仿宋_GB2312" w:eastAsia="仿宋_GB2312"/>
      </w:rPr>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14:paraId="7D36B6FE">
                          <w:pPr>
                            <w:pStyle w:val="13"/>
                            <w:jc w:val="center"/>
                          </w:pPr>
                          <w:r>
                            <w:fldChar w:fldCharType="begin"/>
                          </w:r>
                          <w:r>
                            <w:instrText xml:space="preserve"> PAGE  \* MERGEFORMAT </w:instrText>
                          </w:r>
                          <w:r>
                            <w:fldChar w:fldCharType="separate"/>
                          </w:r>
                          <w:r>
                            <w:t>84</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BoaYJL0wAAAAUBAAAPAAAAAAAAAAEAIAAAACIAAABk&#10;cnMvZG93bnJldi54bWxQSwECFAAUAAAACACHTuJAUD9+1dIBAAClAwAADgAAAAAAAAABACAAAAAi&#10;AQAAZHJzL2Uyb0RvYy54bWxQSwUGAAAAAAYABgBZAQAAZgUAAAAA&#10;">
              <v:fill on="f" focussize="0,0"/>
              <v:stroke on="f" weight="1.25pt"/>
              <v:imagedata o:title=""/>
              <o:lock v:ext="edit" aspectratio="f"/>
              <v:textbox inset="0mm,0mm,0mm,0mm" style="mso-fit-shape-to-text:t;">
                <w:txbxContent>
                  <w:p w14:paraId="7D36B6FE">
                    <w:pPr>
                      <w:pStyle w:val="13"/>
                      <w:jc w:val="center"/>
                    </w:pPr>
                    <w:r>
                      <w:fldChar w:fldCharType="begin"/>
                    </w:r>
                    <w:r>
                      <w:instrText xml:space="preserve"> PAGE  \* MERGEFORMAT </w:instrText>
                    </w:r>
                    <w:r>
                      <w:fldChar w:fldCharType="separate"/>
                    </w:r>
                    <w:r>
                      <w:t>84</w:t>
                    </w:r>
                    <w:r>
                      <w:fldChar w:fldCharType="end"/>
                    </w:r>
                  </w:p>
                </w:txbxContent>
              </v:textbox>
            </v:shape>
          </w:pict>
        </mc:Fallback>
      </mc:AlternateContent>
    </w:r>
  </w:p>
  <w:p w14:paraId="1A637CA6">
    <w:pPr>
      <w:rPr>
        <w:rFonts w:hint="eastAsia" w:ascii="仿宋_GB2312" w:eastAsia="仿宋_GB231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32D232">
    <w:pPr>
      <w:pStyle w:val="13"/>
      <w:jc w:val="center"/>
      <w:rPr>
        <w:rFonts w:ascii="仿宋_GB2312" w:eastAsia="仿宋_GB2312"/>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18BEE98">
                          <w:pPr>
                            <w:pStyle w:val="13"/>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318BEE98">
                    <w:pPr>
                      <w:pStyle w:val="13"/>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p w14:paraId="404B95BC">
    <w:pPr>
      <w:rPr>
        <w:rFonts w:ascii="仿宋_GB2312" w:eastAsia="仿宋_GB231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7D74B6">
    <w:pPr>
      <w:pStyle w:val="13"/>
      <w:jc w:val="center"/>
      <w:rPr>
        <w:rFonts w:ascii="仿宋_GB2312" w:eastAsia="仿宋_GB2312"/>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80E1A14">
                          <w:pPr>
                            <w:pStyle w:val="13"/>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780E1A14">
                    <w:pPr>
                      <w:pStyle w:val="13"/>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p w14:paraId="34A3364B">
    <w:pPr>
      <w:rPr>
        <w:rFonts w:ascii="仿宋_GB2312" w:eastAsia="仿宋_GB2312"/>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B1C35B">
    <w:pPr>
      <w:pStyle w:val="14"/>
      <w:jc w:val="left"/>
      <w:rPr>
        <w:lang w:val="en-US"/>
      </w:rPr>
    </w:pPr>
    <w:r>
      <w:rPr>
        <w:rFonts w:hint="eastAsia" w:ascii="仿宋" w:hAnsi="仿宋" w:eastAsia="仿宋" w:cs="仿宋"/>
        <w:lang w:eastAsia="zh-CN"/>
      </w:rPr>
      <w:t>宁波建信工程造价咨询事务所有限公司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 </w:t>
    </w:r>
    <w:r>
      <w:rPr>
        <w:rFonts w:hint="eastAsia" w:ascii="仿宋" w:hAnsi="仿宋" w:eastAsia="仿宋" w:cs="仿宋"/>
        <w:lang w:val="en-US" w:eastAsia="zh-CN"/>
      </w:rPr>
      <w:t xml:space="preserve">[2025]1527-1号 </w:t>
    </w:r>
    <w:r>
      <w:rPr>
        <w:rFonts w:hint="eastAsia" w:ascii="仿宋" w:hAnsi="仿宋" w:eastAsia="仿宋" w:cs="仿宋"/>
      </w:rPr>
      <w:t xml:space="preserve"> </w:t>
    </w:r>
    <w:r>
      <w:rPr>
        <w:rFonts w:hint="eastAsia" w:ascii="仿宋" w:hAnsi="仿宋" w:eastAsia="仿宋" w:cs="仿宋"/>
        <w:lang w:val="en-US" w:eastAsia="zh-CN"/>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F301B9">
    <w:pPr>
      <w:pStyle w:val="14"/>
      <w:jc w:val="left"/>
      <w:rPr>
        <w:rFonts w:ascii="仿宋_GB2312" w:eastAsia="仿宋_GB2312"/>
        <w:b w:val="0"/>
        <w:i/>
        <w:sz w:val="18"/>
        <w:u w:val="single"/>
        <w:lang w:val="en-US"/>
      </w:rPr>
    </w:pPr>
    <w:r>
      <w:rPr>
        <w:rFonts w:hint="eastAsia" w:ascii="仿宋" w:hAnsi="仿宋" w:eastAsia="仿宋" w:cs="仿宋"/>
        <w:lang w:eastAsia="zh-CN"/>
      </w:rPr>
      <w:t>宁波建信工程造价咨询事务所有限公司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文件编号: </w:t>
    </w:r>
    <w:r>
      <w:rPr>
        <w:rFonts w:hint="eastAsia" w:ascii="仿宋" w:hAnsi="仿宋" w:eastAsia="仿宋" w:cs="仿宋"/>
        <w:lang w:val="en-US" w:eastAsia="zh-CN"/>
      </w:rPr>
      <w:t xml:space="preserve">[2025]1527-1号 </w:t>
    </w:r>
  </w:p>
  <w:p w14:paraId="616CE500">
    <w:pPr>
      <w:pStyle w:val="14"/>
      <w:pBdr>
        <w:bottom w:val="none" w:color="auto" w:sz="0" w:space="0"/>
      </w:pBdr>
      <w:tabs>
        <w:tab w:val="clear" w:pos="4153"/>
        <w:tab w:val="clear" w:pos="8306"/>
      </w:tabs>
      <w:jc w:val="both"/>
    </w:pPr>
  </w:p>
  <w:p w14:paraId="446E3D76">
    <w:pPr>
      <w:pStyle w:val="14"/>
      <w:pBdr>
        <w:bottom w:val="none" w:color="auto" w:sz="0" w:space="0"/>
      </w:pBdr>
      <w:tabs>
        <w:tab w:val="clear" w:pos="4153"/>
        <w:tab w:val="clear" w:pos="8306"/>
      </w:tabs>
      <w:jc w:val="both"/>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6E8B04">
    <w:pPr>
      <w:pStyle w:val="14"/>
    </w:pPr>
  </w:p>
  <w:p w14:paraId="44E1F26B"/>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B1F126">
    <w:pPr>
      <w:pStyle w:val="14"/>
      <w:jc w:val="left"/>
    </w:pPr>
    <w:r>
      <w:rPr>
        <w:rFonts w:hint="eastAsia" w:ascii="仿宋" w:hAnsi="仿宋" w:eastAsia="仿宋" w:cs="仿宋"/>
        <w:lang w:eastAsia="zh-CN"/>
      </w:rPr>
      <w:t>宁波建信工程造价咨询事务所有限公司</w:t>
    </w:r>
    <w:r>
      <w:rPr>
        <w:rFonts w:hint="eastAsia" w:ascii="仿宋" w:hAnsi="仿宋" w:eastAsia="仿宋" w:cs="仿宋"/>
        <w:lang w:val="en-US" w:eastAsia="zh-CN"/>
      </w:rPr>
      <w:t xml:space="preserve">                                      </w:t>
    </w:r>
    <w:r>
      <w:rPr>
        <w:rFonts w:hint="eastAsia" w:ascii="仿宋" w:hAnsi="仿宋" w:eastAsia="仿宋" w:cs="仿宋"/>
        <w:lang w:eastAsia="zh-CN"/>
      </w:rPr>
      <w:t>文件编号: [2025]1527-1号</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F8A1FD1"/>
    <w:multiLevelType w:val="singleLevel"/>
    <w:tmpl w:val="DF8A1FD1"/>
    <w:lvl w:ilvl="0" w:tentative="0">
      <w:start w:val="1"/>
      <w:numFmt w:val="decimal"/>
      <w:suff w:val="nothing"/>
      <w:lvlText w:val="（%1）"/>
      <w:lvlJc w:val="left"/>
    </w:lvl>
  </w:abstractNum>
  <w:abstractNum w:abstractNumId="1">
    <w:nsid w:val="00000000"/>
    <w:multiLevelType w:val="singleLevel"/>
    <w:tmpl w:val="00000000"/>
    <w:lvl w:ilvl="0" w:tentative="0">
      <w:start w:val="1"/>
      <w:numFmt w:val="decimal"/>
      <w:suff w:val="nothing"/>
      <w:lvlText w:val="（%1）"/>
      <w:lvlJc w:val="left"/>
    </w:lvl>
  </w:abstractNum>
  <w:abstractNum w:abstractNumId="2">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3">
    <w:nsid w:val="3F4D5792"/>
    <w:multiLevelType w:val="singleLevel"/>
    <w:tmpl w:val="3F4D5792"/>
    <w:lvl w:ilvl="0" w:tentative="0">
      <w:start w:val="1"/>
      <w:numFmt w:val="decimal"/>
      <w:pStyle w:val="5"/>
      <w:lvlText w:val="%1."/>
      <w:lvlJc w:val="left"/>
      <w:pPr>
        <w:tabs>
          <w:tab w:val="left" w:pos="780"/>
        </w:tabs>
        <w:ind w:left="780" w:hanging="360"/>
      </w:pPr>
    </w:lvl>
  </w:abstractNum>
  <w:abstractNum w:abstractNumId="4">
    <w:nsid w:val="7BAB28AE"/>
    <w:multiLevelType w:val="singleLevel"/>
    <w:tmpl w:val="7BAB28AE"/>
    <w:lvl w:ilvl="0" w:tentative="0">
      <w:start w:val="1"/>
      <w:numFmt w:val="decimal"/>
      <w:pStyle w:val="6"/>
      <w:lvlText w:val="%1."/>
      <w:lvlJc w:val="left"/>
      <w:pPr>
        <w:tabs>
          <w:tab w:val="left" w:pos="360"/>
        </w:tabs>
        <w:ind w:left="360" w:hanging="360"/>
      </w:pPr>
    </w:lvl>
  </w:abstractNum>
  <w:num w:numId="1">
    <w:abstractNumId w:val="3"/>
  </w:num>
  <w:num w:numId="2">
    <w:abstractNumId w:val="4"/>
  </w:num>
  <w:num w:numId="3">
    <w:abstractNumId w:val="0"/>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1"/>
  <w:bordersDoNotSurroundFooter w:val="1"/>
  <w:documentProtection w:edit="comments"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1AA7453"/>
    <w:rsid w:val="01AA7453"/>
    <w:rsid w:val="0323497B"/>
    <w:rsid w:val="037B7F18"/>
    <w:rsid w:val="06367DD0"/>
    <w:rsid w:val="08236132"/>
    <w:rsid w:val="09143080"/>
    <w:rsid w:val="0A301518"/>
    <w:rsid w:val="0A7E1D45"/>
    <w:rsid w:val="0B072C11"/>
    <w:rsid w:val="0D10137A"/>
    <w:rsid w:val="0D7731A8"/>
    <w:rsid w:val="0DF401D4"/>
    <w:rsid w:val="0E1C7049"/>
    <w:rsid w:val="0E2F38BE"/>
    <w:rsid w:val="0F6675D0"/>
    <w:rsid w:val="10EA1EE2"/>
    <w:rsid w:val="110E1FBA"/>
    <w:rsid w:val="116E2B13"/>
    <w:rsid w:val="11DA4BDC"/>
    <w:rsid w:val="127840D2"/>
    <w:rsid w:val="12D33E16"/>
    <w:rsid w:val="15B036FB"/>
    <w:rsid w:val="180F7B81"/>
    <w:rsid w:val="181F6915"/>
    <w:rsid w:val="18AE7C99"/>
    <w:rsid w:val="1B551210"/>
    <w:rsid w:val="1D2572EE"/>
    <w:rsid w:val="1DE32193"/>
    <w:rsid w:val="1E48649A"/>
    <w:rsid w:val="1FF73CD4"/>
    <w:rsid w:val="20832DF2"/>
    <w:rsid w:val="21F030D1"/>
    <w:rsid w:val="236D2C2B"/>
    <w:rsid w:val="24C350DB"/>
    <w:rsid w:val="252E39D5"/>
    <w:rsid w:val="253634F0"/>
    <w:rsid w:val="25F42697"/>
    <w:rsid w:val="265E11E3"/>
    <w:rsid w:val="283D61A0"/>
    <w:rsid w:val="2CF30308"/>
    <w:rsid w:val="2D92328E"/>
    <w:rsid w:val="2DDE305F"/>
    <w:rsid w:val="2F475ACE"/>
    <w:rsid w:val="32917FB8"/>
    <w:rsid w:val="32CA473F"/>
    <w:rsid w:val="32F6606D"/>
    <w:rsid w:val="339935C8"/>
    <w:rsid w:val="36891AAE"/>
    <w:rsid w:val="36D06BE7"/>
    <w:rsid w:val="383B18DD"/>
    <w:rsid w:val="38864D4B"/>
    <w:rsid w:val="38CD7870"/>
    <w:rsid w:val="39010E11"/>
    <w:rsid w:val="396C77AD"/>
    <w:rsid w:val="398C14D9"/>
    <w:rsid w:val="3A231E3E"/>
    <w:rsid w:val="3AD849D6"/>
    <w:rsid w:val="3B4F27BE"/>
    <w:rsid w:val="3B554279"/>
    <w:rsid w:val="3E925F20"/>
    <w:rsid w:val="3EFE6FA3"/>
    <w:rsid w:val="413D27C5"/>
    <w:rsid w:val="422C1AAB"/>
    <w:rsid w:val="432C269E"/>
    <w:rsid w:val="43543068"/>
    <w:rsid w:val="439412C6"/>
    <w:rsid w:val="439D6A50"/>
    <w:rsid w:val="469320F9"/>
    <w:rsid w:val="46BB51AC"/>
    <w:rsid w:val="47F00E85"/>
    <w:rsid w:val="48641319"/>
    <w:rsid w:val="48F7696F"/>
    <w:rsid w:val="490D6193"/>
    <w:rsid w:val="49900B72"/>
    <w:rsid w:val="4A3B288C"/>
    <w:rsid w:val="4BBE2935"/>
    <w:rsid w:val="4BDC646C"/>
    <w:rsid w:val="4EA12ED9"/>
    <w:rsid w:val="51E7154B"/>
    <w:rsid w:val="53C52D94"/>
    <w:rsid w:val="53DC3A3D"/>
    <w:rsid w:val="54AA19D8"/>
    <w:rsid w:val="556E6C3D"/>
    <w:rsid w:val="558B425A"/>
    <w:rsid w:val="56352885"/>
    <w:rsid w:val="58141337"/>
    <w:rsid w:val="5A623E64"/>
    <w:rsid w:val="5AA601F5"/>
    <w:rsid w:val="5B6D2AE6"/>
    <w:rsid w:val="5E781EA8"/>
    <w:rsid w:val="5EDB4D61"/>
    <w:rsid w:val="5F6708A7"/>
    <w:rsid w:val="60AC578B"/>
    <w:rsid w:val="60EC300C"/>
    <w:rsid w:val="64322AF9"/>
    <w:rsid w:val="65297916"/>
    <w:rsid w:val="661E426D"/>
    <w:rsid w:val="66BF6DE4"/>
    <w:rsid w:val="677C564E"/>
    <w:rsid w:val="67CC5E05"/>
    <w:rsid w:val="696075A1"/>
    <w:rsid w:val="697D6030"/>
    <w:rsid w:val="699B0CF5"/>
    <w:rsid w:val="6A1A7CF2"/>
    <w:rsid w:val="6ACD0E86"/>
    <w:rsid w:val="6B0F4184"/>
    <w:rsid w:val="6BEA3CBA"/>
    <w:rsid w:val="6EAF6E1E"/>
    <w:rsid w:val="70E2735A"/>
    <w:rsid w:val="71092E34"/>
    <w:rsid w:val="74CB28DA"/>
    <w:rsid w:val="74D01C2F"/>
    <w:rsid w:val="76D87530"/>
    <w:rsid w:val="787D213D"/>
    <w:rsid w:val="7937695C"/>
    <w:rsid w:val="7B13774E"/>
    <w:rsid w:val="7CB400F8"/>
    <w:rsid w:val="7DBF3B66"/>
    <w:rsid w:val="7E0155BF"/>
    <w:rsid w:val="7EE97D42"/>
    <w:rsid w:val="7F445E2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qFormat="1"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qFormat="1"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4">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character" w:default="1" w:styleId="17">
    <w:name w:val="Default Paragraph Font"/>
    <w:semiHidden/>
    <w:qFormat/>
    <w:uiPriority w:val="0"/>
  </w:style>
  <w:style w:type="table" w:default="1" w:styleId="15">
    <w:name w:val="Normal Table"/>
    <w:semiHidden/>
    <w:qFormat/>
    <w:uiPriority w:val="0"/>
    <w:tblPr>
      <w:tblCellMar>
        <w:top w:w="0" w:type="dxa"/>
        <w:left w:w="108" w:type="dxa"/>
        <w:bottom w:w="0" w:type="dxa"/>
        <w:right w:w="108" w:type="dxa"/>
      </w:tblCellMar>
    </w:tblPr>
  </w:style>
  <w:style w:type="paragraph" w:customStyle="1" w:styleId="2">
    <w:name w:val="样式 行距: 1.5 倍行距"/>
    <w:basedOn w:val="1"/>
    <w:qFormat/>
    <w:uiPriority w:val="0"/>
    <w:pPr>
      <w:spacing w:before="100" w:beforeAutospacing="1" w:after="100" w:afterAutospacing="1" w:line="360" w:lineRule="auto"/>
      <w:ind w:left="851" w:hanging="431"/>
      <w:jc w:val="left"/>
    </w:pPr>
    <w:rPr>
      <w:rFonts w:cs="宋体"/>
      <w:sz w:val="28"/>
      <w:szCs w:val="28"/>
    </w:rPr>
  </w:style>
  <w:style w:type="paragraph" w:styleId="5">
    <w:name w:val="List Number 2"/>
    <w:basedOn w:val="1"/>
    <w:qFormat/>
    <w:uiPriority w:val="0"/>
    <w:pPr>
      <w:numPr>
        <w:ilvl w:val="0"/>
        <w:numId w:val="1"/>
      </w:numPr>
    </w:pPr>
  </w:style>
  <w:style w:type="paragraph" w:styleId="6">
    <w:name w:val="List Number"/>
    <w:basedOn w:val="1"/>
    <w:qFormat/>
    <w:uiPriority w:val="0"/>
    <w:pPr>
      <w:numPr>
        <w:ilvl w:val="0"/>
        <w:numId w:val="2"/>
      </w:numPr>
    </w:pPr>
  </w:style>
  <w:style w:type="paragraph" w:styleId="7">
    <w:name w:val="annotation text"/>
    <w:basedOn w:val="1"/>
    <w:qFormat/>
    <w:uiPriority w:val="99"/>
    <w:pPr>
      <w:jc w:val="left"/>
    </w:pPr>
  </w:style>
  <w:style w:type="paragraph" w:styleId="8">
    <w:name w:val="Body Text"/>
    <w:basedOn w:val="1"/>
    <w:next w:val="9"/>
    <w:qFormat/>
    <w:uiPriority w:val="0"/>
    <w:pPr>
      <w:autoSpaceDE w:val="0"/>
      <w:autoSpaceDN w:val="0"/>
      <w:spacing w:line="360" w:lineRule="auto"/>
    </w:pPr>
    <w:rPr>
      <w:rFonts w:ascii="宋体" w:hAnsi="Arial" w:cs="Arial"/>
      <w:snapToGrid w:val="0"/>
      <w:sz w:val="24"/>
      <w:szCs w:val="21"/>
      <w:lang w:val="zh-CN"/>
    </w:rPr>
  </w:style>
  <w:style w:type="paragraph" w:styleId="9">
    <w:name w:val="Body Text First Indent"/>
    <w:basedOn w:val="8"/>
    <w:next w:val="8"/>
    <w:qFormat/>
    <w:uiPriority w:val="0"/>
    <w:pPr>
      <w:ind w:firstLine="420"/>
    </w:pPr>
    <w:rPr>
      <w:rFonts w:hAnsi="Calibri" w:cs="Times New Roman"/>
      <w:snapToGrid/>
      <w:szCs w:val="20"/>
    </w:rPr>
  </w:style>
  <w:style w:type="paragraph" w:styleId="10">
    <w:name w:val="Body Text Indent"/>
    <w:basedOn w:val="1"/>
    <w:qFormat/>
    <w:uiPriority w:val="0"/>
    <w:pPr>
      <w:spacing w:line="480" w:lineRule="exact"/>
      <w:ind w:firstLine="480" w:firstLineChars="200"/>
    </w:pPr>
    <w:rPr>
      <w:rFonts w:ascii="宋体" w:hAnsi="宋体"/>
      <w:sz w:val="24"/>
    </w:rPr>
  </w:style>
  <w:style w:type="paragraph" w:styleId="11">
    <w:name w:val="Plain Text"/>
    <w:basedOn w:val="1"/>
    <w:next w:val="12"/>
    <w:qFormat/>
    <w:uiPriority w:val="0"/>
    <w:rPr>
      <w:rFonts w:ascii="宋体" w:hAnsi="Courier New" w:cs="Arial"/>
      <w:snapToGrid w:val="0"/>
      <w:szCs w:val="21"/>
    </w:rPr>
  </w:style>
  <w:style w:type="paragraph" w:styleId="12">
    <w:name w:val="toc 2"/>
    <w:basedOn w:val="1"/>
    <w:next w:val="1"/>
    <w:qFormat/>
    <w:uiPriority w:val="0"/>
    <w:pPr>
      <w:ind w:left="420" w:leftChars="200"/>
    </w:pPr>
  </w:style>
  <w:style w:type="paragraph" w:styleId="13">
    <w:name w:val="footer"/>
    <w:basedOn w:val="1"/>
    <w:qFormat/>
    <w:uiPriority w:val="99"/>
    <w:pPr>
      <w:tabs>
        <w:tab w:val="center" w:pos="4153"/>
        <w:tab w:val="right" w:pos="8306"/>
      </w:tabs>
      <w:snapToGrid w:val="0"/>
      <w:jc w:val="left"/>
    </w:pPr>
    <w:rPr>
      <w:sz w:val="18"/>
      <w:szCs w:val="18"/>
    </w:rPr>
  </w:style>
  <w:style w:type="paragraph" w:styleId="14">
    <w:name w:val="header"/>
    <w:basedOn w:val="1"/>
    <w:qFormat/>
    <w:uiPriority w:val="99"/>
    <w:pPr>
      <w:pBdr>
        <w:bottom w:val="single" w:color="auto" w:sz="6" w:space="1"/>
      </w:pBdr>
      <w:tabs>
        <w:tab w:val="center" w:pos="4153"/>
        <w:tab w:val="right" w:pos="8306"/>
      </w:tabs>
      <w:snapToGrid w:val="0"/>
      <w:jc w:val="center"/>
    </w:pPr>
    <w:rPr>
      <w:sz w:val="18"/>
      <w:szCs w:val="18"/>
    </w:rPr>
  </w:style>
  <w:style w:type="table" w:styleId="16">
    <w:name w:val="Table Grid"/>
    <w:basedOn w:val="1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8">
    <w:name w:val="page number"/>
    <w:basedOn w:val="17"/>
    <w:qFormat/>
    <w:uiPriority w:val="0"/>
    <w:rPr>
      <w:rFonts w:ascii="Arial" w:hAnsi="Arial" w:eastAsia="黑体" w:cs="Arial"/>
      <w:snapToGrid w:val="0"/>
      <w:kern w:val="0"/>
      <w:szCs w:val="21"/>
    </w:rPr>
  </w:style>
  <w:style w:type="character" w:styleId="19">
    <w:name w:val="Hyperlink"/>
    <w:qFormat/>
    <w:uiPriority w:val="99"/>
    <w:rPr>
      <w:rFonts w:ascii="Arial" w:hAnsi="Arial" w:eastAsia="黑体" w:cs="Arial"/>
      <w:snapToGrid w:val="0"/>
      <w:color w:val="000000"/>
      <w:kern w:val="0"/>
      <w:sz w:val="18"/>
      <w:szCs w:val="18"/>
      <w:u w:val="none"/>
    </w:rPr>
  </w:style>
  <w:style w:type="paragraph" w:customStyle="1" w:styleId="20">
    <w:name w:val="!大节"/>
    <w:basedOn w:val="4"/>
    <w:qFormat/>
    <w:uiPriority w:val="0"/>
    <w:pPr>
      <w:spacing w:before="260" w:after="260" w:line="415" w:lineRule="auto"/>
      <w:ind w:left="420" w:hanging="420"/>
    </w:pPr>
    <w:rPr>
      <w:rFonts w:ascii="Arial" w:hAnsi="Arial" w:eastAsia="微软雅黑"/>
      <w:lang w:val="en-US"/>
    </w:rPr>
  </w:style>
  <w:style w:type="paragraph" w:customStyle="1" w:styleId="21">
    <w:name w:val="正文2"/>
    <w:basedOn w:val="1"/>
    <w:qFormat/>
    <w:uiPriority w:val="0"/>
    <w:pPr>
      <w:spacing w:before="156" w:line="360" w:lineRule="auto"/>
      <w:ind w:firstLine="510" w:firstLineChars="200"/>
    </w:pPr>
    <w:rPr>
      <w:sz w:val="24"/>
      <w:szCs w:val="20"/>
    </w:rPr>
  </w:style>
  <w:style w:type="paragraph" w:customStyle="1" w:styleId="22">
    <w:name w:val="正文缩进1"/>
    <w:basedOn w:val="1"/>
    <w:next w:val="10"/>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23">
    <w:name w:val="索引 11"/>
    <w:basedOn w:val="1"/>
    <w:next w:val="1"/>
    <w:qFormat/>
    <w:uiPriority w:val="99"/>
    <w:pPr>
      <w:adjustRightInd/>
      <w:spacing w:line="360" w:lineRule="auto"/>
    </w:pPr>
    <w:rPr>
      <w:rFonts w:ascii="仿宋_GB2312" w:eastAsia="仿宋_GB2312"/>
      <w:sz w:val="24"/>
      <w:szCs w:val="20"/>
    </w:rPr>
  </w:style>
  <w:style w:type="paragraph" w:customStyle="1" w:styleId="24">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paragraph" w:customStyle="1" w:styleId="25">
    <w:name w:val="纯文本1"/>
    <w:basedOn w:val="1"/>
    <w:qFormat/>
    <w:uiPriority w:val="0"/>
    <w:pPr>
      <w:adjustRightInd/>
    </w:pPr>
    <w:rPr>
      <w:rFonts w:ascii="宋体" w:hAnsi="Courier New"/>
      <w:kern w:val="0"/>
      <w:sz w:val="20"/>
      <w:szCs w:val="20"/>
    </w:rPr>
  </w:style>
  <w:style w:type="paragraph" w:customStyle="1" w:styleId="26">
    <w:name w:val="List Paragraph1"/>
    <w:basedOn w:val="1"/>
    <w:qFormat/>
    <w:uiPriority w:val="0"/>
    <w:pPr>
      <w:spacing w:line="360" w:lineRule="auto"/>
      <w:ind w:firstLine="200" w:firstLineChars="200"/>
    </w:pPr>
    <w:rPr>
      <w:rFonts w:eastAsia="楷体_GB2312" w:cs="Lucida Sans"/>
      <w:sz w:val="24"/>
    </w:rPr>
  </w:style>
  <w:style w:type="paragraph" w:customStyle="1" w:styleId="27">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28">
    <w:name w:val="正文段"/>
    <w:basedOn w:val="1"/>
    <w:qFormat/>
    <w:uiPriority w:val="0"/>
    <w:pPr>
      <w:widowControl/>
      <w:snapToGrid w:val="0"/>
      <w:spacing w:after="156" w:afterLines="50"/>
      <w:ind w:firstLine="200" w:firstLineChars="200"/>
    </w:pPr>
    <w:rPr>
      <w:kern w:val="0"/>
      <w:sz w:val="24"/>
      <w:szCs w:val="20"/>
    </w:rPr>
  </w:style>
  <w:style w:type="paragraph" w:customStyle="1" w:styleId="29">
    <w:name w:val="Default"/>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30">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31">
    <w:name w:val="目录 71"/>
    <w:next w:val="1"/>
    <w:qFormat/>
    <w:uiPriority w:val="0"/>
    <w:pPr>
      <w:wordWrap w:val="0"/>
      <w:ind w:left="2550"/>
      <w:jc w:val="both"/>
    </w:pPr>
    <w:rPr>
      <w:rFonts w:ascii="宋体" w:hAnsi="宋体" w:eastAsia="Times New Roman" w:cs="Times New Roman"/>
      <w:sz w:val="21"/>
      <w:lang w:val="en-US" w:eastAsia="zh-CN" w:bidi="ar-SA"/>
    </w:rPr>
  </w:style>
  <w:style w:type="paragraph" w:customStyle="1" w:styleId="32">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33">
    <w:name w:val="Table Text"/>
    <w:basedOn w:val="1"/>
    <w:qFormat/>
    <w:uiPriority w:val="0"/>
    <w:pPr>
      <w:widowControl/>
      <w:spacing w:before="60" w:after="60"/>
      <w:jc w:val="left"/>
    </w:pPr>
    <w:rPr>
      <w:kern w:val="0"/>
      <w:sz w:val="24"/>
    </w:rPr>
  </w:style>
  <w:style w:type="table" w:customStyle="1" w:styleId="34">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0" Type="http://schemas.openxmlformats.org/officeDocument/2006/relationships/fontTable" Target="fontTable.xml"/><Relationship Id="rId3" Type="http://schemas.openxmlformats.org/officeDocument/2006/relationships/header" Target="header1.xml"/><Relationship Id="rId29" Type="http://schemas.openxmlformats.org/officeDocument/2006/relationships/numbering" Target="numbering.xml"/><Relationship Id="rId28" Type="http://schemas.openxmlformats.org/officeDocument/2006/relationships/customXml" Target="../customXml/item1.xml"/><Relationship Id="rId27" Type="http://schemas.openxmlformats.org/officeDocument/2006/relationships/image" Target="media/image2.emf"/><Relationship Id="rId26" Type="http://schemas.openxmlformats.org/officeDocument/2006/relationships/oleObject" Target="embeddings/oleObject2.bin"/><Relationship Id="rId25" Type="http://schemas.openxmlformats.org/officeDocument/2006/relationships/image" Target="media/image1.emf"/><Relationship Id="rId24" Type="http://schemas.openxmlformats.org/officeDocument/2006/relationships/oleObject" Target="embeddings/oleObject1.bin"/><Relationship Id="rId23" Type="http://schemas.openxmlformats.org/officeDocument/2006/relationships/theme" Target="theme/theme1.xml"/><Relationship Id="rId22" Type="http://schemas.openxmlformats.org/officeDocument/2006/relationships/footer" Target="footer16.xml"/><Relationship Id="rId21" Type="http://schemas.openxmlformats.org/officeDocument/2006/relationships/footer" Target="footer15.xml"/><Relationship Id="rId20" Type="http://schemas.openxmlformats.org/officeDocument/2006/relationships/footer" Target="footer14.xml"/><Relationship Id="rId2" Type="http://schemas.openxmlformats.org/officeDocument/2006/relationships/settings" Target="settings.xml"/><Relationship Id="rId19" Type="http://schemas.openxmlformats.org/officeDocument/2006/relationships/footer" Target="footer13.xml"/><Relationship Id="rId18" Type="http://schemas.openxmlformats.org/officeDocument/2006/relationships/footer" Target="footer12.xml"/><Relationship Id="rId17" Type="http://schemas.openxmlformats.org/officeDocument/2006/relationships/footer" Target="footer11.xml"/><Relationship Id="rId16" Type="http://schemas.openxmlformats.org/officeDocument/2006/relationships/footer" Target="footer10.xml"/><Relationship Id="rId15" Type="http://schemas.openxmlformats.org/officeDocument/2006/relationships/footer" Target="footer9.xml"/><Relationship Id="rId14" Type="http://schemas.openxmlformats.org/officeDocument/2006/relationships/footer" Target="footer8.xml"/><Relationship Id="rId13" Type="http://schemas.openxmlformats.org/officeDocument/2006/relationships/footer" Target="footer7.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header" Target="header4.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94</Pages>
  <Words>24641</Words>
  <Characters>26027</Characters>
  <Lines>0</Lines>
  <Paragraphs>0</Paragraphs>
  <TotalTime>8</TotalTime>
  <ScaleCrop>false</ScaleCrop>
  <LinksUpToDate>false</LinksUpToDate>
  <CharactersWithSpaces>27730</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2025-06-09T06:00:00Z</dcterms:created>
  <dc:creator>大洋芋头</dc:creator>
  <cp:lastModifiedBy>admin</cp:lastModifiedBy>
  <cp:lastPrinted>2025-06-09T06:29:00Z</cp:lastPrinted>
  <dcterms:modified xsi:type="dcterms:W3CDTF">2025-07-08T06:54:39Z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585C91BC21E44A46AE53466898C3CD92_13</vt:lpwstr>
  </property>
  <property fmtid="{D5CDD505-2E9C-101B-9397-08002B2CF9AE}" pid="4" name="KSOTemplateDocerSaveRecord">
    <vt:lpwstr>eyJoZGlkIjoiNjMyYmYwYWVmODdiNmQzYmMwZDdiMmY4MzA2YzMxNWEiLCJ1c2VySWQiOiIzMzQzOTY0NjcifQ==</vt:lpwstr>
  </property>
</Properties>
</file>