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jc w:val="center"/>
        <w:rPr>
          <w:rFonts w:ascii="宋体" w:hAnsi="宋体" w:cs="宋体"/>
          <w:b/>
          <w:color w:val="auto"/>
          <w:spacing w:val="-4"/>
          <w:sz w:val="52"/>
          <w:szCs w:val="52"/>
        </w:rPr>
      </w:pPr>
      <w:bookmarkStart w:id="0" w:name="_top"/>
      <w:bookmarkEnd w:id="0"/>
    </w:p>
    <w:p>
      <w:pPr>
        <w:tabs>
          <w:tab w:val="left" w:pos="5220"/>
        </w:tabs>
        <w:jc w:val="center"/>
        <w:rPr>
          <w:rFonts w:hint="eastAsia" w:ascii="宋体" w:hAnsi="宋体" w:eastAsia="宋体" w:cs="宋体"/>
          <w:b/>
          <w:color w:val="auto"/>
          <w:spacing w:val="-4"/>
          <w:sz w:val="52"/>
          <w:szCs w:val="52"/>
          <w:lang w:eastAsia="zh-CN"/>
        </w:rPr>
      </w:pPr>
      <w:r>
        <w:rPr>
          <w:rFonts w:hint="eastAsia" w:ascii="宋体" w:hAnsi="宋体" w:cs="宋体"/>
          <w:b/>
          <w:color w:val="auto"/>
          <w:spacing w:val="-4"/>
          <w:sz w:val="52"/>
          <w:szCs w:val="52"/>
          <w:lang w:eastAsia="zh-CN"/>
        </w:rPr>
        <w:t>东林镇2022年第二轮疗休养项目</w:t>
      </w:r>
    </w:p>
    <w:p>
      <w:pPr>
        <w:tabs>
          <w:tab w:val="left" w:pos="5220"/>
        </w:tabs>
        <w:jc w:val="center"/>
        <w:rPr>
          <w:rFonts w:ascii="宋体" w:hAnsi="宋体" w:cs="宋体"/>
          <w:b/>
          <w:color w:val="auto"/>
          <w:spacing w:val="-4"/>
          <w:sz w:val="48"/>
          <w:szCs w:val="48"/>
        </w:rPr>
      </w:pPr>
    </w:p>
    <w:p>
      <w:pPr>
        <w:tabs>
          <w:tab w:val="left" w:pos="5220"/>
        </w:tabs>
        <w:spacing w:line="400" w:lineRule="exact"/>
        <w:jc w:val="center"/>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eastAsia="zh-CN"/>
        </w:rPr>
        <w:t>财政审批编号：</w:t>
      </w:r>
      <w:r>
        <w:rPr>
          <w:rFonts w:hint="eastAsia" w:ascii="宋体" w:hAnsi="宋体" w:cs="宋体"/>
          <w:b/>
          <w:bCs/>
          <w:color w:val="auto"/>
          <w:sz w:val="28"/>
          <w:szCs w:val="28"/>
          <w:lang w:val="en-US" w:eastAsia="zh-CN"/>
        </w:rPr>
        <w:t>临[2022]12291号</w:t>
      </w:r>
      <w:r>
        <w:rPr>
          <w:rFonts w:hint="eastAsia" w:ascii="宋体" w:hAnsi="宋体" w:cs="宋体"/>
          <w:b/>
          <w:bCs/>
          <w:color w:val="auto"/>
          <w:sz w:val="28"/>
          <w:szCs w:val="28"/>
        </w:rPr>
        <w:t>）</w:t>
      </w:r>
    </w:p>
    <w:p>
      <w:pPr>
        <w:spacing w:line="400" w:lineRule="exact"/>
        <w:rPr>
          <w:rFonts w:ascii="宋体" w:hAnsi="宋体" w:cs="宋体"/>
          <w:b/>
          <w:bCs/>
          <w:color w:val="auto"/>
          <w:sz w:val="48"/>
        </w:rPr>
      </w:pPr>
    </w:p>
    <w:p>
      <w:pPr>
        <w:snapToGrid w:val="0"/>
        <w:spacing w:beforeLines="50" w:line="400" w:lineRule="exact"/>
        <w:jc w:val="center"/>
        <w:rPr>
          <w:rFonts w:ascii="宋体" w:hAnsi="宋体" w:cs="宋体"/>
          <w:color w:val="auto"/>
          <w:sz w:val="30"/>
          <w:szCs w:val="72"/>
        </w:rPr>
      </w:pPr>
    </w:p>
    <w:p>
      <w:pPr>
        <w:spacing w:beforeLines="50"/>
        <w:jc w:val="center"/>
        <w:rPr>
          <w:rFonts w:ascii="宋体" w:hAnsi="宋体" w:cs="宋体"/>
          <w:b/>
          <w:bCs/>
          <w:color w:val="auto"/>
          <w:sz w:val="52"/>
          <w:szCs w:val="52"/>
        </w:rPr>
      </w:pPr>
      <w:r>
        <w:rPr>
          <w:rFonts w:hint="eastAsia" w:ascii="宋体" w:hAnsi="宋体" w:cs="宋体"/>
          <w:b/>
          <w:bCs/>
          <w:color w:val="auto"/>
          <w:sz w:val="72"/>
          <w:szCs w:val="72"/>
        </w:rPr>
        <w:t>竞争性磋商文件</w:t>
      </w:r>
    </w:p>
    <w:p>
      <w:pPr>
        <w:widowControl/>
        <w:spacing w:line="600" w:lineRule="exact"/>
        <w:ind w:right="-2"/>
        <w:jc w:val="center"/>
        <w:rPr>
          <w:rFonts w:ascii="宋体" w:hAnsi="宋体" w:cs="宋体"/>
          <w:b/>
          <w:color w:val="auto"/>
          <w:sz w:val="52"/>
          <w:szCs w:val="52"/>
        </w:rPr>
      </w:pPr>
      <w:r>
        <w:rPr>
          <w:rFonts w:hint="eastAsia" w:ascii="宋体" w:hAnsi="宋体" w:cs="宋体"/>
          <w:b/>
          <w:color w:val="auto"/>
          <w:sz w:val="52"/>
          <w:szCs w:val="52"/>
        </w:rPr>
        <w:t xml:space="preserve"> （线上电子招投标）</w:t>
      </w:r>
    </w:p>
    <w:p>
      <w:pPr>
        <w:snapToGrid w:val="0"/>
        <w:spacing w:beforeLines="50" w:line="400" w:lineRule="exact"/>
        <w:rPr>
          <w:rFonts w:ascii="宋体" w:hAnsi="宋体" w:cs="宋体"/>
          <w:color w:val="auto"/>
          <w:sz w:val="30"/>
          <w:szCs w:val="72"/>
        </w:rPr>
      </w:pPr>
    </w:p>
    <w:p>
      <w:pPr>
        <w:snapToGrid w:val="0"/>
        <w:spacing w:beforeLines="50" w:line="400" w:lineRule="exact"/>
        <w:rPr>
          <w:rFonts w:ascii="宋体" w:hAnsi="宋体" w:cs="宋体"/>
          <w:color w:val="auto"/>
          <w:sz w:val="30"/>
          <w:szCs w:val="72"/>
        </w:rPr>
      </w:pPr>
    </w:p>
    <w:p>
      <w:pPr>
        <w:snapToGrid w:val="0"/>
        <w:spacing w:beforeLines="50" w:line="400" w:lineRule="exact"/>
        <w:rPr>
          <w:rFonts w:ascii="宋体" w:hAnsi="宋体" w:cs="宋体"/>
          <w:color w:val="auto"/>
          <w:sz w:val="30"/>
          <w:szCs w:val="72"/>
        </w:rPr>
      </w:pPr>
    </w:p>
    <w:p>
      <w:pPr>
        <w:snapToGrid w:val="0"/>
        <w:spacing w:beforeLines="50" w:line="400" w:lineRule="exact"/>
        <w:rPr>
          <w:rFonts w:ascii="宋体" w:hAnsi="宋体" w:cs="宋体"/>
          <w:color w:val="auto"/>
          <w:sz w:val="30"/>
          <w:szCs w:val="72"/>
        </w:rPr>
      </w:pPr>
    </w:p>
    <w:p>
      <w:pPr>
        <w:pStyle w:val="19"/>
        <w:snapToGrid w:val="0"/>
        <w:spacing w:before="120" w:after="120" w:line="400" w:lineRule="exact"/>
        <w:rPr>
          <w:rFonts w:hint="default" w:eastAsia="宋体" w:cs="宋体"/>
          <w:b/>
          <w:color w:val="auto"/>
          <w:spacing w:val="-4"/>
          <w:sz w:val="28"/>
          <w:szCs w:val="28"/>
          <w:u w:val="single"/>
          <w:lang w:val="en-US" w:eastAsia="zh-CN"/>
        </w:rPr>
      </w:pPr>
      <w:r>
        <w:rPr>
          <w:rFonts w:hint="eastAsia" w:cs="宋体"/>
          <w:b/>
          <w:bCs/>
          <w:color w:val="auto"/>
          <w:sz w:val="28"/>
          <w:szCs w:val="28"/>
        </w:rPr>
        <w:t>项目编号：</w:t>
      </w:r>
      <w:r>
        <w:rPr>
          <w:rFonts w:hint="eastAsia" w:cs="宋体"/>
          <w:b/>
          <w:bCs/>
          <w:color w:val="auto"/>
          <w:sz w:val="28"/>
          <w:szCs w:val="28"/>
          <w:u w:val="single"/>
          <w:lang w:eastAsia="zh-CN"/>
        </w:rPr>
        <w:t>NBJX</w:t>
      </w:r>
      <w:r>
        <w:rPr>
          <w:rFonts w:hint="eastAsia" w:cs="宋体"/>
          <w:b/>
          <w:bCs/>
          <w:color w:val="auto"/>
          <w:sz w:val="28"/>
          <w:szCs w:val="28"/>
          <w:u w:val="single"/>
          <w:lang w:val="en-US" w:eastAsia="zh-CN"/>
        </w:rPr>
        <w:t>2022014</w:t>
      </w:r>
    </w:p>
    <w:p>
      <w:pPr>
        <w:pStyle w:val="19"/>
        <w:snapToGrid w:val="0"/>
        <w:spacing w:before="120" w:after="120" w:line="400" w:lineRule="exact"/>
        <w:ind w:left="1383" w:hanging="1383" w:hangingChars="492"/>
        <w:rPr>
          <w:rFonts w:hint="eastAsia" w:eastAsia="宋体" w:cs="宋体"/>
          <w:b/>
          <w:color w:val="auto"/>
          <w:spacing w:val="-4"/>
          <w:sz w:val="28"/>
          <w:szCs w:val="28"/>
          <w:u w:val="single"/>
          <w:lang w:eastAsia="zh-CN"/>
        </w:rPr>
      </w:pPr>
      <w:r>
        <w:rPr>
          <w:rFonts w:hint="eastAsia" w:cs="宋体"/>
          <w:b/>
          <w:color w:val="auto"/>
          <w:sz w:val="28"/>
          <w:szCs w:val="28"/>
        </w:rPr>
        <w:t>项目名称：</w:t>
      </w:r>
      <w:r>
        <w:rPr>
          <w:rFonts w:hint="eastAsia" w:cs="宋体"/>
          <w:b/>
          <w:color w:val="auto"/>
          <w:spacing w:val="-4"/>
          <w:sz w:val="28"/>
          <w:szCs w:val="28"/>
          <w:u w:val="single"/>
          <w:lang w:eastAsia="zh-CN"/>
        </w:rPr>
        <w:t>东林镇2022年第二轮疗休养项目</w:t>
      </w:r>
    </w:p>
    <w:p>
      <w:pPr>
        <w:snapToGrid w:val="0"/>
        <w:spacing w:beforeLines="50" w:line="400" w:lineRule="exact"/>
        <w:jc w:val="left"/>
        <w:rPr>
          <w:rFonts w:ascii="宋体" w:hAnsi="宋体" w:cs="宋体"/>
          <w:b/>
          <w:color w:val="auto"/>
          <w:spacing w:val="-4"/>
          <w:sz w:val="28"/>
          <w:szCs w:val="28"/>
          <w:u w:val="single"/>
        </w:rPr>
      </w:pPr>
      <w:r>
        <w:rPr>
          <w:rFonts w:hint="eastAsia" w:ascii="宋体" w:hAnsi="宋体" w:cs="宋体"/>
          <w:b/>
          <w:bCs/>
          <w:color w:val="auto"/>
          <w:w w:val="95"/>
          <w:sz w:val="28"/>
          <w:szCs w:val="28"/>
        </w:rPr>
        <w:t>采购单位：</w:t>
      </w:r>
      <w:r>
        <w:rPr>
          <w:rFonts w:hint="eastAsia" w:ascii="宋体" w:hAnsi="宋体" w:cs="宋体"/>
          <w:b/>
          <w:color w:val="auto"/>
          <w:spacing w:val="-4"/>
          <w:sz w:val="28"/>
          <w:szCs w:val="28"/>
          <w:u w:val="single"/>
          <w:lang w:eastAsia="zh-CN"/>
        </w:rPr>
        <w:t>湖州市吴兴区东林镇人民政府</w:t>
      </w:r>
      <w:r>
        <w:rPr>
          <w:rFonts w:hint="eastAsia" w:ascii="宋体" w:hAnsi="宋体" w:cs="宋体"/>
          <w:b/>
          <w:color w:val="auto"/>
          <w:spacing w:val="-4"/>
          <w:sz w:val="28"/>
          <w:szCs w:val="28"/>
          <w:u w:val="single"/>
        </w:rPr>
        <w:t>（盖章）</w:t>
      </w:r>
    </w:p>
    <w:p>
      <w:pPr>
        <w:pStyle w:val="19"/>
        <w:snapToGrid w:val="0"/>
        <w:spacing w:before="120" w:after="120" w:line="400" w:lineRule="exact"/>
        <w:rPr>
          <w:rFonts w:cs="宋体"/>
          <w:b/>
          <w:bCs/>
          <w:color w:val="auto"/>
          <w:w w:val="95"/>
          <w:sz w:val="28"/>
          <w:szCs w:val="28"/>
          <w:u w:val="single"/>
        </w:rPr>
      </w:pPr>
      <w:r>
        <w:rPr>
          <w:rFonts w:hint="eastAsia" w:cs="宋体"/>
          <w:b/>
          <w:bCs/>
          <w:color w:val="auto"/>
          <w:w w:val="95"/>
          <w:sz w:val="28"/>
          <w:szCs w:val="28"/>
        </w:rPr>
        <w:t>代理机构：</w:t>
      </w:r>
      <w:r>
        <w:rPr>
          <w:rFonts w:hint="eastAsia" w:cs="宋体"/>
          <w:b/>
          <w:color w:val="auto"/>
          <w:sz w:val="28"/>
          <w:szCs w:val="28"/>
          <w:u w:val="single"/>
        </w:rPr>
        <w:t>宁波建信工程造价咨询事务所有限公司</w:t>
      </w:r>
      <w:r>
        <w:rPr>
          <w:rFonts w:hint="eastAsia" w:cs="宋体"/>
          <w:b/>
          <w:color w:val="auto"/>
          <w:spacing w:val="-4"/>
          <w:sz w:val="28"/>
          <w:szCs w:val="28"/>
          <w:u w:val="single"/>
        </w:rPr>
        <w:t>（盖章）</w:t>
      </w:r>
    </w:p>
    <w:p>
      <w:pPr>
        <w:snapToGrid w:val="0"/>
        <w:spacing w:beforeLines="50" w:line="400" w:lineRule="exact"/>
        <w:ind w:left="384" w:leftChars="183" w:firstLine="4599" w:firstLineChars="1607"/>
        <w:rPr>
          <w:rFonts w:ascii="宋体" w:hAnsi="宋体" w:cs="宋体"/>
          <w:b/>
          <w:bCs/>
          <w:color w:val="auto"/>
          <w:w w:val="95"/>
          <w:sz w:val="30"/>
          <w:szCs w:val="30"/>
        </w:rPr>
      </w:pPr>
    </w:p>
    <w:p>
      <w:pPr>
        <w:snapToGrid w:val="0"/>
        <w:spacing w:beforeLines="50" w:line="400" w:lineRule="exact"/>
        <w:rPr>
          <w:rFonts w:ascii="宋体" w:hAnsi="宋体" w:cs="宋体"/>
          <w:b/>
          <w:bCs/>
          <w:color w:val="auto"/>
          <w:w w:val="95"/>
          <w:sz w:val="30"/>
          <w:szCs w:val="30"/>
        </w:rPr>
      </w:pPr>
    </w:p>
    <w:p>
      <w:pPr>
        <w:adjustRightInd w:val="0"/>
        <w:snapToGrid w:val="0"/>
        <w:spacing w:line="400" w:lineRule="exact"/>
        <w:jc w:val="center"/>
        <w:rPr>
          <w:rFonts w:ascii="宋体" w:hAnsi="宋体" w:cs="宋体"/>
          <w:color w:val="auto"/>
        </w:rPr>
      </w:pPr>
      <w:r>
        <w:rPr>
          <w:rFonts w:hint="eastAsia" w:ascii="宋体" w:hAnsi="宋体" w:cs="宋体"/>
          <w:b/>
          <w:snapToGrid w:val="0"/>
          <w:color w:val="auto"/>
          <w:sz w:val="32"/>
        </w:rPr>
        <w:t>日 期：2022年</w:t>
      </w:r>
      <w:r>
        <w:rPr>
          <w:rFonts w:hint="eastAsia" w:ascii="宋体" w:hAnsi="宋体" w:cs="宋体"/>
          <w:b/>
          <w:snapToGrid w:val="0"/>
          <w:color w:val="auto"/>
          <w:sz w:val="32"/>
          <w:lang w:val="en-US" w:eastAsia="zh-CN"/>
        </w:rPr>
        <w:t>11</w:t>
      </w:r>
      <w:r>
        <w:rPr>
          <w:rFonts w:hint="eastAsia" w:ascii="宋体" w:hAnsi="宋体" w:cs="宋体"/>
          <w:b/>
          <w:snapToGrid w:val="0"/>
          <w:color w:val="auto"/>
          <w:sz w:val="32"/>
        </w:rPr>
        <w:t>月</w:t>
      </w:r>
    </w:p>
    <w:p>
      <w:pPr>
        <w:spacing w:line="360" w:lineRule="exact"/>
        <w:rPr>
          <w:rFonts w:ascii="宋体" w:hAnsi="宋体" w:cs="宋体"/>
          <w:color w:val="auto"/>
          <w:sz w:val="24"/>
        </w:rPr>
      </w:pPr>
      <w:r>
        <w:rPr>
          <w:rFonts w:hint="eastAsia" w:ascii="宋体" w:hAnsi="宋体" w:cs="宋体"/>
          <w:color w:val="auto"/>
          <w:sz w:val="24"/>
        </w:rPr>
        <w:br w:type="page"/>
      </w:r>
    </w:p>
    <w:p>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sdt>
      <w:sdtPr>
        <w:rPr>
          <w:rFonts w:hint="eastAsia" w:ascii="宋体" w:hAnsi="宋体" w:cs="宋体"/>
          <w:color w:val="auto"/>
          <w:sz w:val="28"/>
          <w:szCs w:val="28"/>
        </w:rPr>
        <w:id w:val="147479930"/>
        <w:docPartObj>
          <w:docPartGallery w:val="Table of Contents"/>
          <w:docPartUnique/>
        </w:docPartObj>
      </w:sdtPr>
      <w:sdtEndPr>
        <w:rPr>
          <w:rFonts w:hint="eastAsia" w:ascii="宋体" w:hAnsi="宋体" w:cs="宋体"/>
          <w:color w:val="auto"/>
          <w:sz w:val="21"/>
          <w:szCs w:val="24"/>
        </w:rPr>
      </w:sdtEndPr>
      <w:sdtContent>
        <w:p>
          <w:pPr>
            <w:jc w:val="center"/>
            <w:rPr>
              <w:rFonts w:ascii="宋体" w:hAnsi="宋体" w:cs="宋体"/>
              <w:color w:val="auto"/>
              <w:sz w:val="28"/>
              <w:szCs w:val="28"/>
            </w:rPr>
          </w:pPr>
        </w:p>
        <w:p>
          <w:pPr>
            <w:pStyle w:val="25"/>
            <w:tabs>
              <w:tab w:val="right" w:leader="dot" w:pos="9638"/>
              <w:tab w:val="clear" w:pos="8494"/>
            </w:tabs>
            <w:rPr>
              <w:b/>
              <w:bCs/>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"1-1" \h \u </w:instrText>
          </w:r>
          <w:r>
            <w:rPr>
              <w:rFonts w:hint="eastAsia" w:ascii="宋体" w:hAnsi="宋体" w:cs="宋体"/>
              <w:b/>
              <w:bCs/>
              <w:color w:val="auto"/>
              <w:sz w:val="28"/>
              <w:szCs w:val="28"/>
            </w:rPr>
            <w:fldChar w:fldCharType="separate"/>
          </w:r>
          <w:r>
            <w:rPr>
              <w:rFonts w:hint="eastAsia" w:ascii="宋体" w:hAnsi="宋体" w:cs="宋体"/>
              <w:b/>
              <w:bCs/>
              <w:color w:val="auto"/>
              <w:szCs w:val="28"/>
            </w:rPr>
            <w:fldChar w:fldCharType="begin"/>
          </w:r>
          <w:r>
            <w:rPr>
              <w:rFonts w:hint="eastAsia" w:ascii="宋体" w:hAnsi="宋体" w:cs="宋体"/>
              <w:b/>
              <w:bCs/>
              <w:szCs w:val="28"/>
            </w:rPr>
            <w:instrText xml:space="preserve"> HYPERLINK \l _Toc30474 </w:instrText>
          </w:r>
          <w:r>
            <w:rPr>
              <w:rFonts w:hint="eastAsia" w:ascii="宋体" w:hAnsi="宋体" w:cs="宋体"/>
              <w:b/>
              <w:bCs/>
              <w:szCs w:val="28"/>
            </w:rPr>
            <w:fldChar w:fldCharType="separate"/>
          </w:r>
          <w:r>
            <w:rPr>
              <w:rFonts w:hint="eastAsia" w:ascii="宋体" w:hAnsi="宋体" w:cs="宋体"/>
              <w:b/>
              <w:bCs/>
              <w:szCs w:val="32"/>
            </w:rPr>
            <w:t>第一章 竞争性磋商公告</w:t>
          </w:r>
          <w:r>
            <w:rPr>
              <w:b/>
              <w:bCs/>
            </w:rPr>
            <w:tab/>
          </w:r>
          <w:r>
            <w:rPr>
              <w:b/>
              <w:bCs/>
            </w:rPr>
            <w:fldChar w:fldCharType="begin"/>
          </w:r>
          <w:r>
            <w:rPr>
              <w:b/>
              <w:bCs/>
            </w:rPr>
            <w:instrText xml:space="preserve"> PAGEREF _Toc30474 \h </w:instrText>
          </w:r>
          <w:r>
            <w:rPr>
              <w:b/>
              <w:bCs/>
            </w:rPr>
            <w:fldChar w:fldCharType="separate"/>
          </w:r>
          <w:r>
            <w:rPr>
              <w:b/>
              <w:bCs/>
            </w:rPr>
            <w:t>1</w:t>
          </w:r>
          <w:r>
            <w:rPr>
              <w:b/>
              <w:bCs/>
            </w:rPr>
            <w:fldChar w:fldCharType="end"/>
          </w:r>
          <w:r>
            <w:rPr>
              <w:rFonts w:hint="eastAsia" w:ascii="宋体" w:hAnsi="宋体" w:cs="宋体"/>
              <w:b/>
              <w:bCs/>
              <w:color w:val="auto"/>
              <w:szCs w:val="28"/>
            </w:rPr>
            <w:fldChar w:fldCharType="end"/>
          </w:r>
        </w:p>
        <w:p>
          <w:pPr>
            <w:pStyle w:val="25"/>
            <w:tabs>
              <w:tab w:val="right" w:leader="dot" w:pos="9638"/>
              <w:tab w:val="clear" w:pos="8494"/>
            </w:tabs>
            <w:rPr>
              <w:b/>
              <w:bCs/>
            </w:rPr>
          </w:pPr>
          <w:r>
            <w:rPr>
              <w:rFonts w:hint="eastAsia" w:ascii="宋体" w:hAnsi="宋体" w:cs="宋体"/>
              <w:b/>
              <w:bCs/>
              <w:color w:val="auto"/>
              <w:szCs w:val="28"/>
            </w:rPr>
            <w:fldChar w:fldCharType="begin"/>
          </w:r>
          <w:r>
            <w:rPr>
              <w:rFonts w:hint="eastAsia" w:ascii="宋体" w:hAnsi="宋体" w:cs="宋体"/>
              <w:b/>
              <w:bCs/>
              <w:szCs w:val="28"/>
            </w:rPr>
            <w:instrText xml:space="preserve"> HYPERLINK \l _Toc18133 </w:instrText>
          </w:r>
          <w:r>
            <w:rPr>
              <w:rFonts w:hint="eastAsia" w:ascii="宋体" w:hAnsi="宋体" w:cs="宋体"/>
              <w:b/>
              <w:bCs/>
              <w:szCs w:val="28"/>
            </w:rPr>
            <w:fldChar w:fldCharType="separate"/>
          </w:r>
          <w:r>
            <w:rPr>
              <w:rFonts w:hint="eastAsia" w:ascii="宋体" w:hAnsi="宋体" w:cs="宋体"/>
              <w:b/>
              <w:bCs/>
              <w:szCs w:val="32"/>
            </w:rPr>
            <w:t>第二章 磋商需求</w:t>
          </w:r>
          <w:r>
            <w:rPr>
              <w:b/>
              <w:bCs/>
            </w:rPr>
            <w:tab/>
          </w:r>
          <w:r>
            <w:rPr>
              <w:b/>
              <w:bCs/>
            </w:rPr>
            <w:fldChar w:fldCharType="begin"/>
          </w:r>
          <w:r>
            <w:rPr>
              <w:b/>
              <w:bCs/>
            </w:rPr>
            <w:instrText xml:space="preserve"> PAGEREF _Toc18133 \h </w:instrText>
          </w:r>
          <w:r>
            <w:rPr>
              <w:b/>
              <w:bCs/>
            </w:rPr>
            <w:fldChar w:fldCharType="separate"/>
          </w:r>
          <w:r>
            <w:rPr>
              <w:b/>
              <w:bCs/>
            </w:rPr>
            <w:t>7</w:t>
          </w:r>
          <w:r>
            <w:rPr>
              <w:b/>
              <w:bCs/>
            </w:rPr>
            <w:fldChar w:fldCharType="end"/>
          </w:r>
          <w:r>
            <w:rPr>
              <w:rFonts w:hint="eastAsia" w:ascii="宋体" w:hAnsi="宋体" w:cs="宋体"/>
              <w:b/>
              <w:bCs/>
              <w:color w:val="auto"/>
              <w:szCs w:val="28"/>
            </w:rPr>
            <w:fldChar w:fldCharType="end"/>
          </w:r>
        </w:p>
        <w:p>
          <w:pPr>
            <w:pStyle w:val="25"/>
            <w:tabs>
              <w:tab w:val="right" w:leader="dot" w:pos="9638"/>
              <w:tab w:val="clear" w:pos="8494"/>
            </w:tabs>
            <w:rPr>
              <w:b/>
              <w:bCs/>
            </w:rPr>
          </w:pPr>
          <w:r>
            <w:rPr>
              <w:rFonts w:hint="eastAsia" w:ascii="宋体" w:hAnsi="宋体" w:cs="宋体"/>
              <w:b/>
              <w:bCs/>
              <w:color w:val="auto"/>
              <w:szCs w:val="28"/>
            </w:rPr>
            <w:fldChar w:fldCharType="begin"/>
          </w:r>
          <w:r>
            <w:rPr>
              <w:rFonts w:hint="eastAsia" w:ascii="宋体" w:hAnsi="宋体" w:cs="宋体"/>
              <w:b/>
              <w:bCs/>
              <w:szCs w:val="28"/>
            </w:rPr>
            <w:instrText xml:space="preserve"> HYPERLINK \l _Toc15698 </w:instrText>
          </w:r>
          <w:r>
            <w:rPr>
              <w:rFonts w:hint="eastAsia" w:ascii="宋体" w:hAnsi="宋体" w:cs="宋体"/>
              <w:b/>
              <w:bCs/>
              <w:szCs w:val="28"/>
            </w:rPr>
            <w:fldChar w:fldCharType="separate"/>
          </w:r>
          <w:r>
            <w:rPr>
              <w:rFonts w:hint="eastAsia" w:ascii="宋体" w:hAnsi="宋体" w:cs="宋体"/>
              <w:b/>
              <w:bCs/>
              <w:szCs w:val="32"/>
            </w:rPr>
            <w:t>第三章 供应商须知</w:t>
          </w:r>
          <w:r>
            <w:rPr>
              <w:b/>
              <w:bCs/>
            </w:rPr>
            <w:tab/>
          </w:r>
          <w:r>
            <w:rPr>
              <w:b/>
              <w:bCs/>
            </w:rPr>
            <w:fldChar w:fldCharType="begin"/>
          </w:r>
          <w:r>
            <w:rPr>
              <w:b/>
              <w:bCs/>
            </w:rPr>
            <w:instrText xml:space="preserve"> PAGEREF _Toc15698 \h </w:instrText>
          </w:r>
          <w:r>
            <w:rPr>
              <w:b/>
              <w:bCs/>
            </w:rPr>
            <w:fldChar w:fldCharType="separate"/>
          </w:r>
          <w:r>
            <w:rPr>
              <w:b/>
              <w:bCs/>
            </w:rPr>
            <w:t>10</w:t>
          </w:r>
          <w:r>
            <w:rPr>
              <w:b/>
              <w:bCs/>
            </w:rPr>
            <w:fldChar w:fldCharType="end"/>
          </w:r>
          <w:r>
            <w:rPr>
              <w:rFonts w:hint="eastAsia" w:ascii="宋体" w:hAnsi="宋体" w:cs="宋体"/>
              <w:b/>
              <w:bCs/>
              <w:color w:val="auto"/>
              <w:szCs w:val="28"/>
            </w:rPr>
            <w:fldChar w:fldCharType="end"/>
          </w:r>
        </w:p>
        <w:p>
          <w:pPr>
            <w:pStyle w:val="25"/>
            <w:tabs>
              <w:tab w:val="right" w:leader="dot" w:pos="9638"/>
              <w:tab w:val="clear" w:pos="8494"/>
            </w:tabs>
            <w:rPr>
              <w:b/>
              <w:bCs/>
            </w:rPr>
          </w:pPr>
          <w:r>
            <w:rPr>
              <w:rFonts w:hint="eastAsia" w:ascii="宋体" w:hAnsi="宋体" w:cs="宋体"/>
              <w:b/>
              <w:bCs/>
              <w:color w:val="auto"/>
              <w:szCs w:val="28"/>
            </w:rPr>
            <w:fldChar w:fldCharType="begin"/>
          </w:r>
          <w:r>
            <w:rPr>
              <w:rFonts w:hint="eastAsia" w:ascii="宋体" w:hAnsi="宋体" w:cs="宋体"/>
              <w:b/>
              <w:bCs/>
              <w:szCs w:val="28"/>
            </w:rPr>
            <w:instrText xml:space="preserve"> HYPERLINK \l _Toc14315 </w:instrText>
          </w:r>
          <w:r>
            <w:rPr>
              <w:rFonts w:hint="eastAsia" w:ascii="宋体" w:hAnsi="宋体" w:cs="宋体"/>
              <w:b/>
              <w:bCs/>
              <w:szCs w:val="28"/>
            </w:rPr>
            <w:fldChar w:fldCharType="separate"/>
          </w:r>
          <w:r>
            <w:rPr>
              <w:rFonts w:hint="eastAsia"/>
              <w:b/>
              <w:bCs/>
              <w:szCs w:val="28"/>
            </w:rPr>
            <w:t>第四章 磋商原则和程序</w:t>
          </w:r>
          <w:r>
            <w:rPr>
              <w:b/>
              <w:bCs/>
            </w:rPr>
            <w:tab/>
          </w:r>
          <w:r>
            <w:rPr>
              <w:b/>
              <w:bCs/>
            </w:rPr>
            <w:fldChar w:fldCharType="begin"/>
          </w:r>
          <w:r>
            <w:rPr>
              <w:b/>
              <w:bCs/>
            </w:rPr>
            <w:instrText xml:space="preserve"> PAGEREF _Toc14315 \h </w:instrText>
          </w:r>
          <w:r>
            <w:rPr>
              <w:b/>
              <w:bCs/>
            </w:rPr>
            <w:fldChar w:fldCharType="separate"/>
          </w:r>
          <w:r>
            <w:rPr>
              <w:b/>
              <w:bCs/>
            </w:rPr>
            <w:t>20</w:t>
          </w:r>
          <w:r>
            <w:rPr>
              <w:b/>
              <w:bCs/>
            </w:rPr>
            <w:fldChar w:fldCharType="end"/>
          </w:r>
          <w:r>
            <w:rPr>
              <w:rFonts w:hint="eastAsia" w:ascii="宋体" w:hAnsi="宋体" w:cs="宋体"/>
              <w:b/>
              <w:bCs/>
              <w:color w:val="auto"/>
              <w:szCs w:val="28"/>
            </w:rPr>
            <w:fldChar w:fldCharType="end"/>
          </w:r>
        </w:p>
        <w:p>
          <w:pPr>
            <w:pStyle w:val="25"/>
            <w:tabs>
              <w:tab w:val="right" w:leader="dot" w:pos="9638"/>
              <w:tab w:val="clear" w:pos="8494"/>
            </w:tabs>
            <w:rPr>
              <w:b/>
              <w:bCs/>
            </w:rPr>
          </w:pPr>
          <w:r>
            <w:rPr>
              <w:rFonts w:hint="eastAsia" w:ascii="宋体" w:hAnsi="宋体" w:cs="宋体"/>
              <w:b/>
              <w:bCs/>
              <w:color w:val="auto"/>
              <w:szCs w:val="28"/>
            </w:rPr>
            <w:fldChar w:fldCharType="begin"/>
          </w:r>
          <w:r>
            <w:rPr>
              <w:rFonts w:hint="eastAsia" w:ascii="宋体" w:hAnsi="宋体" w:cs="宋体"/>
              <w:b/>
              <w:bCs/>
              <w:szCs w:val="28"/>
            </w:rPr>
            <w:instrText xml:space="preserve"> HYPERLINK \l _Toc16098 </w:instrText>
          </w:r>
          <w:r>
            <w:rPr>
              <w:rFonts w:hint="eastAsia" w:ascii="宋体" w:hAnsi="宋体" w:cs="宋体"/>
              <w:b/>
              <w:bCs/>
              <w:szCs w:val="28"/>
            </w:rPr>
            <w:fldChar w:fldCharType="separate"/>
          </w:r>
          <w:r>
            <w:rPr>
              <w:rFonts w:hint="eastAsia" w:ascii="宋体" w:hAnsi="宋体" w:cs="宋体"/>
              <w:b/>
              <w:bCs/>
              <w:szCs w:val="32"/>
            </w:rPr>
            <w:t>第五章 合同主要条款（仅供参考）</w:t>
          </w:r>
          <w:r>
            <w:rPr>
              <w:b/>
              <w:bCs/>
            </w:rPr>
            <w:tab/>
          </w:r>
          <w:r>
            <w:rPr>
              <w:b/>
              <w:bCs/>
            </w:rPr>
            <w:fldChar w:fldCharType="begin"/>
          </w:r>
          <w:r>
            <w:rPr>
              <w:b/>
              <w:bCs/>
            </w:rPr>
            <w:instrText xml:space="preserve"> PAGEREF _Toc16098 \h </w:instrText>
          </w:r>
          <w:r>
            <w:rPr>
              <w:b/>
              <w:bCs/>
            </w:rPr>
            <w:fldChar w:fldCharType="separate"/>
          </w:r>
          <w:r>
            <w:rPr>
              <w:b/>
              <w:bCs/>
            </w:rPr>
            <w:t>24</w:t>
          </w:r>
          <w:r>
            <w:rPr>
              <w:b/>
              <w:bCs/>
            </w:rPr>
            <w:fldChar w:fldCharType="end"/>
          </w:r>
          <w:r>
            <w:rPr>
              <w:rFonts w:hint="eastAsia" w:ascii="宋体" w:hAnsi="宋体" w:cs="宋体"/>
              <w:b/>
              <w:bCs/>
              <w:color w:val="auto"/>
              <w:szCs w:val="28"/>
            </w:rPr>
            <w:fldChar w:fldCharType="end"/>
          </w:r>
        </w:p>
        <w:p>
          <w:pPr>
            <w:pStyle w:val="25"/>
            <w:tabs>
              <w:tab w:val="right" w:leader="dot" w:pos="9638"/>
              <w:tab w:val="clear" w:pos="8494"/>
            </w:tabs>
            <w:rPr>
              <w:b/>
              <w:bCs/>
            </w:rPr>
          </w:pPr>
          <w:r>
            <w:rPr>
              <w:rFonts w:hint="eastAsia" w:ascii="宋体" w:hAnsi="宋体" w:cs="宋体"/>
              <w:b/>
              <w:bCs/>
              <w:color w:val="auto"/>
              <w:szCs w:val="28"/>
            </w:rPr>
            <w:fldChar w:fldCharType="begin"/>
          </w:r>
          <w:r>
            <w:rPr>
              <w:rFonts w:hint="eastAsia" w:ascii="宋体" w:hAnsi="宋体" w:cs="宋体"/>
              <w:b/>
              <w:bCs/>
              <w:szCs w:val="28"/>
            </w:rPr>
            <w:instrText xml:space="preserve"> HYPERLINK \l _Toc21224 </w:instrText>
          </w:r>
          <w:r>
            <w:rPr>
              <w:rFonts w:hint="eastAsia" w:ascii="宋体" w:hAnsi="宋体" w:cs="宋体"/>
              <w:b/>
              <w:bCs/>
              <w:szCs w:val="28"/>
            </w:rPr>
            <w:fldChar w:fldCharType="separate"/>
          </w:r>
          <w:r>
            <w:rPr>
              <w:rFonts w:hint="eastAsia" w:ascii="宋体" w:hAnsi="宋体" w:cs="宋体"/>
              <w:b/>
              <w:bCs/>
              <w:szCs w:val="32"/>
            </w:rPr>
            <w:t>第六章  响应文件格式</w:t>
          </w:r>
          <w:r>
            <w:rPr>
              <w:b/>
              <w:bCs/>
            </w:rPr>
            <w:tab/>
          </w:r>
          <w:r>
            <w:rPr>
              <w:b/>
              <w:bCs/>
            </w:rPr>
            <w:fldChar w:fldCharType="begin"/>
          </w:r>
          <w:r>
            <w:rPr>
              <w:b/>
              <w:bCs/>
            </w:rPr>
            <w:instrText xml:space="preserve"> PAGEREF _Toc21224 \h </w:instrText>
          </w:r>
          <w:r>
            <w:rPr>
              <w:b/>
              <w:bCs/>
            </w:rPr>
            <w:fldChar w:fldCharType="separate"/>
          </w:r>
          <w:r>
            <w:rPr>
              <w:b/>
              <w:bCs/>
            </w:rPr>
            <w:t>26</w:t>
          </w:r>
          <w:r>
            <w:rPr>
              <w:b/>
              <w:bCs/>
            </w:rPr>
            <w:fldChar w:fldCharType="end"/>
          </w:r>
          <w:r>
            <w:rPr>
              <w:rFonts w:hint="eastAsia" w:ascii="宋体" w:hAnsi="宋体" w:cs="宋体"/>
              <w:b/>
              <w:bCs/>
              <w:color w:val="auto"/>
              <w:szCs w:val="28"/>
            </w:rPr>
            <w:fldChar w:fldCharType="end"/>
          </w:r>
        </w:p>
        <w:p>
          <w:pPr>
            <w:spacing w:line="480" w:lineRule="exact"/>
            <w:ind w:firstLine="105"/>
            <w:rPr>
              <w:rFonts w:ascii="宋体" w:hAnsi="宋体" w:cs="宋体"/>
              <w:color w:val="auto"/>
            </w:rPr>
          </w:pPr>
          <w:r>
            <w:rPr>
              <w:rFonts w:hint="eastAsia" w:ascii="宋体" w:hAnsi="宋体" w:cs="宋体"/>
              <w:b/>
              <w:bCs/>
              <w:color w:val="auto"/>
              <w:szCs w:val="28"/>
            </w:rPr>
            <w:fldChar w:fldCharType="end"/>
          </w:r>
        </w:p>
      </w:sdtContent>
    </w:sdt>
    <w:p>
      <w:pPr>
        <w:pStyle w:val="25"/>
        <w:spacing w:line="260" w:lineRule="exact"/>
        <w:rPr>
          <w:rFonts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TOC \o "1-3" \h \z \u </w:instrText>
      </w:r>
      <w:r>
        <w:rPr>
          <w:rFonts w:hint="eastAsia" w:cs="宋体"/>
          <w:color w:val="auto"/>
          <w:sz w:val="21"/>
          <w:szCs w:val="21"/>
        </w:rPr>
        <w:fldChar w:fldCharType="separate"/>
      </w:r>
    </w:p>
    <w:p>
      <w:pPr>
        <w:pStyle w:val="25"/>
        <w:spacing w:line="260" w:lineRule="exact"/>
        <w:ind w:firstLine="105"/>
        <w:rPr>
          <w:rFonts w:cs="宋体"/>
          <w:color w:val="auto"/>
          <w:sz w:val="21"/>
          <w:szCs w:val="21"/>
        </w:rPr>
      </w:pPr>
    </w:p>
    <w:p>
      <w:pPr>
        <w:spacing w:line="360" w:lineRule="exact"/>
        <w:rPr>
          <w:rFonts w:ascii="宋体" w:hAnsi="宋体" w:cs="宋体"/>
          <w:color w:val="auto"/>
          <w:szCs w:val="21"/>
        </w:rPr>
      </w:pPr>
      <w:r>
        <w:rPr>
          <w:rFonts w:hint="eastAsia" w:ascii="宋体" w:hAnsi="宋体" w:cs="宋体"/>
          <w:color w:val="auto"/>
          <w:szCs w:val="21"/>
        </w:rPr>
        <w:fldChar w:fldCharType="end"/>
      </w:r>
    </w:p>
    <w:p>
      <w:pPr>
        <w:spacing w:line="360" w:lineRule="exact"/>
        <w:rPr>
          <w:rFonts w:ascii="宋体" w:hAnsi="宋体" w:cs="宋体"/>
          <w:color w:val="auto"/>
          <w:szCs w:val="21"/>
        </w:rPr>
      </w:pPr>
    </w:p>
    <w:p>
      <w:pPr>
        <w:spacing w:line="360" w:lineRule="exact"/>
        <w:rPr>
          <w:rFonts w:ascii="宋体" w:hAnsi="宋体" w:cs="宋体"/>
          <w:color w:val="auto"/>
          <w:szCs w:val="21"/>
        </w:rPr>
      </w:pPr>
    </w:p>
    <w:p>
      <w:pPr>
        <w:pStyle w:val="4"/>
        <w:spacing w:line="360" w:lineRule="exact"/>
        <w:jc w:val="center"/>
        <w:rPr>
          <w:rFonts w:ascii="宋体" w:hAnsi="宋体" w:cs="宋体"/>
          <w:color w:val="auto"/>
          <w:sz w:val="32"/>
          <w:szCs w:val="32"/>
        </w:rPr>
        <w:sectPr>
          <w:headerReference r:id="rId6" w:type="first"/>
          <w:footerReference r:id="rId8" w:type="first"/>
          <w:headerReference r:id="rId5" w:type="default"/>
          <w:footerReference r:id="rId7" w:type="default"/>
          <w:pgSz w:w="11906" w:h="16838"/>
          <w:pgMar w:top="1134" w:right="1134" w:bottom="1134" w:left="1134" w:header="567" w:footer="567" w:gutter="0"/>
          <w:pgNumType w:start="1"/>
          <w:cols w:space="720" w:num="1"/>
          <w:titlePg/>
          <w:docGrid w:type="lines" w:linePitch="312" w:charSpace="0"/>
        </w:sectPr>
      </w:pPr>
    </w:p>
    <w:p>
      <w:pPr>
        <w:pStyle w:val="4"/>
        <w:spacing w:line="360" w:lineRule="exact"/>
        <w:jc w:val="center"/>
        <w:rPr>
          <w:rFonts w:ascii="宋体" w:hAnsi="宋体" w:cs="宋体"/>
          <w:color w:val="auto"/>
          <w:sz w:val="32"/>
          <w:szCs w:val="32"/>
        </w:rPr>
      </w:pPr>
      <w:bookmarkStart w:id="1" w:name="_Toc29220"/>
      <w:bookmarkStart w:id="2" w:name="_Toc30474"/>
      <w:r>
        <w:rPr>
          <w:rFonts w:hint="eastAsia" w:ascii="宋体" w:hAnsi="宋体" w:cs="宋体"/>
          <w:color w:val="auto"/>
          <w:sz w:val="32"/>
          <w:szCs w:val="32"/>
        </w:rPr>
        <w:t>第一章 竞争性磋商公告</w:t>
      </w:r>
      <w:bookmarkEnd w:id="1"/>
      <w:bookmarkEnd w:id="2"/>
    </w:p>
    <w:p>
      <w:pPr>
        <w:widowControl/>
        <w:spacing w:after="75" w:line="480" w:lineRule="exact"/>
        <w:ind w:firstLine="480" w:firstLineChars="200"/>
        <w:jc w:val="left"/>
        <w:rPr>
          <w:rFonts w:hint="eastAsia" w:ascii="宋体" w:hAnsi="宋体" w:eastAsia="宋体" w:cs="宋体"/>
          <w:b/>
          <w:color w:val="auto"/>
          <w:kern w:val="0"/>
          <w:sz w:val="24"/>
          <w:u w:val="single"/>
          <w:lang w:eastAsia="zh-CN"/>
        </w:rPr>
      </w:pPr>
      <w:r>
        <w:rPr>
          <w:rFonts w:hint="eastAsia" w:ascii="宋体" w:hAnsi="宋体" w:cs="宋体"/>
          <w:color w:val="auto"/>
          <w:kern w:val="0"/>
          <w:sz w:val="24"/>
        </w:rPr>
        <w:t>根据《中华人民共和国政府采购法》、《政府采购竞争性磋商采购方式管理暂行办法》等规定，经湖州市财政局政府采购监管处</w:t>
      </w:r>
      <w:r>
        <w:rPr>
          <w:rFonts w:hint="eastAsia" w:ascii="宋体" w:hAnsi="宋体" w:cs="宋体"/>
          <w:b/>
          <w:bCs/>
          <w:color w:val="auto"/>
          <w:kern w:val="0"/>
          <w:sz w:val="24"/>
        </w:rPr>
        <w:t>（</w:t>
      </w:r>
      <w:r>
        <w:rPr>
          <w:rFonts w:hint="eastAsia" w:ascii="宋体" w:hAnsi="宋体" w:cs="宋体"/>
          <w:b/>
          <w:bCs/>
          <w:color w:val="auto"/>
          <w:kern w:val="0"/>
          <w:sz w:val="24"/>
          <w:lang w:eastAsia="zh-CN"/>
        </w:rPr>
        <w:t>财政审批编号：</w:t>
      </w:r>
      <w:r>
        <w:rPr>
          <w:rFonts w:hint="eastAsia" w:ascii="宋体" w:hAnsi="宋体" w:cs="宋体"/>
          <w:b/>
          <w:bCs/>
          <w:color w:val="auto"/>
          <w:kern w:val="0"/>
          <w:sz w:val="24"/>
          <w:lang w:val="en-US" w:eastAsia="zh-CN"/>
        </w:rPr>
        <w:t>临[2022]12291号</w:t>
      </w:r>
      <w:r>
        <w:rPr>
          <w:rFonts w:hint="eastAsia" w:ascii="宋体" w:hAnsi="宋体" w:cs="宋体"/>
          <w:b/>
          <w:bCs/>
          <w:color w:val="auto"/>
          <w:kern w:val="0"/>
          <w:sz w:val="24"/>
        </w:rPr>
        <w:t>）</w:t>
      </w:r>
      <w:r>
        <w:rPr>
          <w:rFonts w:hint="eastAsia" w:ascii="宋体" w:hAnsi="宋体" w:cs="宋体"/>
          <w:color w:val="auto"/>
          <w:kern w:val="0"/>
          <w:sz w:val="24"/>
        </w:rPr>
        <w:t>批准，</w:t>
      </w:r>
      <w:r>
        <w:rPr>
          <w:rFonts w:hint="eastAsia" w:ascii="宋体" w:hAnsi="宋体" w:cs="宋体"/>
          <w:b/>
          <w:bCs/>
          <w:color w:val="auto"/>
          <w:kern w:val="0"/>
          <w:sz w:val="24"/>
          <w:u w:val="single"/>
        </w:rPr>
        <w:t>宁波建信工程造价咨询事务所有限公司</w:t>
      </w:r>
      <w:r>
        <w:rPr>
          <w:rFonts w:hint="eastAsia" w:ascii="宋体" w:hAnsi="宋体" w:cs="宋体"/>
          <w:color w:val="auto"/>
          <w:kern w:val="0"/>
          <w:sz w:val="24"/>
        </w:rPr>
        <w:t>受</w:t>
      </w:r>
      <w:r>
        <w:rPr>
          <w:rFonts w:hint="eastAsia" w:ascii="宋体" w:hAnsi="宋体" w:cs="宋体"/>
          <w:b/>
          <w:bCs/>
          <w:color w:val="auto"/>
          <w:kern w:val="0"/>
          <w:sz w:val="24"/>
          <w:u w:val="single"/>
          <w:lang w:eastAsia="zh-CN"/>
        </w:rPr>
        <w:t>湖州市吴兴区东林镇人民政府</w:t>
      </w:r>
      <w:r>
        <w:rPr>
          <w:rFonts w:hint="eastAsia" w:ascii="宋体" w:hAnsi="宋体" w:cs="宋体"/>
          <w:color w:val="auto"/>
          <w:kern w:val="0"/>
          <w:sz w:val="24"/>
        </w:rPr>
        <w:t>的委托，现就</w:t>
      </w:r>
      <w:r>
        <w:rPr>
          <w:rFonts w:hint="eastAsia" w:ascii="宋体" w:hAnsi="宋体" w:cs="宋体"/>
          <w:b/>
          <w:color w:val="auto"/>
          <w:kern w:val="0"/>
          <w:sz w:val="24"/>
          <w:u w:val="single"/>
          <w:lang w:eastAsia="zh-CN"/>
        </w:rPr>
        <w:t>东林镇2022年第二轮疗休养项目</w:t>
      </w:r>
      <w:r>
        <w:rPr>
          <w:rFonts w:hint="eastAsia" w:ascii="宋体" w:hAnsi="宋体" w:cs="宋体"/>
          <w:color w:val="auto"/>
          <w:kern w:val="0"/>
          <w:sz w:val="24"/>
        </w:rPr>
        <w:t>进行竞争性磋商采购，欢迎国内合格的供应商前来参加磋商</w:t>
      </w:r>
      <w:r>
        <w:rPr>
          <w:rFonts w:hint="eastAsia" w:ascii="宋体" w:hAnsi="宋体" w:cs="宋体"/>
          <w:color w:val="auto"/>
          <w:kern w:val="0"/>
          <w:sz w:val="24"/>
          <w:lang w:eastAsia="zh-CN"/>
        </w:rPr>
        <w:t>。</w:t>
      </w:r>
    </w:p>
    <w:p>
      <w:pPr>
        <w:widowControl/>
        <w:spacing w:after="75" w:line="480" w:lineRule="exact"/>
        <w:ind w:firstLine="482" w:firstLineChars="200"/>
        <w:jc w:val="left"/>
        <w:rPr>
          <w:rFonts w:hint="default" w:ascii="宋体" w:hAnsi="宋体" w:eastAsia="宋体" w:cs="宋体"/>
          <w:color w:val="auto"/>
          <w:kern w:val="0"/>
          <w:sz w:val="24"/>
          <w:lang w:val="en-US" w:eastAsia="zh-CN"/>
        </w:rPr>
      </w:pPr>
      <w:r>
        <w:rPr>
          <w:rFonts w:hint="eastAsia" w:ascii="宋体" w:hAnsi="宋体" w:cs="宋体"/>
          <w:b/>
          <w:bCs/>
          <w:color w:val="auto"/>
          <w:kern w:val="0"/>
          <w:sz w:val="24"/>
        </w:rPr>
        <w:t>一、项目编号：</w:t>
      </w:r>
      <w:r>
        <w:rPr>
          <w:rFonts w:hint="eastAsia" w:ascii="宋体" w:hAnsi="宋体" w:cs="宋体"/>
          <w:b/>
          <w:bCs/>
          <w:color w:val="auto"/>
          <w:kern w:val="0"/>
          <w:sz w:val="24"/>
          <w:u w:val="none"/>
          <w:lang w:eastAsia="zh-CN"/>
        </w:rPr>
        <w:t>NBJX</w:t>
      </w:r>
      <w:r>
        <w:rPr>
          <w:rFonts w:hint="eastAsia" w:ascii="宋体" w:hAnsi="宋体" w:cs="宋体"/>
          <w:b/>
          <w:bCs/>
          <w:color w:val="auto"/>
          <w:kern w:val="0"/>
          <w:sz w:val="24"/>
          <w:u w:val="none"/>
          <w:lang w:val="en-US" w:eastAsia="zh-CN"/>
        </w:rPr>
        <w:t>2022014</w:t>
      </w:r>
    </w:p>
    <w:p>
      <w:pPr>
        <w:widowControl/>
        <w:spacing w:after="75" w:line="48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二、组织类型：分散采购委托代理</w:t>
      </w:r>
    </w:p>
    <w:p>
      <w:pPr>
        <w:widowControl/>
        <w:spacing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三、项目概况</w:t>
      </w:r>
      <w:r>
        <w:rPr>
          <w:rFonts w:hint="eastAsia" w:ascii="宋体" w:hAnsi="宋体" w:cs="宋体"/>
          <w:color w:val="auto"/>
          <w:kern w:val="0"/>
          <w:sz w:val="24"/>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862"/>
        <w:gridCol w:w="260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1066" w:type="dxa"/>
            <w:noWrap/>
            <w:vAlign w:val="center"/>
          </w:tcPr>
          <w:p>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3862" w:type="dxa"/>
            <w:noWrap/>
            <w:vAlign w:val="center"/>
          </w:tcPr>
          <w:p>
            <w:pPr>
              <w:spacing w:line="480" w:lineRule="exact"/>
              <w:jc w:val="center"/>
              <w:rPr>
                <w:rFonts w:ascii="宋体" w:hAnsi="宋体" w:cs="宋体"/>
                <w:b/>
                <w:bCs/>
                <w:color w:val="auto"/>
                <w:sz w:val="24"/>
              </w:rPr>
            </w:pPr>
            <w:r>
              <w:rPr>
                <w:rFonts w:hint="eastAsia" w:ascii="宋体" w:hAnsi="宋体" w:cs="宋体"/>
                <w:b/>
                <w:bCs/>
                <w:color w:val="auto"/>
                <w:sz w:val="24"/>
              </w:rPr>
              <w:t>服务内容</w:t>
            </w:r>
          </w:p>
        </w:tc>
        <w:tc>
          <w:tcPr>
            <w:tcW w:w="2609" w:type="dxa"/>
            <w:noWrap/>
            <w:vAlign w:val="center"/>
          </w:tcPr>
          <w:p>
            <w:pPr>
              <w:spacing w:line="480" w:lineRule="exact"/>
              <w:jc w:val="center"/>
              <w:rPr>
                <w:rFonts w:ascii="宋体" w:hAnsi="宋体" w:cs="宋体"/>
                <w:b/>
                <w:bCs/>
                <w:color w:val="auto"/>
                <w:sz w:val="24"/>
              </w:rPr>
            </w:pPr>
            <w:r>
              <w:rPr>
                <w:rFonts w:hint="eastAsia" w:ascii="宋体" w:hAnsi="宋体" w:cs="宋体"/>
                <w:b/>
                <w:bCs/>
                <w:color w:val="auto"/>
                <w:sz w:val="24"/>
              </w:rPr>
              <w:t>服务要求</w:t>
            </w:r>
          </w:p>
        </w:tc>
        <w:tc>
          <w:tcPr>
            <w:tcW w:w="2425" w:type="dxa"/>
            <w:noWrap/>
            <w:vAlign w:val="center"/>
          </w:tcPr>
          <w:p>
            <w:pPr>
              <w:spacing w:line="480" w:lineRule="exact"/>
              <w:jc w:val="center"/>
              <w:rPr>
                <w:rFonts w:ascii="宋体" w:hAnsi="宋体" w:cs="宋体"/>
                <w:b/>
                <w:bCs/>
                <w:color w:val="auto"/>
                <w:sz w:val="24"/>
              </w:rPr>
            </w:pPr>
            <w:r>
              <w:rPr>
                <w:rFonts w:hint="eastAsia" w:ascii="宋体" w:hAnsi="宋体" w:cs="宋体"/>
                <w:b/>
                <w:bCs/>
                <w:color w:val="auto"/>
                <w:sz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66" w:type="dxa"/>
            <w:noWrap/>
            <w:vAlign w:val="center"/>
          </w:tcPr>
          <w:p>
            <w:pPr>
              <w:widowControl/>
              <w:spacing w:line="480" w:lineRule="exact"/>
              <w:jc w:val="center"/>
              <w:rPr>
                <w:rFonts w:ascii="宋体" w:hAnsi="宋体" w:cs="宋体"/>
                <w:color w:val="auto"/>
                <w:sz w:val="24"/>
              </w:rPr>
            </w:pPr>
            <w:r>
              <w:rPr>
                <w:rFonts w:hint="eastAsia" w:ascii="宋体" w:hAnsi="宋体" w:cs="宋体"/>
                <w:color w:val="auto"/>
                <w:kern w:val="0"/>
                <w:sz w:val="24"/>
              </w:rPr>
              <w:t>1</w:t>
            </w:r>
          </w:p>
        </w:tc>
        <w:tc>
          <w:tcPr>
            <w:tcW w:w="3862" w:type="dxa"/>
            <w:noWrap/>
            <w:vAlign w:val="center"/>
          </w:tcPr>
          <w:p>
            <w:pPr>
              <w:spacing w:line="480" w:lineRule="exact"/>
              <w:jc w:val="center"/>
              <w:rPr>
                <w:rFonts w:ascii="宋体" w:hAnsi="宋体" w:cs="宋体"/>
                <w:color w:val="auto"/>
                <w:sz w:val="24"/>
              </w:rPr>
            </w:pPr>
            <w:r>
              <w:rPr>
                <w:rFonts w:hint="eastAsia" w:ascii="宋体" w:hAnsi="宋体" w:cs="宋体"/>
                <w:color w:val="auto"/>
                <w:sz w:val="24"/>
                <w:lang w:val="en-US" w:eastAsia="zh-CN"/>
              </w:rPr>
              <w:t>东林镇2022年第二轮疗休养</w:t>
            </w:r>
          </w:p>
        </w:tc>
        <w:tc>
          <w:tcPr>
            <w:tcW w:w="2609" w:type="dxa"/>
            <w:noWrap/>
            <w:vAlign w:val="center"/>
          </w:tcPr>
          <w:p>
            <w:pPr>
              <w:spacing w:line="480" w:lineRule="exact"/>
              <w:jc w:val="center"/>
              <w:rPr>
                <w:rFonts w:hint="eastAsia" w:ascii="宋体" w:hAnsi="宋体" w:eastAsia="宋体" w:cs="宋体"/>
                <w:color w:val="auto"/>
                <w:sz w:val="24"/>
                <w:lang w:eastAsia="zh-CN"/>
              </w:rPr>
            </w:pPr>
            <w:r>
              <w:rPr>
                <w:rFonts w:hint="eastAsia" w:ascii="宋体" w:hAnsi="宋体" w:cs="宋体"/>
                <w:color w:val="auto"/>
                <w:sz w:val="24"/>
              </w:rPr>
              <w:t>详见</w:t>
            </w:r>
            <w:r>
              <w:rPr>
                <w:rFonts w:hint="eastAsia" w:ascii="宋体" w:hAnsi="宋体" w:cs="宋体"/>
                <w:color w:val="auto"/>
                <w:sz w:val="24"/>
                <w:lang w:eastAsia="zh-CN"/>
              </w:rPr>
              <w:t>磋商需求</w:t>
            </w:r>
          </w:p>
        </w:tc>
        <w:tc>
          <w:tcPr>
            <w:tcW w:w="2425" w:type="dxa"/>
            <w:noWrap/>
            <w:vAlign w:val="center"/>
          </w:tcPr>
          <w:p>
            <w:pPr>
              <w:spacing w:line="480" w:lineRule="exact"/>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962" w:type="dxa"/>
            <w:gridSpan w:val="4"/>
            <w:noWrap/>
            <w:vAlign w:val="center"/>
          </w:tcPr>
          <w:p>
            <w:pPr>
              <w:spacing w:line="480" w:lineRule="exact"/>
              <w:jc w:val="center"/>
              <w:rPr>
                <w:rFonts w:ascii="宋体" w:hAnsi="宋体" w:cs="宋体"/>
                <w:b/>
                <w:color w:val="auto"/>
                <w:sz w:val="24"/>
              </w:rPr>
            </w:pPr>
            <w:r>
              <w:rPr>
                <w:rFonts w:hint="eastAsia" w:ascii="宋体" w:hAnsi="宋体" w:cs="宋体"/>
                <w:b/>
                <w:color w:val="auto"/>
                <w:kern w:val="0"/>
                <w:sz w:val="24"/>
              </w:rPr>
              <w:t>注：</w:t>
            </w:r>
            <w:r>
              <w:rPr>
                <w:rFonts w:hint="eastAsia" w:ascii="宋体" w:hAnsi="宋体" w:cs="宋体"/>
                <w:b/>
                <w:color w:val="auto"/>
                <w:sz w:val="24"/>
              </w:rPr>
              <w:t>磋商报价时不得超过预算金额，否则作无效标处理。</w:t>
            </w:r>
          </w:p>
        </w:tc>
      </w:tr>
    </w:tbl>
    <w:p>
      <w:pPr>
        <w:widowControl/>
        <w:spacing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四、磋商供应商资格要求</w:t>
      </w:r>
      <w:r>
        <w:rPr>
          <w:rFonts w:hint="eastAsia" w:ascii="宋体" w:hAnsi="宋体" w:cs="宋体"/>
          <w:color w:val="auto"/>
          <w:kern w:val="0"/>
          <w:sz w:val="24"/>
        </w:rPr>
        <w:t>：</w:t>
      </w:r>
    </w:p>
    <w:p>
      <w:pPr>
        <w:widowControl/>
        <w:spacing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符合《中华人民共和国政府采购法》第二十二条规定：投标人应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pPr>
        <w:widowControl/>
        <w:spacing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至本项目磋商响应截止时间前，供应商未列入失信被执行人、重大税收违法案件当事人名单、政府采购严重违法失信行为记录名单的（以“信用中国”网站www.creditchina.gov.cn、“中国政府采购网”www.ccgp.gov.cn查询结果为准）；</w:t>
      </w:r>
    </w:p>
    <w:p>
      <w:pPr>
        <w:widowControl/>
        <w:spacing w:after="75"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3、本项目不接受联合体投标，禁止转包或分包。</w:t>
      </w:r>
    </w:p>
    <w:p>
      <w:pPr>
        <w:widowControl/>
        <w:spacing w:after="75" w:line="48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五、报名及获取磋商文件时间：</w:t>
      </w:r>
    </w:p>
    <w:p>
      <w:pPr>
        <w:widowControl/>
        <w:spacing w:before="75" w:after="75" w:line="48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1、报名及获取磋商文件时间：</w:t>
      </w:r>
      <w:r>
        <w:rPr>
          <w:rFonts w:hint="eastAsia" w:ascii="宋体" w:hAnsi="宋体" w:eastAsia="宋体" w:cs="宋体"/>
          <w:b/>
          <w:bCs/>
          <w:color w:val="auto"/>
          <w:kern w:val="0"/>
          <w:sz w:val="24"/>
          <w:lang w:eastAsia="zh-CN"/>
        </w:rPr>
        <w:t>自公告发布之日起至</w:t>
      </w:r>
      <w:r>
        <w:rPr>
          <w:rFonts w:hint="eastAsia" w:ascii="宋体" w:hAnsi="宋体" w:eastAsia="宋体" w:cs="宋体"/>
          <w:b/>
          <w:bCs/>
          <w:color w:val="auto"/>
          <w:kern w:val="0"/>
          <w:sz w:val="24"/>
        </w:rPr>
        <w:t>响</w:t>
      </w:r>
      <w:r>
        <w:rPr>
          <w:rFonts w:hint="eastAsia" w:ascii="宋体" w:hAnsi="宋体" w:cs="宋体"/>
          <w:b/>
          <w:bCs/>
          <w:color w:val="auto"/>
          <w:kern w:val="0"/>
          <w:sz w:val="24"/>
        </w:rPr>
        <w:t>应文件递交的截止时间</w:t>
      </w:r>
      <w:r>
        <w:rPr>
          <w:rFonts w:hint="eastAsia" w:ascii="宋体" w:hAnsi="宋体" w:cs="宋体"/>
          <w:b/>
          <w:bCs/>
          <w:color w:val="auto"/>
          <w:kern w:val="0"/>
          <w:sz w:val="24"/>
          <w:lang w:eastAsia="zh-CN"/>
        </w:rPr>
        <w:t>止</w:t>
      </w:r>
      <w:r>
        <w:rPr>
          <w:rFonts w:hint="eastAsia" w:ascii="宋体" w:hAnsi="宋体" w:cs="宋体"/>
          <w:color w:val="auto"/>
          <w:kern w:val="0"/>
          <w:sz w:val="24"/>
        </w:rPr>
        <w:t>(潜在供应商报名及获取磋商文件前应当在政采云电子交易平台上注册账号并登录，截止时间后不再接受潜在供应商报名及获取磋商文件)</w:t>
      </w:r>
      <w:r>
        <w:rPr>
          <w:rFonts w:hint="eastAsia" w:ascii="宋体" w:hAnsi="宋体" w:cs="宋体"/>
          <w:color w:val="auto"/>
          <w:kern w:val="0"/>
          <w:sz w:val="24"/>
          <w:lang w:eastAsia="zh-CN"/>
        </w:rPr>
        <w:t>；</w:t>
      </w:r>
    </w:p>
    <w:p>
      <w:pPr>
        <w:widowControl/>
        <w:spacing w:before="75" w:after="75" w:line="48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r>
        <w:rPr>
          <w:rFonts w:hint="eastAsia" w:ascii="宋体" w:hAnsi="宋体" w:cs="宋体"/>
          <w:color w:val="auto"/>
          <w:kern w:val="0"/>
          <w:sz w:val="24"/>
          <w:lang w:eastAsia="zh-CN"/>
        </w:rPr>
        <w:t>；</w:t>
      </w:r>
    </w:p>
    <w:p>
      <w:pPr>
        <w:widowControl/>
        <w:spacing w:before="75" w:after="75" w:line="480" w:lineRule="exact"/>
        <w:ind w:firstLine="480" w:firstLineChars="200"/>
        <w:rPr>
          <w:rFonts w:ascii="宋体" w:hAnsi="宋体" w:cs="宋体"/>
          <w:color w:val="auto"/>
          <w:kern w:val="0"/>
          <w:sz w:val="24"/>
        </w:rPr>
      </w:pPr>
      <w:r>
        <w:rPr>
          <w:rFonts w:hint="eastAsia" w:ascii="宋体" w:hAnsi="宋体" w:cs="宋体"/>
          <w:color w:val="auto"/>
          <w:kern w:val="0"/>
          <w:sz w:val="24"/>
        </w:rPr>
        <w:t>3、免费注册网址：浙江政府采购网（供应商注册页面）：https://middle.zcygov.cn/settle-front/#/registry“政采云”，咨询电话：400-881-7190。已经注册成功的供应商无需重复注册。</w:t>
      </w:r>
    </w:p>
    <w:p>
      <w:pPr>
        <w:widowControl/>
        <w:spacing w:after="75" w:line="48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六、响应文件的递交及相关事宜：</w:t>
      </w:r>
    </w:p>
    <w:p>
      <w:pPr>
        <w:widowControl/>
        <w:spacing w:before="75"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1、响应文件递交的截止时间（投标截止时间，下同）</w:t>
      </w:r>
      <w:r>
        <w:rPr>
          <w:rFonts w:hint="eastAsia" w:ascii="宋体" w:hAnsi="宋体" w:cs="宋体"/>
          <w:color w:val="auto"/>
          <w:kern w:val="0"/>
          <w:sz w:val="24"/>
        </w:rPr>
        <w:t>：</w:t>
      </w:r>
      <w:r>
        <w:rPr>
          <w:rFonts w:hint="eastAsia" w:ascii="宋体" w:hAnsi="宋体" w:cs="宋体"/>
          <w:b/>
          <w:bCs/>
          <w:color w:val="auto"/>
          <w:kern w:val="0"/>
          <w:sz w:val="24"/>
          <w:u w:val="single"/>
        </w:rPr>
        <w:t>202</w:t>
      </w:r>
      <w:r>
        <w:rPr>
          <w:rFonts w:hint="eastAsia" w:ascii="宋体" w:hAnsi="宋体" w:cs="宋体"/>
          <w:b/>
          <w:bCs/>
          <w:color w:val="auto"/>
          <w:kern w:val="0"/>
          <w:sz w:val="24"/>
          <w:u w:val="single"/>
          <w:lang w:val="en-US" w:eastAsia="zh-CN"/>
        </w:rPr>
        <w:t>2</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11</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15</w:t>
      </w:r>
      <w:r>
        <w:rPr>
          <w:rFonts w:hint="eastAsia" w:ascii="宋体" w:hAnsi="宋体" w:cs="宋体"/>
          <w:b/>
          <w:bCs/>
          <w:color w:val="auto"/>
          <w:kern w:val="0"/>
          <w:sz w:val="24"/>
          <w:u w:val="single"/>
        </w:rPr>
        <w:t>日</w:t>
      </w:r>
      <w:r>
        <w:rPr>
          <w:rFonts w:hint="eastAsia" w:ascii="宋体" w:hAnsi="宋体" w:cs="宋体"/>
          <w:b/>
          <w:bCs/>
          <w:color w:val="auto"/>
          <w:kern w:val="0"/>
          <w:sz w:val="24"/>
          <w:u w:val="single"/>
          <w:lang w:val="en-US" w:eastAsia="zh-CN"/>
        </w:rPr>
        <w:t>14</w:t>
      </w:r>
      <w:r>
        <w:rPr>
          <w:rFonts w:hint="eastAsia" w:ascii="宋体" w:hAnsi="宋体" w:cs="宋体"/>
          <w:b/>
          <w:bCs/>
          <w:color w:val="auto"/>
          <w:kern w:val="0"/>
          <w:sz w:val="24"/>
          <w:u w:val="single"/>
        </w:rPr>
        <w:t>时</w:t>
      </w:r>
      <w:r>
        <w:rPr>
          <w:rFonts w:hint="eastAsia" w:ascii="宋体" w:hAnsi="宋体" w:cs="宋体"/>
          <w:b/>
          <w:bCs/>
          <w:color w:val="auto"/>
          <w:kern w:val="0"/>
          <w:sz w:val="24"/>
          <w:u w:val="single"/>
          <w:lang w:val="en-US" w:eastAsia="zh-CN"/>
        </w:rPr>
        <w:t>00</w:t>
      </w:r>
      <w:r>
        <w:rPr>
          <w:rFonts w:hint="eastAsia" w:ascii="宋体" w:hAnsi="宋体" w:cs="宋体"/>
          <w:b/>
          <w:bCs/>
          <w:color w:val="auto"/>
          <w:kern w:val="0"/>
          <w:sz w:val="24"/>
          <w:u w:val="single"/>
        </w:rPr>
        <w:t>分</w:t>
      </w:r>
      <w:r>
        <w:rPr>
          <w:rFonts w:hint="eastAsia" w:ascii="宋体" w:hAnsi="宋体" w:cs="宋体"/>
          <w:color w:val="auto"/>
          <w:kern w:val="0"/>
          <w:sz w:val="24"/>
        </w:rPr>
        <w:t>。</w:t>
      </w:r>
    </w:p>
    <w:p>
      <w:pPr>
        <w:widowControl/>
        <w:spacing w:before="75"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2、响应文件的递交方式</w:t>
      </w:r>
      <w:r>
        <w:rPr>
          <w:rFonts w:hint="eastAsia" w:ascii="宋体" w:hAnsi="宋体" w:cs="宋体"/>
          <w:color w:val="auto"/>
          <w:kern w:val="0"/>
          <w:sz w:val="24"/>
        </w:rPr>
        <w:t>：</w:t>
      </w:r>
    </w:p>
    <w:p>
      <w:pPr>
        <w:widowControl/>
        <w:spacing w:before="75" w:after="75" w:line="480" w:lineRule="exact"/>
        <w:ind w:firstLine="482" w:firstLineChars="200"/>
        <w:jc w:val="left"/>
        <w:rPr>
          <w:rFonts w:hint="eastAsia" w:ascii="宋体" w:hAnsi="宋体" w:eastAsia="宋体" w:cs="宋体"/>
          <w:color w:val="auto"/>
          <w:kern w:val="0"/>
          <w:sz w:val="24"/>
          <w:lang w:eastAsia="zh-CN"/>
        </w:rPr>
      </w:pPr>
      <w:r>
        <w:rPr>
          <w:rFonts w:hint="eastAsia" w:ascii="宋体" w:hAnsi="宋体" w:cs="宋体"/>
          <w:b/>
          <w:bCs/>
          <w:color w:val="auto"/>
          <w:kern w:val="0"/>
          <w:sz w:val="24"/>
        </w:rPr>
        <w:t>2.1电子响应文件：</w:t>
      </w:r>
      <w:r>
        <w:rPr>
          <w:rFonts w:hint="eastAsia" w:ascii="宋体" w:hAnsi="宋体" w:cs="宋体"/>
          <w:color w:val="auto"/>
          <w:kern w:val="0"/>
          <w:sz w:val="24"/>
        </w:rPr>
        <w:t>按政采云平台项目采购-电子交易操作指南及本磋商文件要求制作、加密并递交。</w:t>
      </w:r>
      <w:r>
        <w:rPr>
          <w:rFonts w:hint="eastAsia" w:ascii="宋体" w:hAnsi="宋体" w:cs="宋体"/>
          <w:b/>
          <w:bCs/>
          <w:color w:val="auto"/>
          <w:kern w:val="0"/>
          <w:sz w:val="24"/>
          <w:u w:val="single"/>
        </w:rPr>
        <w:t>供应商应于202</w:t>
      </w:r>
      <w:r>
        <w:rPr>
          <w:rFonts w:hint="eastAsia" w:ascii="宋体" w:hAnsi="宋体" w:cs="宋体"/>
          <w:b/>
          <w:bCs/>
          <w:color w:val="auto"/>
          <w:kern w:val="0"/>
          <w:sz w:val="24"/>
          <w:u w:val="single"/>
          <w:lang w:val="en-US" w:eastAsia="zh-CN"/>
        </w:rPr>
        <w:t>2</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11</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15</w:t>
      </w:r>
      <w:r>
        <w:rPr>
          <w:rFonts w:hint="eastAsia" w:ascii="宋体" w:hAnsi="宋体" w:cs="宋体"/>
          <w:b/>
          <w:bCs/>
          <w:color w:val="auto"/>
          <w:kern w:val="0"/>
          <w:sz w:val="24"/>
          <w:u w:val="single"/>
        </w:rPr>
        <w:t>日</w:t>
      </w:r>
      <w:r>
        <w:rPr>
          <w:rFonts w:hint="eastAsia" w:ascii="宋体" w:hAnsi="宋体" w:cs="宋体"/>
          <w:b/>
          <w:bCs/>
          <w:color w:val="auto"/>
          <w:kern w:val="0"/>
          <w:sz w:val="24"/>
          <w:u w:val="single"/>
          <w:lang w:val="en-US" w:eastAsia="zh-CN"/>
        </w:rPr>
        <w:t>14</w:t>
      </w:r>
      <w:r>
        <w:rPr>
          <w:rFonts w:hint="eastAsia" w:ascii="宋体" w:hAnsi="宋体" w:cs="宋体"/>
          <w:b/>
          <w:bCs/>
          <w:color w:val="auto"/>
          <w:kern w:val="0"/>
          <w:sz w:val="24"/>
          <w:u w:val="single"/>
        </w:rPr>
        <w:t>时</w:t>
      </w:r>
      <w:r>
        <w:rPr>
          <w:rFonts w:hint="eastAsia" w:ascii="宋体" w:hAnsi="宋体" w:cs="宋体"/>
          <w:b/>
          <w:bCs/>
          <w:color w:val="auto"/>
          <w:kern w:val="0"/>
          <w:sz w:val="24"/>
          <w:u w:val="single"/>
          <w:lang w:val="en-US" w:eastAsia="zh-CN"/>
        </w:rPr>
        <w:t>00</w:t>
      </w:r>
      <w:r>
        <w:rPr>
          <w:rFonts w:hint="eastAsia" w:ascii="宋体" w:hAnsi="宋体" w:cs="宋体"/>
          <w:b/>
          <w:bCs/>
          <w:color w:val="auto"/>
          <w:kern w:val="0"/>
          <w:sz w:val="24"/>
          <w:u w:val="single"/>
        </w:rPr>
        <w:t>分</w:t>
      </w:r>
      <w:r>
        <w:rPr>
          <w:rFonts w:hint="eastAsia" w:ascii="宋体" w:hAnsi="宋体" w:cs="宋体"/>
          <w:color w:val="auto"/>
          <w:kern w:val="0"/>
          <w:sz w:val="24"/>
        </w:rPr>
        <w:t>（北京时间）前将制作、加密的电子版响应文件上传到政采云系统中（未准时上传的视为放弃磋商资格，作无效标处理）</w:t>
      </w:r>
      <w:r>
        <w:rPr>
          <w:rFonts w:hint="eastAsia" w:ascii="宋体" w:hAnsi="宋体" w:cs="宋体"/>
          <w:color w:val="auto"/>
          <w:kern w:val="0"/>
          <w:sz w:val="24"/>
          <w:lang w:eastAsia="zh-CN"/>
        </w:rPr>
        <w:t>。</w:t>
      </w:r>
    </w:p>
    <w:p>
      <w:pPr>
        <w:widowControl/>
        <w:spacing w:before="75"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2.2数据电子备份响应文件（U盘）</w:t>
      </w:r>
      <w:r>
        <w:rPr>
          <w:rFonts w:hint="eastAsia" w:ascii="宋体" w:hAnsi="宋体" w:cs="宋体"/>
          <w:color w:val="auto"/>
          <w:kern w:val="0"/>
          <w:sz w:val="24"/>
        </w:rPr>
        <w:t>：以U盘形式提供的数据电子备份响应文件格式及内容须与政采云平台项目采购-电子交易操作指南中制作、加密并递交的电子响应文件格式及内容一致。递交方式：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cs="宋体"/>
          <w:b/>
          <w:bCs/>
          <w:color w:val="auto"/>
          <w:kern w:val="0"/>
          <w:sz w:val="24"/>
        </w:rPr>
        <w:t>（原则上邮寄公司统一采用顺丰）邮寄地址为：宁波建信工程造价咨询事务所有限公司（浙江省湖州市亿丰国际建材城10号楼3楼308室），联系人：王美炎，联系电话：0572-2125808，电子邮箱：</w:t>
      </w:r>
      <w:r>
        <w:rPr>
          <w:color w:val="auto"/>
        </w:rPr>
        <w:fldChar w:fldCharType="begin"/>
      </w:r>
      <w:r>
        <w:rPr>
          <w:color w:val="auto"/>
        </w:rPr>
        <w:instrText xml:space="preserve"> HYPERLINK "mailto:huayaohz@163.com" \h </w:instrText>
      </w:r>
      <w:r>
        <w:rPr>
          <w:color w:val="auto"/>
        </w:rPr>
        <w:fldChar w:fldCharType="separate"/>
      </w:r>
      <w:r>
        <w:rPr>
          <w:rFonts w:hint="eastAsia" w:ascii="宋体" w:hAnsi="宋体" w:cs="宋体"/>
          <w:b/>
          <w:bCs/>
          <w:color w:val="auto"/>
          <w:kern w:val="0"/>
          <w:sz w:val="24"/>
          <w:u w:val="single"/>
        </w:rPr>
        <w:t>231286730@qq.com</w:t>
      </w:r>
      <w:r>
        <w:rPr>
          <w:rFonts w:hint="eastAsia" w:ascii="宋体" w:hAnsi="宋体" w:cs="宋体"/>
          <w:b/>
          <w:bCs/>
          <w:color w:val="auto"/>
          <w:kern w:val="0"/>
          <w:sz w:val="24"/>
          <w:u w:val="single"/>
        </w:rPr>
        <w:fldChar w:fldCharType="end"/>
      </w:r>
      <w:r>
        <w:rPr>
          <w:rFonts w:hint="eastAsia" w:ascii="宋体" w:hAnsi="宋体" w:cs="宋体"/>
          <w:b/>
          <w:bCs/>
          <w:color w:val="auto"/>
          <w:kern w:val="0"/>
          <w:sz w:val="24"/>
        </w:rPr>
        <w:t>。供应商应于202</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11</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14</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16:00</w:t>
      </w:r>
      <w:r>
        <w:rPr>
          <w:rFonts w:hint="eastAsia" w:ascii="宋体" w:hAnsi="宋体" w:cs="宋体"/>
          <w:b/>
          <w:bCs/>
          <w:color w:val="auto"/>
          <w:kern w:val="0"/>
          <w:sz w:val="24"/>
        </w:rPr>
        <w:t>时前准时送达，拒绝到付。</w:t>
      </w:r>
      <w:r>
        <w:rPr>
          <w:rFonts w:hint="eastAsia" w:ascii="宋体" w:hAnsi="宋体" w:cs="宋体"/>
          <w:color w:val="auto"/>
          <w:kern w:val="0"/>
          <w:sz w:val="24"/>
        </w:rPr>
        <w:t>（以收件人实际签收时间为准），</w:t>
      </w:r>
      <w:r>
        <w:rPr>
          <w:rFonts w:hint="eastAsia" w:ascii="宋体" w:hAnsi="宋体" w:cs="宋体"/>
          <w:b/>
          <w:bCs/>
          <w:color w:val="auto"/>
          <w:kern w:val="0"/>
          <w:sz w:val="24"/>
        </w:rPr>
        <w:t>逾期送达的将拒绝接收。</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3、CA锁解密时间为开标当日</w:t>
      </w:r>
      <w:r>
        <w:rPr>
          <w:rFonts w:hint="eastAsia" w:ascii="宋体" w:hAnsi="宋体" w:cs="宋体"/>
          <w:b/>
          <w:bCs/>
          <w:color w:val="auto"/>
          <w:kern w:val="0"/>
          <w:sz w:val="24"/>
          <w:lang w:val="en-US" w:eastAsia="zh-CN"/>
        </w:rPr>
        <w:t>14:00至14:30</w:t>
      </w:r>
      <w:r>
        <w:rPr>
          <w:rFonts w:hint="eastAsia" w:ascii="宋体" w:hAnsi="宋体" w:cs="宋体"/>
          <w:color w:val="auto"/>
          <w:kern w:val="0"/>
          <w:sz w:val="24"/>
        </w:rPr>
        <w:t>，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4、供应商须在线获取CA数字证书（完成CA数字证书办理预计一周左右，建议各供应商自行把握时间，办理流程详见http://www.zjzfcg.gov.cn/bidClientTemplate/2019-05-27/12945.html），并</w:t>
      </w:r>
      <w:r>
        <w:rPr>
          <w:rFonts w:hint="eastAsia" w:ascii="宋体" w:hAnsi="宋体" w:cs="宋体"/>
          <w:color w:val="auto"/>
          <w:kern w:val="0"/>
          <w:sz w:val="24"/>
          <w:lang w:eastAsia="zh-CN"/>
        </w:rPr>
        <w:t>登录</w:t>
      </w:r>
      <w:r>
        <w:rPr>
          <w:rFonts w:hint="eastAsia" w:ascii="宋体" w:hAnsi="宋体" w:cs="宋体"/>
          <w:color w:val="auto"/>
          <w:kern w:val="0"/>
          <w:sz w:val="24"/>
        </w:rPr>
        <w:t>“浙江政府采购网”（http://zfcg.czt.zj.gov.cn/），进入“下载专区”下载“电子交易客户端”，制作响应文件。</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5、供应商须将制作、加密后的电子版响应文件于磋商截止时间前上传到政采云系统中，超过磋商截止时间上传的，均按无效标处理。</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rPr>
          <w:color w:val="auto"/>
        </w:rPr>
        <w:fldChar w:fldCharType="begin"/>
      </w:r>
      <w:r>
        <w:rPr>
          <w:color w:val="auto"/>
        </w:rPr>
        <w:instrText xml:space="preserve"> HYPERLINK "https://help.zcygov.cn/web/site_2/2018/12-28/2573.html" </w:instrText>
      </w:r>
      <w:r>
        <w:rPr>
          <w:color w:val="auto"/>
        </w:rPr>
        <w:fldChar w:fldCharType="separate"/>
      </w:r>
      <w:r>
        <w:rPr>
          <w:rFonts w:hint="eastAsia" w:ascii="宋体" w:hAnsi="宋体" w:cs="宋体"/>
          <w:color w:val="auto"/>
          <w:kern w:val="0"/>
          <w:sz w:val="24"/>
        </w:rPr>
        <w:t>https://help.zcygov.cn/web/site_2/2018/12-28/2573.html</w:t>
      </w:r>
      <w:r>
        <w:rPr>
          <w:rFonts w:hint="eastAsia" w:ascii="宋体" w:hAnsi="宋体" w:cs="宋体"/>
          <w:color w:val="auto"/>
          <w:kern w:val="0"/>
          <w:sz w:val="24"/>
        </w:rPr>
        <w:fldChar w:fldCharType="end"/>
      </w:r>
      <w:r>
        <w:rPr>
          <w:rFonts w:hint="eastAsia" w:ascii="宋体" w:hAnsi="宋体" w:cs="宋体"/>
          <w:color w:val="auto"/>
          <w:kern w:val="0"/>
          <w:sz w:val="24"/>
        </w:rPr>
        <w:t>）。</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7、按照“不见面、少接触”的原则，本项目采取“不见面”形式进行开评标活动,法定代表人或其授权代表无须到场，在线响应即可（通过指定的电子邮箱、传真等）。</w:t>
      </w:r>
    </w:p>
    <w:p>
      <w:pPr>
        <w:widowControl/>
        <w:spacing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七、磋商时间：</w:t>
      </w:r>
      <w:r>
        <w:rPr>
          <w:rFonts w:hint="eastAsia" w:ascii="宋体" w:hAnsi="宋体" w:cs="宋体"/>
          <w:b/>
          <w:bCs/>
          <w:color w:val="auto"/>
          <w:kern w:val="0"/>
          <w:sz w:val="24"/>
          <w:u w:val="single"/>
        </w:rPr>
        <w:t>202</w:t>
      </w:r>
      <w:r>
        <w:rPr>
          <w:rFonts w:hint="eastAsia" w:ascii="宋体" w:hAnsi="宋体" w:cs="宋体"/>
          <w:b/>
          <w:bCs/>
          <w:color w:val="auto"/>
          <w:kern w:val="0"/>
          <w:sz w:val="24"/>
          <w:u w:val="single"/>
          <w:lang w:val="en-US" w:eastAsia="zh-CN"/>
        </w:rPr>
        <w:t>2</w:t>
      </w:r>
      <w:r>
        <w:rPr>
          <w:rFonts w:hint="eastAsia" w:ascii="宋体" w:hAnsi="宋体" w:cs="宋体"/>
          <w:b/>
          <w:bCs/>
          <w:color w:val="auto"/>
          <w:kern w:val="0"/>
          <w:sz w:val="24"/>
          <w:u w:val="single"/>
        </w:rPr>
        <w:t>年</w:t>
      </w:r>
      <w:r>
        <w:rPr>
          <w:rFonts w:hint="eastAsia" w:ascii="宋体" w:hAnsi="宋体" w:cs="宋体"/>
          <w:b/>
          <w:bCs/>
          <w:color w:val="auto"/>
          <w:kern w:val="0"/>
          <w:sz w:val="24"/>
          <w:u w:val="single"/>
          <w:lang w:val="en-US" w:eastAsia="zh-CN"/>
        </w:rPr>
        <w:t>11</w:t>
      </w:r>
      <w:r>
        <w:rPr>
          <w:rFonts w:hint="eastAsia" w:ascii="宋体" w:hAnsi="宋体" w:cs="宋体"/>
          <w:b/>
          <w:bCs/>
          <w:color w:val="auto"/>
          <w:kern w:val="0"/>
          <w:sz w:val="24"/>
          <w:u w:val="single"/>
        </w:rPr>
        <w:t>月</w:t>
      </w:r>
      <w:r>
        <w:rPr>
          <w:rFonts w:hint="eastAsia" w:ascii="宋体" w:hAnsi="宋体" w:cs="宋体"/>
          <w:b/>
          <w:bCs/>
          <w:color w:val="auto"/>
          <w:kern w:val="0"/>
          <w:sz w:val="24"/>
          <w:u w:val="single"/>
          <w:lang w:val="en-US" w:eastAsia="zh-CN"/>
        </w:rPr>
        <w:t>15</w:t>
      </w:r>
      <w:r>
        <w:rPr>
          <w:rFonts w:hint="eastAsia" w:ascii="宋体" w:hAnsi="宋体" w:cs="宋体"/>
          <w:b/>
          <w:bCs/>
          <w:color w:val="auto"/>
          <w:kern w:val="0"/>
          <w:sz w:val="24"/>
          <w:u w:val="single"/>
        </w:rPr>
        <w:t>日</w:t>
      </w:r>
      <w:r>
        <w:rPr>
          <w:rFonts w:hint="eastAsia" w:ascii="宋体" w:hAnsi="宋体" w:cs="宋体"/>
          <w:b/>
          <w:bCs/>
          <w:color w:val="auto"/>
          <w:kern w:val="0"/>
          <w:sz w:val="24"/>
          <w:u w:val="single"/>
          <w:lang w:val="en-US" w:eastAsia="zh-CN"/>
        </w:rPr>
        <w:t>14</w:t>
      </w:r>
      <w:r>
        <w:rPr>
          <w:rFonts w:hint="eastAsia" w:ascii="宋体" w:hAnsi="宋体" w:cs="宋体"/>
          <w:b/>
          <w:bCs/>
          <w:color w:val="auto"/>
          <w:kern w:val="0"/>
          <w:sz w:val="24"/>
          <w:u w:val="single"/>
        </w:rPr>
        <w:t>时</w:t>
      </w:r>
      <w:r>
        <w:rPr>
          <w:rFonts w:hint="eastAsia" w:ascii="宋体" w:hAnsi="宋体" w:cs="宋体"/>
          <w:b/>
          <w:bCs/>
          <w:color w:val="auto"/>
          <w:kern w:val="0"/>
          <w:sz w:val="24"/>
          <w:u w:val="single"/>
          <w:lang w:val="en-US" w:eastAsia="zh-CN"/>
        </w:rPr>
        <w:t>00分</w:t>
      </w:r>
      <w:r>
        <w:rPr>
          <w:rFonts w:hint="eastAsia" w:ascii="宋体" w:hAnsi="宋体" w:cs="宋体"/>
          <w:b/>
          <w:bCs/>
          <w:color w:val="auto"/>
          <w:kern w:val="0"/>
          <w:sz w:val="24"/>
          <w:u w:val="single"/>
        </w:rPr>
        <w:t>整</w:t>
      </w:r>
    </w:p>
    <w:p>
      <w:pPr>
        <w:widowControl/>
        <w:spacing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lang w:val="en-US" w:eastAsia="zh-CN"/>
        </w:rPr>
        <w:t>八</w:t>
      </w:r>
      <w:r>
        <w:rPr>
          <w:rFonts w:hint="eastAsia" w:ascii="宋体" w:hAnsi="宋体" w:cs="宋体"/>
          <w:b/>
          <w:bCs/>
          <w:color w:val="auto"/>
          <w:kern w:val="0"/>
          <w:sz w:val="24"/>
        </w:rPr>
        <w:t>、磋商地点：</w:t>
      </w:r>
      <w:r>
        <w:rPr>
          <w:rFonts w:hint="eastAsia" w:ascii="宋体" w:hAnsi="宋体" w:cs="宋体"/>
          <w:color w:val="auto"/>
          <w:kern w:val="0"/>
          <w:sz w:val="24"/>
        </w:rPr>
        <w:t>湖州市</w:t>
      </w:r>
      <w:r>
        <w:rPr>
          <w:rFonts w:hint="eastAsia" w:ascii="宋体" w:hAnsi="宋体" w:cs="宋体"/>
          <w:color w:val="auto"/>
          <w:kern w:val="0"/>
          <w:sz w:val="24"/>
          <w:lang w:val="en-US" w:eastAsia="zh-CN"/>
        </w:rPr>
        <w:t>吴兴区</w:t>
      </w:r>
      <w:r>
        <w:rPr>
          <w:rFonts w:hint="eastAsia" w:ascii="宋体" w:hAnsi="宋体" w:cs="宋体"/>
          <w:color w:val="auto"/>
          <w:kern w:val="0"/>
          <w:sz w:val="24"/>
        </w:rPr>
        <w:t>公共资源交易中心</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湖州市吴兴区区府路1188号总部自由港E幢4楼</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403开标室</w:t>
      </w:r>
      <w:r>
        <w:rPr>
          <w:rFonts w:hint="eastAsia" w:ascii="宋体" w:hAnsi="宋体" w:cs="宋体"/>
          <w:color w:val="auto"/>
          <w:kern w:val="0"/>
          <w:sz w:val="24"/>
        </w:rPr>
        <w:t>。</w:t>
      </w:r>
      <w:r>
        <w:rPr>
          <w:rFonts w:hint="eastAsia" w:ascii="宋体" w:hAnsi="宋体" w:cs="宋体"/>
          <w:bCs/>
          <w:kern w:val="0"/>
          <w:sz w:val="24"/>
        </w:rPr>
        <w:t>政府采购云平台在线响应，供应商逾期完成响应文件上传的将被拒收。</w:t>
      </w:r>
    </w:p>
    <w:p>
      <w:pPr>
        <w:widowControl/>
        <w:spacing w:after="75" w:line="480" w:lineRule="exact"/>
        <w:ind w:firstLine="482" w:firstLineChars="200"/>
        <w:jc w:val="left"/>
        <w:rPr>
          <w:rFonts w:hint="eastAsia" w:ascii="宋体" w:hAnsi="宋体" w:eastAsia="宋体" w:cs="宋体"/>
          <w:color w:val="auto"/>
          <w:kern w:val="0"/>
          <w:sz w:val="24"/>
          <w:lang w:eastAsia="zh-CN"/>
        </w:rPr>
      </w:pPr>
      <w:r>
        <w:rPr>
          <w:rFonts w:hint="eastAsia" w:ascii="宋体" w:hAnsi="宋体" w:cs="宋体"/>
          <w:b/>
          <w:bCs/>
          <w:color w:val="auto"/>
          <w:kern w:val="0"/>
          <w:sz w:val="24"/>
          <w:lang w:val="en-US" w:eastAsia="zh-CN"/>
        </w:rPr>
        <w:t>九</w:t>
      </w:r>
      <w:r>
        <w:rPr>
          <w:rFonts w:hint="eastAsia" w:ascii="宋体" w:hAnsi="宋体" w:cs="宋体"/>
          <w:b/>
          <w:bCs/>
          <w:color w:val="auto"/>
          <w:kern w:val="0"/>
          <w:sz w:val="24"/>
        </w:rPr>
        <w:t>、公告期限：</w:t>
      </w:r>
      <w:r>
        <w:rPr>
          <w:rFonts w:hint="eastAsia" w:ascii="宋体" w:hAnsi="宋体" w:cs="宋体"/>
          <w:bCs/>
          <w:color w:val="auto"/>
          <w:kern w:val="0"/>
          <w:sz w:val="24"/>
        </w:rPr>
        <w:t>3个工作日</w:t>
      </w:r>
      <w:r>
        <w:rPr>
          <w:rFonts w:hint="eastAsia" w:ascii="宋体" w:hAnsi="宋体" w:cs="宋体"/>
          <w:bCs/>
          <w:color w:val="auto"/>
          <w:kern w:val="0"/>
          <w:sz w:val="24"/>
          <w:lang w:eastAsia="zh-CN"/>
        </w:rPr>
        <w:t>。</w:t>
      </w:r>
    </w:p>
    <w:p>
      <w:pPr>
        <w:widowControl/>
        <w:spacing w:after="75" w:line="48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十、其他事项：</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cs="宋体"/>
          <w:b/>
          <w:bCs/>
          <w:color w:val="auto"/>
          <w:kern w:val="0"/>
          <w:sz w:val="24"/>
        </w:rPr>
        <w:t>技术支持热线咨询，联系方式：400-881-7190</w:t>
      </w:r>
      <w:r>
        <w:rPr>
          <w:rFonts w:hint="eastAsia" w:ascii="宋体" w:hAnsi="宋体" w:cs="宋体"/>
          <w:color w:val="auto"/>
          <w:kern w:val="0"/>
          <w:sz w:val="24"/>
        </w:rPr>
        <w:t>。其中数据电子备份响应文件（U盘）在磋商截止时间前于开标现场以密封、包装的形式提供。</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480" w:lineRule="exact"/>
        <w:ind w:firstLine="480" w:firstLineChars="200"/>
        <w:jc w:val="left"/>
        <w:rPr>
          <w:rFonts w:ascii="宋体" w:hAnsi="宋体" w:cs="宋体"/>
          <w:b/>
          <w:bCs/>
          <w:color w:val="auto"/>
          <w:kern w:val="0"/>
          <w:sz w:val="24"/>
        </w:rPr>
      </w:pPr>
      <w:r>
        <w:rPr>
          <w:rFonts w:hint="eastAsia" w:ascii="宋体" w:hAnsi="宋体" w:cs="宋体"/>
          <w:color w:val="auto"/>
          <w:kern w:val="0"/>
          <w:sz w:val="24"/>
        </w:rPr>
        <w:t>3、</w:t>
      </w:r>
      <w:r>
        <w:rPr>
          <w:rFonts w:hint="eastAsia" w:ascii="宋体" w:hAnsi="宋体" w:cs="宋体"/>
          <w:b/>
          <w:bCs/>
          <w:color w:val="auto"/>
          <w:kern w:val="0"/>
          <w:sz w:val="24"/>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4、答疑内容是磋商文件的组成部分，并将在网上发布补充（答疑、澄清）文件，潜在供应商应自行关注网站公告，采购人不再一一通知，供应商因自身贻误行为导致投标失效的，责任自负。</w:t>
      </w:r>
    </w:p>
    <w:p>
      <w:pPr>
        <w:widowControl/>
        <w:spacing w:line="48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8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6、为有效破解当前中小微企业面临的“融资难、融资贵”困局，充分发挥好政府采购扶持小微企业发展的政策功能，本项目中标供应商可凭</w:t>
      </w:r>
      <w:r>
        <w:rPr>
          <w:rFonts w:hint="eastAsia" w:ascii="宋体" w:hAnsi="宋体" w:cs="宋体"/>
          <w:color w:val="auto"/>
          <w:kern w:val="0"/>
          <w:sz w:val="24"/>
          <w:lang w:eastAsia="zh-CN"/>
        </w:rPr>
        <w:t>成交通知书</w:t>
      </w:r>
      <w:r>
        <w:rPr>
          <w:rFonts w:hint="eastAsia" w:ascii="宋体" w:hAnsi="宋体" w:cs="宋体"/>
          <w:color w:val="auto"/>
          <w:kern w:val="0"/>
          <w:sz w:val="24"/>
        </w:rPr>
        <w:t>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480" w:lineRule="exact"/>
        <w:ind w:right="60" w:firstLine="480" w:firstLineChars="200"/>
        <w:jc w:val="left"/>
        <w:rPr>
          <w:rFonts w:ascii="宋体" w:hAnsi="宋体" w:cs="宋体"/>
          <w:color w:val="auto"/>
          <w:kern w:val="0"/>
          <w:sz w:val="24"/>
        </w:rPr>
      </w:pPr>
      <w:r>
        <w:rPr>
          <w:rFonts w:hint="eastAsia" w:ascii="宋体" w:hAnsi="宋体" w:cs="宋体"/>
          <w:color w:val="auto"/>
          <w:kern w:val="0"/>
          <w:sz w:val="24"/>
        </w:rPr>
        <w:t>7、本项目是否专门面向中小企业采购：</w:t>
      </w:r>
      <w:r>
        <w:rPr>
          <w:rFonts w:hint="eastAsia" w:ascii="宋体" w:hAnsi="宋体" w:cs="宋体"/>
          <w:color w:val="auto"/>
          <w:kern w:val="0"/>
          <w:sz w:val="24"/>
          <w:lang w:val="en-US" w:eastAsia="zh-CN"/>
        </w:rPr>
        <w:t>否</w:t>
      </w:r>
      <w:r>
        <w:rPr>
          <w:rFonts w:hint="eastAsia" w:ascii="宋体" w:hAnsi="宋体" w:cs="宋体"/>
          <w:color w:val="auto"/>
          <w:kern w:val="0"/>
          <w:sz w:val="24"/>
        </w:rPr>
        <w:t>。</w:t>
      </w:r>
    </w:p>
    <w:p>
      <w:pPr>
        <w:widowControl/>
        <w:spacing w:before="75"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8、本次磋商有关信息刊登在：</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浙江政府采购网：http://zfcg.czt.zj.gov.cn/</w:t>
      </w:r>
    </w:p>
    <w:p>
      <w:pPr>
        <w:widowControl/>
        <w:spacing w:before="75" w:after="75" w:line="48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000000"/>
          <w:kern w:val="0"/>
          <w:sz w:val="24"/>
        </w:rPr>
        <w:t>湖州市吴兴区公共资源交易中心：吴兴区人民政府网http://www.wuxing.gov.cn/首页“吴兴区公共资源交易中心”专栏</w:t>
      </w:r>
      <w:r>
        <w:rPr>
          <w:rFonts w:hint="eastAsia" w:ascii="宋体" w:hAnsi="宋体" w:cs="宋体"/>
          <w:color w:val="000000"/>
          <w:kern w:val="0"/>
          <w:sz w:val="24"/>
          <w:lang w:eastAsia="zh-CN"/>
        </w:rPr>
        <w:t>。</w:t>
      </w:r>
    </w:p>
    <w:p>
      <w:pPr>
        <w:widowControl/>
        <w:spacing w:after="75" w:line="48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w:t>
      </w:r>
      <w:r>
        <w:rPr>
          <w:rFonts w:hint="eastAsia" w:ascii="宋体" w:hAnsi="宋体" w:cs="宋体"/>
          <w:b/>
          <w:bCs/>
          <w:color w:val="auto"/>
          <w:kern w:val="0"/>
          <w:sz w:val="24"/>
          <w:lang w:val="en-US" w:eastAsia="zh-CN"/>
        </w:rPr>
        <w:t>一</w:t>
      </w:r>
      <w:r>
        <w:rPr>
          <w:rFonts w:hint="eastAsia" w:ascii="宋体" w:hAnsi="宋体" w:cs="宋体"/>
          <w:b/>
          <w:bCs/>
          <w:color w:val="auto"/>
          <w:kern w:val="0"/>
          <w:sz w:val="24"/>
        </w:rPr>
        <w:t>、告知事项：</w:t>
      </w:r>
    </w:p>
    <w:p>
      <w:pPr>
        <w:keepNext w:val="0"/>
        <w:keepLines w:val="0"/>
        <w:pageBreakBefore w:val="0"/>
        <w:widowControl/>
        <w:kinsoku/>
        <w:wordWrap/>
        <w:overflowPunct/>
        <w:topLinePunct w:val="0"/>
        <w:bidi w:val="0"/>
        <w:snapToGrid/>
        <w:spacing w:before="75" w:after="75" w:line="4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keepNext w:val="0"/>
        <w:keepLines w:val="0"/>
        <w:pageBreakBefore w:val="0"/>
        <w:widowControl/>
        <w:kinsoku/>
        <w:wordWrap/>
        <w:overflowPunct/>
        <w:topLinePunct w:val="0"/>
        <w:bidi w:val="0"/>
        <w:snapToGrid/>
        <w:spacing w:before="75" w:after="75" w:line="4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现场防疫方案：做好现场防疫措施，加强采购活动场所防护：一是建立登记问询制度。采购人会同交易中心按照疫情防控一级响应的有关要求，做好开评标活动现场人员信息登记、体温检测、口罩佩戴手部卫生消毒等各项工作，并询问近 14 天内的旅行史特别是湖北及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keepNext w:val="0"/>
        <w:keepLines w:val="0"/>
        <w:pageBreakBefore w:val="0"/>
        <w:widowControl/>
        <w:kinsoku/>
        <w:wordWrap/>
        <w:overflowPunct/>
        <w:topLinePunct w:val="0"/>
        <w:bidi w:val="0"/>
        <w:snapToGrid/>
        <w:spacing w:before="75" w:after="75" w:line="4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参加人员，请自觉做好个人防护工作，必须全程佩戴口罩（自备），听从交易中心工作人员引导，必须提供“一证一码”，即：身份证、“湖州健康码”（个人支付宝或浙里办APP中申领），主动配合做好体温测量等各项疫情防控措施。供应商若为省外的，供应商代表在持有“湖州健康码”的同时，须在支付宝 APP 在线申请入浙通行申报。</w:t>
      </w:r>
    </w:p>
    <w:p>
      <w:pPr>
        <w:keepNext w:val="0"/>
        <w:keepLines w:val="0"/>
        <w:pageBreakBefore w:val="0"/>
        <w:widowControl/>
        <w:kinsoku/>
        <w:wordWrap/>
        <w:overflowPunct/>
        <w:topLinePunct w:val="0"/>
        <w:bidi w:val="0"/>
        <w:snapToGrid/>
        <w:spacing w:before="75" w:after="75" w:line="4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4、“湖州健康码”显示为绿色可进入交易中心，“湖州健康码”显示为黄色、红色或者现场测量体温高于 37.2℃且不符合防控管理要求的人员，一律谢绝进入交易中心参加开标活动。</w:t>
      </w:r>
    </w:p>
    <w:p>
      <w:pPr>
        <w:keepNext w:val="0"/>
        <w:keepLines w:val="0"/>
        <w:pageBreakBefore w:val="0"/>
        <w:widowControl/>
        <w:kinsoku/>
        <w:wordWrap/>
        <w:overflowPunct/>
        <w:topLinePunct w:val="0"/>
        <w:bidi w:val="0"/>
        <w:snapToGrid/>
        <w:spacing w:before="75" w:after="75" w:line="4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5、所有参与开标评标的相关人员应自觉遵守国家以及省、市、区有关疫情防控的其他规定。</w:t>
      </w:r>
    </w:p>
    <w:p>
      <w:pPr>
        <w:widowControl/>
        <w:spacing w:after="75" w:line="480" w:lineRule="exact"/>
        <w:ind w:firstLine="482" w:firstLineChars="200"/>
        <w:jc w:val="left"/>
        <w:rPr>
          <w:rFonts w:ascii="宋体" w:hAnsi="宋体" w:cs="宋体"/>
          <w:color w:val="auto"/>
          <w:kern w:val="0"/>
          <w:sz w:val="24"/>
        </w:rPr>
      </w:pPr>
      <w:r>
        <w:rPr>
          <w:rFonts w:hint="eastAsia" w:ascii="宋体" w:hAnsi="宋体" w:cs="宋体"/>
          <w:b/>
          <w:bCs/>
          <w:color w:val="auto"/>
          <w:kern w:val="0"/>
          <w:sz w:val="24"/>
        </w:rPr>
        <w:t>十三、联系方式</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1、代理机构名称：宁波建信工程造价咨询事务所有限公司</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联系人：王美炎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联系电话：0572-2125808</w:t>
      </w:r>
    </w:p>
    <w:p>
      <w:pPr>
        <w:widowControl/>
        <w:spacing w:before="75" w:after="75"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地址：湖州市亿丰国际建材城10号楼3楼308室</w:t>
      </w:r>
    </w:p>
    <w:p>
      <w:pPr>
        <w:widowControl/>
        <w:numPr>
          <w:ilvl w:val="0"/>
          <w:numId w:val="1"/>
        </w:numPr>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color w:val="auto"/>
          <w:kern w:val="0"/>
          <w:sz w:val="24"/>
          <w:lang w:eastAsia="zh-CN"/>
        </w:rPr>
        <w:t>湖州市吴兴区东林镇人民政府</w:t>
      </w:r>
    </w:p>
    <w:p>
      <w:pPr>
        <w:widowControl/>
        <w:spacing w:line="48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 xml:space="preserve">许主任               </w:t>
      </w:r>
      <w:r>
        <w:rPr>
          <w:rFonts w:hint="eastAsia" w:ascii="宋体" w:hAnsi="宋体" w:cs="宋体"/>
          <w:color w:val="auto"/>
          <w:kern w:val="0"/>
          <w:sz w:val="24"/>
        </w:rPr>
        <w:t>联系电话：15157236880</w:t>
      </w:r>
    </w:p>
    <w:p>
      <w:pPr>
        <w:autoSpaceDE w:val="0"/>
        <w:autoSpaceDN w:val="0"/>
        <w:adjustRightInd w:val="0"/>
        <w:spacing w:line="480" w:lineRule="exact"/>
        <w:ind w:firstLine="480" w:firstLineChars="200"/>
        <w:jc w:val="left"/>
        <w:rPr>
          <w:rFonts w:ascii="宋体" w:hAnsi="宋体" w:cs="宋体"/>
          <w:color w:val="auto"/>
          <w:sz w:val="24"/>
          <w:lang w:val="zh-CN"/>
        </w:rPr>
      </w:pPr>
      <w:r>
        <w:rPr>
          <w:rFonts w:hint="eastAsia" w:ascii="宋体" w:hAnsi="宋体" w:cs="宋体"/>
          <w:color w:val="auto"/>
          <w:kern w:val="0"/>
          <w:sz w:val="24"/>
        </w:rPr>
        <w:t>3、</w:t>
      </w:r>
      <w:r>
        <w:rPr>
          <w:rFonts w:hint="eastAsia" w:ascii="宋体" w:hAnsi="宋体" w:cs="宋体"/>
          <w:color w:val="auto"/>
          <w:sz w:val="24"/>
          <w:lang w:val="zh-CN"/>
        </w:rPr>
        <w:t>政府采购监督管理部门名称：吴兴区财政局政府采购监管科</w:t>
      </w:r>
    </w:p>
    <w:p>
      <w:pPr>
        <w:autoSpaceDE w:val="0"/>
        <w:autoSpaceDN w:val="0"/>
        <w:adjustRightInd w:val="0"/>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联系人：</w:t>
      </w:r>
      <w:r>
        <w:rPr>
          <w:rFonts w:hint="eastAsia" w:ascii="宋体" w:hAnsi="宋体" w:cs="宋体"/>
          <w:color w:val="auto"/>
          <w:sz w:val="24"/>
          <w:lang w:eastAsia="zh-CN"/>
        </w:rPr>
        <w:t>沈先生</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zh-CN"/>
        </w:rPr>
        <w:t xml:space="preserve">  联系电话：0572-2289702 </w:t>
      </w:r>
    </w:p>
    <w:p>
      <w:pPr>
        <w:autoSpaceDE w:val="0"/>
        <w:autoSpaceDN w:val="0"/>
        <w:adjustRightInd w:val="0"/>
        <w:spacing w:line="480" w:lineRule="exact"/>
        <w:ind w:firstLine="480" w:firstLineChars="200"/>
        <w:rPr>
          <w:rFonts w:ascii="宋体" w:hAnsi="宋体" w:cs="宋体"/>
          <w:color w:val="auto"/>
          <w:sz w:val="24"/>
        </w:rPr>
      </w:pPr>
      <w:r>
        <w:rPr>
          <w:rFonts w:hint="eastAsia" w:ascii="宋体" w:hAnsi="宋体" w:cs="宋体"/>
          <w:color w:val="auto"/>
          <w:sz w:val="24"/>
          <w:lang w:val="zh-CN"/>
        </w:rPr>
        <w:t>地址：</w:t>
      </w:r>
      <w:r>
        <w:rPr>
          <w:rFonts w:hint="eastAsia" w:ascii="宋体" w:hAnsi="宋体" w:eastAsia="宋体" w:cs="宋体"/>
          <w:color w:val="auto"/>
          <w:sz w:val="24"/>
          <w:lang w:eastAsia="zh-CN"/>
        </w:rPr>
        <w:t>湖州市吴兴区吴兴大道1号</w:t>
      </w:r>
    </w:p>
    <w:p>
      <w:pPr>
        <w:widowControl/>
        <w:spacing w:line="480" w:lineRule="exact"/>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4、质疑函接收人：</w:t>
      </w:r>
      <w:r>
        <w:rPr>
          <w:rFonts w:hint="eastAsia" w:ascii="宋体" w:hAnsi="宋体" w:cs="宋体"/>
          <w:color w:val="auto"/>
          <w:sz w:val="24"/>
          <w:lang w:val="en-US" w:eastAsia="zh-CN"/>
        </w:rPr>
        <w:t xml:space="preserve">朱先生      </w:t>
      </w:r>
      <w:r>
        <w:rPr>
          <w:rFonts w:hint="eastAsia" w:ascii="宋体" w:hAnsi="宋体" w:cs="宋体"/>
          <w:color w:val="auto"/>
          <w:sz w:val="24"/>
          <w:lang w:val="zh-CN"/>
        </w:rPr>
        <w:t>联系电话</w:t>
      </w:r>
      <w:r>
        <w:rPr>
          <w:rFonts w:hint="eastAsia" w:ascii="宋体" w:hAnsi="宋体" w:cs="宋体"/>
          <w:color w:val="auto"/>
          <w:sz w:val="24"/>
        </w:rPr>
        <w:t>：</w:t>
      </w:r>
      <w:r>
        <w:rPr>
          <w:rFonts w:hint="eastAsia" w:ascii="宋体" w:hAnsi="宋体" w:cs="宋体"/>
          <w:color w:val="auto"/>
          <w:sz w:val="24"/>
          <w:lang w:val="en-US" w:eastAsia="zh-CN"/>
        </w:rPr>
        <w:t>0572-2122998</w:t>
      </w:r>
    </w:p>
    <w:p>
      <w:pPr>
        <w:spacing w:line="480" w:lineRule="exact"/>
        <w:ind w:right="560" w:firstLine="480" w:firstLineChars="200"/>
        <w:rPr>
          <w:rFonts w:ascii="宋体" w:hAnsi="宋体" w:cs="宋体"/>
          <w:color w:val="auto"/>
          <w:kern w:val="0"/>
          <w:sz w:val="24"/>
        </w:rPr>
      </w:pPr>
      <w:r>
        <w:rPr>
          <w:rFonts w:hint="eastAsia" w:ascii="宋体" w:hAnsi="宋体" w:cs="宋体"/>
          <w:color w:val="auto"/>
          <w:kern w:val="0"/>
          <w:sz w:val="24"/>
        </w:rPr>
        <w:t>5、政采云平台技术支持热线咨询：联系方式：400-881-7190</w:t>
      </w:r>
    </w:p>
    <w:p>
      <w:pPr>
        <w:ind w:right="560"/>
        <w:rPr>
          <w:rFonts w:ascii="宋体" w:hAnsi="宋体" w:cs="宋体"/>
          <w:color w:val="auto"/>
          <w:kern w:val="0"/>
          <w:sz w:val="24"/>
        </w:rPr>
      </w:pPr>
    </w:p>
    <w:p>
      <w:pPr>
        <w:ind w:right="1040"/>
        <w:jc w:val="right"/>
        <w:rPr>
          <w:rFonts w:ascii="宋体" w:hAnsi="宋体" w:cs="宋体"/>
          <w:color w:val="auto"/>
          <w:kern w:val="0"/>
          <w:sz w:val="24"/>
        </w:rPr>
      </w:pPr>
    </w:p>
    <w:p>
      <w:pPr>
        <w:pStyle w:val="4"/>
        <w:numPr>
          <w:ilvl w:val="0"/>
          <w:numId w:val="2"/>
        </w:numPr>
        <w:spacing w:before="0" w:after="0" w:line="500" w:lineRule="exact"/>
        <w:jc w:val="center"/>
        <w:rPr>
          <w:rFonts w:ascii="宋体" w:hAnsi="宋体" w:cs="宋体"/>
          <w:color w:val="auto"/>
          <w:sz w:val="32"/>
          <w:szCs w:val="32"/>
        </w:rPr>
      </w:pPr>
      <w:r>
        <w:rPr>
          <w:rFonts w:hint="eastAsia" w:ascii="宋体" w:hAnsi="宋体" w:cs="宋体"/>
          <w:color w:val="auto"/>
          <w:sz w:val="32"/>
          <w:szCs w:val="32"/>
        </w:rPr>
        <w:br w:type="page"/>
      </w:r>
      <w:bookmarkStart w:id="3" w:name="_Toc26536"/>
      <w:bookmarkStart w:id="4" w:name="_Toc18133"/>
      <w:r>
        <w:rPr>
          <w:rFonts w:hint="eastAsia" w:ascii="宋体" w:hAnsi="宋体" w:cs="宋体"/>
          <w:color w:val="auto"/>
          <w:sz w:val="32"/>
          <w:szCs w:val="32"/>
        </w:rPr>
        <w:t>磋商需求</w:t>
      </w:r>
      <w:bookmarkEnd w:id="3"/>
      <w:bookmarkEnd w:id="4"/>
    </w:p>
    <w:p>
      <w:pPr>
        <w:spacing w:line="360" w:lineRule="auto"/>
        <w:rPr>
          <w:rFonts w:hint="eastAsia" w:ascii="宋体" w:hAnsi="宋体" w:eastAsia="宋体" w:cs="宋体"/>
          <w:b/>
          <w:sz w:val="24"/>
        </w:rPr>
      </w:pPr>
      <w:r>
        <w:rPr>
          <w:rFonts w:hint="eastAsia" w:ascii="宋体" w:hAnsi="宋体" w:eastAsia="宋体" w:cs="宋体"/>
          <w:b/>
          <w:sz w:val="24"/>
        </w:rPr>
        <w:t>一、项目概况：</w:t>
      </w:r>
    </w:p>
    <w:p>
      <w:pPr>
        <w:spacing w:line="360" w:lineRule="auto"/>
        <w:ind w:firstLine="240" w:firstLineChars="100"/>
        <w:rPr>
          <w:rFonts w:hint="eastAsia" w:ascii="宋体" w:hAnsi="宋体" w:eastAsia="宋体" w:cs="宋体"/>
          <w:sz w:val="24"/>
        </w:rPr>
      </w:pPr>
      <w:r>
        <w:rPr>
          <w:rFonts w:hint="eastAsia" w:ascii="宋体" w:hAnsi="宋体" w:eastAsia="宋体" w:cs="宋体"/>
          <w:bCs/>
          <w:sz w:val="24"/>
        </w:rPr>
        <w:t>（一）</w:t>
      </w:r>
      <w:r>
        <w:rPr>
          <w:rFonts w:hint="eastAsia" w:ascii="宋体" w:hAnsi="宋体" w:eastAsia="宋体" w:cs="宋体"/>
          <w:bCs/>
          <w:color w:val="000000"/>
          <w:sz w:val="24"/>
          <w:lang w:eastAsia="zh-CN"/>
        </w:rPr>
        <w:t>依据相关疗休养要求，组织东林镇机关工会职工疗休养。按每人3000元标准，人数预计240人。总费用不超过72万元</w:t>
      </w:r>
      <w:r>
        <w:rPr>
          <w:rFonts w:hint="eastAsia" w:ascii="宋体" w:hAnsi="宋体" w:eastAsia="宋体" w:cs="宋体"/>
          <w:sz w:val="24"/>
        </w:rPr>
        <w:t>。本次服务采购主要业务包括：组织安排采购人提供人员的疗休养等活动，包括整个活动期间所有人员的食、宿、行等全部服务内容。</w:t>
      </w:r>
    </w:p>
    <w:p>
      <w:pPr>
        <w:adjustRightInd w:val="0"/>
        <w:snapToGrid w:val="0"/>
        <w:spacing w:line="360" w:lineRule="auto"/>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二、具体服务要求</w:t>
      </w:r>
    </w:p>
    <w:p>
      <w:pPr>
        <w:spacing w:line="360" w:lineRule="auto"/>
        <w:ind w:firstLine="200"/>
        <w:rPr>
          <w:rFonts w:hint="eastAsia" w:ascii="宋体" w:hAnsi="宋体" w:eastAsia="宋体" w:cs="宋体"/>
          <w:b/>
          <w:bCs/>
          <w:sz w:val="24"/>
        </w:rPr>
      </w:pPr>
      <w:r>
        <w:rPr>
          <w:rFonts w:hint="eastAsia" w:ascii="宋体" w:hAnsi="宋体" w:eastAsia="宋体" w:cs="宋体"/>
          <w:b/>
          <w:bCs/>
          <w:sz w:val="24"/>
        </w:rPr>
        <w:t>（一）时间及地点要求</w:t>
      </w:r>
    </w:p>
    <w:p>
      <w:pPr>
        <w:spacing w:line="360" w:lineRule="auto"/>
        <w:ind w:firstLine="200"/>
        <w:rPr>
          <w:rFonts w:hint="eastAsia" w:ascii="宋体" w:hAnsi="宋体" w:eastAsia="宋体" w:cs="宋体"/>
          <w:bCs/>
          <w:sz w:val="24"/>
        </w:rPr>
      </w:pPr>
      <w:r>
        <w:rPr>
          <w:rFonts w:hint="eastAsia" w:ascii="宋体" w:hAnsi="宋体" w:eastAsia="宋体" w:cs="宋体"/>
          <w:bCs/>
          <w:sz w:val="24"/>
        </w:rPr>
        <w:t>1、疗养时间：具体天数根据实际情况以,最终以采购人方案为准。</w:t>
      </w:r>
    </w:p>
    <w:p>
      <w:pPr>
        <w:spacing w:line="360" w:lineRule="auto"/>
        <w:ind w:firstLine="200"/>
        <w:rPr>
          <w:rFonts w:hint="eastAsia" w:ascii="宋体" w:hAnsi="宋体" w:eastAsia="宋体" w:cs="宋体"/>
          <w:b/>
          <w:bCs/>
          <w:sz w:val="24"/>
        </w:rPr>
      </w:pPr>
      <w:r>
        <w:rPr>
          <w:rFonts w:hint="eastAsia" w:ascii="宋体" w:hAnsi="宋体" w:eastAsia="宋体" w:cs="宋体"/>
          <w:bCs/>
          <w:sz w:val="24"/>
        </w:rPr>
        <w:t>2、</w:t>
      </w:r>
      <w:r>
        <w:rPr>
          <w:rFonts w:hint="eastAsia" w:ascii="宋体" w:hAnsi="宋体" w:eastAsia="宋体" w:cs="宋体"/>
          <w:b/>
          <w:bCs/>
          <w:sz w:val="24"/>
        </w:rPr>
        <w:t>费用支付： 3000元/人。</w:t>
      </w:r>
    </w:p>
    <w:p>
      <w:pPr>
        <w:spacing w:line="360" w:lineRule="auto"/>
        <w:ind w:firstLine="200"/>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（二）住宿要求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不低于</w:t>
      </w:r>
      <w:r>
        <w:rPr>
          <w:rFonts w:hint="eastAsia" w:ascii="宋体" w:hAnsi="宋体" w:eastAsia="宋体" w:cs="宋体"/>
          <w:b/>
          <w:sz w:val="24"/>
        </w:rPr>
        <w:t>采购人要求的标准</w:t>
      </w:r>
      <w:r>
        <w:rPr>
          <w:rFonts w:hint="eastAsia" w:ascii="宋体" w:hAnsi="宋体" w:eastAsia="宋体" w:cs="宋体"/>
          <w:sz w:val="24"/>
        </w:rPr>
        <w:t>，应提供携程等相关网站截图（包括：当日房价、网评分、开业时间、酒店外观、大堂、入住房间、餐厅、其他配套设施等）、评分资料或其他相关证明资料供评委评审认定，住宿为标准间。住宿要求尽可能在同一楼层，不安排在最底层，房间干净，各个设施齐全且能正常使用，有窗，有无线网络、24小时供应热水。供应商方案应列出每一线路的酒店名称、具体地点（百度地图等网页截图，说明酒店的地理优势）；有较强的接待能力，同时配套设施齐全、使用方便安全。如果疗休养人员认为酒店住宿环境不满意，有权要求调整酒店。磋商响应方须在投标文件中提供酒店信息。如产生单房差，由成交供应商承担。如未能订到原计划预定的酒店，备选酒店标准必须等于或高于原计划预定酒店的标准，</w:t>
      </w:r>
      <w:r>
        <w:rPr>
          <w:rFonts w:hint="eastAsia" w:ascii="宋体" w:hAnsi="宋体" w:eastAsia="宋体" w:cs="宋体"/>
          <w:b/>
          <w:bCs/>
          <w:sz w:val="24"/>
        </w:rPr>
        <w:t>并得到采购人同意，</w:t>
      </w:r>
      <w:r>
        <w:rPr>
          <w:rFonts w:hint="eastAsia" w:ascii="宋体" w:hAnsi="宋体" w:eastAsia="宋体" w:cs="宋体"/>
          <w:sz w:val="24"/>
        </w:rPr>
        <w:t>否则取消中标资格。</w:t>
      </w:r>
    </w:p>
    <w:p>
      <w:pPr>
        <w:spacing w:line="360" w:lineRule="auto"/>
        <w:ind w:firstLine="200"/>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（三）用餐要求</w:t>
      </w:r>
    </w:p>
    <w:p>
      <w:pPr>
        <w:spacing w:line="360" w:lineRule="auto"/>
        <w:ind w:firstLine="360" w:firstLineChars="150"/>
        <w:rPr>
          <w:rFonts w:hint="eastAsia" w:ascii="宋体" w:hAnsi="宋体" w:eastAsia="宋体" w:cs="宋体"/>
          <w:sz w:val="24"/>
        </w:rPr>
      </w:pPr>
      <w:r>
        <w:rPr>
          <w:rFonts w:hint="eastAsia" w:ascii="宋体" w:hAnsi="宋体" w:eastAsia="宋体" w:cs="宋体"/>
          <w:bCs/>
          <w:sz w:val="24"/>
        </w:rPr>
        <w:t>1、宾馆须提供自助早餐。</w:t>
      </w:r>
      <w:r>
        <w:rPr>
          <w:rFonts w:hint="eastAsia" w:ascii="宋体" w:hAnsi="宋体" w:eastAsia="宋体" w:cs="宋体"/>
          <w:sz w:val="24"/>
        </w:rPr>
        <w:t>用餐要求：早餐为酒店标配；中、晚餐不低于采购人要求的标准。磋商响应方须在投标文件中提供基本的菜单，如确保几荤几素、主食、水果、饮料等。</w:t>
      </w:r>
      <w:r>
        <w:rPr>
          <w:rFonts w:hint="eastAsia" w:ascii="宋体" w:hAnsi="宋体" w:eastAsia="宋体" w:cs="宋体"/>
          <w:bCs/>
          <w:sz w:val="24"/>
        </w:rPr>
        <w:t>餐厅交通便利，环境较好，用餐次数按采购人要求算足。</w:t>
      </w:r>
      <w:r>
        <w:rPr>
          <w:rFonts w:hint="eastAsia" w:ascii="宋体" w:hAnsi="宋体" w:eastAsia="宋体" w:cs="宋体"/>
          <w:sz w:val="24"/>
        </w:rPr>
        <w:t>旅游期间，如遇未用餐的情况，结算时须退还相应餐费。</w:t>
      </w:r>
    </w:p>
    <w:p>
      <w:pPr>
        <w:spacing w:line="360" w:lineRule="auto"/>
        <w:ind w:firstLine="200"/>
        <w:rPr>
          <w:rFonts w:hint="eastAsia" w:ascii="宋体" w:hAnsi="宋体" w:eastAsia="宋体" w:cs="宋体"/>
          <w:b/>
          <w:sz w:val="24"/>
        </w:rPr>
      </w:pPr>
      <w:r>
        <w:rPr>
          <w:rFonts w:hint="eastAsia" w:ascii="宋体" w:hAnsi="宋体" w:eastAsia="宋体" w:cs="宋体"/>
          <w:bCs/>
          <w:sz w:val="24"/>
        </w:rPr>
        <w:t>▲</w:t>
      </w:r>
      <w:r>
        <w:rPr>
          <w:rFonts w:hint="eastAsia" w:ascii="宋体" w:hAnsi="宋体" w:eastAsia="宋体" w:cs="宋体"/>
          <w:b/>
          <w:sz w:val="24"/>
        </w:rPr>
        <w:t>（四）保险要求</w:t>
      </w:r>
    </w:p>
    <w:p>
      <w:pPr>
        <w:spacing w:line="360" w:lineRule="auto"/>
        <w:ind w:firstLine="360" w:firstLineChars="150"/>
        <w:rPr>
          <w:rFonts w:hint="eastAsia" w:ascii="宋体" w:hAnsi="宋体" w:eastAsia="宋体" w:cs="宋体"/>
          <w:bCs/>
          <w:sz w:val="24"/>
        </w:rPr>
      </w:pPr>
      <w:r>
        <w:rPr>
          <w:rFonts w:hint="eastAsia" w:ascii="宋体" w:hAnsi="宋体" w:eastAsia="宋体" w:cs="宋体"/>
          <w:bCs/>
          <w:sz w:val="24"/>
        </w:rPr>
        <w:t>入围供应商线路方案包含必须为疗休养职工购买具有一定抵抗风险的商业保险，包括旅行社责任险和不少于</w:t>
      </w:r>
      <w:r>
        <w:rPr>
          <w:rFonts w:hint="eastAsia" w:ascii="宋体" w:hAnsi="宋体" w:eastAsia="宋体" w:cs="宋体"/>
          <w:b/>
          <w:bCs/>
          <w:sz w:val="24"/>
        </w:rPr>
        <w:t>100万元</w:t>
      </w:r>
      <w:r>
        <w:rPr>
          <w:rFonts w:hint="eastAsia" w:ascii="宋体" w:hAnsi="宋体" w:eastAsia="宋体" w:cs="宋体"/>
          <w:bCs/>
          <w:sz w:val="24"/>
        </w:rPr>
        <w:t>（人民币）保额的个人旅游人身意外险（人身意外险包括意外伤害、突发性疾病、伤害医疗、突发性医疗等）。成交时需要提供相应的证明文件。</w:t>
      </w:r>
    </w:p>
    <w:p>
      <w:pPr>
        <w:spacing w:line="360" w:lineRule="auto"/>
        <w:ind w:firstLine="200"/>
        <w:rPr>
          <w:rFonts w:hint="eastAsia" w:ascii="宋体" w:hAnsi="宋体" w:eastAsia="宋体" w:cs="宋体"/>
          <w:b/>
          <w:bCs/>
          <w:sz w:val="24"/>
        </w:rPr>
      </w:pPr>
      <w:r>
        <w:rPr>
          <w:rFonts w:hint="eastAsia" w:ascii="宋体" w:hAnsi="宋体" w:eastAsia="宋体" w:cs="宋体"/>
          <w:bCs/>
          <w:sz w:val="24"/>
        </w:rPr>
        <w:t>▲</w:t>
      </w:r>
      <w:r>
        <w:rPr>
          <w:rFonts w:hint="eastAsia" w:ascii="宋体" w:hAnsi="宋体" w:eastAsia="宋体" w:cs="宋体"/>
          <w:b/>
          <w:bCs/>
          <w:sz w:val="24"/>
        </w:rPr>
        <w:t>（五）用车要求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车辆保障：接送用车为正规旅游车队的标准空调旅游车（金龙车或高于其性能的车）。全程40座以上空调大巴（可根据实际情况调整，须经得采购人同意），登记注册时间小于5年，车况良好无事故，安全整洁，车辆通过年度安全检验，交强险有效期内，车上基本安全设施齐全；驾驶员持对应车辆驾驶资格 3 年以上。旅游车须用空调期间，司机应在每次上车前提前20分钟打开空调；司机应保持车辆整洁，每天要对车子进行清扫工作。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Cs/>
          <w:sz w:val="24"/>
        </w:rPr>
        <w:t>如乘坐火车出行，应选择高铁、城际列车、动车、直达特快列车、特快列车。</w:t>
      </w:r>
    </w:p>
    <w:p>
      <w:pPr>
        <w:spacing w:line="360" w:lineRule="auto"/>
        <w:ind w:firstLine="200"/>
        <w:rPr>
          <w:rFonts w:hint="eastAsia" w:ascii="宋体" w:hAnsi="宋体" w:eastAsia="宋体" w:cs="宋体"/>
          <w:b/>
          <w:sz w:val="24"/>
        </w:rPr>
      </w:pPr>
      <w:r>
        <w:rPr>
          <w:rFonts w:hint="eastAsia" w:ascii="宋体" w:hAnsi="宋体" w:eastAsia="宋体" w:cs="宋体"/>
          <w:b/>
          <w:sz w:val="24"/>
        </w:rPr>
        <w:t>（六）门票要求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全程门票，包括景区内必游览的小门票及景区内交通费用（缆车、游船、观光车等）。</w:t>
      </w:r>
    </w:p>
    <w:p>
      <w:pPr>
        <w:spacing w:line="360" w:lineRule="auto"/>
        <w:ind w:firstLine="200"/>
        <w:rPr>
          <w:rFonts w:hint="eastAsia" w:ascii="宋体" w:hAnsi="宋体" w:eastAsia="宋体" w:cs="宋体"/>
          <w:b/>
          <w:sz w:val="24"/>
        </w:rPr>
      </w:pPr>
      <w:r>
        <w:rPr>
          <w:rFonts w:hint="eastAsia" w:ascii="宋体" w:hAnsi="宋体" w:eastAsia="宋体" w:cs="宋体"/>
          <w:b/>
          <w:sz w:val="24"/>
        </w:rPr>
        <w:t>（七）导游要求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导游：全程陪同及当地优秀资质公司有导游资格的专业导游讲解服务。全陪、地陪导游要求有国导证，且全陪须为入围供应商本单位导游，不得外聘导游，如遇特殊情况需要外聘导游的，必须提前经疗休养职工确认，其他人员要求具有相应的从业资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2、由导游要求举行行前会议，制定应急预案，发放《行程安排明细表》及相关行程服务内容的小册子。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3、在出发前分发矿泉水等旅游基本用品，不需提供旅游包、旅游帽。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4、不得限定出行单位活动范围，不得进行选择性服务。</w:t>
      </w:r>
    </w:p>
    <w:p>
      <w:pPr>
        <w:spacing w:line="360" w:lineRule="auto"/>
        <w:ind w:firstLine="200"/>
        <w:rPr>
          <w:rFonts w:hint="eastAsia" w:ascii="宋体" w:hAnsi="宋体" w:eastAsia="宋体" w:cs="宋体"/>
          <w:b/>
          <w:color w:val="auto"/>
          <w:sz w:val="24"/>
        </w:rPr>
      </w:pPr>
      <w:r>
        <w:rPr>
          <w:rFonts w:hint="eastAsia" w:ascii="宋体" w:hAnsi="宋体" w:eastAsia="宋体" w:cs="宋体"/>
          <w:b/>
          <w:color w:val="auto"/>
          <w:sz w:val="24"/>
        </w:rPr>
        <w:t>（八）疗休养拟定路线</w:t>
      </w:r>
    </w:p>
    <w:p>
      <w:pPr>
        <w:pStyle w:val="29"/>
        <w:spacing w:after="120" w:line="430" w:lineRule="exact"/>
        <w:ind w:firstLine="480" w:firstLineChars="200"/>
        <w:jc w:val="both"/>
        <w:rPr>
          <w:rFonts w:hint="eastAsia" w:ascii="宋体" w:hAnsi="宋体" w:eastAsia="宋体" w:cs="宋体"/>
          <w:bCs/>
          <w:lang w:eastAsia="zh-CN"/>
        </w:rPr>
      </w:pPr>
      <w:r>
        <w:rPr>
          <w:rFonts w:hint="eastAsia" w:cs="宋体"/>
          <w:bCs/>
          <w:lang w:eastAsia="zh-CN"/>
        </w:rPr>
        <w:t>推荐路线一：潞村古村、原乡小镇、长颈鹿庄园（余不谷开元酒店二晚一人一间）</w:t>
      </w:r>
    </w:p>
    <w:p>
      <w:pPr>
        <w:pStyle w:val="29"/>
        <w:spacing w:after="120" w:line="430" w:lineRule="exact"/>
        <w:ind w:firstLine="480" w:firstLineChars="200"/>
        <w:jc w:val="both"/>
        <w:rPr>
          <w:rFonts w:hint="eastAsia" w:ascii="宋体" w:hAnsi="宋体" w:eastAsia="宋体" w:cs="宋体"/>
          <w:bCs/>
          <w:lang w:eastAsia="zh-CN"/>
        </w:rPr>
      </w:pPr>
      <w:r>
        <w:rPr>
          <w:rFonts w:hint="eastAsia" w:cs="宋体"/>
          <w:bCs/>
          <w:lang w:eastAsia="zh-CN"/>
        </w:rPr>
        <w:t>推荐路线二：南山水上运动乐园、潞村古村、原乡小镇、长颈鹿庄园（慧心谷绿奢度假村 2人一间）</w:t>
      </w:r>
    </w:p>
    <w:p>
      <w:pPr>
        <w:pStyle w:val="29"/>
        <w:spacing w:after="120" w:line="430" w:lineRule="exact"/>
        <w:ind w:firstLine="480" w:firstLineChars="200"/>
        <w:jc w:val="both"/>
        <w:rPr>
          <w:rFonts w:hint="eastAsia" w:ascii="宋体" w:hAnsi="宋体" w:eastAsia="宋体" w:cs="宋体"/>
          <w:bCs/>
          <w:lang w:eastAsia="zh-CN"/>
        </w:rPr>
      </w:pPr>
      <w:r>
        <w:rPr>
          <w:rFonts w:hint="eastAsia" w:ascii="宋体" w:hAnsi="宋体" w:eastAsia="宋体" w:cs="宋体"/>
          <w:bCs/>
          <w:lang w:eastAsia="zh-CN"/>
        </w:rPr>
        <w:t>最终路线以采购人决定方案为准，</w:t>
      </w:r>
      <w:r>
        <w:rPr>
          <w:rFonts w:hint="eastAsia" w:ascii="宋体" w:hAnsi="宋体" w:eastAsia="宋体" w:cs="宋体"/>
          <w:bCs/>
        </w:rPr>
        <w:t>如果</w:t>
      </w:r>
      <w:r>
        <w:rPr>
          <w:rFonts w:hint="eastAsia" w:ascii="宋体" w:hAnsi="宋体" w:eastAsia="宋体" w:cs="宋体"/>
          <w:bCs/>
          <w:lang w:eastAsia="zh-CN"/>
        </w:rPr>
        <w:t>采购人</w:t>
      </w:r>
      <w:r>
        <w:rPr>
          <w:rFonts w:hint="eastAsia" w:ascii="宋体" w:hAnsi="宋体" w:eastAsia="宋体" w:cs="宋体"/>
          <w:bCs/>
        </w:rPr>
        <w:t>不满意路线可以自行跟</w:t>
      </w:r>
      <w:r>
        <w:rPr>
          <w:rFonts w:hint="eastAsia" w:ascii="宋体" w:hAnsi="宋体" w:eastAsia="宋体" w:cs="宋体"/>
          <w:bCs/>
          <w:lang w:eastAsia="zh-CN"/>
        </w:rPr>
        <w:t>成交供应商拟定</w:t>
      </w:r>
      <w:r>
        <w:rPr>
          <w:rFonts w:hint="eastAsia" w:ascii="宋体" w:hAnsi="宋体" w:eastAsia="宋体" w:cs="宋体"/>
          <w:bCs/>
        </w:rPr>
        <w:t>新路线</w:t>
      </w:r>
      <w:r>
        <w:rPr>
          <w:rFonts w:hint="eastAsia" w:ascii="宋体" w:hAnsi="宋体" w:eastAsia="宋体" w:cs="宋体"/>
          <w:bCs/>
          <w:lang w:eastAsia="zh-CN"/>
        </w:rPr>
        <w:t>。</w:t>
      </w:r>
    </w:p>
    <w:p>
      <w:pPr>
        <w:spacing w:line="360" w:lineRule="auto"/>
        <w:rPr>
          <w:rFonts w:hint="eastAsia" w:ascii="宋体" w:hAnsi="宋体" w:eastAsia="宋体" w:cs="宋体"/>
          <w:b/>
          <w:sz w:val="24"/>
        </w:rPr>
      </w:pPr>
      <w:r>
        <w:rPr>
          <w:rFonts w:hint="eastAsia" w:ascii="宋体" w:hAnsi="宋体" w:eastAsia="宋体" w:cs="宋体"/>
          <w:b/>
          <w:sz w:val="24"/>
        </w:rPr>
        <w:t>三、其他要求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1、未经出行单位允许，不得安排任何购物，或以购物为目的的推荐项目。</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2、行程安排明细不得更改，如遇特殊情况必须要更改的，更改的内容不得低于原标准，且在更改前须经疗休养职工确认。</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3、其他“食、宿、行”等标准及要求与出行单位具体协商后确定。</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4、本项目不得以任何理由、任何形式进行转、分包，一经发现采购人可单方面解除合同，所造成的任何损失由投标人自行负责；并将其列入黑名单，不得参加下一次的疗休养定点项目招投标。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5、规范做好疗休养工作，具体按照省、市有关规定执行。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每批次疗休养行前会议召开时，由成交供应商将本线路《服务安排明细表》及相关服务承诺等分发给每位出行人员。每批次疗休养结束后，成交供应商将征求采购人代表或履约监管人员的意见，并根据本线路《服务安排明细表》及相关服务承诺等对照实际情况如实填写《职工疗休养满意度测评表》，《职工疗休养满意度测评表》中反馈意见将作为履约保证金的退还依据及今后招标磋商响应方资格条件和评分依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7、投标人有采购人要求以外的其他服务承诺等，可自行叙述。</w:t>
      </w:r>
    </w:p>
    <w:p>
      <w:pPr>
        <w:spacing w:line="480" w:lineRule="exact"/>
        <w:rPr>
          <w:rFonts w:hint="eastAsia" w:ascii="宋体" w:hAnsi="宋体" w:eastAsia="宋体" w:cs="宋体"/>
          <w:b/>
          <w:sz w:val="24"/>
        </w:rPr>
      </w:pPr>
      <w:r>
        <w:rPr>
          <w:rFonts w:hint="eastAsia" w:ascii="宋体" w:hAnsi="宋体" w:eastAsia="宋体" w:cs="宋体"/>
          <w:b/>
          <w:sz w:val="24"/>
          <w:lang w:eastAsia="zh-CN"/>
        </w:rPr>
        <w:t>四</w:t>
      </w:r>
      <w:r>
        <w:rPr>
          <w:rFonts w:hint="eastAsia" w:ascii="宋体" w:hAnsi="宋体" w:eastAsia="宋体" w:cs="宋体"/>
          <w:b/>
          <w:sz w:val="24"/>
        </w:rPr>
        <w:t>、商务条款</w:t>
      </w:r>
    </w:p>
    <w:p>
      <w:pPr>
        <w:autoSpaceDE w:val="0"/>
        <w:autoSpaceDN w:val="0"/>
        <w:adjustRightInd w:val="0"/>
        <w:spacing w:line="460" w:lineRule="atLeast"/>
        <w:ind w:firstLine="480" w:firstLineChars="200"/>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eastAsia="zh-CN"/>
        </w:rPr>
        <w:t>一</w:t>
      </w:r>
      <w:r>
        <w:rPr>
          <w:rFonts w:hint="eastAsia" w:ascii="宋体" w:hAnsi="宋体" w:cs="宋体"/>
          <w:bCs/>
          <w:color w:val="auto"/>
          <w:sz w:val="24"/>
        </w:rPr>
        <w:t>）服务期限：</w:t>
      </w:r>
      <w:r>
        <w:rPr>
          <w:rFonts w:hint="eastAsia" w:ascii="宋体" w:hAnsi="宋体" w:eastAsia="宋体" w:cs="宋体"/>
          <w:bCs/>
          <w:color w:val="auto"/>
          <w:sz w:val="24"/>
        </w:rPr>
        <w:t>自合同签订之日起一年。</w:t>
      </w:r>
    </w:p>
    <w:p>
      <w:pPr>
        <w:autoSpaceDE w:val="0"/>
        <w:autoSpaceDN w:val="0"/>
        <w:adjustRightInd w:val="0"/>
        <w:spacing w:line="460" w:lineRule="atLeast"/>
        <w:ind w:firstLine="480" w:firstLineChars="200"/>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eastAsia="zh-CN"/>
        </w:rPr>
        <w:t>二</w:t>
      </w:r>
      <w:r>
        <w:rPr>
          <w:rFonts w:hint="eastAsia" w:ascii="宋体" w:hAnsi="宋体" w:cs="宋体"/>
          <w:bCs/>
          <w:color w:val="auto"/>
          <w:sz w:val="24"/>
        </w:rPr>
        <w:t>）付款方式：</w:t>
      </w:r>
    </w:p>
    <w:p>
      <w:pPr>
        <w:widowControl/>
        <w:autoSpaceDE w:val="0"/>
        <w:autoSpaceDN w:val="0"/>
        <w:adjustRightInd w:val="0"/>
        <w:spacing w:line="460" w:lineRule="atLeast"/>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在疫情期间，根据省财政厅《关于进一步发挥政府采购政策功能全力推动经济稳进提质的通知》（浙财采监【2022】3号）要求，制定如以下付款方式，由供应商自主选择确定：</w:t>
      </w:r>
    </w:p>
    <w:p>
      <w:pPr>
        <w:widowControl/>
        <w:autoSpaceDE w:val="0"/>
        <w:autoSpaceDN w:val="0"/>
        <w:adjustRightInd w:val="0"/>
        <w:spacing w:line="460" w:lineRule="atLeast"/>
        <w:ind w:firstLine="480" w:firstLineChars="200"/>
        <w:textAlignment w:val="bottom"/>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zh-CN" w:eastAsia="zh-CN"/>
        </w:rPr>
        <w:t>采购人自采购合同生效及具备实施条件后</w:t>
      </w:r>
      <w:r>
        <w:rPr>
          <w:rFonts w:hint="eastAsia" w:ascii="宋体" w:hAnsi="宋体" w:cs="宋体"/>
          <w:color w:val="auto"/>
          <w:sz w:val="24"/>
          <w:szCs w:val="24"/>
          <w:highlight w:val="yellow"/>
          <w:lang w:val="zh-CN" w:eastAsia="zh-CN"/>
        </w:rPr>
        <w:t>七个工作</w:t>
      </w:r>
      <w:r>
        <w:rPr>
          <w:rFonts w:hint="eastAsia" w:ascii="宋体" w:hAnsi="宋体" w:eastAsia="宋体" w:cs="宋体"/>
          <w:color w:val="auto"/>
          <w:sz w:val="24"/>
          <w:szCs w:val="24"/>
          <w:highlight w:val="yellow"/>
          <w:lang w:val="zh-CN" w:eastAsia="zh-CN"/>
        </w:rPr>
        <w:t>日内支付合同价的</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0%作为预付款。</w:t>
      </w:r>
    </w:p>
    <w:p>
      <w:pPr>
        <w:widowControl/>
        <w:autoSpaceDE w:val="0"/>
        <w:autoSpaceDN w:val="0"/>
        <w:adjustRightInd w:val="0"/>
        <w:spacing w:line="460" w:lineRule="atLeast"/>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项目完成后支付剩余款项，按实际人数结算</w:t>
      </w:r>
      <w:r>
        <w:rPr>
          <w:rFonts w:hint="eastAsia" w:ascii="宋体" w:hAnsi="宋体" w:eastAsia="宋体" w:cs="宋体"/>
          <w:color w:val="auto"/>
          <w:sz w:val="24"/>
          <w:szCs w:val="24"/>
          <w:highlight w:val="none"/>
        </w:rPr>
        <w:t>。</w:t>
      </w:r>
    </w:p>
    <w:p>
      <w:pPr>
        <w:widowControl/>
        <w:autoSpaceDE w:val="0"/>
        <w:autoSpaceDN w:val="0"/>
        <w:adjustRightInd w:val="0"/>
        <w:spacing w:line="460" w:lineRule="atLeast"/>
        <w:ind w:firstLine="482" w:firstLineChars="200"/>
        <w:textAlignment w:val="bottom"/>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由2021年筹备资金支付。</w:t>
      </w:r>
    </w:p>
    <w:p>
      <w:pPr>
        <w:widowControl/>
        <w:autoSpaceDE w:val="0"/>
        <w:autoSpaceDN w:val="0"/>
        <w:adjustRightInd w:val="0"/>
        <w:spacing w:line="460" w:lineRule="atLeast"/>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在签订合同时，供应商明确表示无需预付款或者主动要求降低预付款比例的，采购合同可不适用前述规定。</w:t>
      </w:r>
    </w:p>
    <w:p>
      <w:pPr>
        <w:rPr>
          <w:rFonts w:ascii="宋体" w:hAnsi="宋体" w:cs="宋体"/>
          <w:color w:val="auto"/>
          <w:sz w:val="32"/>
          <w:szCs w:val="32"/>
        </w:rPr>
      </w:pPr>
    </w:p>
    <w:p>
      <w:pPr>
        <w:rPr>
          <w:rFonts w:ascii="宋体" w:hAnsi="宋体" w:cs="宋体"/>
          <w:color w:val="auto"/>
          <w:sz w:val="32"/>
          <w:szCs w:val="32"/>
        </w:rPr>
      </w:pPr>
    </w:p>
    <w:p>
      <w:pPr>
        <w:pStyle w:val="50"/>
        <w:rPr>
          <w:rFonts w:ascii="宋体" w:hAnsi="宋体" w:cs="宋体"/>
          <w:color w:val="auto"/>
          <w:sz w:val="32"/>
          <w:szCs w:val="32"/>
        </w:rPr>
      </w:pPr>
    </w:p>
    <w:p>
      <w:pPr>
        <w:pStyle w:val="50"/>
        <w:rPr>
          <w:rFonts w:ascii="宋体" w:hAnsi="宋体" w:cs="宋体"/>
          <w:color w:val="auto"/>
          <w:sz w:val="32"/>
          <w:szCs w:val="32"/>
        </w:rPr>
      </w:pPr>
    </w:p>
    <w:p>
      <w:pPr>
        <w:pStyle w:val="50"/>
        <w:rPr>
          <w:rFonts w:ascii="宋体" w:hAnsi="宋体" w:cs="宋体"/>
          <w:color w:val="auto"/>
          <w:sz w:val="32"/>
          <w:szCs w:val="32"/>
        </w:rPr>
      </w:pPr>
    </w:p>
    <w:p>
      <w:pPr>
        <w:rPr>
          <w:rFonts w:ascii="宋体" w:hAnsi="宋体" w:cs="宋体"/>
          <w:color w:val="auto"/>
          <w:sz w:val="32"/>
          <w:szCs w:val="32"/>
        </w:rPr>
      </w:pPr>
    </w:p>
    <w:p>
      <w:pPr>
        <w:rPr>
          <w:rFonts w:ascii="宋体" w:hAnsi="宋体" w:cs="宋体"/>
          <w:color w:val="auto"/>
          <w:sz w:val="32"/>
          <w:szCs w:val="32"/>
        </w:rPr>
      </w:pPr>
      <w:bookmarkStart w:id="5" w:name="_Toc8050"/>
      <w:r>
        <w:rPr>
          <w:rFonts w:hint="eastAsia" w:ascii="宋体" w:hAnsi="宋体" w:cs="宋体"/>
          <w:color w:val="auto"/>
          <w:sz w:val="32"/>
          <w:szCs w:val="32"/>
        </w:rPr>
        <w:br w:type="page"/>
      </w:r>
    </w:p>
    <w:p>
      <w:pPr>
        <w:pStyle w:val="4"/>
        <w:numPr>
          <w:ilvl w:val="0"/>
          <w:numId w:val="2"/>
        </w:numPr>
        <w:spacing w:before="0" w:after="0" w:line="500" w:lineRule="exact"/>
        <w:jc w:val="center"/>
        <w:rPr>
          <w:rFonts w:ascii="宋体" w:hAnsi="宋体" w:cs="宋体"/>
          <w:color w:val="auto"/>
          <w:sz w:val="32"/>
          <w:szCs w:val="32"/>
        </w:rPr>
      </w:pPr>
      <w:bookmarkStart w:id="6" w:name="_Toc15698"/>
      <w:r>
        <w:rPr>
          <w:rFonts w:hint="eastAsia" w:ascii="宋体" w:hAnsi="宋体" w:cs="宋体"/>
          <w:color w:val="auto"/>
          <w:sz w:val="32"/>
          <w:szCs w:val="32"/>
        </w:rPr>
        <w:t>供应商须知</w:t>
      </w:r>
      <w:bookmarkEnd w:id="5"/>
      <w:bookmarkEnd w:id="6"/>
    </w:p>
    <w:p>
      <w:pPr>
        <w:spacing w:line="500" w:lineRule="exact"/>
        <w:jc w:val="center"/>
        <w:rPr>
          <w:rFonts w:ascii="宋体" w:hAnsi="宋体" w:cs="宋体"/>
          <w:color w:val="auto"/>
          <w:sz w:val="30"/>
          <w:szCs w:val="30"/>
        </w:rPr>
      </w:pPr>
      <w:bookmarkStart w:id="7" w:name="_Toc30213"/>
      <w:bookmarkStart w:id="8" w:name="_Toc32234"/>
      <w:r>
        <w:rPr>
          <w:rFonts w:hint="eastAsia" w:ascii="宋体" w:hAnsi="宋体" w:cs="宋体"/>
          <w:b/>
          <w:bCs/>
          <w:color w:val="auto"/>
          <w:sz w:val="30"/>
          <w:szCs w:val="30"/>
        </w:rPr>
        <w:t>前 附 表</w:t>
      </w:r>
      <w:bookmarkEnd w:id="7"/>
      <w:bookmarkEnd w:id="8"/>
    </w:p>
    <w:tbl>
      <w:tblPr>
        <w:tblStyle w:val="33"/>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序号</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项  目</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bCs/>
                <w:color w:val="auto"/>
                <w:spacing w:val="-4"/>
                <w:sz w:val="24"/>
                <w:lang w:eastAsia="zh-CN"/>
              </w:rPr>
            </w:pPr>
            <w:r>
              <w:rPr>
                <w:rFonts w:hint="eastAsia" w:ascii="宋体" w:hAnsi="宋体" w:cs="宋体"/>
                <w:color w:val="auto"/>
                <w:kern w:val="0"/>
                <w:sz w:val="24"/>
                <w:lang w:eastAsia="zh-CN"/>
              </w:rPr>
              <w:t>东林镇2022年第二轮疗休养项目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2</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编号</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宋体" w:hAnsi="宋体" w:eastAsia="宋体" w:cs="宋体"/>
                <w:color w:val="auto"/>
                <w:kern w:val="0"/>
                <w:sz w:val="24"/>
                <w:szCs w:val="22"/>
                <w:lang w:val="en-US" w:eastAsia="zh-CN"/>
              </w:rPr>
            </w:pPr>
            <w:r>
              <w:rPr>
                <w:rFonts w:hint="eastAsia"/>
                <w:color w:val="auto"/>
              </w:rPr>
              <w:t>磋商文件编号</w:t>
            </w:r>
            <w:r>
              <w:rPr>
                <w:rFonts w:hint="eastAsia" w:ascii="宋体" w:hAnsi="宋体" w:cs="宋体"/>
                <w:color w:val="auto"/>
                <w:kern w:val="0"/>
                <w:sz w:val="24"/>
                <w:szCs w:val="22"/>
              </w:rPr>
              <w:t>：</w:t>
            </w:r>
            <w:r>
              <w:rPr>
                <w:rFonts w:hint="eastAsia" w:ascii="宋体" w:hAnsi="宋体" w:cs="宋体"/>
                <w:color w:val="auto"/>
                <w:kern w:val="0"/>
                <w:sz w:val="24"/>
                <w:szCs w:val="22"/>
                <w:lang w:eastAsia="zh-CN"/>
              </w:rPr>
              <w:t>NBJX</w:t>
            </w:r>
            <w:r>
              <w:rPr>
                <w:rFonts w:hint="eastAsia" w:ascii="宋体" w:hAnsi="宋体" w:cs="宋体"/>
                <w:color w:val="auto"/>
                <w:kern w:val="0"/>
                <w:sz w:val="24"/>
                <w:szCs w:val="22"/>
                <w:lang w:val="en-US" w:eastAsia="zh-CN"/>
              </w:rPr>
              <w:t>2022014</w:t>
            </w:r>
          </w:p>
          <w:p>
            <w:pPr>
              <w:pStyle w:val="50"/>
              <w:rPr>
                <w:rFonts w:hint="eastAsia" w:eastAsia="微软雅黑"/>
                <w:color w:val="auto"/>
                <w:lang w:eastAsia="zh-CN"/>
              </w:rPr>
            </w:pPr>
            <w:r>
              <w:rPr>
                <w:rFonts w:hint="eastAsia" w:ascii="宋体" w:hAnsi="宋体" w:eastAsia="宋体" w:cs="宋体"/>
                <w:color w:val="auto"/>
                <w:sz w:val="24"/>
                <w:lang w:eastAsia="zh-CN"/>
              </w:rPr>
              <w:t>财政审批编号：</w:t>
            </w:r>
            <w:r>
              <w:rPr>
                <w:rFonts w:hint="eastAsia" w:ascii="宋体" w:hAnsi="宋体" w:eastAsia="宋体" w:cs="宋体"/>
                <w:color w:val="auto"/>
                <w:kern w:val="0"/>
                <w:sz w:val="24"/>
                <w:szCs w:val="22"/>
                <w:lang w:val="en-US" w:eastAsia="zh-CN" w:bidi="ar-SA"/>
              </w:rPr>
              <w:t>临[2022]12291号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rPr>
            </w:pPr>
            <w:r>
              <w:rPr>
                <w:rFonts w:hint="eastAsia" w:ascii="宋体" w:hAnsi="宋体" w:cs="宋体"/>
                <w:color w:val="auto"/>
                <w:kern w:val="0"/>
                <w:sz w:val="24"/>
              </w:rPr>
              <w:t>磋商代理费由成交供应商支付，磋商代理费为</w:t>
            </w:r>
            <w:r>
              <w:rPr>
                <w:rFonts w:hint="eastAsia" w:ascii="宋体" w:hAnsi="宋体" w:cs="宋体"/>
                <w:b/>
                <w:bCs/>
                <w:color w:val="auto"/>
                <w:kern w:val="0"/>
                <w:sz w:val="24"/>
                <w:u w:val="single"/>
                <w:lang w:val="en-US" w:eastAsia="zh-CN"/>
              </w:rPr>
              <w:t>12300</w:t>
            </w:r>
            <w:r>
              <w:rPr>
                <w:rFonts w:hint="eastAsia" w:ascii="宋体" w:hAnsi="宋体" w:cs="宋体"/>
                <w:b/>
                <w:bCs/>
                <w:color w:val="auto"/>
                <w:kern w:val="0"/>
                <w:sz w:val="24"/>
              </w:rPr>
              <w:t>元</w:t>
            </w:r>
            <w:r>
              <w:rPr>
                <w:rFonts w:hint="eastAsia" w:ascii="宋体" w:hAnsi="宋体" w:cs="宋体"/>
                <w:color w:val="auto"/>
                <w:kern w:val="0"/>
                <w:sz w:val="24"/>
              </w:rPr>
              <w:t>，领取</w:t>
            </w:r>
            <w:r>
              <w:rPr>
                <w:rFonts w:hint="eastAsia" w:ascii="宋体" w:hAnsi="宋体" w:cs="宋体"/>
                <w:color w:val="auto"/>
                <w:kern w:val="0"/>
                <w:sz w:val="24"/>
                <w:lang w:eastAsia="zh-CN"/>
              </w:rPr>
              <w:t>成交通知书</w:t>
            </w:r>
            <w:r>
              <w:rPr>
                <w:rFonts w:hint="eastAsia" w:ascii="宋体" w:hAnsi="宋体" w:cs="宋体"/>
                <w:color w:val="auto"/>
                <w:kern w:val="0"/>
                <w:sz w:val="24"/>
              </w:rPr>
              <w:t>前支付给采购代理机构，该费用请供应商自行考虑计入竞标报价中。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rPr>
            </w:pPr>
            <w:r>
              <w:rPr>
                <w:rFonts w:hint="eastAsia" w:ascii="宋体" w:hAnsi="宋体" w:cs="宋体"/>
                <w:color w:val="auto"/>
                <w:kern w:val="0"/>
                <w:sz w:val="24"/>
              </w:rPr>
              <w:t>领取</w:t>
            </w:r>
            <w:r>
              <w:rPr>
                <w:rFonts w:hint="eastAsia" w:ascii="宋体" w:hAnsi="宋体" w:cs="宋体"/>
                <w:color w:val="auto"/>
                <w:kern w:val="0"/>
                <w:sz w:val="24"/>
                <w:lang w:eastAsia="zh-CN"/>
              </w:rPr>
              <w:t>成交通知书</w:t>
            </w:r>
            <w:r>
              <w:rPr>
                <w:rFonts w:hint="eastAsia" w:ascii="宋体" w:hAnsi="宋体" w:cs="宋体"/>
                <w:color w:val="auto"/>
                <w:kern w:val="0"/>
                <w:sz w:val="24"/>
              </w:rPr>
              <w:t>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rPr>
            </w:pPr>
            <w:r>
              <w:rPr>
                <w:rFonts w:hint="eastAsia" w:ascii="宋体" w:hAnsi="宋体" w:cs="宋体"/>
                <w:color w:val="auto"/>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yellow"/>
              </w:rPr>
            </w:pPr>
            <w:r>
              <w:rPr>
                <w:rFonts w:hint="eastAsia" w:ascii="宋体" w:hAnsi="宋体" w:cs="宋体"/>
                <w:bCs/>
                <w:color w:val="auto"/>
                <w:sz w:val="24"/>
                <w:highlight w:val="none"/>
              </w:rPr>
              <w:t>服务期</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highlight w:val="yellow"/>
                <w:lang w:eastAsia="zh-CN"/>
              </w:rPr>
            </w:pPr>
            <w:r>
              <w:rPr>
                <w:rFonts w:hint="eastAsia" w:ascii="宋体" w:hAnsi="宋体" w:eastAsia="宋体" w:cs="宋体"/>
                <w:bCs/>
                <w:color w:val="auto"/>
                <w:sz w:val="24"/>
              </w:rPr>
              <w:t>自合同签订之日起一年</w:t>
            </w:r>
            <w:r>
              <w:rPr>
                <w:rFonts w:hint="eastAsia" w:ascii="宋体" w:hAnsi="宋体" w:eastAsia="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rPr>
            </w:pPr>
            <w:r>
              <w:rPr>
                <w:rFonts w:hint="eastAsia" w:ascii="宋体" w:hAnsi="宋体" w:cs="宋体"/>
                <w:bCs/>
                <w:color w:val="auto"/>
                <w:sz w:val="24"/>
              </w:rPr>
              <w:t>供应商对磋商文件有异议的，应当在</w:t>
            </w:r>
            <w:r>
              <w:rPr>
                <w:rFonts w:hint="eastAsia" w:ascii="宋体" w:hAnsi="宋体" w:cs="宋体"/>
                <w:bCs/>
                <w:color w:val="auto"/>
                <w:sz w:val="24"/>
                <w:lang w:val="en-US" w:eastAsia="zh-CN"/>
              </w:rPr>
              <w:t>2022</w:t>
            </w:r>
            <w:r>
              <w:rPr>
                <w:rFonts w:hint="eastAsia" w:ascii="宋体" w:hAnsi="宋体" w:cs="宋体"/>
                <w:bCs/>
                <w:color w:val="auto"/>
                <w:sz w:val="24"/>
              </w:rPr>
              <w:t>年</w:t>
            </w:r>
            <w:r>
              <w:rPr>
                <w:rFonts w:hint="eastAsia" w:ascii="宋体" w:hAnsi="宋体" w:cs="宋体"/>
                <w:bCs/>
                <w:color w:val="auto"/>
                <w:sz w:val="24"/>
                <w:lang w:val="en-US" w:eastAsia="zh-CN"/>
              </w:rPr>
              <w:t>11</w:t>
            </w:r>
            <w:r>
              <w:rPr>
                <w:rFonts w:hint="eastAsia" w:ascii="宋体" w:hAnsi="宋体" w:cs="宋体"/>
                <w:bCs/>
                <w:color w:val="auto"/>
                <w:sz w:val="24"/>
              </w:rPr>
              <w:t>月</w:t>
            </w:r>
            <w:r>
              <w:rPr>
                <w:rFonts w:hint="eastAsia" w:ascii="宋体" w:hAnsi="宋体" w:cs="宋体"/>
                <w:bCs/>
                <w:color w:val="auto"/>
                <w:sz w:val="24"/>
                <w:lang w:val="en-US" w:eastAsia="zh-CN"/>
              </w:rPr>
              <w:t>8日16:30</w:t>
            </w:r>
            <w:r>
              <w:rPr>
                <w:rFonts w:hint="eastAsia" w:ascii="宋体" w:hAnsi="宋体" w:cs="宋体"/>
                <w:bCs/>
                <w:color w:val="auto"/>
                <w:sz w:val="24"/>
              </w:rPr>
              <w:t>前以书面方式通过电子邮件（邮箱：231286730@qq.com）一次性提出。如果确需澄清和修改，采购人、代理机构将在规定的时间内统一进行澄清和修改，并以书面方式通过电子邮件通知所有认购磋商文件的供应商。供应商未按规定要求提出或者未在法定时间内对磋商文件提出质疑的，则视同认可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8</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textAlignment w:val="bottom"/>
              <w:rPr>
                <w:rFonts w:ascii="宋体" w:hAnsi="宋体" w:cs="宋体"/>
                <w:bCs/>
                <w:color w:val="auto"/>
                <w:sz w:val="24"/>
              </w:rPr>
            </w:pPr>
            <w:r>
              <w:rPr>
                <w:rFonts w:hint="eastAsia" w:ascii="宋体" w:hAnsi="宋体" w:cs="宋体"/>
                <w:bCs/>
                <w:color w:val="auto"/>
                <w:sz w:val="24"/>
              </w:rPr>
              <w:t>响应文件组成：</w:t>
            </w:r>
          </w:p>
          <w:p>
            <w:pPr>
              <w:autoSpaceDE w:val="0"/>
              <w:autoSpaceDN w:val="0"/>
              <w:adjustRightInd w:val="0"/>
              <w:snapToGrid w:val="0"/>
              <w:spacing w:line="400" w:lineRule="exact"/>
              <w:textAlignment w:val="bottom"/>
              <w:rPr>
                <w:rFonts w:ascii="宋体" w:hAnsi="宋体" w:cs="宋体"/>
                <w:bCs/>
                <w:color w:val="auto"/>
                <w:sz w:val="24"/>
              </w:rPr>
            </w:pPr>
            <w:r>
              <w:rPr>
                <w:rFonts w:hint="eastAsia" w:ascii="宋体" w:hAnsi="宋体" w:cs="宋体"/>
                <w:bCs/>
                <w:color w:val="auto"/>
                <w:sz w:val="24"/>
              </w:rPr>
              <w:t>1、电子响应文件（包括“电子加密响应文件”和“备份响应文件”，在响应文件编制完成后同时生成）。</w:t>
            </w:r>
          </w:p>
          <w:p>
            <w:pPr>
              <w:autoSpaceDE w:val="0"/>
              <w:autoSpaceDN w:val="0"/>
              <w:adjustRightInd w:val="0"/>
              <w:snapToGrid w:val="0"/>
              <w:spacing w:line="400" w:lineRule="exact"/>
              <w:textAlignment w:val="bottom"/>
              <w:rPr>
                <w:rFonts w:ascii="宋体" w:hAnsi="宋体" w:cs="宋体"/>
                <w:bCs/>
                <w:color w:val="auto"/>
                <w:sz w:val="24"/>
              </w:rPr>
            </w:pPr>
            <w:r>
              <w:rPr>
                <w:rFonts w:hint="eastAsia" w:ascii="宋体" w:hAnsi="宋体" w:cs="宋体"/>
                <w:bCs/>
                <w:color w:val="auto"/>
                <w:sz w:val="24"/>
              </w:rPr>
              <w:t>2、“电子加密响应文件”是指通过“政采云电子交易客户端”完成响应文件编制后生成并加密的数据电文形式的响应文件。</w:t>
            </w:r>
          </w:p>
          <w:p>
            <w:pPr>
              <w:autoSpaceDE w:val="0"/>
              <w:autoSpaceDN w:val="0"/>
              <w:adjustRightInd w:val="0"/>
              <w:snapToGrid w:val="0"/>
              <w:spacing w:line="400" w:lineRule="exact"/>
              <w:textAlignment w:val="bottom"/>
              <w:rPr>
                <w:rFonts w:ascii="宋体" w:hAnsi="宋体" w:cs="宋体"/>
                <w:bCs/>
                <w:color w:val="auto"/>
                <w:sz w:val="24"/>
              </w:rPr>
            </w:pPr>
            <w:r>
              <w:rPr>
                <w:rFonts w:hint="eastAsia" w:ascii="宋体" w:hAnsi="宋体" w:cs="宋体"/>
                <w:bCs/>
                <w:color w:val="auto"/>
                <w:sz w:val="24"/>
              </w:rPr>
              <w:t>3、“备份响应文件”是指与“电子加密响应文件”同时生成的数据电文形式的电子文件（备份标书），其他方式编制的备份响应文件视为无效备份响应文件。仅在出现解密异常情况下使用。</w:t>
            </w:r>
          </w:p>
          <w:p>
            <w:pPr>
              <w:autoSpaceDE w:val="0"/>
              <w:autoSpaceDN w:val="0"/>
              <w:adjustRightInd w:val="0"/>
              <w:snapToGrid w:val="0"/>
              <w:spacing w:line="400" w:lineRule="exact"/>
              <w:textAlignment w:val="bottom"/>
              <w:rPr>
                <w:rFonts w:ascii="宋体" w:hAnsi="宋体" w:cs="宋体"/>
                <w:color w:val="auto"/>
                <w:kern w:val="0"/>
                <w:sz w:val="24"/>
              </w:rPr>
            </w:pPr>
            <w:r>
              <w:rPr>
                <w:rFonts w:hint="eastAsia" w:ascii="宋体" w:hAnsi="宋体" w:cs="宋体"/>
                <w:bCs/>
                <w:color w:val="auto"/>
                <w:sz w:val="24"/>
              </w:rPr>
              <w:t>4、中标后，中标单位需在领取</w:t>
            </w:r>
            <w:r>
              <w:rPr>
                <w:rFonts w:hint="eastAsia" w:ascii="宋体" w:hAnsi="宋体" w:cs="宋体"/>
                <w:bCs/>
                <w:color w:val="auto"/>
                <w:sz w:val="24"/>
                <w:lang w:eastAsia="zh-CN"/>
              </w:rPr>
              <w:t>成交通知书</w:t>
            </w:r>
            <w:r>
              <w:rPr>
                <w:rFonts w:hint="eastAsia" w:ascii="宋体" w:hAnsi="宋体" w:cs="宋体"/>
                <w:bCs/>
                <w:color w:val="auto"/>
                <w:sz w:val="24"/>
              </w:rPr>
              <w:t>时，向招标代理机构提交与竞标时电子响应文件一致的纸质版本一式三份（按照磋商文件要求签字盖章）。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9</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 xml:space="preserve">  响应文件份数  </w:t>
            </w:r>
            <w:r>
              <w:rPr>
                <w:rFonts w:hint="eastAsia" w:ascii="宋体" w:hAnsi="宋体" w:cs="宋体"/>
                <w:bCs/>
                <w:color w:val="auto"/>
                <w:sz w:val="24"/>
              </w:rPr>
              <w:tab/>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rPr>
            </w:pPr>
            <w:r>
              <w:rPr>
                <w:rFonts w:hint="eastAsia" w:ascii="宋体" w:hAnsi="宋体" w:cs="宋体"/>
                <w:bCs/>
                <w:color w:val="auto"/>
                <w:sz w:val="24"/>
              </w:rPr>
              <w:t>响应文件份数：</w:t>
            </w:r>
          </w:p>
          <w:p>
            <w:pPr>
              <w:rPr>
                <w:rFonts w:ascii="宋体" w:hAnsi="宋体" w:cs="宋体"/>
                <w:bCs/>
                <w:color w:val="auto"/>
                <w:sz w:val="24"/>
              </w:rPr>
            </w:pPr>
            <w:r>
              <w:rPr>
                <w:rFonts w:hint="eastAsia" w:ascii="宋体" w:hAnsi="宋体" w:cs="宋体"/>
                <w:bCs/>
                <w:color w:val="auto"/>
                <w:sz w:val="24"/>
              </w:rPr>
              <w:t>1、“电子加密响应文件”：在线上传递交一份。</w:t>
            </w:r>
          </w:p>
          <w:p>
            <w:pPr>
              <w:rPr>
                <w:rFonts w:ascii="宋体" w:hAnsi="宋体" w:cs="宋体"/>
                <w:bCs/>
                <w:color w:val="auto"/>
                <w:sz w:val="24"/>
              </w:rPr>
            </w:pPr>
            <w:r>
              <w:rPr>
                <w:rFonts w:hint="eastAsia" w:ascii="宋体" w:hAnsi="宋体" w:cs="宋体"/>
                <w:bCs/>
                <w:color w:val="auto"/>
                <w:sz w:val="24"/>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因疫情原因，本项目原则上采用不见面的形式开标，竞标供应商可以邮寄形式在磋商截止时间前递交以介质（U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cs="宋体"/>
                <w:b/>
                <w:color w:val="auto"/>
                <w:kern w:val="0"/>
                <w:sz w:val="24"/>
              </w:rPr>
              <w:t>通过邮寄的方式送达（原则上邮寄公司统一采用顺丰）</w:t>
            </w:r>
            <w:r>
              <w:rPr>
                <w:rFonts w:hint="eastAsia" w:ascii="宋体" w:hAnsi="宋体" w:cs="宋体"/>
                <w:b/>
                <w:color w:val="auto"/>
                <w:sz w:val="24"/>
              </w:rPr>
              <w:t>邮寄地址为：</w:t>
            </w:r>
            <w:r>
              <w:rPr>
                <w:rFonts w:hint="eastAsia" w:ascii="宋体" w:hAnsi="宋体" w:cs="宋体"/>
                <w:b/>
                <w:color w:val="auto"/>
                <w:kern w:val="0"/>
                <w:sz w:val="24"/>
              </w:rPr>
              <w:t>宁波建信工程造价咨询事务所有限公司（浙江省湖州市亿丰国际建材城10号楼3楼308室），</w:t>
            </w:r>
            <w:r>
              <w:rPr>
                <w:rFonts w:hint="eastAsia" w:ascii="宋体" w:hAnsi="宋体" w:cs="宋体"/>
                <w:b/>
                <w:color w:val="auto"/>
                <w:sz w:val="24"/>
              </w:rPr>
              <w:t>邮寄截止时间详见磋商公告，</w:t>
            </w:r>
            <w:r>
              <w:rPr>
                <w:rFonts w:hint="eastAsia" w:ascii="宋体" w:hAnsi="宋体" w:cs="宋体"/>
                <w:bCs/>
                <w:color w:val="auto"/>
                <w:sz w:val="24"/>
              </w:rPr>
              <w:t>拒绝到付。（以收件人实际签收时间为准）逾期送达的将拒绝接收。</w:t>
            </w:r>
          </w:p>
          <w:p>
            <w:pPr>
              <w:rPr>
                <w:rFonts w:ascii="宋体" w:hAnsi="宋体" w:cs="宋体"/>
                <w:bCs/>
                <w:color w:val="auto"/>
                <w:sz w:val="24"/>
              </w:rPr>
            </w:pPr>
            <w:r>
              <w:rPr>
                <w:rFonts w:hint="eastAsia" w:ascii="宋体" w:hAnsi="宋体" w:cs="宋体"/>
                <w:bCs/>
                <w:color w:val="auto"/>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盘）应在磋商截止时间前送达，</w:t>
            </w:r>
            <w:r>
              <w:rPr>
                <w:rFonts w:hint="eastAsia" w:ascii="宋体" w:hAnsi="宋体" w:cs="宋体"/>
                <w:b/>
                <w:color w:val="auto"/>
                <w:sz w:val="24"/>
              </w:rPr>
              <w:t>超过磋商截止时间前送达的，按未提供处理。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 w:val="24"/>
              </w:rPr>
            </w:pPr>
            <w:r>
              <w:rPr>
                <w:rFonts w:hint="eastAsia" w:ascii="宋体" w:hAnsi="宋体" w:cs="宋体"/>
                <w:bCs/>
                <w:color w:val="auto"/>
                <w:sz w:val="24"/>
              </w:rPr>
              <w:t>（1）开标后，采购组织机构将向各供应商发出“电子加密响应文件”的解密通知，各供应商代表应当在接到解密通知后 30分钟内自行完成“电子加密响应文件”的在线解密。</w:t>
            </w:r>
          </w:p>
          <w:p>
            <w:pPr>
              <w:rPr>
                <w:rFonts w:ascii="宋体" w:hAnsi="宋体" w:cs="宋体"/>
                <w:bCs/>
                <w:color w:val="auto"/>
                <w:sz w:val="24"/>
              </w:rPr>
            </w:pPr>
            <w:r>
              <w:rPr>
                <w:rFonts w:hint="eastAsia" w:ascii="宋体" w:hAnsi="宋体" w:cs="宋体"/>
                <w:bCs/>
                <w:color w:val="auto"/>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rPr>
                <w:rFonts w:ascii="宋体" w:hAnsi="宋体" w:cs="宋体"/>
                <w:b/>
                <w:bCs/>
                <w:color w:val="auto"/>
                <w:kern w:val="0"/>
                <w:sz w:val="24"/>
              </w:rPr>
            </w:pPr>
            <w:r>
              <w:rPr>
                <w:rFonts w:hint="eastAsia" w:ascii="宋体" w:hAnsi="宋体" w:cs="宋体"/>
                <w:bCs/>
                <w:color w:val="auto"/>
                <w:sz w:val="24"/>
              </w:rPr>
              <w:t>（3）磋商截止时间前，竞标供应商仅递交了“备份响应文件”而未将电子加密响应文件上传至“政府采购云平台”的，竞标无效。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11</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color w:val="auto"/>
                <w:kern w:val="0"/>
                <w:sz w:val="24"/>
              </w:rPr>
            </w:pP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11</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15</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14</w:t>
            </w:r>
            <w:r>
              <w:rPr>
                <w:rFonts w:hint="eastAsia" w:ascii="宋体" w:hAnsi="宋体" w:cs="宋体"/>
                <w:b/>
                <w:bCs/>
                <w:color w:val="auto"/>
                <w:kern w:val="0"/>
                <w:sz w:val="24"/>
              </w:rPr>
              <w:t>时</w:t>
            </w:r>
            <w:r>
              <w:rPr>
                <w:rFonts w:hint="eastAsia" w:ascii="宋体" w:hAnsi="宋体" w:cs="宋体"/>
                <w:b/>
                <w:bCs/>
                <w:color w:val="auto"/>
                <w:kern w:val="0"/>
                <w:sz w:val="24"/>
                <w:lang w:val="en-US" w:eastAsia="zh-CN"/>
              </w:rPr>
              <w:t>00</w:t>
            </w:r>
            <w:r>
              <w:rPr>
                <w:rFonts w:hint="eastAsia" w:ascii="宋体" w:hAnsi="宋体" w:cs="宋体"/>
                <w:b/>
                <w:bCs/>
                <w:color w:val="auto"/>
                <w:kern w:val="0"/>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12</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4"/>
              </w:rPr>
            </w:pPr>
            <w:r>
              <w:rPr>
                <w:rFonts w:hint="eastAsia" w:ascii="宋体" w:hAnsi="宋体" w:cs="宋体"/>
                <w:color w:val="auto"/>
                <w:kern w:val="0"/>
                <w:sz w:val="24"/>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kern w:val="0"/>
                <w:sz w:val="24"/>
              </w:rPr>
            </w:pPr>
            <w:r>
              <w:rPr>
                <w:rFonts w:hint="eastAsia" w:ascii="宋体" w:hAnsi="宋体" w:eastAsia="宋体" w:cs="宋体"/>
                <w:bCs/>
                <w:color w:val="auto"/>
                <w:sz w:val="24"/>
              </w:rPr>
              <w:t>湖州市吴兴区公共资源交易中心（湖州市吴兴区区府路1188号总部自由港E幢4楼）</w:t>
            </w:r>
            <w:r>
              <w:rPr>
                <w:rFonts w:hint="eastAsia" w:ascii="宋体" w:hAnsi="宋体" w:eastAsia="宋体" w:cs="宋体"/>
                <w:bCs/>
                <w:color w:val="auto"/>
                <w:sz w:val="24"/>
                <w:highlight w:val="none"/>
              </w:rPr>
              <w:t>40</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rPr>
              <w:t>开标室。</w:t>
            </w:r>
            <w:r>
              <w:rPr>
                <w:rFonts w:hint="eastAsia" w:ascii="宋体" w:hAnsi="宋体" w:eastAsia="宋体" w:cs="宋体"/>
                <w:bCs/>
                <w:color w:val="auto"/>
                <w:sz w:val="24"/>
                <w:lang w:eastAsia="zh-CN"/>
              </w:rPr>
              <w:t>供应商无需</w:t>
            </w:r>
            <w:r>
              <w:rPr>
                <w:rFonts w:hint="eastAsia" w:ascii="宋体" w:hAnsi="宋体" w:eastAsia="宋体" w:cs="宋体"/>
                <w:bCs/>
                <w:color w:val="auto"/>
                <w:sz w:val="24"/>
              </w:rPr>
              <w:t>派法人代表或法人代表授权委托人出席开标会议。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13</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4"/>
              </w:rPr>
            </w:pPr>
            <w:r>
              <w:rPr>
                <w:rFonts w:hint="eastAsia" w:ascii="宋体" w:hAnsi="宋体" w:cs="宋体"/>
                <w:color w:val="auto"/>
                <w:kern w:val="0"/>
                <w:sz w:val="24"/>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rPr>
            </w:pPr>
            <w:r>
              <w:rPr>
                <w:rFonts w:hint="eastAsia" w:ascii="宋体" w:hAnsi="宋体" w:cs="宋体"/>
                <w:color w:val="auto"/>
                <w:sz w:val="24"/>
              </w:rPr>
              <w:t xml:space="preserve">60日历天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14</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rPr>
            </w:pPr>
            <w:r>
              <w:rPr>
                <w:rFonts w:hint="eastAsia" w:ascii="宋体" w:hAnsi="宋体" w:cs="宋体"/>
                <w:color w:val="auto"/>
                <w:sz w:val="24"/>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rPr>
            </w:pPr>
            <w:r>
              <w:rPr>
                <w:rFonts w:hint="eastAsia" w:ascii="宋体" w:hAnsi="宋体" w:cs="宋体"/>
                <w:color w:val="auto"/>
                <w:sz w:val="24"/>
              </w:rPr>
              <w:t>成交通知书发出后30天内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rPr>
            </w:pPr>
            <w:r>
              <w:rPr>
                <w:rFonts w:hint="eastAsia" w:ascii="宋体" w:hAnsi="宋体" w:cs="宋体"/>
                <w:bCs/>
                <w:color w:val="auto"/>
                <w:sz w:val="24"/>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16</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rPr>
            </w:pPr>
            <w:r>
              <w:rPr>
                <w:rFonts w:hint="eastAsia" w:ascii="宋体" w:hAnsi="宋体" w:cs="宋体"/>
                <w:bCs/>
                <w:color w:val="auto"/>
                <w:sz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Cs/>
                <w:color w:val="auto"/>
                <w:sz w:val="24"/>
                <w:lang w:eastAsia="zh-CN"/>
              </w:rPr>
            </w:pPr>
            <w:r>
              <w:rPr>
                <w:rFonts w:hint="eastAsia" w:ascii="宋体" w:hAnsi="宋体" w:cs="宋体"/>
                <w:bCs/>
                <w:color w:val="auto"/>
                <w:sz w:val="24"/>
              </w:rPr>
              <w:t>1</w:t>
            </w:r>
            <w:r>
              <w:rPr>
                <w:rFonts w:hint="eastAsia" w:ascii="宋体" w:hAnsi="宋体" w:cs="宋体"/>
                <w:bCs/>
                <w:color w:val="auto"/>
                <w:sz w:val="24"/>
                <w:lang w:val="en-US" w:eastAsia="zh-CN"/>
              </w:rPr>
              <w:t>7</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rPr>
            </w:pPr>
            <w:r>
              <w:rPr>
                <w:rFonts w:hint="eastAsia" w:ascii="宋体" w:hAnsi="宋体" w:cs="宋体"/>
                <w:bCs/>
                <w:color w:val="auto"/>
                <w:sz w:val="24"/>
              </w:rPr>
              <w:t>解释</w:t>
            </w:r>
          </w:p>
        </w:tc>
        <w:tc>
          <w:tcPr>
            <w:tcW w:w="652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rPr>
            </w:pPr>
            <w:r>
              <w:rPr>
                <w:rFonts w:hint="eastAsia" w:ascii="宋体" w:hAnsi="宋体" w:cs="宋体"/>
                <w:bCs/>
                <w:color w:val="auto"/>
                <w:sz w:val="24"/>
              </w:rPr>
              <w:t>本磋商文件的解释权属于采购人及采购代理机构</w:t>
            </w:r>
          </w:p>
        </w:tc>
      </w:tr>
    </w:tbl>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一、说明</w:t>
      </w:r>
    </w:p>
    <w:p>
      <w:pPr>
        <w:tabs>
          <w:tab w:val="left" w:pos="844"/>
        </w:tabs>
        <w:autoSpaceDE w:val="0"/>
        <w:autoSpaceDN w:val="0"/>
        <w:snapToGrid w:val="0"/>
        <w:spacing w:line="480" w:lineRule="exact"/>
        <w:ind w:left="426"/>
        <w:textAlignment w:val="bottom"/>
        <w:rPr>
          <w:rFonts w:ascii="宋体" w:hAnsi="宋体" w:cs="宋体"/>
          <w:b/>
          <w:color w:val="auto"/>
          <w:sz w:val="24"/>
          <w:lang w:val="zh-CN"/>
        </w:rPr>
      </w:pPr>
      <w:r>
        <w:rPr>
          <w:rFonts w:hint="eastAsia" w:ascii="宋体" w:hAnsi="宋体" w:cs="宋体"/>
          <w:b/>
          <w:color w:val="auto"/>
          <w:sz w:val="24"/>
          <w:lang w:val="zh-CN"/>
        </w:rPr>
        <w:t>（一）总则</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1、</w:t>
      </w:r>
      <w:r>
        <w:rPr>
          <w:rFonts w:hint="eastAsia" w:ascii="宋体" w:hAnsi="宋体" w:cs="宋体"/>
          <w:bCs/>
          <w:color w:val="auto"/>
          <w:sz w:val="24"/>
        </w:rPr>
        <w:t>磋商采购项目名称：</w:t>
      </w:r>
      <w:r>
        <w:rPr>
          <w:rFonts w:hint="eastAsia" w:ascii="宋体" w:hAnsi="宋体" w:cs="宋体"/>
          <w:b/>
          <w:color w:val="auto"/>
          <w:sz w:val="24"/>
          <w:lang w:eastAsia="zh-CN"/>
        </w:rPr>
        <w:t>东林镇2022年第二轮疗休养项目</w:t>
      </w:r>
      <w:r>
        <w:rPr>
          <w:rFonts w:hint="eastAsia" w:ascii="宋体" w:hAnsi="宋体" w:cs="宋体"/>
          <w:bCs/>
          <w:color w:val="auto"/>
          <w:sz w:val="24"/>
          <w:lang w:val="zh-CN"/>
        </w:rPr>
        <w:t>。</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2、本次磋商工作是按照《中华人民共和国政府采购法》等相关规定组织和实施。</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3、无论磋商过程中的做法和结果如何，供应商自行承担磋商活动中所发生的全部费用。</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
          <w:color w:val="auto"/>
          <w:sz w:val="24"/>
          <w:lang w:val="zh-CN"/>
        </w:rPr>
        <w:t>（二）合格供应商</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符合竞争性磋商公告第四条供应商资格要求。</w:t>
      </w:r>
    </w:p>
    <w:p>
      <w:pPr>
        <w:tabs>
          <w:tab w:val="left" w:pos="844"/>
        </w:tabs>
        <w:autoSpaceDE w:val="0"/>
        <w:autoSpaceDN w:val="0"/>
        <w:snapToGrid w:val="0"/>
        <w:spacing w:line="480" w:lineRule="exact"/>
        <w:ind w:left="426"/>
        <w:textAlignment w:val="bottom"/>
        <w:rPr>
          <w:rFonts w:ascii="宋体" w:hAnsi="宋体" w:cs="宋体"/>
          <w:b/>
          <w:color w:val="auto"/>
          <w:sz w:val="24"/>
          <w:lang w:val="zh-CN"/>
        </w:rPr>
      </w:pPr>
      <w:r>
        <w:rPr>
          <w:rFonts w:hint="eastAsia" w:ascii="宋体" w:hAnsi="宋体" w:cs="宋体"/>
          <w:b/>
          <w:color w:val="auto"/>
          <w:sz w:val="24"/>
          <w:lang w:val="zh-CN"/>
        </w:rPr>
        <w:t>（三）定义</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1、“采购单位”系指</w:t>
      </w:r>
      <w:r>
        <w:rPr>
          <w:rFonts w:hint="eastAsia" w:ascii="宋体" w:hAnsi="宋体" w:cs="宋体"/>
          <w:b/>
          <w:color w:val="auto"/>
          <w:sz w:val="24"/>
          <w:lang w:eastAsia="zh-CN"/>
        </w:rPr>
        <w:t>湖州市吴兴区东林镇人民政府</w:t>
      </w:r>
      <w:r>
        <w:rPr>
          <w:rFonts w:hint="eastAsia" w:ascii="宋体" w:hAnsi="宋体" w:cs="宋体"/>
          <w:bCs/>
          <w:color w:val="auto"/>
          <w:sz w:val="24"/>
          <w:lang w:val="zh-CN"/>
        </w:rPr>
        <w:t>。</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2、“招标代理机构”系指</w:t>
      </w:r>
      <w:r>
        <w:rPr>
          <w:rFonts w:hint="eastAsia" w:ascii="宋体" w:hAnsi="宋体" w:cs="宋体"/>
          <w:b/>
          <w:color w:val="auto"/>
          <w:sz w:val="24"/>
          <w:lang w:val="zh-CN"/>
        </w:rPr>
        <w:t>宁波建信工程造价咨询事务所有限公司</w:t>
      </w:r>
      <w:r>
        <w:rPr>
          <w:rFonts w:hint="eastAsia" w:ascii="宋体" w:hAnsi="宋体" w:cs="宋体"/>
          <w:bCs/>
          <w:color w:val="auto"/>
          <w:sz w:val="24"/>
          <w:lang w:val="zh-CN"/>
        </w:rPr>
        <w:t>。</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rPr>
        <w:t>3、</w:t>
      </w:r>
      <w:r>
        <w:rPr>
          <w:rFonts w:hint="eastAsia" w:ascii="宋体" w:hAnsi="宋体" w:cs="宋体"/>
          <w:bCs/>
          <w:color w:val="auto"/>
          <w:sz w:val="24"/>
          <w:lang w:val="zh-CN"/>
        </w:rPr>
        <w:t>“招标采购单位”系指组织本次磋商的分散委托代理机构和采购单位。</w:t>
      </w:r>
    </w:p>
    <w:p>
      <w:pPr>
        <w:tabs>
          <w:tab w:val="left" w:pos="844"/>
        </w:tabs>
        <w:autoSpaceDE w:val="0"/>
        <w:autoSpaceDN w:val="0"/>
        <w:snapToGrid w:val="0"/>
        <w:spacing w:line="480" w:lineRule="exact"/>
        <w:ind w:left="426"/>
        <w:textAlignment w:val="bottom"/>
        <w:rPr>
          <w:rFonts w:ascii="宋体" w:hAnsi="宋体" w:cs="宋体"/>
          <w:bCs/>
          <w:color w:val="auto"/>
          <w:sz w:val="24"/>
          <w:lang w:val="zh-CN"/>
        </w:rPr>
      </w:pPr>
      <w:r>
        <w:rPr>
          <w:rFonts w:hint="eastAsia" w:ascii="宋体" w:hAnsi="宋体" w:cs="宋体"/>
          <w:bCs/>
          <w:color w:val="auto"/>
          <w:sz w:val="24"/>
          <w:lang w:val="zh-CN"/>
        </w:rPr>
        <w:t>4、“供应商”是指向采购单位提供竞争性磋商响应文件所叙述的合格竞标单位。</w:t>
      </w:r>
    </w:p>
    <w:p>
      <w:pPr>
        <w:tabs>
          <w:tab w:val="left" w:pos="844"/>
        </w:tabs>
        <w:autoSpaceDE w:val="0"/>
        <w:autoSpaceDN w:val="0"/>
        <w:snapToGrid w:val="0"/>
        <w:spacing w:line="480" w:lineRule="exact"/>
        <w:ind w:firstLine="480" w:firstLineChars="200"/>
        <w:textAlignment w:val="bottom"/>
        <w:rPr>
          <w:rFonts w:ascii="宋体" w:hAnsi="宋体" w:cs="宋体"/>
          <w:bCs/>
          <w:color w:val="auto"/>
          <w:sz w:val="24"/>
        </w:rPr>
      </w:pPr>
      <w:r>
        <w:rPr>
          <w:rFonts w:hint="eastAsia" w:ascii="宋体" w:hAnsi="宋体" w:cs="宋体"/>
          <w:bCs/>
          <w:color w:val="auto"/>
          <w:sz w:val="24"/>
        </w:rPr>
        <w:t>5、 本磋商文件中带“▲”的条款为实质性条款，供应商必须在竞标文件中作出实质性响应（允许正偏离），否则投标无效。</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（四）磋商费用</w:t>
      </w:r>
    </w:p>
    <w:p>
      <w:pPr>
        <w:adjustRightInd w:val="0"/>
        <w:snapToGrid w:val="0"/>
        <w:spacing w:line="480" w:lineRule="exact"/>
        <w:ind w:firstLine="480" w:firstLineChars="200"/>
        <w:jc w:val="left"/>
        <w:rPr>
          <w:rFonts w:ascii="宋体" w:hAnsi="宋体" w:cs="宋体"/>
          <w:color w:val="auto"/>
          <w:sz w:val="24"/>
        </w:rPr>
      </w:pPr>
      <w:r>
        <w:rPr>
          <w:rFonts w:hint="eastAsia" w:ascii="宋体" w:hAnsi="宋体" w:cs="宋体"/>
          <w:color w:val="auto"/>
          <w:sz w:val="24"/>
        </w:rPr>
        <w:t>1、不论磋商采购结果如何，供应商均应自行承担所有与参加本次磋商采购有关的全部费用。</w:t>
      </w:r>
    </w:p>
    <w:p>
      <w:pPr>
        <w:spacing w:line="480" w:lineRule="exact"/>
        <w:ind w:firstLine="480" w:firstLineChars="200"/>
        <w:rPr>
          <w:color w:val="auto"/>
        </w:rPr>
      </w:pPr>
      <w:r>
        <w:rPr>
          <w:rFonts w:hint="eastAsia" w:ascii="宋体" w:hAnsi="宋体" w:cs="宋体"/>
          <w:color w:val="auto"/>
          <w:sz w:val="24"/>
        </w:rPr>
        <w:t>2、</w:t>
      </w:r>
      <w:r>
        <w:rPr>
          <w:rFonts w:hint="eastAsia" w:ascii="宋体" w:hAnsi="宋体" w:cs="宋体"/>
          <w:color w:val="auto"/>
          <w:kern w:val="0"/>
          <w:sz w:val="24"/>
        </w:rPr>
        <w:t>磋商代理费由成交供应商支付，磋商代理费为</w:t>
      </w:r>
      <w:r>
        <w:rPr>
          <w:rFonts w:hint="eastAsia" w:ascii="宋体" w:hAnsi="宋体" w:cs="宋体"/>
          <w:b/>
          <w:bCs/>
          <w:color w:val="auto"/>
          <w:kern w:val="0"/>
          <w:sz w:val="24"/>
          <w:u w:val="single"/>
        </w:rPr>
        <w:t>1</w:t>
      </w:r>
      <w:r>
        <w:rPr>
          <w:rFonts w:hint="eastAsia" w:ascii="宋体" w:hAnsi="宋体" w:cs="宋体"/>
          <w:b/>
          <w:bCs/>
          <w:color w:val="auto"/>
          <w:kern w:val="0"/>
          <w:sz w:val="24"/>
          <w:u w:val="single"/>
          <w:lang w:val="en-US" w:eastAsia="zh-CN"/>
        </w:rPr>
        <w:t>23</w:t>
      </w:r>
      <w:r>
        <w:rPr>
          <w:rFonts w:hint="eastAsia" w:ascii="宋体" w:hAnsi="宋体" w:cs="宋体"/>
          <w:b/>
          <w:bCs/>
          <w:color w:val="auto"/>
          <w:kern w:val="0"/>
          <w:sz w:val="24"/>
          <w:u w:val="single"/>
        </w:rPr>
        <w:t>00</w:t>
      </w:r>
      <w:r>
        <w:rPr>
          <w:rFonts w:hint="eastAsia" w:ascii="宋体" w:hAnsi="宋体" w:cs="宋体"/>
          <w:b/>
          <w:bCs/>
          <w:color w:val="auto"/>
          <w:kern w:val="0"/>
          <w:sz w:val="24"/>
        </w:rPr>
        <w:t>元</w:t>
      </w:r>
      <w:r>
        <w:rPr>
          <w:rFonts w:hint="eastAsia" w:ascii="宋体" w:hAnsi="宋体" w:cs="宋体"/>
          <w:color w:val="auto"/>
          <w:kern w:val="0"/>
          <w:sz w:val="24"/>
        </w:rPr>
        <w:t>，领取</w:t>
      </w:r>
      <w:r>
        <w:rPr>
          <w:rFonts w:hint="eastAsia" w:ascii="宋体" w:hAnsi="宋体" w:cs="宋体"/>
          <w:color w:val="auto"/>
          <w:kern w:val="0"/>
          <w:sz w:val="24"/>
          <w:lang w:eastAsia="zh-CN"/>
        </w:rPr>
        <w:t>成交通知书</w:t>
      </w:r>
      <w:r>
        <w:rPr>
          <w:rFonts w:hint="eastAsia" w:ascii="宋体" w:hAnsi="宋体" w:cs="宋体"/>
          <w:color w:val="auto"/>
          <w:kern w:val="0"/>
          <w:sz w:val="24"/>
        </w:rPr>
        <w:t>前支付给采购代理机构，该费用请供应商自行考虑计入竞标报价中。</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二、竞争性磋商文件</w:t>
      </w:r>
    </w:p>
    <w:p>
      <w:pPr>
        <w:spacing w:line="48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w:t>
      </w:r>
      <w:r>
        <w:rPr>
          <w:rFonts w:hint="eastAsia" w:asciiTheme="minorEastAsia" w:hAnsiTheme="minorEastAsia" w:eastAsiaTheme="minorEastAsia" w:cstheme="minorEastAsia"/>
          <w:b/>
          <w:bCs/>
          <w:color w:val="auto"/>
          <w:sz w:val="24"/>
          <w:lang w:val="zh-CN"/>
        </w:rPr>
        <w:t>竞争性磋商</w:t>
      </w:r>
      <w:r>
        <w:rPr>
          <w:rFonts w:hint="eastAsia" w:asciiTheme="minorEastAsia" w:hAnsiTheme="minorEastAsia" w:eastAsiaTheme="minorEastAsia" w:cstheme="minorEastAsia"/>
          <w:b/>
          <w:bCs/>
          <w:color w:val="auto"/>
          <w:sz w:val="24"/>
        </w:rPr>
        <w:t>文件组成</w:t>
      </w:r>
    </w:p>
    <w:p>
      <w:pPr>
        <w:spacing w:line="4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竞争性磋商</w:t>
      </w:r>
      <w:r>
        <w:rPr>
          <w:rFonts w:hint="eastAsia" w:asciiTheme="minorEastAsia" w:hAnsiTheme="minorEastAsia" w:eastAsiaTheme="minorEastAsia" w:cstheme="minorEastAsia"/>
          <w:color w:val="auto"/>
          <w:sz w:val="24"/>
        </w:rPr>
        <w:t>文件由</w:t>
      </w:r>
      <w:r>
        <w:rPr>
          <w:rFonts w:hint="eastAsia" w:asciiTheme="minorEastAsia" w:hAnsiTheme="minorEastAsia" w:eastAsiaTheme="minorEastAsia" w:cstheme="minorEastAsia"/>
          <w:color w:val="auto"/>
          <w:sz w:val="24"/>
          <w:lang w:val="zh-CN"/>
        </w:rPr>
        <w:t>总目录所列内容组成。</w:t>
      </w:r>
    </w:p>
    <w:p>
      <w:pPr>
        <w:numPr>
          <w:ilvl w:val="0"/>
          <w:numId w:val="3"/>
        </w:numPr>
        <w:spacing w:line="48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val="zh-CN"/>
        </w:rPr>
        <w:t>竞争性磋商</w:t>
      </w:r>
      <w:r>
        <w:rPr>
          <w:rFonts w:hint="eastAsia" w:asciiTheme="minorEastAsia" w:hAnsiTheme="minorEastAsia" w:eastAsiaTheme="minorEastAsia" w:cstheme="minorEastAsia"/>
          <w:b/>
          <w:bCs/>
          <w:color w:val="auto"/>
          <w:sz w:val="24"/>
        </w:rPr>
        <w:t>文件的澄清及修改</w:t>
      </w:r>
    </w:p>
    <w:p>
      <w:pPr>
        <w:snapToGrid w:val="0"/>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在磋商截止时间前，采购单位对已发出的磋商文件进行必要澄清或者修改时，将依法在财政部门指定的政府采购信息发布媒体上发布更正公告，同时政采云系统会向所有已按磋商文件规定方式获取磋商文件的潜在供应商发送更正提醒信息，潜在供应商请自行到浙江省政府采网上下载澄清（更正）文件。该澄清或者修改的内容为磋商文件的组成部分，对所有供应商有约束力。供应商在收到磋商文件的澄清修改函后，应以书面形式予以确认。</w:t>
      </w:r>
    </w:p>
    <w:p>
      <w:pPr>
        <w:snapToGrid w:val="0"/>
        <w:spacing w:line="480" w:lineRule="exact"/>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（2）采购单位可以视采购具体情况，延长磋商截止时间，并将变更时间书面通过邮箱方式通知所有磋商文件收受人，并在财政部门指定的政府采购信息发布媒体上发布变更公告。</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三、供应商竞争性磋商响应文件的编制要求</w:t>
      </w:r>
    </w:p>
    <w:p>
      <w:pPr>
        <w:pStyle w:val="2"/>
        <w:spacing w:after="0" w:line="480" w:lineRule="exact"/>
        <w:ind w:firstLine="420"/>
        <w:rPr>
          <w:rFonts w:ascii="宋体" w:hAnsi="宋体" w:cs="宋体"/>
          <w:b/>
          <w:bCs/>
          <w:color w:val="auto"/>
          <w:sz w:val="24"/>
        </w:rPr>
      </w:pPr>
      <w:r>
        <w:rPr>
          <w:rFonts w:hint="eastAsia" w:ascii="宋体" w:hAnsi="宋体" w:cs="宋体"/>
          <w:b/>
          <w:bCs/>
          <w:color w:val="auto"/>
          <w:sz w:val="24"/>
        </w:rPr>
        <w:t>1.1电子响应文件部分：</w:t>
      </w:r>
    </w:p>
    <w:p>
      <w:pPr>
        <w:pStyle w:val="2"/>
        <w:spacing w:after="0" w:line="480" w:lineRule="exact"/>
        <w:ind w:firstLine="420"/>
        <w:rPr>
          <w:rFonts w:ascii="宋体" w:hAnsi="宋体" w:cs="宋体"/>
          <w:color w:val="auto"/>
          <w:sz w:val="24"/>
        </w:rPr>
      </w:pPr>
      <w:r>
        <w:rPr>
          <w:rFonts w:hint="eastAsia" w:ascii="宋体" w:hAnsi="宋体" w:cs="宋体"/>
          <w:color w:val="auto"/>
          <w:sz w:val="24"/>
        </w:rPr>
        <w:t>供应商应根据“政采云供应商项目采购-电子交易操作指南”及本磋商文件规定的格式和顺序编制电子响应文件并进行关联定位。</w:t>
      </w:r>
    </w:p>
    <w:p>
      <w:pPr>
        <w:pStyle w:val="2"/>
        <w:spacing w:after="0" w:line="480" w:lineRule="exact"/>
        <w:ind w:firstLine="420"/>
        <w:rPr>
          <w:rFonts w:ascii="宋体" w:hAnsi="宋体" w:cs="宋体"/>
          <w:b/>
          <w:bCs/>
          <w:color w:val="auto"/>
          <w:sz w:val="24"/>
        </w:rPr>
      </w:pPr>
      <w:r>
        <w:rPr>
          <w:rFonts w:hint="eastAsia" w:ascii="宋体" w:hAnsi="宋体" w:cs="宋体"/>
          <w:b/>
          <w:bCs/>
          <w:color w:val="auto"/>
          <w:sz w:val="24"/>
        </w:rPr>
        <w:t>1.2响应文件部分：</w:t>
      </w:r>
    </w:p>
    <w:p>
      <w:pPr>
        <w:adjustRightInd w:val="0"/>
        <w:snapToGrid w:val="0"/>
        <w:spacing w:line="480" w:lineRule="exact"/>
        <w:ind w:firstLine="482"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（一）响应文件的组成</w:t>
      </w:r>
    </w:p>
    <w:p>
      <w:pPr>
        <w:adjustRightInd w:val="0"/>
        <w:snapToGrid w:val="0"/>
        <w:spacing w:line="480" w:lineRule="exact"/>
        <w:ind w:firstLine="480" w:firstLineChars="200"/>
        <w:jc w:val="left"/>
        <w:rPr>
          <w:rFonts w:asciiTheme="minorEastAsia" w:hAnsiTheme="minorEastAsia" w:cstheme="minorEastAsia"/>
          <w:color w:val="auto"/>
          <w:sz w:val="24"/>
        </w:rPr>
      </w:pPr>
      <w:r>
        <w:rPr>
          <w:rFonts w:hint="eastAsia" w:asciiTheme="minorEastAsia" w:hAnsiTheme="minorEastAsia" w:eastAsiaTheme="minorEastAsia" w:cstheme="minorEastAsia"/>
          <w:color w:val="auto"/>
          <w:sz w:val="24"/>
        </w:rPr>
        <w:t>响应文件由</w:t>
      </w:r>
      <w:r>
        <w:rPr>
          <w:rFonts w:hint="eastAsia" w:ascii="宋体" w:hAnsi="宋体" w:cs="宋体"/>
          <w:color w:val="auto"/>
          <w:kern w:val="0"/>
          <w:sz w:val="24"/>
        </w:rPr>
        <w:t>《资格文件》《技术、商务、资信及其他文件》《报价文件》三部分组成。</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1、资格证明文件包括：</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（1）有效的企业营业执照、税务登记证或“三证合一”的营业执照或“五证合一”的营业执照；</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（2）法定代表人有效身份证明书及身份证或法定代表人授权书及授权人身份证；</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（3）授权代表社保缴费凭证或花名册复印件；</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（4）供应商最近一个季度依法缴纳税收和社保费的证明（税费凭证复印件，或者依法缴纳税费或依法免缴税费的证明）；</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（5）自采购公告发布之后任意时间的“信用中国”（www.creditchina.gov.cn）、“中国政府采购网”（www.ccgp.gov.cn）供应商信用查询网页截图；</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（6）信用承诺书（格式见附件）；</w:t>
      </w:r>
    </w:p>
    <w:p>
      <w:pPr>
        <w:tabs>
          <w:tab w:val="left" w:pos="844"/>
        </w:tabs>
        <w:autoSpaceDE w:val="0"/>
        <w:autoSpaceDN w:val="0"/>
        <w:snapToGrid w:val="0"/>
        <w:spacing w:line="480" w:lineRule="exact"/>
        <w:ind w:left="426"/>
        <w:textAlignment w:val="bottom"/>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7</w:t>
      </w:r>
      <w:r>
        <w:rPr>
          <w:rFonts w:hint="eastAsia" w:ascii="宋体" w:hAnsi="宋体" w:cs="宋体"/>
          <w:bCs/>
          <w:color w:val="auto"/>
          <w:sz w:val="24"/>
        </w:rPr>
        <w:t xml:space="preserve">）供应商认为需要提供的其他资料和文件。 </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2、技术/资信/商务文件包括：</w:t>
      </w:r>
    </w:p>
    <w:p>
      <w:pPr>
        <w:tabs>
          <w:tab w:val="left" w:pos="844"/>
        </w:tabs>
        <w:autoSpaceDE w:val="0"/>
        <w:autoSpaceDN w:val="0"/>
        <w:snapToGrid w:val="0"/>
        <w:spacing w:line="480" w:lineRule="exact"/>
        <w:ind w:left="426"/>
        <w:textAlignment w:val="bottom"/>
        <w:rPr>
          <w:rFonts w:ascii="宋体" w:hAnsi="宋体" w:cs="宋体"/>
          <w:bCs/>
          <w:color w:val="auto"/>
          <w:sz w:val="24"/>
        </w:rPr>
      </w:pPr>
      <w:r>
        <w:rPr>
          <w:rFonts w:hint="eastAsia" w:ascii="宋体" w:hAnsi="宋体" w:cs="宋体"/>
          <w:color w:val="auto"/>
          <w:sz w:val="24"/>
        </w:rPr>
        <w:t>（</w:t>
      </w:r>
      <w:r>
        <w:rPr>
          <w:rFonts w:hint="eastAsia" w:ascii="宋体" w:hAnsi="宋体" w:cs="宋体"/>
          <w:bCs/>
          <w:color w:val="auto"/>
          <w:sz w:val="24"/>
        </w:rPr>
        <w:t>1）自评分表；</w:t>
      </w:r>
    </w:p>
    <w:p>
      <w:pPr>
        <w:tabs>
          <w:tab w:val="left" w:pos="844"/>
        </w:tabs>
        <w:autoSpaceDE w:val="0"/>
        <w:autoSpaceDN w:val="0"/>
        <w:snapToGrid w:val="0"/>
        <w:spacing w:line="480" w:lineRule="exact"/>
        <w:ind w:left="426"/>
        <w:textAlignment w:val="bottom"/>
        <w:rPr>
          <w:rFonts w:ascii="宋体" w:hAnsi="宋体" w:cs="宋体"/>
          <w:bCs/>
          <w:color w:val="auto"/>
          <w:sz w:val="24"/>
        </w:rPr>
      </w:pPr>
      <w:r>
        <w:rPr>
          <w:rFonts w:hint="eastAsia" w:ascii="宋体" w:hAnsi="宋体" w:cs="宋体"/>
          <w:color w:val="auto"/>
          <w:sz w:val="24"/>
        </w:rPr>
        <w:t>（2）磋商声明书；</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 xml:space="preserve">（3）疗休养方案； </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（4）住宿方案；</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（5）餐饮方案；</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（6）车辆设备、驾驶员等方案；</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（7）拟投入本项目人员技术力量；</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（8）管理制度；</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（9）计调实力；</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（10）对本项目有效的措施和合理化建议；</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（11）服务质量保证措施；</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（12）优惠条件；</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（13）应急措施方案；</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（14）意外保险额度；</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（15）企业业绩（格式见附件）；</w:t>
      </w:r>
    </w:p>
    <w:p>
      <w:pPr>
        <w:adjustRightInd w:val="0"/>
        <w:snapToGrid w:val="0"/>
        <w:spacing w:line="480" w:lineRule="exact"/>
        <w:ind w:firstLine="420"/>
        <w:jc w:val="left"/>
        <w:rPr>
          <w:rFonts w:hint="eastAsia" w:ascii="宋体" w:hAnsi="宋体" w:cs="宋体"/>
          <w:bCs/>
          <w:color w:val="auto"/>
          <w:sz w:val="24"/>
        </w:rPr>
      </w:pPr>
      <w:r>
        <w:rPr>
          <w:rFonts w:hint="eastAsia" w:ascii="宋体" w:hAnsi="宋体" w:cs="宋体"/>
          <w:bCs/>
          <w:color w:val="auto"/>
          <w:sz w:val="24"/>
        </w:rPr>
        <w:t>（16）企业荣誉；</w:t>
      </w:r>
    </w:p>
    <w:p>
      <w:pPr>
        <w:adjustRightInd w:val="0"/>
        <w:snapToGrid w:val="0"/>
        <w:spacing w:line="480" w:lineRule="exact"/>
        <w:ind w:firstLine="420"/>
        <w:jc w:val="left"/>
        <w:rPr>
          <w:rFonts w:hint="eastAsia" w:ascii="宋体" w:hAnsi="宋体" w:eastAsia="宋体" w:cs="宋体"/>
          <w:bCs/>
          <w:color w:val="auto"/>
          <w:sz w:val="24"/>
          <w:lang w:eastAsia="zh-CN"/>
        </w:rPr>
      </w:pPr>
      <w:r>
        <w:rPr>
          <w:rFonts w:hint="eastAsia" w:ascii="宋体" w:hAnsi="宋体" w:cs="宋体"/>
          <w:bCs/>
          <w:color w:val="auto"/>
          <w:sz w:val="24"/>
        </w:rPr>
        <w:t>（17）综合实力</w:t>
      </w:r>
      <w:r>
        <w:rPr>
          <w:rFonts w:hint="eastAsia" w:ascii="宋体" w:hAnsi="宋体" w:cs="宋体"/>
          <w:bCs/>
          <w:color w:val="auto"/>
          <w:sz w:val="24"/>
          <w:lang w:eastAsia="zh-CN"/>
        </w:rPr>
        <w:t>；</w:t>
      </w:r>
    </w:p>
    <w:p>
      <w:pPr>
        <w:adjustRightInd w:val="0"/>
        <w:snapToGrid w:val="0"/>
        <w:spacing w:line="480" w:lineRule="exact"/>
        <w:ind w:firstLine="420"/>
        <w:jc w:val="left"/>
        <w:rPr>
          <w:rFonts w:ascii="宋体" w:hAnsi="宋体" w:cs="宋体"/>
          <w:color w:val="auto"/>
          <w:sz w:val="24"/>
        </w:rPr>
      </w:pPr>
      <w:r>
        <w:rPr>
          <w:rFonts w:hint="eastAsia" w:ascii="宋体" w:hAnsi="宋体" w:cs="宋体"/>
          <w:bCs/>
          <w:color w:val="auto"/>
          <w:sz w:val="24"/>
        </w:rPr>
        <w:t>（18）其他供应商认为有必要提供的资料。</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以上磋商响应文件组成内容中的复印件均须加盖供应商公章。</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r>
        <w:rPr>
          <w:rFonts w:hint="eastAsia" w:ascii="宋体" w:hAnsi="宋体" w:cs="宋体"/>
          <w:b/>
          <w:color w:val="auto"/>
          <w:sz w:val="24"/>
        </w:rPr>
        <w:t>3、报价文件包括：</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（1）磋商函（格式见附件）；</w:t>
      </w:r>
    </w:p>
    <w:p>
      <w:pPr>
        <w:adjustRightInd w:val="0"/>
        <w:snapToGrid w:val="0"/>
        <w:spacing w:line="480" w:lineRule="exact"/>
        <w:ind w:firstLine="420"/>
        <w:jc w:val="left"/>
        <w:rPr>
          <w:rFonts w:ascii="宋体" w:hAnsi="宋体" w:cs="宋体"/>
          <w:color w:val="auto"/>
          <w:sz w:val="24"/>
        </w:rPr>
      </w:pPr>
      <w:r>
        <w:rPr>
          <w:rFonts w:hint="eastAsia" w:ascii="宋体" w:hAnsi="宋体" w:cs="宋体"/>
          <w:color w:val="auto"/>
          <w:sz w:val="24"/>
        </w:rPr>
        <w:t>（2）磋商一览表（格式见附件）；</w:t>
      </w:r>
    </w:p>
    <w:p>
      <w:pPr>
        <w:keepNext w:val="0"/>
        <w:keepLines w:val="0"/>
        <w:pageBreakBefore w:val="0"/>
        <w:widowControl w:val="0"/>
        <w:kinsoku/>
        <w:wordWrap/>
        <w:overflowPunct/>
        <w:topLinePunct w:val="0"/>
        <w:autoSpaceDE/>
        <w:autoSpaceDN/>
        <w:bidi w:val="0"/>
        <w:adjustRightInd/>
        <w:snapToGrid w:val="0"/>
        <w:spacing w:line="520" w:lineRule="exact"/>
        <w:ind w:firstLine="470" w:firstLineChars="196"/>
        <w:jc w:val="left"/>
        <w:textAlignment w:val="auto"/>
        <w:rPr>
          <w:rFonts w:hint="eastAsia" w:ascii="宋体" w:hAnsi="宋体" w:cs="宋体"/>
          <w:color w:val="auto"/>
          <w:sz w:val="24"/>
        </w:rPr>
      </w:pPr>
      <w:r>
        <w:rPr>
          <w:rFonts w:hint="eastAsia" w:ascii="宋体" w:hAnsi="宋体" w:cs="宋体"/>
          <w:color w:val="auto"/>
          <w:sz w:val="24"/>
        </w:rPr>
        <w:t>（3）招标代理服务费承诺函；</w:t>
      </w:r>
    </w:p>
    <w:p>
      <w:pPr>
        <w:keepNext w:val="0"/>
        <w:keepLines w:val="0"/>
        <w:pageBreakBefore w:val="0"/>
        <w:widowControl w:val="0"/>
        <w:kinsoku/>
        <w:wordWrap/>
        <w:overflowPunct/>
        <w:topLinePunct w:val="0"/>
        <w:autoSpaceDE/>
        <w:autoSpaceDN/>
        <w:bidi w:val="0"/>
        <w:adjustRightInd/>
        <w:snapToGrid w:val="0"/>
        <w:spacing w:line="520" w:lineRule="exact"/>
        <w:ind w:firstLine="470" w:firstLineChars="196"/>
        <w:jc w:val="left"/>
        <w:textAlignment w:val="auto"/>
        <w:rPr>
          <w:rFonts w:ascii="宋体" w:hAnsi="宋体" w:cs="宋体"/>
          <w:b/>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）供应商针对报价需要说明的其他文件和说明（格式自拟）。</w:t>
      </w:r>
    </w:p>
    <w:p>
      <w:pPr>
        <w:autoSpaceDE w:val="0"/>
        <w:autoSpaceDN w:val="0"/>
        <w:adjustRightInd w:val="0"/>
        <w:spacing w:line="480" w:lineRule="exact"/>
        <w:ind w:firstLine="482" w:firstLineChars="200"/>
        <w:rPr>
          <w:rFonts w:ascii="宋体" w:hAnsi="宋体" w:cs="宋体"/>
          <w:b/>
          <w:bCs/>
          <w:color w:val="auto"/>
          <w:sz w:val="24"/>
        </w:rPr>
      </w:pPr>
      <w:r>
        <w:rPr>
          <w:rFonts w:hint="eastAsia" w:ascii="宋体" w:hAnsi="宋体" w:cs="宋体"/>
          <w:b/>
          <w:bCs/>
          <w:color w:val="auto"/>
          <w:sz w:val="24"/>
        </w:rPr>
        <w:t>（二）供应商磋商响应文件内容填写说明</w:t>
      </w:r>
    </w:p>
    <w:p>
      <w:pPr>
        <w:widowControl/>
        <w:snapToGrid w:val="0"/>
        <w:spacing w:line="480" w:lineRule="exact"/>
        <w:ind w:firstLine="480" w:firstLineChars="200"/>
        <w:jc w:val="left"/>
        <w:rPr>
          <w:rFonts w:ascii="宋体" w:hAnsi="宋体" w:cs="宋体"/>
          <w:color w:val="auto"/>
          <w:sz w:val="24"/>
        </w:rPr>
      </w:pPr>
      <w:r>
        <w:rPr>
          <w:rFonts w:hint="eastAsia" w:ascii="宋体" w:hAnsi="宋体" w:cs="宋体"/>
          <w:color w:val="auto"/>
          <w:sz w:val="24"/>
        </w:rPr>
        <w:t>1、所有报价均应使用人民币（元）表示；</w:t>
      </w:r>
    </w:p>
    <w:p>
      <w:pPr>
        <w:spacing w:line="48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供应商</w:t>
      </w:r>
      <w:r>
        <w:rPr>
          <w:rFonts w:hint="eastAsia" w:ascii="宋体" w:hAnsi="宋体" w:cs="宋体"/>
          <w:color w:val="auto"/>
          <w:sz w:val="24"/>
        </w:rPr>
        <w:t>应按本次磋商项目进行报价，不得缺项和漏项；</w:t>
      </w:r>
    </w:p>
    <w:p>
      <w:pPr>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供应商</w:t>
      </w:r>
      <w:r>
        <w:rPr>
          <w:rFonts w:hint="eastAsia" w:ascii="宋体" w:hAnsi="宋体" w:cs="宋体"/>
          <w:color w:val="auto"/>
          <w:sz w:val="24"/>
        </w:rPr>
        <w:t>应按竞争性磋商文件规定的，只允许有一个报价，任何有选择性的报价，将不予接受；</w:t>
      </w:r>
    </w:p>
    <w:p>
      <w:pPr>
        <w:spacing w:line="48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供应商</w:t>
      </w:r>
      <w:r>
        <w:rPr>
          <w:rFonts w:hint="eastAsia" w:ascii="宋体" w:hAnsi="宋体" w:cs="宋体"/>
          <w:color w:val="auto"/>
          <w:sz w:val="24"/>
        </w:rPr>
        <w:t>的最终报价由</w:t>
      </w:r>
      <w:r>
        <w:rPr>
          <w:rFonts w:hint="eastAsia" w:ascii="宋体" w:hAnsi="宋体" w:cs="宋体"/>
          <w:color w:val="auto"/>
          <w:sz w:val="24"/>
          <w:lang w:val="zh-CN"/>
        </w:rPr>
        <w:t>供应商</w:t>
      </w:r>
      <w:r>
        <w:rPr>
          <w:rFonts w:hint="eastAsia" w:ascii="宋体" w:hAnsi="宋体" w:cs="宋体"/>
          <w:color w:val="auto"/>
          <w:sz w:val="24"/>
        </w:rPr>
        <w:t>自担全部风险责任；</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5、各</w:t>
      </w:r>
      <w:r>
        <w:rPr>
          <w:rFonts w:hint="eastAsia" w:ascii="宋体" w:hAnsi="宋体" w:cs="宋体"/>
          <w:color w:val="auto"/>
          <w:sz w:val="24"/>
          <w:lang w:val="zh-CN"/>
        </w:rPr>
        <w:t>供应商</w:t>
      </w:r>
      <w:r>
        <w:rPr>
          <w:rFonts w:hint="eastAsia" w:ascii="宋体" w:hAnsi="宋体" w:cs="宋体"/>
          <w:color w:val="auto"/>
          <w:sz w:val="24"/>
        </w:rPr>
        <w:t>拟采取的竞争措施和提供给采购人的优惠条件应在磋商响应文件中列明；</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zh-CN"/>
        </w:rPr>
        <w:t>供应商</w:t>
      </w:r>
      <w:r>
        <w:rPr>
          <w:rFonts w:hint="eastAsia" w:ascii="宋体" w:hAnsi="宋体" w:cs="宋体"/>
          <w:color w:val="auto"/>
          <w:sz w:val="24"/>
        </w:rPr>
        <w:t>所有优惠条件和优惠费用不得降低和影响本项目质量；</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7、报价大写与小写不符时以大写为准；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zh-CN"/>
        </w:rPr>
        <w:t>供应商</w:t>
      </w:r>
      <w:r>
        <w:rPr>
          <w:rFonts w:hint="eastAsia" w:ascii="宋体" w:hAnsi="宋体" w:cs="宋体"/>
          <w:color w:val="auto"/>
          <w:sz w:val="24"/>
        </w:rPr>
        <w:t>对竞争性磋商文件里有关磋商报价的全部内容应仔细确认，若有个别异议，应在开标前提出修改意见，否则视同全部确认。</w:t>
      </w:r>
    </w:p>
    <w:p>
      <w:pPr>
        <w:tabs>
          <w:tab w:val="left" w:pos="360"/>
        </w:tabs>
        <w:spacing w:line="480" w:lineRule="exact"/>
        <w:ind w:firstLine="482" w:firstLineChars="200"/>
        <w:rPr>
          <w:rFonts w:ascii="宋体" w:hAnsi="宋体" w:cs="宋体"/>
          <w:b/>
          <w:bCs/>
          <w:color w:val="auto"/>
          <w:sz w:val="24"/>
        </w:rPr>
      </w:pPr>
      <w:r>
        <w:rPr>
          <w:rFonts w:hint="eastAsia" w:ascii="宋体" w:hAnsi="宋体" w:cs="宋体"/>
          <w:b/>
          <w:bCs/>
          <w:color w:val="auto"/>
          <w:sz w:val="24"/>
        </w:rPr>
        <w:t>（三）磋商有效期</w:t>
      </w:r>
    </w:p>
    <w:p>
      <w:pPr>
        <w:spacing w:line="480" w:lineRule="exact"/>
        <w:ind w:firstLine="480" w:firstLineChars="200"/>
        <w:rPr>
          <w:rFonts w:ascii="宋体" w:hAnsi="宋体" w:cs="宋体"/>
          <w:color w:val="auto"/>
          <w:sz w:val="24"/>
        </w:rPr>
      </w:pPr>
      <w:r>
        <w:rPr>
          <w:rFonts w:hint="eastAsia" w:ascii="宋体" w:hAnsi="宋体" w:cs="宋体"/>
          <w:color w:val="auto"/>
          <w:sz w:val="24"/>
        </w:rPr>
        <w:t>1、磋商响应文件的有效期为</w:t>
      </w:r>
      <w:r>
        <w:rPr>
          <w:rFonts w:hint="eastAsia" w:ascii="宋体" w:hAnsi="宋体" w:cs="宋体"/>
          <w:color w:val="auto"/>
          <w:sz w:val="24"/>
          <w:u w:val="single"/>
        </w:rPr>
        <w:t>磋商截止之日后的60日历天</w:t>
      </w:r>
      <w:r>
        <w:rPr>
          <w:rFonts w:hint="eastAsia" w:ascii="宋体" w:hAnsi="宋体" w:cs="宋体"/>
          <w:color w:val="auto"/>
          <w:sz w:val="24"/>
        </w:rPr>
        <w:t>。</w:t>
      </w:r>
    </w:p>
    <w:p>
      <w:pPr>
        <w:spacing w:line="480" w:lineRule="exact"/>
        <w:ind w:firstLine="480" w:firstLineChars="200"/>
        <w:rPr>
          <w:rFonts w:ascii="宋体" w:hAnsi="宋体" w:cs="宋体"/>
          <w:b/>
          <w:bCs/>
          <w:color w:val="auto"/>
          <w:sz w:val="24"/>
        </w:rPr>
      </w:pPr>
      <w:r>
        <w:rPr>
          <w:rFonts w:hint="eastAsia" w:ascii="宋体" w:hAnsi="宋体" w:cs="宋体"/>
          <w:color w:val="auto"/>
          <w:sz w:val="24"/>
        </w:rPr>
        <w:t>2、特殊情况下，在磋商有效期满之前，采购单位可以书面形式要求</w:t>
      </w:r>
      <w:r>
        <w:rPr>
          <w:rFonts w:hint="eastAsia" w:ascii="宋体" w:hAnsi="宋体" w:cs="宋体"/>
          <w:color w:val="auto"/>
          <w:sz w:val="24"/>
          <w:lang w:val="zh-CN"/>
        </w:rPr>
        <w:t>供应商</w:t>
      </w:r>
      <w:r>
        <w:rPr>
          <w:rFonts w:hint="eastAsia" w:ascii="宋体" w:hAnsi="宋体" w:cs="宋体"/>
          <w:color w:val="auto"/>
          <w:sz w:val="24"/>
        </w:rPr>
        <w:t>同意延长磋商有效期。</w:t>
      </w:r>
      <w:r>
        <w:rPr>
          <w:rFonts w:hint="eastAsia" w:ascii="宋体" w:hAnsi="宋体" w:cs="宋体"/>
          <w:color w:val="auto"/>
          <w:sz w:val="24"/>
          <w:lang w:val="zh-CN"/>
        </w:rPr>
        <w:t>供应商</w:t>
      </w:r>
      <w:r>
        <w:rPr>
          <w:rFonts w:hint="eastAsia" w:ascii="宋体" w:hAnsi="宋体" w:cs="宋体"/>
          <w:color w:val="auto"/>
          <w:sz w:val="24"/>
        </w:rPr>
        <w:t>可以以书面形式拒绝或接受上述要求。对于接受该要求的</w:t>
      </w:r>
      <w:r>
        <w:rPr>
          <w:rFonts w:hint="eastAsia" w:ascii="宋体" w:hAnsi="宋体" w:cs="宋体"/>
          <w:color w:val="auto"/>
          <w:sz w:val="24"/>
          <w:lang w:val="zh-CN"/>
        </w:rPr>
        <w:t>供应商</w:t>
      </w:r>
      <w:r>
        <w:rPr>
          <w:rFonts w:hint="eastAsia" w:ascii="宋体" w:hAnsi="宋体" w:cs="宋体"/>
          <w:color w:val="auto"/>
          <w:sz w:val="24"/>
        </w:rPr>
        <w:t>，采购单位既不要求也不允许其修改磋商响应文件。</w:t>
      </w:r>
    </w:p>
    <w:p>
      <w:pPr>
        <w:tabs>
          <w:tab w:val="left" w:pos="360"/>
        </w:tabs>
        <w:spacing w:line="480" w:lineRule="exact"/>
        <w:ind w:firstLine="482" w:firstLineChars="200"/>
        <w:rPr>
          <w:rFonts w:ascii="宋体" w:hAnsi="宋体" w:cs="宋体"/>
          <w:b/>
          <w:bCs/>
          <w:color w:val="auto"/>
          <w:sz w:val="24"/>
        </w:rPr>
      </w:pPr>
      <w:r>
        <w:rPr>
          <w:rFonts w:hint="eastAsia" w:ascii="宋体" w:hAnsi="宋体" w:cs="宋体"/>
          <w:b/>
          <w:bCs/>
          <w:color w:val="auto"/>
          <w:sz w:val="24"/>
        </w:rPr>
        <w:t>（四）响应文件的签署及规定</w:t>
      </w:r>
    </w:p>
    <w:p>
      <w:pPr>
        <w:spacing w:line="480" w:lineRule="exact"/>
        <w:ind w:firstLine="480" w:firstLineChars="200"/>
        <w:rPr>
          <w:rFonts w:ascii="宋体" w:hAnsi="宋体" w:cs="宋体"/>
          <w:color w:val="auto"/>
          <w:sz w:val="24"/>
        </w:rPr>
      </w:pPr>
      <w:r>
        <w:rPr>
          <w:rFonts w:hint="eastAsia" w:ascii="宋体" w:hAnsi="宋体" w:cs="宋体"/>
          <w:color w:val="auto"/>
          <w:sz w:val="24"/>
        </w:rPr>
        <w:t>本项目通过“政府采购云平台（www.zcygov.cn）”实行在线投标响应（电子投标）。供应商应通过“政采云电子交易客户端”，并按照本磋商文件和“政府采购云平台”的要求编制并加密响应文件。</w:t>
      </w:r>
    </w:p>
    <w:p>
      <w:pPr>
        <w:spacing w:line="480" w:lineRule="exact"/>
        <w:ind w:firstLine="480" w:firstLineChars="200"/>
        <w:rPr>
          <w:rFonts w:ascii="宋体" w:hAnsi="宋体" w:cs="宋体"/>
          <w:color w:val="auto"/>
          <w:sz w:val="24"/>
        </w:rPr>
      </w:pPr>
      <w:r>
        <w:rPr>
          <w:rFonts w:hint="eastAsia" w:ascii="宋体" w:hAnsi="宋体" w:cs="宋体"/>
          <w:color w:val="auto"/>
          <w:sz w:val="24"/>
        </w:rPr>
        <w:t>1、供应商应当按照本章节“响应文件组成”规定的内容及顺序在“政采云电子交易客户端”编制响应文件。其中《资格文件》和《技术/资信/商务文件》中不得出现本项目报价，如因供应商原因提前泄露报价，是供应商的责任。</w:t>
      </w:r>
    </w:p>
    <w:p>
      <w:pPr>
        <w:spacing w:line="480" w:lineRule="exact"/>
        <w:ind w:firstLine="420" w:firstLineChars="175"/>
        <w:rPr>
          <w:rFonts w:ascii="宋体" w:hAnsi="宋体" w:cs="宋体"/>
          <w:color w:val="auto"/>
          <w:sz w:val="24"/>
        </w:rPr>
      </w:pPr>
      <w:r>
        <w:rPr>
          <w:rFonts w:hint="eastAsia" w:ascii="宋体" w:hAnsi="宋体" w:cs="宋体"/>
          <w:color w:val="auto"/>
          <w:sz w:val="24"/>
        </w:rPr>
        <w:t>2、本文件《第六章响应文件格式》中有提供格式的，供应商须参照格式进行编制（格式中要求提供相关证明材料的还需后附相关证明材料），并按格式要求在指定位置根据要求进行签章，否则视为未提供；本文件《第六章响应文件格式》未提供格式的，请各供应商自行拟定格式，并加盖单位公章并由法定代表人或其授权代表签署（签字或盖章），否则视为未提供。</w:t>
      </w:r>
    </w:p>
    <w:p>
      <w:pPr>
        <w:spacing w:line="480" w:lineRule="exact"/>
        <w:ind w:firstLine="420" w:firstLineChars="175"/>
        <w:rPr>
          <w:rFonts w:ascii="宋体" w:hAnsi="宋体" w:cs="宋体"/>
          <w:color w:val="auto"/>
          <w:sz w:val="24"/>
        </w:rPr>
      </w:pPr>
      <w:r>
        <w:rPr>
          <w:rFonts w:hint="eastAsia" w:ascii="宋体" w:hAnsi="宋体" w:cs="宋体"/>
          <w:color w:val="auto"/>
          <w:sz w:val="24"/>
        </w:rPr>
        <w:t>3、《响应文件》内容不完整、编排混乱导致《响应文件》被误读、漏读或者查找不到相关内容的，是供应商的责任。</w:t>
      </w:r>
    </w:p>
    <w:p>
      <w:pPr>
        <w:spacing w:line="480" w:lineRule="exact"/>
        <w:ind w:firstLine="420" w:firstLineChars="175"/>
        <w:rPr>
          <w:rFonts w:ascii="宋体" w:hAnsi="宋体" w:cs="宋体"/>
          <w:color w:val="auto"/>
          <w:sz w:val="24"/>
        </w:rPr>
      </w:pPr>
      <w:r>
        <w:rPr>
          <w:rFonts w:hint="eastAsia" w:ascii="宋体" w:hAnsi="宋体" w:cs="宋体"/>
          <w:color w:val="auto"/>
          <w:sz w:val="24"/>
        </w:rPr>
        <w:t>4、《响应文件》因字迹潦草或表达不清所引起的后果由供应商负责。</w:t>
      </w:r>
    </w:p>
    <w:p>
      <w:pPr>
        <w:spacing w:line="480" w:lineRule="exact"/>
        <w:ind w:firstLine="420" w:firstLineChars="175"/>
        <w:rPr>
          <w:rFonts w:ascii="宋体" w:hAnsi="宋体" w:cs="宋体"/>
          <w:color w:val="auto"/>
          <w:sz w:val="24"/>
        </w:rPr>
      </w:pPr>
      <w:r>
        <w:rPr>
          <w:rFonts w:hint="eastAsia" w:ascii="宋体" w:hAnsi="宋体" w:cs="宋体"/>
          <w:color w:val="auto"/>
          <w:sz w:val="24"/>
        </w:rPr>
        <w:t>5、供应商没有按照本章节“响应文件组成”要求提供全部资料，或者没有仔细阅读招标文件，或者没有对磋商文件在各方面的要求作出实质性响应是供应商的风险，由此造成的一切后果由供应商自行承担。</w:t>
      </w:r>
    </w:p>
    <w:p>
      <w:pPr>
        <w:spacing w:line="480" w:lineRule="exact"/>
        <w:ind w:firstLine="241" w:firstLineChars="100"/>
        <w:jc w:val="left"/>
        <w:rPr>
          <w:rFonts w:ascii="宋体" w:hAnsi="宋体" w:cs="宋体"/>
          <w:b/>
          <w:bCs/>
          <w:color w:val="auto"/>
          <w:sz w:val="24"/>
        </w:rPr>
      </w:pPr>
      <w:r>
        <w:rPr>
          <w:rFonts w:hint="eastAsia" w:ascii="宋体" w:hAnsi="宋体" w:cs="宋体"/>
          <w:b/>
          <w:bCs/>
          <w:color w:val="auto"/>
          <w:sz w:val="24"/>
        </w:rPr>
        <w:t>（五）磋商响应文件的的签章</w:t>
      </w:r>
    </w:p>
    <w:p>
      <w:pPr>
        <w:spacing w:line="480" w:lineRule="exact"/>
        <w:ind w:firstLine="420" w:firstLineChars="175"/>
        <w:rPr>
          <w:rFonts w:ascii="宋体" w:hAnsi="宋体" w:cs="宋体"/>
          <w:color w:val="auto"/>
          <w:sz w:val="24"/>
        </w:rPr>
      </w:pPr>
      <w:r>
        <w:rPr>
          <w:rFonts w:hint="eastAsia" w:ascii="宋体" w:hAnsi="宋体" w:cs="宋体"/>
          <w:color w:val="auto"/>
          <w:sz w:val="24"/>
        </w:rPr>
        <w:t>《响应文件》应由供应商法定代表人或其授权代表签字（或盖章），并加盖投标供应商公章。</w:t>
      </w:r>
    </w:p>
    <w:p>
      <w:pPr>
        <w:spacing w:line="480" w:lineRule="exact"/>
        <w:ind w:firstLine="241" w:firstLineChars="100"/>
        <w:jc w:val="left"/>
        <w:rPr>
          <w:rFonts w:ascii="宋体" w:hAnsi="宋体" w:cs="宋体"/>
          <w:b/>
          <w:bCs/>
          <w:color w:val="auto"/>
          <w:sz w:val="24"/>
        </w:rPr>
      </w:pPr>
      <w:r>
        <w:rPr>
          <w:rFonts w:hint="eastAsia" w:ascii="宋体" w:hAnsi="宋体" w:cs="宋体"/>
          <w:b/>
          <w:bCs/>
          <w:color w:val="auto"/>
          <w:sz w:val="24"/>
        </w:rPr>
        <w:t>（六）响应文件的形式</w:t>
      </w:r>
    </w:p>
    <w:p>
      <w:pPr>
        <w:spacing w:line="480" w:lineRule="exact"/>
        <w:ind w:firstLine="420" w:firstLineChars="175"/>
        <w:rPr>
          <w:rFonts w:ascii="宋体" w:hAnsi="宋体" w:cs="宋体"/>
          <w:color w:val="auto"/>
          <w:sz w:val="24"/>
        </w:rPr>
      </w:pPr>
      <w:r>
        <w:rPr>
          <w:rFonts w:hint="eastAsia" w:ascii="宋体" w:hAnsi="宋体" w:cs="宋体"/>
          <w:color w:val="auto"/>
          <w:sz w:val="24"/>
        </w:rPr>
        <w:t>1、“电子加密响应文件”：“电子加密响应文件”是指通过“政采云电子交易客户端”完成响应文件编制后生成并加密的数据电文形式的响应文件。</w:t>
      </w:r>
    </w:p>
    <w:p>
      <w:pPr>
        <w:spacing w:line="480" w:lineRule="exact"/>
        <w:ind w:firstLine="420" w:firstLineChars="175"/>
        <w:rPr>
          <w:rFonts w:ascii="宋体" w:hAnsi="宋体" w:cs="宋体"/>
          <w:color w:val="auto"/>
          <w:sz w:val="24"/>
        </w:rPr>
      </w:pPr>
      <w:r>
        <w:rPr>
          <w:rFonts w:hint="eastAsia" w:ascii="宋体" w:hAnsi="宋体" w:cs="宋体"/>
          <w:color w:val="auto"/>
          <w:sz w:val="24"/>
        </w:rPr>
        <w:t>2、“备份响应文件”：“备份响应文件”是指与“电子加密响应文件”同时生成的数据电文形式的电子文件（备份标书），其他方式编制的“备份响应文件”视为无效的“备份响应文件”。</w:t>
      </w:r>
    </w:p>
    <w:p>
      <w:pPr>
        <w:spacing w:line="480" w:lineRule="exact"/>
        <w:ind w:firstLine="241" w:firstLineChars="100"/>
        <w:jc w:val="left"/>
        <w:rPr>
          <w:rFonts w:ascii="宋体" w:hAnsi="宋体" w:cs="宋体"/>
          <w:b/>
          <w:bCs/>
          <w:color w:val="auto"/>
          <w:sz w:val="24"/>
        </w:rPr>
      </w:pPr>
      <w:r>
        <w:rPr>
          <w:rFonts w:hint="eastAsia" w:ascii="宋体" w:hAnsi="宋体" w:cs="宋体"/>
          <w:b/>
          <w:bCs/>
          <w:color w:val="auto"/>
          <w:sz w:val="24"/>
        </w:rPr>
        <w:t>（七）响应文件的备选方案</w:t>
      </w:r>
    </w:p>
    <w:p>
      <w:pPr>
        <w:spacing w:line="480" w:lineRule="exact"/>
        <w:ind w:firstLine="424" w:firstLineChars="177"/>
        <w:rPr>
          <w:rFonts w:ascii="宋体" w:hAnsi="宋体" w:cs="宋体"/>
          <w:color w:val="auto"/>
          <w:sz w:val="24"/>
        </w:rPr>
      </w:pPr>
      <w:r>
        <w:rPr>
          <w:rFonts w:hint="eastAsia" w:ascii="宋体" w:hAnsi="宋体" w:cs="宋体"/>
          <w:color w:val="auto"/>
          <w:sz w:val="24"/>
        </w:rPr>
        <w:t>供应商不得递交任何的投标备选（替代）方案，否则其响应文件将作无效标处理。与“电子加密响应文件”同时生成的“备份响应文件”不是投标备选（替代）方案。</w:t>
      </w:r>
    </w:p>
    <w:p>
      <w:pPr>
        <w:spacing w:line="480" w:lineRule="exact"/>
        <w:ind w:firstLine="482" w:firstLineChars="200"/>
        <w:jc w:val="left"/>
        <w:rPr>
          <w:rFonts w:ascii="宋体" w:hAnsi="宋体" w:cs="宋体"/>
          <w:b/>
          <w:bCs/>
          <w:color w:val="auto"/>
          <w:sz w:val="24"/>
        </w:rPr>
      </w:pPr>
      <w:bookmarkStart w:id="9" w:name="_Toc410379356"/>
      <w:r>
        <w:rPr>
          <w:rFonts w:hint="eastAsia" w:ascii="宋体" w:hAnsi="宋体" w:cs="宋体"/>
          <w:b/>
          <w:bCs/>
          <w:color w:val="auto"/>
          <w:sz w:val="24"/>
        </w:rPr>
        <w:t>四、磋商规则、程序</w:t>
      </w:r>
      <w:bookmarkEnd w:id="9"/>
    </w:p>
    <w:p>
      <w:pPr>
        <w:spacing w:line="480" w:lineRule="exact"/>
        <w:ind w:firstLine="480" w:firstLineChars="200"/>
        <w:outlineLvl w:val="1"/>
        <w:rPr>
          <w:rFonts w:ascii="宋体" w:hAnsi="宋体" w:cs="宋体"/>
          <w:color w:val="auto"/>
          <w:sz w:val="24"/>
        </w:rPr>
      </w:pPr>
      <w:bookmarkStart w:id="10" w:name="_Toc1452"/>
      <w:bookmarkStart w:id="11" w:name="_Toc21189"/>
      <w:r>
        <w:rPr>
          <w:rFonts w:hint="eastAsia" w:ascii="宋体" w:hAnsi="宋体" w:cs="宋体"/>
          <w:color w:val="auto"/>
          <w:sz w:val="24"/>
        </w:rPr>
        <w:t>1、采购组织机构按照规定的时间通过政采云系统组织开标、开启响应文件，所有供应商均应当准时在线参加。</w:t>
      </w:r>
      <w:bookmarkEnd w:id="10"/>
      <w:bookmarkEnd w:id="11"/>
    </w:p>
    <w:p>
      <w:pPr>
        <w:spacing w:line="480" w:lineRule="exact"/>
        <w:ind w:firstLine="480" w:firstLineChars="200"/>
        <w:outlineLvl w:val="1"/>
        <w:rPr>
          <w:rFonts w:ascii="宋体" w:hAnsi="宋体" w:cs="宋体"/>
          <w:color w:val="auto"/>
          <w:sz w:val="24"/>
        </w:rPr>
      </w:pPr>
      <w:bookmarkStart w:id="12" w:name="_Toc2716"/>
      <w:bookmarkStart w:id="13" w:name="_Toc32169"/>
      <w:r>
        <w:rPr>
          <w:rFonts w:hint="eastAsia" w:ascii="宋体" w:hAnsi="宋体" w:cs="宋体"/>
          <w:color w:val="auto"/>
          <w:sz w:val="24"/>
        </w:rPr>
        <w:t>2、磋商截止时间后，供应商登录政采云平台，用“项目采购--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bookmarkEnd w:id="12"/>
      <w:bookmarkEnd w:id="13"/>
    </w:p>
    <w:p>
      <w:pPr>
        <w:spacing w:line="480" w:lineRule="exact"/>
        <w:ind w:firstLine="480" w:firstLineChars="200"/>
        <w:outlineLvl w:val="1"/>
        <w:rPr>
          <w:rFonts w:ascii="宋体" w:hAnsi="宋体" w:cs="宋体"/>
          <w:color w:val="auto"/>
          <w:sz w:val="24"/>
        </w:rPr>
      </w:pPr>
      <w:bookmarkStart w:id="14" w:name="_Toc25982"/>
      <w:bookmarkStart w:id="15" w:name="_Toc28563"/>
      <w:r>
        <w:rPr>
          <w:rFonts w:hint="eastAsia" w:ascii="宋体" w:hAnsi="宋体" w:cs="宋体"/>
          <w:color w:val="auto"/>
          <w:sz w:val="24"/>
        </w:rPr>
        <w:t>3、开启响应文件，进入资格审查；</w:t>
      </w:r>
      <w:bookmarkEnd w:id="14"/>
      <w:bookmarkEnd w:id="15"/>
    </w:p>
    <w:p>
      <w:pPr>
        <w:spacing w:line="480" w:lineRule="exact"/>
        <w:ind w:firstLine="480" w:firstLineChars="200"/>
        <w:outlineLvl w:val="1"/>
        <w:rPr>
          <w:rFonts w:ascii="宋体" w:hAnsi="宋体" w:cs="宋体"/>
          <w:color w:val="auto"/>
          <w:sz w:val="24"/>
        </w:rPr>
      </w:pPr>
      <w:bookmarkStart w:id="16" w:name="_Toc23857"/>
      <w:bookmarkStart w:id="17" w:name="_Toc16008"/>
      <w:r>
        <w:rPr>
          <w:rFonts w:hint="eastAsia" w:ascii="宋体" w:hAnsi="宋体" w:cs="宋体"/>
          <w:color w:val="auto"/>
          <w:sz w:val="24"/>
        </w:rPr>
        <w:t>4、开启资格审查通过的供应商的技术/资信/商务文件进入符合性审查；</w:t>
      </w:r>
      <w:bookmarkEnd w:id="16"/>
      <w:bookmarkEnd w:id="17"/>
    </w:p>
    <w:p>
      <w:pPr>
        <w:spacing w:line="480" w:lineRule="exact"/>
        <w:ind w:firstLine="480" w:firstLineChars="200"/>
        <w:outlineLvl w:val="1"/>
        <w:rPr>
          <w:rFonts w:ascii="宋体" w:hAnsi="宋体" w:cs="宋体"/>
          <w:color w:val="auto"/>
          <w:sz w:val="24"/>
        </w:rPr>
      </w:pPr>
      <w:bookmarkStart w:id="18" w:name="_Toc11839"/>
      <w:bookmarkStart w:id="19" w:name="_Toc19650"/>
      <w:r>
        <w:rPr>
          <w:rFonts w:hint="eastAsia" w:ascii="宋体" w:hAnsi="宋体" w:cs="宋体"/>
          <w:color w:val="auto"/>
          <w:sz w:val="24"/>
        </w:rPr>
        <w:t>5、技术/资信/商务文件符合性审查评审结束后，公布技术/资信/商务文件符合性审查评审无效供应商名称及理由；公布经技术/资信/商务文件评审后有效投标供应商的名单。</w:t>
      </w:r>
      <w:bookmarkEnd w:id="18"/>
      <w:bookmarkEnd w:id="19"/>
    </w:p>
    <w:p>
      <w:pPr>
        <w:spacing w:line="480" w:lineRule="exact"/>
        <w:ind w:firstLine="480" w:firstLineChars="200"/>
        <w:outlineLvl w:val="1"/>
        <w:rPr>
          <w:rFonts w:ascii="宋体" w:hAnsi="宋体" w:cs="宋体"/>
          <w:color w:val="auto"/>
          <w:sz w:val="24"/>
        </w:rPr>
      </w:pPr>
      <w:bookmarkStart w:id="20" w:name="_Toc10564"/>
      <w:bookmarkStart w:id="21" w:name="_Toc27400"/>
      <w:r>
        <w:rPr>
          <w:rFonts w:hint="eastAsia" w:ascii="宋体" w:hAnsi="宋体" w:cs="宋体"/>
          <w:color w:val="auto"/>
          <w:sz w:val="24"/>
        </w:rPr>
        <w:t>6、通知供应商进行最终报价，供应商提交最终报价(半小时以内)</w:t>
      </w:r>
      <w:bookmarkEnd w:id="20"/>
      <w:bookmarkEnd w:id="21"/>
    </w:p>
    <w:p>
      <w:pPr>
        <w:spacing w:line="480" w:lineRule="exact"/>
        <w:ind w:firstLine="480" w:firstLineChars="200"/>
        <w:outlineLvl w:val="1"/>
        <w:rPr>
          <w:rFonts w:ascii="宋体" w:hAnsi="宋体" w:cs="宋体"/>
          <w:color w:val="auto"/>
          <w:sz w:val="24"/>
        </w:rPr>
      </w:pPr>
      <w:bookmarkStart w:id="22" w:name="_Toc31206"/>
      <w:bookmarkStart w:id="23" w:name="_Toc13944"/>
      <w:r>
        <w:rPr>
          <w:rFonts w:hint="eastAsia" w:ascii="宋体" w:hAnsi="宋体" w:cs="宋体"/>
          <w:color w:val="auto"/>
          <w:sz w:val="24"/>
        </w:rPr>
        <w:t>7、评标委员会对报价情况进行评审；</w:t>
      </w:r>
      <w:bookmarkEnd w:id="22"/>
      <w:bookmarkEnd w:id="23"/>
    </w:p>
    <w:p>
      <w:pPr>
        <w:spacing w:line="480" w:lineRule="exact"/>
        <w:ind w:firstLine="480" w:firstLineChars="200"/>
        <w:outlineLvl w:val="1"/>
        <w:rPr>
          <w:rFonts w:ascii="宋体" w:hAnsi="宋体" w:cs="宋体"/>
          <w:color w:val="auto"/>
          <w:sz w:val="24"/>
        </w:rPr>
      </w:pPr>
      <w:bookmarkStart w:id="24" w:name="_Toc8797"/>
      <w:bookmarkStart w:id="25" w:name="_Toc22991"/>
      <w:r>
        <w:rPr>
          <w:rFonts w:hint="eastAsia" w:ascii="宋体" w:hAnsi="宋体" w:cs="宋体"/>
          <w:color w:val="auto"/>
          <w:sz w:val="24"/>
        </w:rPr>
        <w:t>8、评审结束后，公布中标（成交）候选供应商名单等；</w:t>
      </w:r>
      <w:bookmarkEnd w:id="24"/>
      <w:bookmarkEnd w:id="25"/>
    </w:p>
    <w:p>
      <w:pPr>
        <w:spacing w:line="480" w:lineRule="exact"/>
        <w:ind w:firstLine="480" w:firstLineChars="200"/>
        <w:outlineLvl w:val="1"/>
        <w:rPr>
          <w:rFonts w:ascii="宋体" w:hAnsi="宋体" w:cs="宋体"/>
          <w:color w:val="auto"/>
          <w:sz w:val="24"/>
        </w:rPr>
      </w:pPr>
      <w:bookmarkStart w:id="26" w:name="_Toc13703"/>
      <w:bookmarkStart w:id="27" w:name="_Toc31633"/>
      <w:r>
        <w:rPr>
          <w:rFonts w:hint="eastAsia" w:ascii="宋体" w:hAnsi="宋体" w:cs="宋体"/>
          <w:color w:val="auto"/>
          <w:sz w:val="24"/>
        </w:rPr>
        <w:t>9、磋商结束。</w:t>
      </w:r>
      <w:bookmarkEnd w:id="26"/>
      <w:bookmarkEnd w:id="27"/>
    </w:p>
    <w:p>
      <w:pPr>
        <w:spacing w:line="480" w:lineRule="exact"/>
        <w:ind w:firstLine="480" w:firstLineChars="200"/>
        <w:outlineLvl w:val="1"/>
        <w:rPr>
          <w:rFonts w:ascii="宋体" w:hAnsi="宋体" w:cs="宋体"/>
          <w:color w:val="auto"/>
          <w:sz w:val="24"/>
        </w:rPr>
      </w:pPr>
      <w:bookmarkStart w:id="28" w:name="_Toc21273"/>
      <w:bookmarkStart w:id="29" w:name="_Toc3349"/>
      <w:r>
        <w:rPr>
          <w:rFonts w:hint="eastAsia" w:ascii="宋体" w:hAnsi="宋体" w:cs="宋体"/>
          <w:color w:val="auto"/>
          <w:sz w:val="24"/>
        </w:rPr>
        <w:t>特别说明：政采云公司如对电子化开标及评审程序有调整的，按调整后的程序操作。</w:t>
      </w:r>
      <w:bookmarkEnd w:id="28"/>
      <w:bookmarkEnd w:id="29"/>
    </w:p>
    <w:p>
      <w:pPr>
        <w:adjustRightInd w:val="0"/>
        <w:snapToGrid w:val="0"/>
        <w:spacing w:line="480" w:lineRule="exact"/>
        <w:ind w:firstLine="241" w:firstLineChars="100"/>
        <w:rPr>
          <w:rFonts w:ascii="宋体" w:hAnsi="宋体" w:cs="宋体"/>
          <w:b/>
          <w:color w:val="auto"/>
          <w:sz w:val="24"/>
        </w:rPr>
      </w:pPr>
      <w:r>
        <w:rPr>
          <w:rFonts w:hint="eastAsia" w:ascii="宋体" w:hAnsi="宋体" w:cs="宋体"/>
          <w:b/>
          <w:bCs/>
          <w:color w:val="auto"/>
          <w:sz w:val="24"/>
        </w:rPr>
        <w:t>（一）</w:t>
      </w:r>
      <w:r>
        <w:rPr>
          <w:rFonts w:hint="eastAsia" w:ascii="宋体" w:hAnsi="宋体" w:cs="宋体"/>
          <w:b/>
          <w:color w:val="auto"/>
          <w:sz w:val="24"/>
        </w:rPr>
        <w:t>磋商无效的情形</w:t>
      </w:r>
    </w:p>
    <w:p>
      <w:pPr>
        <w:spacing w:line="480" w:lineRule="exact"/>
        <w:ind w:firstLine="480" w:firstLineChars="200"/>
        <w:rPr>
          <w:rFonts w:ascii="宋体" w:hAnsi="宋体" w:cs="宋体"/>
          <w:color w:val="auto"/>
          <w:sz w:val="24"/>
        </w:rPr>
      </w:pPr>
      <w:r>
        <w:rPr>
          <w:rFonts w:hint="eastAsia" w:ascii="宋体" w:hAnsi="宋体" w:cs="宋体"/>
          <w:color w:val="auto"/>
          <w:sz w:val="24"/>
        </w:rPr>
        <w:t>实质上没有响应磋商文件要求的投标将被视为无效投标。在评审时，如发现下列情形之一的，响应文件将被视为无效：</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1、磋商响应文件逾期送达或未按规定上传的；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2、未按照磋商文件规定的要求签署、盖章；</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3、不具备磋商文件中规定的资格条件要求的；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4、磋商响应文件载明的采购项目完成期限超过磋商文件规定的期限，采购人不能接受的；</w:t>
      </w:r>
    </w:p>
    <w:p>
      <w:pPr>
        <w:tabs>
          <w:tab w:val="left" w:pos="720"/>
        </w:tabs>
        <w:spacing w:line="48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5、不满足磋商文件实质条款的</w:t>
      </w:r>
      <w:r>
        <w:rPr>
          <w:rFonts w:hint="eastAsia" w:ascii="宋体" w:hAnsi="宋体" w:cs="宋体"/>
          <w:color w:val="auto"/>
          <w:sz w:val="24"/>
          <w:lang w:eastAsia="zh-CN"/>
        </w:rPr>
        <w:t>；</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6、磋商响应文件的货物或服务技术规范、技术标准明显不符合国家强制性要求的；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7、提供不真实资料的；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8、不符合法律、法规和磋商文件规定的其他实质性要求（磋商小组一致认定）的；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9、竞标服务的服务指标、参数等存在实质性偏离（磋商小组一致认定）的；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10、二分之一以上的评委认为供应商报价明显低于市场平均价的；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11、投标报价超过采购预算的；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12、法律、法规、规章及省级以上规范性文件等规定的其他情形。</w:t>
      </w:r>
    </w:p>
    <w:p>
      <w:pPr>
        <w:pStyle w:val="53"/>
        <w:spacing w:line="480" w:lineRule="exact"/>
        <w:ind w:firstLine="241" w:firstLineChars="100"/>
        <w:rPr>
          <w:rFonts w:ascii="宋体" w:hAnsi="宋体" w:cs="宋体"/>
          <w:b/>
          <w:bCs/>
          <w:color w:val="auto"/>
          <w:kern w:val="2"/>
          <w:sz w:val="24"/>
        </w:rPr>
      </w:pPr>
      <w:r>
        <w:rPr>
          <w:rFonts w:hint="eastAsia" w:ascii="宋体" w:hAnsi="宋体" w:cs="宋体"/>
          <w:b/>
          <w:bCs/>
          <w:color w:val="auto"/>
          <w:sz w:val="24"/>
        </w:rPr>
        <w:t>（二）</w:t>
      </w:r>
      <w:r>
        <w:rPr>
          <w:rFonts w:hint="eastAsia" w:ascii="宋体" w:hAnsi="宋体" w:cs="宋体"/>
          <w:b/>
          <w:bCs/>
          <w:color w:val="auto"/>
          <w:kern w:val="2"/>
          <w:sz w:val="24"/>
        </w:rPr>
        <w:t>出现以下情形，导致电子交易平台无法正常运行，或者无法保证电子交易的公平、公正和安全时，中止电子交易活动：</w:t>
      </w:r>
    </w:p>
    <w:p>
      <w:pPr>
        <w:pStyle w:val="53"/>
        <w:spacing w:line="480" w:lineRule="exact"/>
        <w:ind w:firstLine="480" w:firstLineChars="200"/>
        <w:rPr>
          <w:rFonts w:ascii="宋体" w:hAnsi="宋体" w:cs="宋体"/>
          <w:color w:val="auto"/>
          <w:kern w:val="2"/>
          <w:sz w:val="24"/>
        </w:rPr>
      </w:pPr>
      <w:r>
        <w:rPr>
          <w:rFonts w:hint="eastAsia" w:ascii="宋体" w:hAnsi="宋体" w:cs="宋体"/>
          <w:color w:val="auto"/>
          <w:kern w:val="2"/>
          <w:sz w:val="24"/>
        </w:rPr>
        <w:t>1、电子交易平台发生故障而无法登录访问的；</w:t>
      </w:r>
    </w:p>
    <w:p>
      <w:pPr>
        <w:pStyle w:val="53"/>
        <w:spacing w:line="480" w:lineRule="exact"/>
        <w:ind w:firstLine="480" w:firstLineChars="200"/>
        <w:rPr>
          <w:rFonts w:ascii="宋体" w:hAnsi="宋体" w:cs="宋体"/>
          <w:color w:val="auto"/>
          <w:kern w:val="2"/>
          <w:sz w:val="24"/>
        </w:rPr>
      </w:pPr>
      <w:r>
        <w:rPr>
          <w:rFonts w:hint="eastAsia" w:ascii="宋体" w:hAnsi="宋体" w:cs="宋体"/>
          <w:color w:val="auto"/>
          <w:kern w:val="2"/>
          <w:sz w:val="24"/>
        </w:rPr>
        <w:t>2、电子交易平台应用或数据库出现错误，不能进行正常操作的；</w:t>
      </w:r>
    </w:p>
    <w:p>
      <w:pPr>
        <w:pStyle w:val="53"/>
        <w:spacing w:line="480" w:lineRule="exact"/>
        <w:ind w:firstLine="480" w:firstLineChars="200"/>
        <w:rPr>
          <w:rFonts w:ascii="宋体" w:hAnsi="宋体" w:cs="宋体"/>
          <w:color w:val="auto"/>
          <w:kern w:val="2"/>
          <w:sz w:val="24"/>
        </w:rPr>
      </w:pPr>
      <w:r>
        <w:rPr>
          <w:rFonts w:hint="eastAsia" w:ascii="宋体" w:hAnsi="宋体" w:cs="宋体"/>
          <w:color w:val="auto"/>
          <w:kern w:val="2"/>
          <w:sz w:val="24"/>
        </w:rPr>
        <w:t>3、电子交易平台发现严重安全漏洞，有潜在泄密危险的；</w:t>
      </w:r>
    </w:p>
    <w:p>
      <w:pPr>
        <w:pStyle w:val="53"/>
        <w:spacing w:line="480" w:lineRule="exact"/>
        <w:ind w:firstLine="480" w:firstLineChars="200"/>
        <w:rPr>
          <w:rFonts w:ascii="宋体" w:hAnsi="宋体" w:cs="宋体"/>
          <w:color w:val="auto"/>
          <w:kern w:val="2"/>
          <w:sz w:val="24"/>
        </w:rPr>
      </w:pPr>
      <w:r>
        <w:rPr>
          <w:rFonts w:hint="eastAsia" w:ascii="宋体" w:hAnsi="宋体" w:cs="宋体"/>
          <w:color w:val="auto"/>
          <w:kern w:val="2"/>
          <w:sz w:val="24"/>
        </w:rPr>
        <w:t>4、病毒发作导致不能进行正常操作的；</w:t>
      </w:r>
    </w:p>
    <w:p>
      <w:pPr>
        <w:pStyle w:val="53"/>
        <w:spacing w:line="480" w:lineRule="exact"/>
        <w:ind w:firstLine="480" w:firstLineChars="200"/>
        <w:rPr>
          <w:rFonts w:ascii="宋体" w:hAnsi="宋体" w:cs="宋体"/>
          <w:color w:val="auto"/>
          <w:kern w:val="2"/>
          <w:sz w:val="24"/>
        </w:rPr>
      </w:pPr>
      <w:r>
        <w:rPr>
          <w:rFonts w:hint="eastAsia" w:ascii="宋体" w:hAnsi="宋体" w:cs="宋体"/>
          <w:color w:val="auto"/>
          <w:kern w:val="2"/>
          <w:sz w:val="24"/>
        </w:rPr>
        <w:t>5、其他无法保证电子交易的公平、公正和安全的情况。</w:t>
      </w:r>
    </w:p>
    <w:p>
      <w:pPr>
        <w:pStyle w:val="53"/>
        <w:spacing w:line="480" w:lineRule="exact"/>
        <w:ind w:firstLine="480" w:firstLineChars="200"/>
        <w:rPr>
          <w:rFonts w:ascii="宋体" w:hAnsi="宋体" w:cs="宋体"/>
          <w:color w:val="auto"/>
          <w:sz w:val="24"/>
        </w:rPr>
      </w:pPr>
      <w:r>
        <w:rPr>
          <w:rFonts w:hint="eastAsia" w:ascii="宋体" w:hAnsi="宋体" w:cs="宋体"/>
          <w:color w:val="auto"/>
          <w:kern w:val="2"/>
          <w:sz w:val="24"/>
        </w:rPr>
        <w:t>出现前款规定情形，不影响采购公平、公正性的，采购组织机构可以待上述情形消除后继续组织电子交易活动；影响或可能影响采购公平、公正性的，重新采购。</w:t>
      </w:r>
    </w:p>
    <w:p>
      <w:pPr>
        <w:spacing w:line="480" w:lineRule="exact"/>
        <w:ind w:firstLine="482" w:firstLineChars="200"/>
        <w:rPr>
          <w:rFonts w:ascii="宋体" w:hAnsi="宋体" w:cs="宋体"/>
          <w:b/>
          <w:bCs/>
          <w:color w:val="auto"/>
          <w:sz w:val="24"/>
        </w:rPr>
      </w:pPr>
      <w:r>
        <w:rPr>
          <w:rFonts w:hint="eastAsia" w:ascii="宋体" w:hAnsi="宋体" w:cs="宋体"/>
          <w:b/>
          <w:bCs/>
          <w:color w:val="auto"/>
          <w:sz w:val="24"/>
        </w:rPr>
        <w:t>（三）磋商小组与磋商原则</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磋商小组由招标采购单位依法组建，负责磋商活动。磋商小组遵循公开、公平、公正、科学合理，竞争择优的原则。</w:t>
      </w:r>
    </w:p>
    <w:p>
      <w:pPr>
        <w:spacing w:line="480" w:lineRule="exact"/>
        <w:ind w:firstLine="482" w:firstLineChars="200"/>
        <w:rPr>
          <w:rFonts w:ascii="宋体" w:hAnsi="宋体" w:cs="宋体"/>
          <w:b/>
          <w:bCs/>
          <w:color w:val="auto"/>
          <w:sz w:val="24"/>
        </w:rPr>
      </w:pPr>
      <w:r>
        <w:rPr>
          <w:rFonts w:hint="eastAsia" w:ascii="宋体" w:hAnsi="宋体" w:cs="宋体"/>
          <w:b/>
          <w:bCs/>
          <w:color w:val="auto"/>
          <w:sz w:val="24"/>
        </w:rPr>
        <w:t>（四）磋商过程的保密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1、磋商会开始后，直至授予成交供应商合同为止，凡属于对磋商响应文件的审查、澄清、评判和比较的有关资料、成交候选供应商的推荐情况及与磋商有关的其他任何情况均依法严格保密。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2、在磋商响应文件的评判和比较、成交候选供应商推荐以及授予合同的过程中，</w:t>
      </w:r>
      <w:r>
        <w:rPr>
          <w:rFonts w:hint="eastAsia" w:ascii="宋体" w:hAnsi="宋体" w:cs="宋体"/>
          <w:color w:val="auto"/>
          <w:sz w:val="24"/>
          <w:lang w:val="zh-CN"/>
        </w:rPr>
        <w:t>供应商</w:t>
      </w:r>
      <w:r>
        <w:rPr>
          <w:rFonts w:hint="eastAsia" w:ascii="宋体" w:hAnsi="宋体" w:cs="宋体"/>
          <w:color w:val="auto"/>
          <w:sz w:val="24"/>
        </w:rPr>
        <w:t>向招标采购单位和磋商小组施加影响的任何行为，都将会导致其磋商被拒绝。</w:t>
      </w:r>
    </w:p>
    <w:p>
      <w:pPr>
        <w:spacing w:line="480" w:lineRule="exact"/>
        <w:ind w:firstLine="482" w:firstLineChars="200"/>
        <w:rPr>
          <w:rFonts w:ascii="宋体" w:hAnsi="宋体" w:cs="宋体"/>
          <w:b/>
          <w:bCs/>
          <w:color w:val="auto"/>
          <w:sz w:val="24"/>
        </w:rPr>
      </w:pPr>
      <w:r>
        <w:rPr>
          <w:rFonts w:hint="eastAsia" w:ascii="宋体" w:hAnsi="宋体" w:cs="宋体"/>
          <w:b/>
          <w:bCs/>
          <w:color w:val="auto"/>
          <w:sz w:val="24"/>
        </w:rPr>
        <w:t>（五）磋商响应文件的澄清</w:t>
      </w:r>
    </w:p>
    <w:p>
      <w:pPr>
        <w:spacing w:line="480" w:lineRule="exact"/>
        <w:ind w:firstLine="482" w:firstLineChars="200"/>
        <w:rPr>
          <w:rFonts w:ascii="宋体" w:hAnsi="宋体" w:cs="宋体"/>
          <w:b/>
          <w:bCs/>
          <w:color w:val="auto"/>
          <w:sz w:val="24"/>
        </w:rPr>
      </w:pPr>
      <w:r>
        <w:rPr>
          <w:rFonts w:hint="eastAsia" w:ascii="宋体" w:hAnsi="宋体" w:cs="宋体"/>
          <w:b/>
          <w:bCs/>
          <w:color w:val="auto"/>
          <w:sz w:val="24"/>
        </w:rPr>
        <w:t>评审中需要供应商对投标、响应文件作出澄清、说明或者补正的，评审小组和供应商应当通过电子交易平台交换数据电文。给予供应商提交澄清说明或补正的时间不得少于半小时，供应商已经明确表示澄清说明或补正完毕的除外。</w:t>
      </w:r>
    </w:p>
    <w:p>
      <w:pPr>
        <w:spacing w:line="480" w:lineRule="exact"/>
        <w:ind w:firstLine="482" w:firstLineChars="200"/>
        <w:rPr>
          <w:rFonts w:ascii="宋体" w:hAnsi="宋体" w:cs="宋体"/>
          <w:b/>
          <w:bCs/>
          <w:color w:val="auto"/>
          <w:sz w:val="24"/>
        </w:rPr>
      </w:pPr>
      <w:r>
        <w:rPr>
          <w:rFonts w:hint="eastAsia" w:ascii="宋体" w:hAnsi="宋体" w:cs="宋体"/>
          <w:b/>
          <w:bCs/>
          <w:color w:val="auto"/>
          <w:sz w:val="24"/>
        </w:rPr>
        <w:t>（六）磋商程序与方法</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1、资格性审查</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依据法律、法规和磋商文件规定，对磋商响应文件中的资格证明等进行审查，以确定</w:t>
      </w:r>
      <w:r>
        <w:rPr>
          <w:rFonts w:hint="eastAsia" w:ascii="宋体" w:hAnsi="宋体" w:cs="宋体"/>
          <w:color w:val="auto"/>
          <w:sz w:val="24"/>
          <w:lang w:val="zh-CN"/>
        </w:rPr>
        <w:t>供应商</w:t>
      </w:r>
      <w:r>
        <w:rPr>
          <w:rFonts w:hint="eastAsia" w:ascii="宋体" w:hAnsi="宋体" w:cs="宋体"/>
          <w:color w:val="auto"/>
          <w:sz w:val="24"/>
        </w:rPr>
        <w:t>是否具备磋商资格。</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2、初步审查</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磋商小组对通过资格性检查的</w:t>
      </w:r>
      <w:r>
        <w:rPr>
          <w:rFonts w:hint="eastAsia" w:ascii="宋体" w:hAnsi="宋体" w:cs="宋体"/>
          <w:color w:val="auto"/>
          <w:sz w:val="24"/>
          <w:lang w:val="zh-CN"/>
        </w:rPr>
        <w:t>供应商</w:t>
      </w:r>
      <w:r>
        <w:rPr>
          <w:rFonts w:hint="eastAsia" w:ascii="宋体" w:hAnsi="宋体" w:cs="宋体"/>
          <w:color w:val="auto"/>
          <w:sz w:val="24"/>
        </w:rPr>
        <w:t>进行符合性检查。依据磋商文件的规定，从磋商响应文件的有效性、完整性和对磋商响应文件的响应程度进行初步审查，以确定是否对磋商文件的实质性要求作出响应。</w:t>
      </w:r>
    </w:p>
    <w:p>
      <w:pPr>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磋商分二轮或多轮（</w:t>
      </w:r>
      <w:r>
        <w:rPr>
          <w:rFonts w:hint="eastAsia" w:ascii="宋体" w:hAnsi="宋体" w:cs="宋体"/>
          <w:b/>
          <w:color w:val="auto"/>
          <w:sz w:val="24"/>
        </w:rPr>
        <w:t>本项目分二轮报价，即首次报价和最终报价</w:t>
      </w:r>
      <w:r>
        <w:rPr>
          <w:rFonts w:hint="eastAsia" w:ascii="宋体" w:hAnsi="宋体" w:cs="宋体"/>
          <w:bCs/>
          <w:color w:val="auto"/>
          <w:sz w:val="24"/>
        </w:rPr>
        <w:t>）进行，首次报价在竞标文件中体现；最终报价在</w:t>
      </w:r>
      <w:r>
        <w:rPr>
          <w:rFonts w:hint="eastAsia" w:ascii="宋体" w:hAnsi="宋体" w:cs="宋体"/>
          <w:color w:val="auto"/>
          <w:sz w:val="24"/>
        </w:rPr>
        <w:t>技术/资信/商务文件</w:t>
      </w:r>
      <w:r>
        <w:rPr>
          <w:rFonts w:hint="eastAsia" w:ascii="宋体" w:hAnsi="宋体" w:cs="宋体"/>
          <w:bCs/>
          <w:color w:val="auto"/>
          <w:sz w:val="24"/>
        </w:rPr>
        <w:t>评审结束后由所有参加磋商的竞标人在规定的时间（半小时）内提供；</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4、磋商响应文件计算错误的修正</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4.1磋商响应文件中磋商报价一览表内容与磋商响应文件中磋商分项报价表内容不一致的，以磋商报价一览表为准；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4.2磋商响应文件的大写金额和小写金额不一致的，以大写金额为准；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4.3总价金额与按单价汇总金额不一致的，以单价金额计算结果为准;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4.4单价金额小数点有明显错位的，应以总价为准，并修改单价；</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4.5对不同文字文本磋商响应文件的解释发生异议的，以中文文本为准。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5、确定成交供应商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5.1在全部满足磋商文件实质性要求的前提下，按综合得分高低确定成交供应商。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5.2分散采购机构应当在磋商结束后二个工作日内将磋商评审报告送采购人确认。</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5.3采购人应当在收到磋商评审报告后五个工作日内，按照磋商评审报告中推荐的排列顺序依法确定成交供应商。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5.4替补候选人的设定与使用：第一中标候选人放弃中标或者因不可抗力提出不能履行合同，采购人可以确定第二中标候选人为中标人，排名第二的中标候选人因前款同样的原因不能签订合同，采购人可以确定排名第三的中标候选人为中标人。</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6、成交公告</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招标代理机构应当在收到采购人书面确定的成交供应商通知后将成交结果在原发布磋商公告的媒体上予以公告。公告期按有关规定执行。</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7、成交通知</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7.1在成交公示期满后，由采购人向成交人发出成交通知书；</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7.2成交通知书为双方签订合同的依据；</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7.3成交供应商应根据成交通知书中规定的时间内，由法定代表人或其授权代理人与采购人签订合同。</w:t>
      </w:r>
    </w:p>
    <w:p>
      <w:pPr>
        <w:tabs>
          <w:tab w:val="left" w:pos="720"/>
        </w:tabs>
        <w:spacing w:line="480" w:lineRule="exact"/>
        <w:ind w:firstLine="241" w:firstLineChars="100"/>
        <w:rPr>
          <w:rFonts w:ascii="宋体" w:hAnsi="宋体" w:cs="宋体"/>
          <w:b/>
          <w:bCs/>
          <w:color w:val="auto"/>
          <w:sz w:val="24"/>
        </w:rPr>
      </w:pPr>
      <w:r>
        <w:rPr>
          <w:rFonts w:hint="eastAsia" w:ascii="宋体" w:hAnsi="宋体" w:cs="宋体"/>
          <w:b/>
          <w:bCs/>
          <w:color w:val="auto"/>
          <w:sz w:val="24"/>
        </w:rPr>
        <w:t>（七）废标</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在磋商中，出现下列情形之一的，应予废标：</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1、出现影响采购公正的违法、违规行为的；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2、因重大变故，采购任务取消的；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zh-CN"/>
        </w:rPr>
        <w:t>供应商</w:t>
      </w:r>
      <w:r>
        <w:rPr>
          <w:rFonts w:hint="eastAsia" w:ascii="宋体" w:hAnsi="宋体" w:cs="宋体"/>
          <w:color w:val="auto"/>
          <w:sz w:val="24"/>
        </w:rPr>
        <w:t>的报价均超采购预算的，采购人不能支付的；</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4、法律、法规、规章等规定的其他情形除外。</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废标后，招标采购单位将废标理由书面邮寄通知所有</w:t>
      </w:r>
      <w:r>
        <w:rPr>
          <w:rFonts w:hint="eastAsia" w:ascii="宋体" w:hAnsi="宋体" w:cs="宋体"/>
          <w:color w:val="auto"/>
          <w:sz w:val="24"/>
          <w:lang w:val="zh-CN"/>
        </w:rPr>
        <w:t>供应商</w:t>
      </w:r>
      <w:r>
        <w:rPr>
          <w:rFonts w:hint="eastAsia" w:ascii="宋体" w:hAnsi="宋体" w:cs="宋体"/>
          <w:color w:val="auto"/>
          <w:sz w:val="24"/>
        </w:rPr>
        <w:t>。</w:t>
      </w:r>
    </w:p>
    <w:p>
      <w:pPr>
        <w:spacing w:line="480" w:lineRule="exact"/>
        <w:ind w:firstLine="482" w:firstLineChars="200"/>
        <w:rPr>
          <w:rFonts w:ascii="宋体" w:hAnsi="宋体" w:cs="宋体"/>
          <w:b/>
          <w:bCs/>
          <w:color w:val="auto"/>
          <w:sz w:val="24"/>
        </w:rPr>
      </w:pPr>
      <w:bookmarkStart w:id="30" w:name="_Toc410379357"/>
      <w:r>
        <w:rPr>
          <w:rFonts w:hint="eastAsia" w:ascii="宋体" w:hAnsi="宋体" w:cs="宋体"/>
          <w:b/>
          <w:bCs/>
          <w:color w:val="auto"/>
          <w:sz w:val="24"/>
        </w:rPr>
        <w:t>（八）授予合同</w:t>
      </w:r>
      <w:bookmarkEnd w:id="30"/>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 授予合同的依据</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1.1招标采购单位签发的成交通知书；</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1.2磋商文件、磋商文件的修改及补充通知（函）；</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1.3磋商文件和磋商时</w:t>
      </w:r>
      <w:r>
        <w:rPr>
          <w:rFonts w:hint="eastAsia" w:ascii="宋体" w:hAnsi="宋体" w:cs="宋体"/>
          <w:color w:val="auto"/>
          <w:sz w:val="24"/>
          <w:lang w:val="zh-CN"/>
        </w:rPr>
        <w:t>供应商</w:t>
      </w:r>
      <w:r>
        <w:rPr>
          <w:rFonts w:hint="eastAsia" w:ascii="宋体" w:hAnsi="宋体" w:cs="宋体"/>
          <w:color w:val="auto"/>
          <w:sz w:val="24"/>
        </w:rPr>
        <w:t>作出的澄清、说明、纠正、承诺等；</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2、合同签订</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2.1成交供应商与采购人应按成交通知书中规定的时间、地点签订合同，否则应承担相应的法律责任。</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2.2磋商文件、成交供应商的磋商响应文件及磋商过程中有关澄清文件和承诺均为合同附件。</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2.3采购人与成交供应商将根据《中华人民共和国合同法》的规定，依据磋商文件和成交供应商的磋商响应文件签订书面合同。</w:t>
      </w:r>
    </w:p>
    <w:p>
      <w:pPr>
        <w:tabs>
          <w:tab w:val="left" w:pos="720"/>
        </w:tabs>
        <w:spacing w:line="48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2.4采购人如不与成交供应商订立合同，或者采购人、成交供应商订立背离合同实质性内容的协议，由政府有关部门责令改正，同时依法承担相应法律责任</w:t>
      </w:r>
      <w:r>
        <w:rPr>
          <w:rFonts w:hint="eastAsia" w:ascii="宋体" w:hAnsi="宋体" w:cs="宋体"/>
          <w:color w:val="auto"/>
          <w:sz w:val="24"/>
          <w:lang w:eastAsia="zh-CN"/>
        </w:rPr>
        <w:t>。</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2.5成交供应商如不按规定与采购人订立合同，则招标采购单位将废除授标，给招标采购单位造成的损失的，还应当予以赔偿，同时依法承担相应法律责任。</w:t>
      </w:r>
    </w:p>
    <w:p>
      <w:pPr>
        <w:tabs>
          <w:tab w:val="left" w:pos="720"/>
        </w:tabs>
        <w:spacing w:line="48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2.6成交供应商应当按照合同约定履行义务，完成成交项目各项工作，不得将成交项目违法转让（转包）给他人</w:t>
      </w:r>
      <w:r>
        <w:rPr>
          <w:rFonts w:hint="eastAsia" w:ascii="宋体" w:hAnsi="宋体" w:cs="宋体"/>
          <w:color w:val="auto"/>
          <w:sz w:val="24"/>
          <w:lang w:eastAsia="zh-CN"/>
        </w:rPr>
        <w:t>。</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2.7如果成交供应商未能遵守上述2.5条的规定，则可取消其成交资格。在此情况下，可将合同授予排序在成交供应商之后的第一位成交候选供应商。</w:t>
      </w:r>
    </w:p>
    <w:p>
      <w:pPr>
        <w:tabs>
          <w:tab w:val="left" w:pos="720"/>
        </w:tabs>
        <w:spacing w:line="480" w:lineRule="exact"/>
        <w:ind w:firstLine="480" w:firstLineChars="200"/>
        <w:rPr>
          <w:rFonts w:ascii="宋体" w:hAnsi="宋体" w:cs="宋体"/>
          <w:color w:val="auto"/>
          <w:sz w:val="24"/>
        </w:rPr>
      </w:pPr>
      <w:r>
        <w:rPr>
          <w:rFonts w:hint="eastAsia" w:ascii="宋体" w:hAnsi="宋体" w:cs="宋体"/>
          <w:color w:val="auto"/>
          <w:sz w:val="24"/>
        </w:rPr>
        <w:t>2.8自合同签订之日起七个工作日内，成交供应商需将合同副本</w:t>
      </w:r>
      <w:r>
        <w:rPr>
          <w:rFonts w:hint="eastAsia" w:ascii="宋体" w:hAnsi="宋体" w:cs="宋体"/>
          <w:color w:val="auto"/>
          <w:sz w:val="24"/>
          <w:lang w:val="en-US" w:eastAsia="zh-CN"/>
        </w:rPr>
        <w:t>送</w:t>
      </w:r>
      <w:r>
        <w:rPr>
          <w:rFonts w:hint="eastAsia" w:ascii="宋体" w:hAnsi="宋体" w:cs="宋体"/>
          <w:color w:val="auto"/>
          <w:sz w:val="24"/>
        </w:rPr>
        <w:t>招标代理机构备案。</w:t>
      </w:r>
    </w:p>
    <w:p>
      <w:pPr>
        <w:autoSpaceDE w:val="0"/>
        <w:autoSpaceDN w:val="0"/>
        <w:adjustRightInd w:val="0"/>
        <w:snapToGrid w:val="0"/>
        <w:spacing w:line="480" w:lineRule="exact"/>
        <w:ind w:firstLine="487" w:firstLineChars="202"/>
        <w:textAlignment w:val="bottom"/>
        <w:rPr>
          <w:rFonts w:ascii="宋体" w:hAnsi="宋体" w:cs="宋体"/>
          <w:b/>
          <w:color w:val="auto"/>
          <w:sz w:val="24"/>
        </w:rPr>
      </w:pPr>
    </w:p>
    <w:p>
      <w:pPr>
        <w:spacing w:line="480" w:lineRule="exact"/>
        <w:ind w:left="480" w:firstLine="320" w:firstLineChars="100"/>
        <w:jc w:val="left"/>
        <w:rPr>
          <w:rFonts w:ascii="宋体" w:hAnsi="宋体" w:cs="宋体"/>
          <w:color w:val="auto"/>
          <w:sz w:val="32"/>
          <w:szCs w:val="32"/>
        </w:rPr>
      </w:pPr>
      <w:bookmarkStart w:id="31" w:name="_Toc282640706"/>
      <w:bookmarkEnd w:id="31"/>
      <w:bookmarkStart w:id="32" w:name="_Toc414960351"/>
      <w:bookmarkEnd w:id="32"/>
    </w:p>
    <w:p>
      <w:pPr>
        <w:autoSpaceDE w:val="0"/>
        <w:autoSpaceDN w:val="0"/>
        <w:adjustRightInd w:val="0"/>
        <w:snapToGrid w:val="0"/>
        <w:spacing w:line="380" w:lineRule="exact"/>
        <w:jc w:val="center"/>
        <w:textAlignment w:val="bottom"/>
        <w:outlineLvl w:val="0"/>
        <w:rPr>
          <w:rFonts w:ascii="宋体" w:hAnsi="宋体" w:cs="宋体"/>
          <w:b/>
          <w:bCs/>
          <w:color w:val="auto"/>
          <w:sz w:val="32"/>
          <w:szCs w:val="32"/>
        </w:rPr>
      </w:pPr>
      <w:bookmarkStart w:id="33" w:name="_Toc402872203"/>
      <w:bookmarkStart w:id="34" w:name="_Toc14315"/>
      <w:r>
        <w:rPr>
          <w:rStyle w:val="54"/>
          <w:rFonts w:hint="eastAsia"/>
          <w:color w:val="auto"/>
          <w:sz w:val="28"/>
          <w:szCs w:val="28"/>
        </w:rPr>
        <w:t>第四章 磋商原则和程序</w:t>
      </w:r>
      <w:bookmarkEnd w:id="33"/>
      <w:bookmarkEnd w:id="34"/>
    </w:p>
    <w:p>
      <w:pPr>
        <w:adjustRightInd w:val="0"/>
        <w:snapToGrid w:val="0"/>
        <w:spacing w:line="480" w:lineRule="exact"/>
        <w:ind w:firstLine="480" w:firstLineChars="200"/>
        <w:rPr>
          <w:rFonts w:ascii="宋体" w:hAnsi="宋体" w:cs="宋体"/>
          <w:color w:val="auto"/>
          <w:sz w:val="24"/>
        </w:rPr>
      </w:pPr>
      <w:r>
        <w:rPr>
          <w:rFonts w:hint="eastAsia" w:ascii="宋体" w:hAnsi="宋体" w:cs="宋体"/>
          <w:color w:val="auto"/>
          <w:sz w:val="24"/>
        </w:rPr>
        <w:t>为公正、公平、科学地选择中标供应商，根据《中华人民共和国政府采购法》等有关法律法规的规定，并结合本项目的实际，制定本办法。</w:t>
      </w:r>
    </w:p>
    <w:p>
      <w:pPr>
        <w:adjustRightInd w:val="0"/>
        <w:snapToGrid w:val="0"/>
        <w:spacing w:line="480" w:lineRule="exact"/>
        <w:ind w:firstLine="480" w:firstLineChars="200"/>
        <w:rPr>
          <w:rFonts w:ascii="宋体" w:hAnsi="宋体" w:cs="宋体"/>
          <w:bCs/>
          <w:color w:val="auto"/>
          <w:sz w:val="24"/>
        </w:rPr>
      </w:pPr>
      <w:r>
        <w:rPr>
          <w:rFonts w:hint="eastAsia" w:ascii="宋体" w:hAnsi="宋体" w:cs="宋体"/>
          <w:color w:val="auto"/>
          <w:sz w:val="24"/>
        </w:rPr>
        <w:t>本办法适用于</w:t>
      </w:r>
      <w:r>
        <w:rPr>
          <w:rFonts w:hint="eastAsia" w:ascii="宋体" w:hAnsi="宋体" w:cs="宋体"/>
          <w:b/>
          <w:color w:val="auto"/>
          <w:sz w:val="24"/>
          <w:u w:val="single"/>
          <w:lang w:eastAsia="zh-CN"/>
        </w:rPr>
        <w:t>东林镇2022年第二轮疗休养项目</w:t>
      </w:r>
      <w:r>
        <w:rPr>
          <w:rFonts w:hint="eastAsia" w:ascii="宋体" w:hAnsi="宋体" w:cs="宋体"/>
          <w:bCs/>
          <w:color w:val="auto"/>
          <w:sz w:val="24"/>
        </w:rPr>
        <w:t>的评标。</w:t>
      </w:r>
    </w:p>
    <w:p>
      <w:pPr>
        <w:pStyle w:val="5"/>
        <w:keepNext w:val="0"/>
        <w:keepLines w:val="0"/>
        <w:spacing w:before="0" w:after="0" w:line="480" w:lineRule="exact"/>
        <w:rPr>
          <w:rFonts w:ascii="宋体" w:hAnsi="宋体" w:eastAsia="宋体" w:cs="宋体"/>
          <w:color w:val="auto"/>
          <w:sz w:val="24"/>
          <w:szCs w:val="24"/>
        </w:rPr>
      </w:pPr>
      <w:bookmarkStart w:id="35" w:name="_Toc21067"/>
      <w:bookmarkStart w:id="36" w:name="_Toc21115"/>
      <w:bookmarkStart w:id="37" w:name="_Toc424544541"/>
      <w:bookmarkStart w:id="38" w:name="_Toc424544820"/>
      <w:bookmarkStart w:id="39" w:name="_Toc22985"/>
      <w:r>
        <w:rPr>
          <w:rFonts w:hint="eastAsia" w:ascii="宋体" w:hAnsi="宋体" w:eastAsia="宋体" w:cs="宋体"/>
          <w:color w:val="auto"/>
          <w:sz w:val="24"/>
          <w:szCs w:val="24"/>
        </w:rPr>
        <w:t>一、总则</w:t>
      </w:r>
      <w:bookmarkEnd w:id="35"/>
      <w:bookmarkEnd w:id="36"/>
      <w:bookmarkEnd w:id="37"/>
      <w:bookmarkEnd w:id="38"/>
      <w:bookmarkEnd w:id="39"/>
    </w:p>
    <w:p>
      <w:pPr>
        <w:spacing w:line="480" w:lineRule="exact"/>
        <w:ind w:firstLine="482" w:firstLineChars="200"/>
        <w:jc w:val="left"/>
        <w:rPr>
          <w:rFonts w:ascii="宋体" w:hAnsi="宋体" w:cs="宋体"/>
          <w:color w:val="auto"/>
          <w:sz w:val="24"/>
        </w:rPr>
      </w:pPr>
      <w:r>
        <w:rPr>
          <w:rFonts w:hint="eastAsia" w:ascii="宋体" w:hAnsi="宋体" w:cs="宋体"/>
          <w:b/>
          <w:bCs/>
          <w:color w:val="auto"/>
          <w:sz w:val="24"/>
        </w:rPr>
        <w:t>本次评标采用综合评分法，总分为100分，其中价格分</w:t>
      </w:r>
      <w:r>
        <w:rPr>
          <w:rFonts w:hint="eastAsia" w:ascii="宋体" w:hAnsi="宋体" w:cs="宋体"/>
          <w:b/>
          <w:bCs/>
          <w:color w:val="auto"/>
          <w:sz w:val="24"/>
          <w:lang w:val="en-US" w:eastAsia="zh-CN"/>
        </w:rPr>
        <w:t>10</w:t>
      </w:r>
      <w:r>
        <w:rPr>
          <w:rFonts w:hint="eastAsia" w:ascii="宋体" w:hAnsi="宋体" w:cs="宋体"/>
          <w:b/>
          <w:bCs/>
          <w:color w:val="auto"/>
          <w:sz w:val="24"/>
        </w:rPr>
        <w:t>分</w:t>
      </w:r>
      <w:r>
        <w:rPr>
          <w:rFonts w:hint="eastAsia" w:ascii="宋体" w:hAnsi="宋体" w:cs="宋体"/>
          <w:b/>
          <w:bCs/>
          <w:color w:val="auto"/>
          <w:sz w:val="24"/>
          <w:lang w:eastAsia="zh-CN"/>
        </w:rPr>
        <w:t>，</w:t>
      </w:r>
      <w:r>
        <w:rPr>
          <w:rFonts w:hint="eastAsia" w:ascii="宋体" w:hAnsi="宋体" w:cs="宋体"/>
          <w:b/>
          <w:bCs/>
          <w:color w:val="auto"/>
          <w:sz w:val="24"/>
        </w:rPr>
        <w:t>技术分、商务分和资信及其他分</w:t>
      </w:r>
      <w:r>
        <w:rPr>
          <w:rFonts w:hint="eastAsia" w:ascii="宋体" w:hAnsi="宋体" w:cs="宋体"/>
          <w:b/>
          <w:bCs/>
          <w:color w:val="auto"/>
          <w:sz w:val="24"/>
          <w:lang w:val="en-US" w:eastAsia="zh-CN"/>
        </w:rPr>
        <w:t>90</w:t>
      </w:r>
      <w:r>
        <w:rPr>
          <w:rFonts w:hint="eastAsia" w:ascii="宋体" w:hAnsi="宋体" w:cs="宋体"/>
          <w:b/>
          <w:bCs/>
          <w:color w:val="auto"/>
          <w:sz w:val="24"/>
        </w:rPr>
        <w:t>分。</w:t>
      </w:r>
      <w:r>
        <w:rPr>
          <w:rFonts w:hint="eastAsia" w:ascii="宋体" w:hAnsi="宋体" w:cs="宋体"/>
          <w:color w:val="auto"/>
          <w:sz w:val="24"/>
        </w:rPr>
        <w:t>合格供应商的评标得分为各项目汇总得分，评分得分最高的供应商为中标人。中标候选资格按评标得分由高到低顺序排列，得分相同的，按投标报价由低到高顺序排列；得分且投标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宋体" w:hAnsi="宋体" w:cs="宋体"/>
          <w:bCs/>
          <w:color w:val="auto"/>
          <w:sz w:val="24"/>
        </w:rPr>
        <w:t>评分过程中采用四舍五入法，并保留小数2位。</w:t>
      </w:r>
    </w:p>
    <w:p>
      <w:pPr>
        <w:spacing w:line="480" w:lineRule="exact"/>
        <w:ind w:firstLine="482" w:firstLineChars="200"/>
        <w:jc w:val="left"/>
        <w:rPr>
          <w:rFonts w:ascii="宋体" w:hAnsi="宋体" w:cs="宋体"/>
          <w:color w:val="auto"/>
          <w:sz w:val="24"/>
        </w:rPr>
      </w:pPr>
      <w:r>
        <w:rPr>
          <w:rFonts w:hint="eastAsia" w:ascii="宋体" w:hAnsi="宋体" w:cs="宋体"/>
          <w:b/>
          <w:bCs/>
          <w:color w:val="auto"/>
          <w:sz w:val="24"/>
        </w:rPr>
        <w:t>供应商评标综合得分=</w:t>
      </w:r>
      <w:r>
        <w:rPr>
          <w:rFonts w:hint="eastAsia" w:ascii="宋体" w:hAnsi="宋体" w:cs="宋体"/>
          <w:b/>
          <w:bCs/>
          <w:color w:val="auto"/>
          <w:kern w:val="0"/>
          <w:sz w:val="24"/>
        </w:rPr>
        <w:t>技术分、商务分和资信及其他分得分+价格分得分。</w:t>
      </w:r>
    </w:p>
    <w:p>
      <w:pPr>
        <w:spacing w:line="480" w:lineRule="exact"/>
        <w:rPr>
          <w:rFonts w:ascii="宋体" w:hAnsi="宋体" w:cs="宋体"/>
          <w:b/>
          <w:color w:val="auto"/>
          <w:sz w:val="24"/>
        </w:rPr>
      </w:pPr>
      <w:r>
        <w:rPr>
          <w:rFonts w:hint="eastAsia" w:ascii="宋体" w:hAnsi="宋体" w:cs="宋体"/>
          <w:b/>
          <w:color w:val="auto"/>
          <w:sz w:val="24"/>
        </w:rPr>
        <w:t xml:space="preserve">二、评标内容及标准 </w:t>
      </w:r>
    </w:p>
    <w:p>
      <w:pPr>
        <w:spacing w:line="480" w:lineRule="exact"/>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（1）价格</w:t>
      </w:r>
      <w:r>
        <w:rPr>
          <w:rFonts w:hint="eastAsia" w:ascii="宋体" w:hAnsi="宋体" w:cs="宋体"/>
          <w:b/>
          <w:bCs/>
          <w:color w:val="auto"/>
          <w:sz w:val="24"/>
          <w:lang w:eastAsia="zh-CN"/>
        </w:rPr>
        <w:t>分</w:t>
      </w:r>
      <w:r>
        <w:rPr>
          <w:rFonts w:hint="eastAsia" w:ascii="宋体" w:hAnsi="宋体" w:cs="宋体"/>
          <w:b/>
          <w:bCs/>
          <w:color w:val="auto"/>
          <w:sz w:val="24"/>
          <w:lang w:val="en-US" w:eastAsia="zh-CN"/>
        </w:rPr>
        <w:t>10</w:t>
      </w:r>
      <w:r>
        <w:rPr>
          <w:rFonts w:hint="eastAsia" w:ascii="宋体" w:hAnsi="宋体" w:cs="宋体"/>
          <w:b/>
          <w:bCs/>
          <w:color w:val="auto"/>
          <w:sz w:val="24"/>
        </w:rPr>
        <w:t>分</w:t>
      </w:r>
    </w:p>
    <w:p>
      <w:pPr>
        <w:spacing w:line="480" w:lineRule="exact"/>
        <w:ind w:firstLine="480" w:firstLineChars="200"/>
        <w:rPr>
          <w:rFonts w:ascii="宋体" w:hAnsi="宋体" w:cs="宋体"/>
          <w:color w:val="auto"/>
          <w:sz w:val="24"/>
        </w:rPr>
      </w:pPr>
      <w:r>
        <w:rPr>
          <w:rFonts w:hint="eastAsia" w:ascii="宋体" w:hAnsi="宋体" w:cs="宋体"/>
          <w:color w:val="auto"/>
          <w:sz w:val="24"/>
        </w:rPr>
        <w:t>本项目</w:t>
      </w:r>
      <w:r>
        <w:rPr>
          <w:rFonts w:hint="eastAsia" w:ascii="宋体" w:hAnsi="宋体" w:cs="宋体"/>
          <w:color w:val="auto"/>
          <w:sz w:val="24"/>
          <w:lang w:eastAsia="zh-CN"/>
        </w:rPr>
        <w:t>价格不做竞争，固定单价</w:t>
      </w:r>
      <w:r>
        <w:rPr>
          <w:rFonts w:hint="eastAsia" w:ascii="宋体" w:hAnsi="宋体" w:cs="宋体"/>
          <w:color w:val="auto"/>
          <w:sz w:val="24"/>
          <w:lang w:val="en-US" w:eastAsia="zh-CN"/>
        </w:rPr>
        <w:t>3000元/人，不满足此报价的视为无效竞标</w:t>
      </w:r>
      <w:r>
        <w:rPr>
          <w:rFonts w:hint="eastAsia" w:ascii="宋体" w:hAnsi="宋体" w:cs="宋体"/>
          <w:color w:val="auto"/>
          <w:sz w:val="24"/>
        </w:rPr>
        <w:t>。</w:t>
      </w:r>
    </w:p>
    <w:p>
      <w:pPr>
        <w:spacing w:line="480" w:lineRule="exact"/>
        <w:ind w:firstLine="482" w:firstLineChars="200"/>
        <w:rPr>
          <w:rFonts w:ascii="宋体" w:hAnsi="宋体" w:cs="宋体"/>
          <w:color w:val="auto"/>
          <w:sz w:val="24"/>
        </w:rPr>
      </w:pPr>
      <w:r>
        <w:rPr>
          <w:rFonts w:hint="eastAsia" w:ascii="宋体" w:hAnsi="宋体" w:cs="宋体"/>
          <w:b/>
          <w:bCs/>
          <w:color w:val="auto"/>
          <w:sz w:val="24"/>
        </w:rPr>
        <w:t>（2）技术分、商务分、资信及其他分</w:t>
      </w:r>
      <w:r>
        <w:rPr>
          <w:rFonts w:hint="eastAsia" w:ascii="宋体" w:hAnsi="宋体" w:cs="宋体"/>
          <w:b/>
          <w:bCs/>
          <w:color w:val="auto"/>
          <w:sz w:val="24"/>
          <w:lang w:val="en-US" w:eastAsia="zh-CN"/>
        </w:rPr>
        <w:t>90</w:t>
      </w:r>
      <w:r>
        <w:rPr>
          <w:rFonts w:hint="eastAsia" w:ascii="宋体" w:hAnsi="宋体" w:cs="宋体"/>
          <w:b/>
          <w:bCs/>
          <w:color w:val="auto"/>
          <w:sz w:val="24"/>
        </w:rPr>
        <w:t>分</w:t>
      </w:r>
    </w:p>
    <w:p>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（3）技术分、商务分、资信及其他分的计算 </w:t>
      </w:r>
    </w:p>
    <w:p>
      <w:pPr>
        <w:spacing w:line="480" w:lineRule="exact"/>
        <w:ind w:firstLine="480" w:firstLineChars="200"/>
        <w:rPr>
          <w:rFonts w:ascii="宋体" w:hAnsi="宋体" w:cs="宋体"/>
          <w:color w:val="auto"/>
          <w:sz w:val="24"/>
        </w:rPr>
      </w:pPr>
      <w:r>
        <w:rPr>
          <w:rFonts w:hint="eastAsia" w:ascii="宋体" w:hAnsi="宋体" w:cs="宋体"/>
          <w:color w:val="auto"/>
          <w:sz w:val="24"/>
        </w:rPr>
        <w:t>技术分、商务分、资信及其他分按照评标委员会成员的独立评分结果汇总数的算术平均分计算，计算公式为：</w:t>
      </w:r>
    </w:p>
    <w:p>
      <w:pPr>
        <w:spacing w:line="480" w:lineRule="exact"/>
        <w:ind w:firstLine="480" w:firstLineChars="200"/>
        <w:rPr>
          <w:rFonts w:ascii="宋体" w:hAnsi="宋体" w:cs="宋体"/>
          <w:color w:val="auto"/>
          <w:sz w:val="24"/>
        </w:rPr>
      </w:pPr>
      <w:r>
        <w:rPr>
          <w:rFonts w:hint="eastAsia" w:ascii="宋体" w:hAnsi="宋体" w:cs="宋体"/>
          <w:color w:val="auto"/>
          <w:sz w:val="24"/>
        </w:rPr>
        <w:t>技术分、商务分、资信及其他分=评标委员会所有成员评分合计数/评标委员会组成人员数</w:t>
      </w:r>
    </w:p>
    <w:p>
      <w:pPr>
        <w:spacing w:line="480" w:lineRule="exact"/>
        <w:rPr>
          <w:rFonts w:ascii="宋体" w:hAnsi="宋体" w:cs="宋体"/>
          <w:b/>
          <w:bCs/>
          <w:color w:val="auto"/>
          <w:sz w:val="24"/>
        </w:rPr>
      </w:pPr>
      <w:r>
        <w:rPr>
          <w:rFonts w:hint="eastAsia" w:ascii="宋体" w:hAnsi="宋体" w:cs="宋体"/>
          <w:b/>
          <w:bCs/>
          <w:color w:val="auto"/>
          <w:sz w:val="24"/>
        </w:rPr>
        <w:t>附件：评分表格式（技术、商务、资信及其他分，共</w:t>
      </w:r>
      <w:r>
        <w:rPr>
          <w:rFonts w:hint="eastAsia" w:ascii="宋体" w:hAnsi="宋体" w:cs="宋体"/>
          <w:b/>
          <w:bCs/>
          <w:color w:val="auto"/>
          <w:sz w:val="24"/>
          <w:lang w:val="en-US" w:eastAsia="zh-CN"/>
        </w:rPr>
        <w:t>90</w:t>
      </w:r>
      <w:r>
        <w:rPr>
          <w:rFonts w:hint="eastAsia" w:ascii="宋体" w:hAnsi="宋体" w:cs="宋体"/>
          <w:b/>
          <w:bCs/>
          <w:color w:val="auto"/>
          <w:sz w:val="24"/>
        </w:rPr>
        <w:t>分）</w:t>
      </w:r>
    </w:p>
    <w:tbl>
      <w:tblPr>
        <w:tblStyle w:val="33"/>
        <w:tblW w:w="5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369"/>
        <w:gridCol w:w="849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02" w:type="pct"/>
            <w:noWrap w:val="0"/>
            <w:vAlign w:val="center"/>
          </w:tcPr>
          <w:p>
            <w:pPr>
              <w:widowControl/>
              <w:spacing w:line="380" w:lineRule="exact"/>
              <w:jc w:val="center"/>
              <w:rPr>
                <w:rFonts w:ascii="宋体" w:hAnsi="宋体"/>
                <w:b/>
                <w:color w:val="000000"/>
                <w:sz w:val="24"/>
              </w:rPr>
            </w:pPr>
            <w:r>
              <w:rPr>
                <w:rFonts w:hint="eastAsia" w:ascii="宋体" w:hAnsi="宋体"/>
                <w:b/>
                <w:color w:val="000000"/>
                <w:sz w:val="24"/>
              </w:rPr>
              <w:t>序号</w:t>
            </w:r>
          </w:p>
        </w:tc>
        <w:tc>
          <w:tcPr>
            <w:tcW w:w="589" w:type="pct"/>
            <w:noWrap w:val="0"/>
            <w:vAlign w:val="center"/>
          </w:tcPr>
          <w:p>
            <w:pPr>
              <w:widowControl/>
              <w:spacing w:line="380" w:lineRule="exact"/>
              <w:jc w:val="center"/>
              <w:rPr>
                <w:rFonts w:ascii="宋体" w:hAnsi="宋体"/>
                <w:b/>
                <w:bCs/>
                <w:sz w:val="24"/>
              </w:rPr>
            </w:pPr>
            <w:r>
              <w:rPr>
                <w:rFonts w:hint="eastAsia" w:ascii="宋体" w:hAnsi="宋体"/>
                <w:b/>
                <w:bCs/>
                <w:sz w:val="24"/>
              </w:rPr>
              <w:t>评审内容</w:t>
            </w:r>
          </w:p>
        </w:tc>
        <w:tc>
          <w:tcPr>
            <w:tcW w:w="3656" w:type="pct"/>
            <w:noWrap w:val="0"/>
            <w:vAlign w:val="center"/>
          </w:tcPr>
          <w:p>
            <w:pPr>
              <w:widowControl/>
              <w:spacing w:line="380" w:lineRule="exact"/>
              <w:jc w:val="center"/>
              <w:rPr>
                <w:rFonts w:ascii="宋体" w:hAnsi="宋体"/>
                <w:b/>
                <w:color w:val="000000"/>
                <w:sz w:val="24"/>
              </w:rPr>
            </w:pPr>
            <w:r>
              <w:rPr>
                <w:rFonts w:hint="eastAsia" w:ascii="宋体" w:hAnsi="宋体"/>
                <w:b/>
                <w:bCs/>
                <w:sz w:val="24"/>
              </w:rPr>
              <w:t>评分标准</w:t>
            </w:r>
          </w:p>
        </w:tc>
        <w:tc>
          <w:tcPr>
            <w:tcW w:w="452" w:type="pct"/>
            <w:noWrap w:val="0"/>
            <w:vAlign w:val="center"/>
          </w:tcPr>
          <w:p>
            <w:pPr>
              <w:widowControl/>
              <w:spacing w:line="380" w:lineRule="exact"/>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2" w:type="pct"/>
            <w:noWrap w:val="0"/>
            <w:vAlign w:val="center"/>
          </w:tcPr>
          <w:p>
            <w:pPr>
              <w:widowControl/>
              <w:spacing w:line="380" w:lineRule="exact"/>
              <w:jc w:val="center"/>
              <w:rPr>
                <w:rFonts w:ascii="宋体" w:hAnsi="宋体"/>
                <w:b/>
                <w:color w:val="000000"/>
                <w:sz w:val="24"/>
              </w:rPr>
            </w:pPr>
            <w:r>
              <w:rPr>
                <w:rFonts w:hint="eastAsia" w:ascii="宋体" w:hAnsi="宋体"/>
                <w:b/>
                <w:color w:val="000000"/>
                <w:sz w:val="24"/>
              </w:rPr>
              <w:t>一</w:t>
            </w:r>
          </w:p>
        </w:tc>
        <w:tc>
          <w:tcPr>
            <w:tcW w:w="4246" w:type="pct"/>
            <w:gridSpan w:val="2"/>
            <w:noWrap w:val="0"/>
            <w:vAlign w:val="center"/>
          </w:tcPr>
          <w:p>
            <w:pPr>
              <w:widowControl/>
              <w:spacing w:line="380" w:lineRule="exact"/>
              <w:jc w:val="center"/>
              <w:rPr>
                <w:rFonts w:ascii="宋体" w:hAnsi="宋体"/>
                <w:b/>
                <w:bCs/>
                <w:sz w:val="24"/>
              </w:rPr>
            </w:pPr>
            <w:r>
              <w:rPr>
                <w:rFonts w:hint="eastAsia" w:ascii="宋体" w:hAnsi="宋体"/>
                <w:b/>
                <w:bCs/>
                <w:sz w:val="24"/>
              </w:rPr>
              <w:t>技术分</w:t>
            </w:r>
          </w:p>
        </w:tc>
        <w:tc>
          <w:tcPr>
            <w:tcW w:w="452" w:type="pct"/>
            <w:noWrap w:val="0"/>
            <w:vAlign w:val="center"/>
          </w:tcPr>
          <w:p>
            <w:pPr>
              <w:widowControl/>
              <w:spacing w:line="380" w:lineRule="exact"/>
              <w:jc w:val="center"/>
              <w:rPr>
                <w:rFonts w:ascii="宋体" w:hAnsi="宋体"/>
                <w:b/>
                <w:color w:val="000000"/>
                <w:sz w:val="24"/>
              </w:rPr>
            </w:pPr>
            <w:r>
              <w:rPr>
                <w:rFonts w:hint="eastAsia" w:ascii="宋体" w:hAnsi="宋体"/>
                <w:b/>
                <w:color w:val="000000"/>
                <w:sz w:val="24"/>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0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1</w:t>
            </w:r>
          </w:p>
        </w:tc>
        <w:tc>
          <w:tcPr>
            <w:tcW w:w="589" w:type="pct"/>
            <w:noWrap w:val="0"/>
            <w:vAlign w:val="center"/>
          </w:tcPr>
          <w:p>
            <w:pPr>
              <w:spacing w:line="380" w:lineRule="exact"/>
              <w:jc w:val="center"/>
              <w:rPr>
                <w:rFonts w:ascii="宋体" w:hAnsi="宋体"/>
                <w:sz w:val="24"/>
              </w:rPr>
            </w:pPr>
            <w:r>
              <w:rPr>
                <w:rFonts w:hint="eastAsia" w:ascii="宋体" w:hAnsi="宋体"/>
                <w:sz w:val="24"/>
              </w:rPr>
              <w:t>疗休养</w:t>
            </w:r>
          </w:p>
          <w:p>
            <w:pPr>
              <w:spacing w:line="380" w:lineRule="exact"/>
              <w:jc w:val="center"/>
              <w:rPr>
                <w:rFonts w:ascii="宋体" w:hAnsi="宋体"/>
                <w:sz w:val="24"/>
              </w:rPr>
            </w:pPr>
            <w:r>
              <w:rPr>
                <w:rFonts w:hint="eastAsia" w:ascii="宋体" w:hAnsi="宋体"/>
                <w:sz w:val="24"/>
              </w:rPr>
              <w:t>方案</w:t>
            </w:r>
          </w:p>
        </w:tc>
        <w:tc>
          <w:tcPr>
            <w:tcW w:w="3656" w:type="pct"/>
            <w:noWrap w:val="0"/>
            <w:vAlign w:val="center"/>
          </w:tcPr>
          <w:p>
            <w:pPr>
              <w:spacing w:line="380" w:lineRule="exact"/>
              <w:rPr>
                <w:rFonts w:ascii="宋体" w:hAnsi="宋体"/>
                <w:sz w:val="24"/>
              </w:rPr>
            </w:pPr>
            <w:r>
              <w:rPr>
                <w:rFonts w:hint="eastAsia" w:ascii="宋体" w:hAnsi="宋体"/>
                <w:sz w:val="24"/>
              </w:rPr>
              <w:t xml:space="preserve">评标委员会根据供应商提供的详细疗休养地点、行程和景点评分： </w:t>
            </w:r>
          </w:p>
          <w:p>
            <w:pPr>
              <w:spacing w:line="380" w:lineRule="exact"/>
              <w:rPr>
                <w:rFonts w:hint="eastAsia" w:ascii="宋体" w:hAnsi="宋体" w:eastAsia="宋体"/>
                <w:sz w:val="24"/>
                <w:lang w:val="en-US" w:eastAsia="zh-CN"/>
              </w:rPr>
            </w:pPr>
            <w:r>
              <w:rPr>
                <w:rFonts w:hint="eastAsia" w:ascii="宋体" w:hAnsi="宋体"/>
                <w:sz w:val="24"/>
              </w:rPr>
              <w:t>1.疗休养地点介绍的针对性强，方案合理并符合招标人的实际需求得5分；疗休养地点介绍的针对性欠佳，得2-4分；疗休养地点介绍的针对性不强，有明显瑕疵的，得0-1分</w:t>
            </w:r>
            <w:r>
              <w:rPr>
                <w:rFonts w:hint="eastAsia" w:ascii="宋体" w:hAnsi="宋体"/>
                <w:sz w:val="24"/>
                <w:lang w:val="en-US" w:eastAsia="zh-CN"/>
              </w:rPr>
              <w:t>。</w:t>
            </w:r>
          </w:p>
          <w:p>
            <w:pPr>
              <w:spacing w:line="380" w:lineRule="exact"/>
              <w:rPr>
                <w:rFonts w:hint="eastAsia" w:ascii="宋体" w:hAnsi="宋体" w:eastAsia="宋体"/>
                <w:sz w:val="24"/>
                <w:lang w:eastAsia="zh-CN"/>
              </w:rPr>
            </w:pPr>
            <w:r>
              <w:rPr>
                <w:rFonts w:hint="eastAsia" w:ascii="宋体" w:hAnsi="宋体"/>
                <w:sz w:val="24"/>
              </w:rPr>
              <w:t>2.疗休养行程安排的针对性强，方案合理并符合招标人的实际需求得5分；疗休养行程安排的针对性欠佳，得2-4分；疗休养行程安排的针对性不强，有明显瑕疵的，得0-1分</w:t>
            </w:r>
            <w:r>
              <w:rPr>
                <w:rFonts w:hint="eastAsia" w:ascii="宋体" w:hAnsi="宋体"/>
                <w:sz w:val="24"/>
                <w:lang w:eastAsia="zh-CN"/>
              </w:rPr>
              <w:t>。</w:t>
            </w:r>
          </w:p>
          <w:p>
            <w:pPr>
              <w:spacing w:line="380" w:lineRule="exact"/>
              <w:rPr>
                <w:rFonts w:ascii="宋体" w:hAnsi="宋体"/>
                <w:sz w:val="24"/>
              </w:rPr>
            </w:pPr>
            <w:r>
              <w:rPr>
                <w:rFonts w:hint="eastAsia" w:ascii="宋体" w:hAnsi="宋体"/>
                <w:sz w:val="24"/>
              </w:rPr>
              <w:t>3.疗休养景点的针对性强，方案合理并符合招标人的实际需求得5分；疗休养景点的针对性欠佳，得2-4分；疗休养景点的针对性不强，有明显瑕疵的，得0-1分。</w:t>
            </w:r>
          </w:p>
        </w:tc>
        <w:tc>
          <w:tcPr>
            <w:tcW w:w="452" w:type="pct"/>
            <w:noWrap w:val="0"/>
            <w:vAlign w:val="center"/>
          </w:tcPr>
          <w:p>
            <w:pPr>
              <w:spacing w:line="380" w:lineRule="exact"/>
              <w:jc w:val="center"/>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0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2</w:t>
            </w:r>
          </w:p>
        </w:tc>
        <w:tc>
          <w:tcPr>
            <w:tcW w:w="589" w:type="pct"/>
            <w:noWrap w:val="0"/>
            <w:vAlign w:val="center"/>
          </w:tcPr>
          <w:p>
            <w:pPr>
              <w:spacing w:line="380" w:lineRule="exact"/>
              <w:jc w:val="center"/>
              <w:rPr>
                <w:rFonts w:ascii="宋体" w:hAnsi="宋体"/>
                <w:sz w:val="24"/>
              </w:rPr>
            </w:pPr>
            <w:r>
              <w:rPr>
                <w:rFonts w:hint="eastAsia" w:ascii="宋体" w:hAnsi="宋体"/>
                <w:sz w:val="24"/>
              </w:rPr>
              <w:t>住宿方案</w:t>
            </w:r>
          </w:p>
          <w:p>
            <w:pPr>
              <w:spacing w:line="380" w:lineRule="exact"/>
              <w:jc w:val="center"/>
              <w:rPr>
                <w:rFonts w:ascii="宋体" w:hAnsi="宋体"/>
                <w:sz w:val="24"/>
              </w:rPr>
            </w:pPr>
          </w:p>
        </w:tc>
        <w:tc>
          <w:tcPr>
            <w:tcW w:w="3656" w:type="pct"/>
            <w:noWrap w:val="0"/>
            <w:vAlign w:val="center"/>
          </w:tcPr>
          <w:p>
            <w:pPr>
              <w:spacing w:line="380" w:lineRule="exact"/>
              <w:rPr>
                <w:rFonts w:ascii="宋体" w:hAnsi="宋体"/>
                <w:sz w:val="24"/>
              </w:rPr>
            </w:pPr>
            <w:r>
              <w:rPr>
                <w:rFonts w:hint="eastAsia" w:ascii="宋体" w:hAnsi="宋体"/>
                <w:sz w:val="24"/>
              </w:rPr>
              <w:t>评标委员会根据供应商提供的住宿情况评分，因素包括但不限于以下内容：</w:t>
            </w:r>
          </w:p>
          <w:p>
            <w:pPr>
              <w:spacing w:line="380" w:lineRule="exact"/>
              <w:rPr>
                <w:rFonts w:ascii="宋体" w:hAnsi="宋体"/>
                <w:sz w:val="24"/>
              </w:rPr>
            </w:pPr>
            <w:r>
              <w:rPr>
                <w:rFonts w:hint="eastAsia" w:ascii="宋体" w:hAnsi="宋体"/>
                <w:sz w:val="24"/>
              </w:rPr>
              <w:t>1.酒店星级标准高且接待能力强得4-5分，酒店星级标准中等且接待能力一般得2-3分；酒店星级标准低且接待能力一般得0-1分。</w:t>
            </w:r>
          </w:p>
          <w:p>
            <w:pPr>
              <w:spacing w:line="380" w:lineRule="exact"/>
              <w:rPr>
                <w:rFonts w:hint="eastAsia" w:ascii="宋体" w:hAnsi="宋体" w:eastAsia="宋体"/>
                <w:sz w:val="24"/>
                <w:lang w:eastAsia="zh-CN"/>
              </w:rPr>
            </w:pPr>
            <w:r>
              <w:rPr>
                <w:rFonts w:hint="eastAsia" w:ascii="宋体" w:hAnsi="宋体"/>
                <w:sz w:val="24"/>
              </w:rPr>
              <w:t>2.房间大小(标间或独栋，含双早)、朝向、服务、配套设施齐全的，得4-5分；房间大小(标间或独栋，含双早)、朝向、服务、配套设施一般的，得2-3分；房间大小(标间或独栋，含双早)、朝向、服务、配套设施欠佳的，得0-1分</w:t>
            </w:r>
            <w:r>
              <w:rPr>
                <w:rFonts w:hint="eastAsia" w:ascii="宋体" w:hAnsi="宋体"/>
                <w:sz w:val="24"/>
                <w:lang w:eastAsia="zh-CN"/>
              </w:rPr>
              <w:t>。</w:t>
            </w:r>
          </w:p>
          <w:p>
            <w:pPr>
              <w:spacing w:line="380" w:lineRule="exact"/>
              <w:rPr>
                <w:rFonts w:hint="eastAsia" w:ascii="宋体" w:hAnsi="宋体" w:eastAsia="宋体"/>
                <w:sz w:val="24"/>
                <w:lang w:eastAsia="zh-CN"/>
              </w:rPr>
            </w:pPr>
            <w:r>
              <w:rPr>
                <w:rFonts w:hint="eastAsia" w:ascii="宋体" w:hAnsi="宋体"/>
                <w:sz w:val="24"/>
              </w:rPr>
              <w:t>3.目的地交通条件便利、周边环境情况成熟的得，得4-5分；目的地交通条件一般、周边环境情况欠佳的，得2-3分；目的地交通条件差、周边环境情况不成熟，的0-1分</w:t>
            </w:r>
            <w:r>
              <w:rPr>
                <w:rFonts w:hint="eastAsia" w:ascii="宋体" w:hAnsi="宋体"/>
                <w:sz w:val="24"/>
                <w:lang w:eastAsia="zh-CN"/>
              </w:rPr>
              <w:t>。</w:t>
            </w:r>
          </w:p>
          <w:p>
            <w:pPr>
              <w:spacing w:line="380" w:lineRule="exact"/>
              <w:rPr>
                <w:rFonts w:ascii="宋体" w:hAnsi="宋体"/>
                <w:b/>
                <w:sz w:val="24"/>
              </w:rPr>
            </w:pPr>
            <w:r>
              <w:rPr>
                <w:rFonts w:hint="eastAsia" w:ascii="宋体" w:hAnsi="宋体"/>
                <w:b/>
                <w:sz w:val="24"/>
              </w:rPr>
              <w:t>投标文件中提供相关酒店名称、星级标准，周边环境介绍等证明材料。</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3</w:t>
            </w:r>
          </w:p>
        </w:tc>
        <w:tc>
          <w:tcPr>
            <w:tcW w:w="589" w:type="pct"/>
            <w:noWrap w:val="0"/>
            <w:vAlign w:val="center"/>
          </w:tcPr>
          <w:p>
            <w:pPr>
              <w:spacing w:line="380" w:lineRule="exact"/>
              <w:jc w:val="center"/>
              <w:rPr>
                <w:rFonts w:ascii="宋体" w:hAnsi="宋体"/>
                <w:sz w:val="24"/>
              </w:rPr>
            </w:pPr>
            <w:r>
              <w:rPr>
                <w:rFonts w:hint="eastAsia" w:ascii="宋体" w:hAnsi="宋体"/>
                <w:sz w:val="24"/>
              </w:rPr>
              <w:t>餐饮方案</w:t>
            </w:r>
          </w:p>
        </w:tc>
        <w:tc>
          <w:tcPr>
            <w:tcW w:w="3656" w:type="pct"/>
            <w:noWrap w:val="0"/>
            <w:vAlign w:val="center"/>
          </w:tcPr>
          <w:p>
            <w:pPr>
              <w:spacing w:line="380" w:lineRule="exact"/>
              <w:rPr>
                <w:rFonts w:ascii="宋体" w:hAnsi="宋体"/>
                <w:sz w:val="24"/>
              </w:rPr>
            </w:pPr>
            <w:r>
              <w:rPr>
                <w:rFonts w:hint="eastAsia" w:ascii="宋体" w:hAnsi="宋体"/>
                <w:sz w:val="24"/>
              </w:rPr>
              <w:t>评标委员会根据供应商针对本项目提供的餐饮标准打分。在最低标准（提供一日三餐，中餐标准为100元/人，晚餐标准100元/人）基础上，每增加5元/人·餐，加1分。最高分5分。以提供相关餐饮明细或相关服务承诺为评审依据。</w:t>
            </w:r>
          </w:p>
        </w:tc>
        <w:tc>
          <w:tcPr>
            <w:tcW w:w="452" w:type="pct"/>
            <w:noWrap w:val="0"/>
            <w:vAlign w:val="center"/>
          </w:tcPr>
          <w:p>
            <w:pPr>
              <w:widowControl/>
              <w:spacing w:line="38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4</w:t>
            </w:r>
          </w:p>
        </w:tc>
        <w:tc>
          <w:tcPr>
            <w:tcW w:w="589" w:type="pct"/>
            <w:noWrap w:val="0"/>
            <w:vAlign w:val="center"/>
          </w:tcPr>
          <w:p>
            <w:pPr>
              <w:spacing w:line="380" w:lineRule="exact"/>
              <w:jc w:val="center"/>
              <w:rPr>
                <w:rFonts w:ascii="宋体" w:hAnsi="宋体"/>
                <w:sz w:val="24"/>
              </w:rPr>
            </w:pPr>
            <w:r>
              <w:rPr>
                <w:rFonts w:hint="eastAsia" w:ascii="宋体" w:hAnsi="宋体"/>
                <w:sz w:val="24"/>
              </w:rPr>
              <w:t>车辆设备、驾驶员等方案</w:t>
            </w:r>
          </w:p>
        </w:tc>
        <w:tc>
          <w:tcPr>
            <w:tcW w:w="3656" w:type="pct"/>
            <w:noWrap w:val="0"/>
            <w:vAlign w:val="center"/>
          </w:tcPr>
          <w:p>
            <w:pPr>
              <w:spacing w:line="380" w:lineRule="exact"/>
              <w:rPr>
                <w:rFonts w:ascii="宋体" w:hAnsi="宋体"/>
                <w:sz w:val="24"/>
              </w:rPr>
            </w:pPr>
            <w:r>
              <w:rPr>
                <w:rFonts w:hint="eastAsia" w:ascii="宋体" w:hAnsi="宋体"/>
                <w:sz w:val="24"/>
              </w:rPr>
              <w:t>评标委员会根据供应商针对本项目提供的车辆设备、驾驶员等评分：</w:t>
            </w:r>
          </w:p>
          <w:p>
            <w:pPr>
              <w:spacing w:line="380" w:lineRule="exact"/>
              <w:rPr>
                <w:rFonts w:hint="eastAsia" w:ascii="宋体" w:hAnsi="宋体" w:eastAsia="宋体"/>
                <w:sz w:val="24"/>
                <w:lang w:eastAsia="zh-CN"/>
              </w:rPr>
            </w:pPr>
            <w:r>
              <w:rPr>
                <w:rFonts w:hint="eastAsia" w:ascii="宋体" w:hAnsi="宋体"/>
                <w:sz w:val="24"/>
              </w:rPr>
              <w:t>1.全程提供空调商务车标准的得2分；其他车辆的得1分</w:t>
            </w:r>
            <w:r>
              <w:rPr>
                <w:rFonts w:hint="eastAsia" w:ascii="宋体" w:hAnsi="宋体"/>
                <w:sz w:val="24"/>
                <w:lang w:eastAsia="zh-CN"/>
              </w:rPr>
              <w:t>。</w:t>
            </w:r>
          </w:p>
          <w:p>
            <w:pPr>
              <w:spacing w:line="380" w:lineRule="exact"/>
              <w:rPr>
                <w:rFonts w:hint="eastAsia" w:ascii="宋体" w:hAnsi="宋体" w:eastAsia="宋体"/>
                <w:sz w:val="24"/>
                <w:lang w:eastAsia="zh-CN"/>
              </w:rPr>
            </w:pPr>
            <w:r>
              <w:rPr>
                <w:rFonts w:hint="eastAsia" w:ascii="宋体" w:hAnsi="宋体"/>
                <w:sz w:val="24"/>
              </w:rPr>
              <w:t>2.驾驶员驾龄为5年（不含）以上的得3分；驾龄3年以上5年以下，得2分；驾龄3年以下得1分</w:t>
            </w:r>
            <w:r>
              <w:rPr>
                <w:rFonts w:hint="eastAsia" w:ascii="宋体" w:hAnsi="宋体"/>
                <w:sz w:val="24"/>
                <w:lang w:eastAsia="zh-CN"/>
              </w:rPr>
              <w:t>。</w:t>
            </w:r>
          </w:p>
          <w:p>
            <w:pPr>
              <w:spacing w:line="380" w:lineRule="exact"/>
              <w:rPr>
                <w:rFonts w:ascii="宋体" w:hAnsi="宋体"/>
                <w:b/>
                <w:sz w:val="24"/>
              </w:rPr>
            </w:pPr>
            <w:r>
              <w:rPr>
                <w:rFonts w:hint="eastAsia" w:ascii="宋体" w:hAnsi="宋体"/>
                <w:b/>
                <w:sz w:val="24"/>
              </w:rPr>
              <w:t>投标文件中须提供车辆清单、照片、行驶证、驾驶证等材料，车辆如为租赁的，应提供双方签字盖章的租赁协议或合同。</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5</w:t>
            </w:r>
          </w:p>
        </w:tc>
        <w:tc>
          <w:tcPr>
            <w:tcW w:w="589" w:type="pct"/>
            <w:noWrap w:val="0"/>
            <w:vAlign w:val="center"/>
          </w:tcPr>
          <w:p>
            <w:pPr>
              <w:spacing w:line="380" w:lineRule="exact"/>
              <w:jc w:val="center"/>
              <w:rPr>
                <w:rFonts w:ascii="宋体" w:hAnsi="宋体"/>
                <w:sz w:val="24"/>
              </w:rPr>
            </w:pPr>
            <w:r>
              <w:rPr>
                <w:rFonts w:hint="eastAsia" w:ascii="宋体" w:hAnsi="宋体"/>
                <w:sz w:val="24"/>
              </w:rPr>
              <w:t>拟投入本项目人员技术力量</w:t>
            </w:r>
          </w:p>
        </w:tc>
        <w:tc>
          <w:tcPr>
            <w:tcW w:w="3656" w:type="pct"/>
            <w:noWrap w:val="0"/>
            <w:vAlign w:val="center"/>
          </w:tcPr>
          <w:p>
            <w:pPr>
              <w:spacing w:line="380" w:lineRule="exact"/>
              <w:rPr>
                <w:rFonts w:ascii="宋体" w:hAnsi="宋体"/>
                <w:sz w:val="24"/>
              </w:rPr>
            </w:pPr>
            <w:r>
              <w:rPr>
                <w:rFonts w:hint="eastAsia" w:ascii="宋体" w:hAnsi="宋体"/>
                <w:sz w:val="24"/>
              </w:rPr>
              <w:t>评标委员会根据供应商提供的人员安排分配情况、从业经验、调度能力等方面评分。</w:t>
            </w:r>
          </w:p>
          <w:p>
            <w:pPr>
              <w:spacing w:line="380" w:lineRule="exact"/>
              <w:rPr>
                <w:rFonts w:ascii="宋体" w:hAnsi="宋体"/>
                <w:sz w:val="24"/>
              </w:rPr>
            </w:pPr>
            <w:r>
              <w:rPr>
                <w:rFonts w:hint="eastAsia" w:ascii="宋体" w:hAnsi="宋体"/>
                <w:sz w:val="24"/>
              </w:rPr>
              <w:t>1.人员力量和人力资源安排充足、科学合理的得3-4分，人员安排有缺陷的得1-2分，人员严重不足的得0分。</w:t>
            </w:r>
          </w:p>
          <w:p>
            <w:pPr>
              <w:spacing w:line="380" w:lineRule="exact"/>
              <w:rPr>
                <w:rFonts w:ascii="宋体" w:hAnsi="宋体"/>
                <w:sz w:val="24"/>
              </w:rPr>
            </w:pPr>
            <w:r>
              <w:rPr>
                <w:rFonts w:hint="eastAsia" w:ascii="宋体" w:hAnsi="宋体"/>
                <w:sz w:val="24"/>
              </w:rPr>
              <w:t>2.供应商在职导游的资格证书：具有高级国导证的每张证得2分；具有中级国导证的每张证得1.5分；具有初级国导证的每张证得1分。</w:t>
            </w:r>
          </w:p>
          <w:p>
            <w:pPr>
              <w:spacing w:line="380" w:lineRule="exact"/>
              <w:rPr>
                <w:rFonts w:ascii="宋体" w:hAnsi="宋体"/>
                <w:b/>
                <w:sz w:val="24"/>
              </w:rPr>
            </w:pPr>
            <w:r>
              <w:rPr>
                <w:rFonts w:hint="eastAsia" w:ascii="宋体" w:hAnsi="宋体"/>
                <w:b/>
                <w:sz w:val="24"/>
              </w:rPr>
              <w:t>单名导游上述三证取最高值加分，不得重复计分，本项累计最高不得超过6分。</w:t>
            </w:r>
          </w:p>
          <w:p>
            <w:pPr>
              <w:spacing w:line="380" w:lineRule="exact"/>
              <w:rPr>
                <w:rFonts w:ascii="宋体" w:hAnsi="宋体"/>
                <w:b/>
                <w:sz w:val="24"/>
              </w:rPr>
            </w:pPr>
            <w:r>
              <w:rPr>
                <w:rFonts w:hint="eastAsia" w:ascii="宋体" w:hAnsi="宋体"/>
                <w:b/>
                <w:sz w:val="24"/>
              </w:rPr>
              <w:t>投标文件中提供导游资格证书及其在本单位缴纳的近三个月中任意一个月的社保证明扫描件加盖公章。</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6</w:t>
            </w:r>
          </w:p>
        </w:tc>
        <w:tc>
          <w:tcPr>
            <w:tcW w:w="589" w:type="pct"/>
            <w:noWrap w:val="0"/>
            <w:vAlign w:val="center"/>
          </w:tcPr>
          <w:p>
            <w:pPr>
              <w:spacing w:line="380" w:lineRule="exact"/>
              <w:jc w:val="center"/>
              <w:rPr>
                <w:rFonts w:ascii="宋体" w:hAnsi="宋体"/>
                <w:sz w:val="24"/>
              </w:rPr>
            </w:pPr>
            <w:r>
              <w:rPr>
                <w:rFonts w:hint="eastAsia" w:ascii="宋体" w:hAnsi="宋体"/>
                <w:sz w:val="24"/>
              </w:rPr>
              <w:t>管理制度</w:t>
            </w:r>
          </w:p>
        </w:tc>
        <w:tc>
          <w:tcPr>
            <w:tcW w:w="3656" w:type="pct"/>
            <w:noWrap w:val="0"/>
            <w:vAlign w:val="center"/>
          </w:tcPr>
          <w:p>
            <w:pPr>
              <w:spacing w:line="380" w:lineRule="exact"/>
              <w:rPr>
                <w:rFonts w:ascii="宋体" w:hAnsi="宋体"/>
                <w:sz w:val="24"/>
              </w:rPr>
            </w:pPr>
            <w:r>
              <w:rPr>
                <w:rFonts w:hint="eastAsia" w:ascii="宋体" w:hAnsi="宋体"/>
                <w:sz w:val="24"/>
              </w:rPr>
              <w:t>评标委员会根据供应商是否建立健全各项岗位职责、经营管理制度、日常管理制度、财务管理、品牌管理、企业形象管理、安全管理、投诉管理、危机管理等情况比较后打分。</w:t>
            </w:r>
          </w:p>
          <w:p>
            <w:pPr>
              <w:spacing w:line="380" w:lineRule="exact"/>
              <w:rPr>
                <w:rFonts w:hint="eastAsia" w:ascii="宋体" w:hAnsi="宋体" w:eastAsia="宋体"/>
                <w:sz w:val="24"/>
                <w:lang w:eastAsia="zh-CN"/>
              </w:rPr>
            </w:pPr>
            <w:r>
              <w:rPr>
                <w:rFonts w:hint="eastAsia" w:ascii="宋体" w:hAnsi="宋体"/>
                <w:sz w:val="24"/>
              </w:rPr>
              <w:t>1.经营管理制度、日常管理制度、财务管理制度明确、详细合理的得2分，欠佳的得1分，不完善的不得分</w:t>
            </w:r>
            <w:r>
              <w:rPr>
                <w:rFonts w:hint="eastAsia" w:ascii="宋体" w:hAnsi="宋体"/>
                <w:sz w:val="24"/>
                <w:lang w:eastAsia="zh-CN"/>
              </w:rPr>
              <w:t>。</w:t>
            </w:r>
          </w:p>
          <w:p>
            <w:pPr>
              <w:spacing w:line="380" w:lineRule="exact"/>
              <w:rPr>
                <w:rFonts w:hint="eastAsia" w:ascii="宋体" w:hAnsi="宋体" w:eastAsia="宋体"/>
                <w:sz w:val="24"/>
                <w:lang w:eastAsia="zh-CN"/>
              </w:rPr>
            </w:pPr>
            <w:r>
              <w:rPr>
                <w:rFonts w:hint="eastAsia" w:ascii="宋体" w:hAnsi="宋体"/>
                <w:sz w:val="24"/>
              </w:rPr>
              <w:t>2.品牌管理、企业形象管理完善的得2分；品牌管理、企业形象管理欠佳的得1分；品牌管理、企业形象管理不完善不完善不得分</w:t>
            </w:r>
            <w:r>
              <w:rPr>
                <w:rFonts w:hint="eastAsia" w:ascii="宋体" w:hAnsi="宋体"/>
                <w:sz w:val="24"/>
                <w:lang w:eastAsia="zh-CN"/>
              </w:rPr>
              <w:t>。</w:t>
            </w:r>
          </w:p>
          <w:p>
            <w:pPr>
              <w:spacing w:line="380" w:lineRule="exact"/>
              <w:rPr>
                <w:rFonts w:ascii="宋体" w:hAnsi="宋体"/>
                <w:sz w:val="24"/>
              </w:rPr>
            </w:pPr>
            <w:r>
              <w:rPr>
                <w:rFonts w:hint="eastAsia" w:ascii="宋体" w:hAnsi="宋体"/>
                <w:sz w:val="24"/>
              </w:rPr>
              <w:t>3.安全管理、投诉管理、危机管理制度完善的得2分；安全管理、投诉管理、危机管理制度有缺陷的得1分；安全管理、投诉管理、危机管理制度不完善不完善的不得分。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7</w:t>
            </w:r>
          </w:p>
        </w:tc>
        <w:tc>
          <w:tcPr>
            <w:tcW w:w="589" w:type="pct"/>
            <w:noWrap w:val="0"/>
            <w:vAlign w:val="center"/>
          </w:tcPr>
          <w:p>
            <w:pPr>
              <w:spacing w:line="380" w:lineRule="exact"/>
              <w:jc w:val="center"/>
              <w:rPr>
                <w:rFonts w:ascii="宋体" w:hAnsi="宋体"/>
                <w:sz w:val="24"/>
              </w:rPr>
            </w:pPr>
            <w:r>
              <w:rPr>
                <w:rFonts w:hint="eastAsia" w:ascii="宋体" w:hAnsi="宋体"/>
                <w:sz w:val="24"/>
              </w:rPr>
              <w:t>计调实力</w:t>
            </w:r>
          </w:p>
        </w:tc>
        <w:tc>
          <w:tcPr>
            <w:tcW w:w="3656" w:type="pct"/>
            <w:noWrap w:val="0"/>
            <w:vAlign w:val="center"/>
          </w:tcPr>
          <w:p>
            <w:pPr>
              <w:spacing w:line="380" w:lineRule="exact"/>
              <w:rPr>
                <w:rFonts w:ascii="宋体" w:hAnsi="宋体"/>
                <w:sz w:val="24"/>
              </w:rPr>
            </w:pPr>
            <w:r>
              <w:rPr>
                <w:rFonts w:hint="eastAsia" w:ascii="宋体" w:hAnsi="宋体"/>
                <w:sz w:val="24"/>
              </w:rPr>
              <w:t>评标委员会根据投标人提供的计调人数比较给分。</w:t>
            </w:r>
          </w:p>
          <w:p>
            <w:pPr>
              <w:spacing w:line="380" w:lineRule="exact"/>
              <w:rPr>
                <w:rFonts w:ascii="宋体" w:hAnsi="宋体"/>
                <w:b/>
                <w:sz w:val="24"/>
              </w:rPr>
            </w:pPr>
            <w:r>
              <w:rPr>
                <w:rFonts w:hint="eastAsia" w:ascii="宋体" w:hAnsi="宋体"/>
                <w:sz w:val="24"/>
              </w:rPr>
              <w:t>按所具有计调人数排序打分（0-2分）；人数最多的得2分，往后依次递减0.2分。</w:t>
            </w:r>
            <w:r>
              <w:rPr>
                <w:rFonts w:hint="eastAsia" w:ascii="宋体" w:hAnsi="宋体"/>
                <w:b/>
                <w:sz w:val="24"/>
              </w:rPr>
              <w:t>投标文件中提供三个月中任意一个月的社保证明扫描件加盖公章（或股东证明、退休证明和返聘证明），不提供不得分。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2" w:type="pct"/>
            <w:noWrap w:val="0"/>
            <w:vAlign w:val="center"/>
          </w:tcPr>
          <w:p>
            <w:pPr>
              <w:widowControl/>
              <w:spacing w:line="380" w:lineRule="exact"/>
              <w:jc w:val="center"/>
              <w:rPr>
                <w:rFonts w:ascii="宋体" w:hAnsi="宋体"/>
                <w:bCs/>
                <w:sz w:val="24"/>
              </w:rPr>
            </w:pPr>
            <w:r>
              <w:rPr>
                <w:rFonts w:hint="eastAsia" w:ascii="宋体" w:hAnsi="宋体"/>
                <w:bCs/>
                <w:sz w:val="24"/>
              </w:rPr>
              <w:t>8</w:t>
            </w:r>
          </w:p>
        </w:tc>
        <w:tc>
          <w:tcPr>
            <w:tcW w:w="589" w:type="pct"/>
            <w:noWrap w:val="0"/>
            <w:vAlign w:val="center"/>
          </w:tcPr>
          <w:p>
            <w:pPr>
              <w:spacing w:line="380" w:lineRule="exact"/>
              <w:jc w:val="center"/>
              <w:rPr>
                <w:rFonts w:ascii="宋体" w:hAnsi="宋体"/>
                <w:bCs/>
                <w:sz w:val="24"/>
              </w:rPr>
            </w:pPr>
            <w:r>
              <w:rPr>
                <w:rFonts w:hint="eastAsia" w:ascii="宋体" w:hAnsi="宋体"/>
                <w:bCs/>
                <w:sz w:val="24"/>
              </w:rPr>
              <w:t>对本项目有效的措施和合理化建议</w:t>
            </w:r>
          </w:p>
        </w:tc>
        <w:tc>
          <w:tcPr>
            <w:tcW w:w="3656" w:type="pct"/>
            <w:noWrap w:val="0"/>
            <w:vAlign w:val="center"/>
          </w:tcPr>
          <w:p>
            <w:pPr>
              <w:spacing w:line="380" w:lineRule="exact"/>
              <w:rPr>
                <w:rFonts w:ascii="宋体" w:hAnsi="宋体"/>
                <w:bCs/>
                <w:sz w:val="24"/>
              </w:rPr>
            </w:pPr>
            <w:r>
              <w:rPr>
                <w:rFonts w:hint="eastAsia" w:ascii="宋体" w:hAnsi="宋体"/>
                <w:bCs/>
                <w:sz w:val="24"/>
              </w:rPr>
              <w:t>供应商每提供一项有效建议或措施的得2分，最高得6分，未提供的不得分。</w:t>
            </w:r>
          </w:p>
        </w:tc>
        <w:tc>
          <w:tcPr>
            <w:tcW w:w="452" w:type="pct"/>
            <w:noWrap w:val="0"/>
            <w:vAlign w:val="center"/>
          </w:tcPr>
          <w:p>
            <w:pPr>
              <w:widowControl/>
              <w:spacing w:line="380" w:lineRule="exact"/>
              <w:jc w:val="center"/>
              <w:rPr>
                <w:rFonts w:ascii="宋体" w:hAnsi="宋体"/>
                <w:bCs/>
                <w:sz w:val="24"/>
              </w:rPr>
            </w:pPr>
            <w:r>
              <w:rPr>
                <w:rFonts w:hint="eastAsia" w:ascii="宋体" w:hAnsi="宋体"/>
                <w:bCs/>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2" w:type="pct"/>
            <w:noWrap w:val="0"/>
            <w:vAlign w:val="center"/>
          </w:tcPr>
          <w:p>
            <w:pPr>
              <w:widowControl/>
              <w:spacing w:line="380" w:lineRule="exact"/>
              <w:jc w:val="center"/>
              <w:rPr>
                <w:rFonts w:ascii="宋体" w:hAnsi="宋体"/>
                <w:b/>
                <w:sz w:val="24"/>
              </w:rPr>
            </w:pPr>
            <w:r>
              <w:rPr>
                <w:rFonts w:hint="eastAsia" w:ascii="宋体" w:hAnsi="宋体"/>
                <w:b/>
                <w:sz w:val="24"/>
              </w:rPr>
              <w:t>二</w:t>
            </w:r>
          </w:p>
        </w:tc>
        <w:tc>
          <w:tcPr>
            <w:tcW w:w="4246" w:type="pct"/>
            <w:gridSpan w:val="2"/>
            <w:noWrap w:val="0"/>
            <w:vAlign w:val="center"/>
          </w:tcPr>
          <w:p>
            <w:pPr>
              <w:spacing w:line="380" w:lineRule="exact"/>
              <w:jc w:val="center"/>
              <w:rPr>
                <w:rFonts w:ascii="宋体" w:hAnsi="宋体"/>
                <w:b/>
                <w:sz w:val="24"/>
              </w:rPr>
            </w:pPr>
            <w:r>
              <w:rPr>
                <w:rFonts w:hint="eastAsia" w:ascii="宋体" w:hAnsi="宋体"/>
                <w:b/>
                <w:sz w:val="24"/>
              </w:rPr>
              <w:t>商务资信分</w:t>
            </w:r>
          </w:p>
        </w:tc>
        <w:tc>
          <w:tcPr>
            <w:tcW w:w="452" w:type="pct"/>
            <w:noWrap w:val="0"/>
            <w:vAlign w:val="center"/>
          </w:tcPr>
          <w:p>
            <w:pPr>
              <w:widowControl/>
              <w:spacing w:line="380" w:lineRule="exact"/>
              <w:jc w:val="center"/>
              <w:rPr>
                <w:rFonts w:ascii="宋体" w:hAnsi="宋体"/>
                <w:b/>
                <w:color w:val="000000"/>
                <w:sz w:val="24"/>
              </w:rPr>
            </w:pPr>
            <w:r>
              <w:rPr>
                <w:rFonts w:hint="eastAsia" w:ascii="宋体" w:hAnsi="宋体"/>
                <w:b/>
                <w:color w:val="000000"/>
                <w:sz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9</w:t>
            </w:r>
          </w:p>
        </w:tc>
        <w:tc>
          <w:tcPr>
            <w:tcW w:w="589" w:type="pct"/>
            <w:noWrap w:val="0"/>
            <w:vAlign w:val="center"/>
          </w:tcPr>
          <w:p>
            <w:pPr>
              <w:spacing w:line="380" w:lineRule="exact"/>
              <w:jc w:val="center"/>
              <w:rPr>
                <w:rFonts w:ascii="宋体" w:hAnsi="宋体"/>
                <w:sz w:val="24"/>
              </w:rPr>
            </w:pPr>
            <w:r>
              <w:rPr>
                <w:rFonts w:hint="eastAsia" w:ascii="宋体" w:hAnsi="宋体"/>
                <w:sz w:val="24"/>
              </w:rPr>
              <w:t>服务质量保证措施</w:t>
            </w:r>
          </w:p>
        </w:tc>
        <w:tc>
          <w:tcPr>
            <w:tcW w:w="3656" w:type="pct"/>
            <w:noWrap w:val="0"/>
            <w:vAlign w:val="top"/>
          </w:tcPr>
          <w:p>
            <w:pPr>
              <w:spacing w:line="380" w:lineRule="exact"/>
              <w:rPr>
                <w:rFonts w:hint="eastAsia" w:ascii="宋体" w:hAnsi="宋体" w:eastAsia="宋体"/>
                <w:sz w:val="24"/>
                <w:lang w:eastAsia="zh-CN"/>
              </w:rPr>
            </w:pPr>
            <w:r>
              <w:rPr>
                <w:rFonts w:hint="eastAsia" w:ascii="宋体" w:hAnsi="宋体"/>
                <w:sz w:val="24"/>
              </w:rPr>
              <w:t>1.供应商提供针对本项目的服务质量保证措施合理、详实，方案科学有效的，得</w:t>
            </w:r>
            <w:r>
              <w:rPr>
                <w:rFonts w:ascii="宋体" w:hAnsi="宋体"/>
                <w:sz w:val="24"/>
              </w:rPr>
              <w:t>4-5</w:t>
            </w:r>
            <w:r>
              <w:rPr>
                <w:rFonts w:hint="eastAsia" w:ascii="宋体" w:hAnsi="宋体"/>
                <w:sz w:val="24"/>
              </w:rPr>
              <w:t>分；措施方案欠佳但基本合理的，得</w:t>
            </w:r>
            <w:r>
              <w:rPr>
                <w:rFonts w:ascii="宋体" w:hAnsi="宋体"/>
                <w:sz w:val="24"/>
              </w:rPr>
              <w:t>2-3</w:t>
            </w:r>
            <w:r>
              <w:rPr>
                <w:rFonts w:hint="eastAsia" w:ascii="宋体" w:hAnsi="宋体"/>
                <w:sz w:val="24"/>
              </w:rPr>
              <w:t>分；措施方案存在明显缺陷的，得</w:t>
            </w:r>
            <w:r>
              <w:rPr>
                <w:rFonts w:ascii="宋体" w:hAnsi="宋体"/>
                <w:sz w:val="24"/>
              </w:rPr>
              <w:t>0-1</w:t>
            </w:r>
            <w:r>
              <w:rPr>
                <w:rFonts w:hint="eastAsia" w:ascii="宋体" w:hAnsi="宋体"/>
                <w:sz w:val="24"/>
              </w:rPr>
              <w:t>分</w:t>
            </w:r>
            <w:r>
              <w:rPr>
                <w:rFonts w:hint="eastAsia" w:ascii="宋体" w:hAnsi="宋体"/>
                <w:sz w:val="24"/>
                <w:lang w:eastAsia="zh-CN"/>
              </w:rPr>
              <w:t>。</w:t>
            </w:r>
          </w:p>
          <w:p>
            <w:pPr>
              <w:spacing w:line="380" w:lineRule="exact"/>
              <w:rPr>
                <w:rFonts w:ascii="宋体" w:hAnsi="宋体"/>
                <w:sz w:val="24"/>
              </w:rPr>
            </w:pPr>
            <w:r>
              <w:rPr>
                <w:rFonts w:hint="eastAsia" w:ascii="宋体" w:hAnsi="宋体"/>
                <w:sz w:val="24"/>
              </w:rPr>
              <w:t>2.售后服务网点：投标供应商在湖州市全域内（含三县三区）设有售后服务点的，得2</w:t>
            </w:r>
            <w:r>
              <w:rPr>
                <w:rFonts w:ascii="宋体" w:hAnsi="宋体"/>
                <w:sz w:val="24"/>
              </w:rPr>
              <w:t>分。</w:t>
            </w:r>
            <w:r>
              <w:rPr>
                <w:rFonts w:hint="eastAsia" w:ascii="宋体" w:hAnsi="宋体"/>
                <w:sz w:val="24"/>
              </w:rPr>
              <w:t>承诺中标后半个月内设立售后服务点的得1</w:t>
            </w:r>
            <w:r>
              <w:rPr>
                <w:rFonts w:ascii="宋体" w:hAnsi="宋体"/>
                <w:sz w:val="24"/>
              </w:rPr>
              <w:t>分。</w:t>
            </w:r>
          </w:p>
          <w:p>
            <w:pPr>
              <w:spacing w:line="380" w:lineRule="exact"/>
              <w:rPr>
                <w:rFonts w:ascii="宋体" w:hAnsi="宋体"/>
                <w:sz w:val="24"/>
              </w:rPr>
            </w:pPr>
            <w:r>
              <w:rPr>
                <w:rFonts w:hint="eastAsia" w:ascii="宋体" w:hAnsi="宋体"/>
                <w:sz w:val="24"/>
              </w:rPr>
              <w:t>售后服务网点注册地在项目所在地的提供详细的全称、地址、联系人、联系方式、营业执照副本扫描件。承诺中标后设立的提供承诺书，不提供不得分。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10</w:t>
            </w:r>
          </w:p>
        </w:tc>
        <w:tc>
          <w:tcPr>
            <w:tcW w:w="589" w:type="pct"/>
            <w:noWrap w:val="0"/>
            <w:vAlign w:val="center"/>
          </w:tcPr>
          <w:p>
            <w:pPr>
              <w:spacing w:line="380" w:lineRule="exact"/>
              <w:jc w:val="center"/>
              <w:rPr>
                <w:rFonts w:ascii="宋体" w:hAnsi="宋体"/>
                <w:sz w:val="24"/>
              </w:rPr>
            </w:pPr>
            <w:r>
              <w:rPr>
                <w:rFonts w:hint="eastAsia" w:ascii="宋体" w:hAnsi="宋体"/>
                <w:sz w:val="24"/>
              </w:rPr>
              <w:t>优惠条件</w:t>
            </w:r>
          </w:p>
        </w:tc>
        <w:tc>
          <w:tcPr>
            <w:tcW w:w="3656" w:type="pct"/>
            <w:noWrap w:val="0"/>
            <w:vAlign w:val="top"/>
          </w:tcPr>
          <w:p>
            <w:pPr>
              <w:spacing w:line="380" w:lineRule="exact"/>
              <w:rPr>
                <w:rFonts w:ascii="宋体" w:hAnsi="宋体"/>
                <w:sz w:val="24"/>
              </w:rPr>
            </w:pPr>
            <w:r>
              <w:rPr>
                <w:rFonts w:hint="eastAsia" w:ascii="宋体" w:hAnsi="宋体"/>
                <w:sz w:val="24"/>
              </w:rPr>
              <w:t>供应商提供的本项目实质性优惠条件全面周到的得3-4分，实质性的优惠条件欠缺的得0-2分。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11</w:t>
            </w:r>
          </w:p>
        </w:tc>
        <w:tc>
          <w:tcPr>
            <w:tcW w:w="589" w:type="pct"/>
            <w:noWrap w:val="0"/>
            <w:vAlign w:val="center"/>
          </w:tcPr>
          <w:p>
            <w:pPr>
              <w:widowControl/>
              <w:spacing w:line="380" w:lineRule="exact"/>
              <w:jc w:val="center"/>
              <w:rPr>
                <w:rFonts w:ascii="宋体" w:hAnsi="宋体"/>
                <w:sz w:val="24"/>
              </w:rPr>
            </w:pPr>
            <w:r>
              <w:rPr>
                <w:rFonts w:hint="eastAsia" w:ascii="宋体" w:hAnsi="宋体"/>
                <w:sz w:val="24"/>
              </w:rPr>
              <w:t>应急措施方案</w:t>
            </w:r>
          </w:p>
        </w:tc>
        <w:tc>
          <w:tcPr>
            <w:tcW w:w="3656" w:type="pct"/>
            <w:noWrap w:val="0"/>
            <w:vAlign w:val="center"/>
          </w:tcPr>
          <w:p>
            <w:pPr>
              <w:spacing w:line="380" w:lineRule="exact"/>
              <w:rPr>
                <w:rFonts w:ascii="宋体" w:hAnsi="宋体"/>
                <w:sz w:val="24"/>
              </w:rPr>
            </w:pPr>
            <w:r>
              <w:rPr>
                <w:rFonts w:hint="eastAsia" w:ascii="宋体" w:hAnsi="宋体"/>
                <w:sz w:val="24"/>
              </w:rPr>
              <w:t>评标委员会根据投标人提供的项目可能出现的突发状况，能做出快速、有效的应急方案，能有效处理紧急情况的得4-5分；应急措施方案基本合理但欠缺的，得2-3分；应急措施方案存在明显缺陷的，得0-1分。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12</w:t>
            </w:r>
          </w:p>
        </w:tc>
        <w:tc>
          <w:tcPr>
            <w:tcW w:w="589" w:type="pct"/>
            <w:noWrap w:val="0"/>
            <w:vAlign w:val="center"/>
          </w:tcPr>
          <w:p>
            <w:pPr>
              <w:spacing w:line="380" w:lineRule="exact"/>
              <w:jc w:val="center"/>
              <w:rPr>
                <w:rFonts w:ascii="宋体" w:hAnsi="宋体"/>
                <w:sz w:val="24"/>
              </w:rPr>
            </w:pPr>
            <w:r>
              <w:rPr>
                <w:rFonts w:hint="eastAsia" w:ascii="宋体" w:hAnsi="宋体"/>
                <w:sz w:val="24"/>
              </w:rPr>
              <w:t>意外保险额度</w:t>
            </w:r>
          </w:p>
        </w:tc>
        <w:tc>
          <w:tcPr>
            <w:tcW w:w="3656" w:type="pct"/>
            <w:noWrap w:val="0"/>
            <w:vAlign w:val="center"/>
          </w:tcPr>
          <w:p>
            <w:pPr>
              <w:spacing w:line="380" w:lineRule="exact"/>
              <w:rPr>
                <w:rFonts w:ascii="宋体" w:hAnsi="宋体"/>
                <w:sz w:val="24"/>
              </w:rPr>
            </w:pPr>
            <w:r>
              <w:rPr>
                <w:rFonts w:hint="eastAsia" w:ascii="宋体" w:hAnsi="宋体"/>
                <w:sz w:val="24"/>
              </w:rPr>
              <w:t>评标委员会根据投标人提供的个人旅游人身意外险的额度评分，在意外保险额最低额度100万的基础上，每超过 5 万得 1分，最高得 2 分。</w:t>
            </w:r>
            <w:r>
              <w:rPr>
                <w:rFonts w:hint="eastAsia" w:ascii="宋体" w:hAnsi="宋体"/>
                <w:b/>
                <w:sz w:val="24"/>
              </w:rPr>
              <w:t>提供保单等相关证明材料扫描件加盖公章。</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13</w:t>
            </w:r>
          </w:p>
        </w:tc>
        <w:tc>
          <w:tcPr>
            <w:tcW w:w="589" w:type="pct"/>
            <w:noWrap w:val="0"/>
            <w:vAlign w:val="center"/>
          </w:tcPr>
          <w:p>
            <w:pPr>
              <w:spacing w:line="380" w:lineRule="exact"/>
              <w:jc w:val="center"/>
              <w:rPr>
                <w:rFonts w:ascii="宋体" w:hAnsi="宋体"/>
                <w:sz w:val="24"/>
              </w:rPr>
            </w:pPr>
            <w:r>
              <w:rPr>
                <w:rFonts w:hint="eastAsia" w:ascii="宋体" w:hAnsi="宋体"/>
                <w:sz w:val="24"/>
              </w:rPr>
              <w:t>企业业绩</w:t>
            </w:r>
          </w:p>
        </w:tc>
        <w:tc>
          <w:tcPr>
            <w:tcW w:w="3656" w:type="pct"/>
            <w:noWrap w:val="0"/>
            <w:vAlign w:val="center"/>
          </w:tcPr>
          <w:p>
            <w:pPr>
              <w:spacing w:line="380" w:lineRule="exact"/>
              <w:rPr>
                <w:rFonts w:ascii="宋体" w:hAnsi="宋体"/>
                <w:sz w:val="24"/>
              </w:rPr>
            </w:pPr>
            <w:r>
              <w:rPr>
                <w:rFonts w:hint="eastAsia" w:ascii="宋体" w:hAnsi="宋体"/>
                <w:sz w:val="24"/>
              </w:rPr>
              <w:t>自2019年1月1日起至今完成过类似疗休养项目业绩（应包含能够体现具体采购内容的部分）的得1分；</w:t>
            </w:r>
            <w:r>
              <w:rPr>
                <w:rFonts w:hint="eastAsia" w:ascii="宋体" w:hAnsi="宋体"/>
                <w:b/>
                <w:sz w:val="24"/>
              </w:rPr>
              <w:t>提供合同或中标通知书扫描件加盖公章。</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02" w:type="pct"/>
            <w:noWrap w:val="0"/>
            <w:vAlign w:val="center"/>
          </w:tcPr>
          <w:p>
            <w:pPr>
              <w:widowControl/>
              <w:spacing w:line="380" w:lineRule="exact"/>
              <w:jc w:val="center"/>
              <w:rPr>
                <w:rFonts w:ascii="宋体" w:hAnsi="宋体"/>
                <w:sz w:val="24"/>
              </w:rPr>
            </w:pPr>
            <w:r>
              <w:rPr>
                <w:rFonts w:hint="eastAsia" w:ascii="宋体" w:hAnsi="宋体"/>
                <w:sz w:val="24"/>
              </w:rPr>
              <w:t>14</w:t>
            </w:r>
          </w:p>
        </w:tc>
        <w:tc>
          <w:tcPr>
            <w:tcW w:w="589" w:type="pct"/>
            <w:noWrap w:val="0"/>
            <w:vAlign w:val="center"/>
          </w:tcPr>
          <w:p>
            <w:pPr>
              <w:spacing w:line="380" w:lineRule="exact"/>
              <w:jc w:val="center"/>
              <w:rPr>
                <w:rFonts w:ascii="宋体" w:hAnsi="宋体"/>
                <w:sz w:val="24"/>
              </w:rPr>
            </w:pPr>
            <w:r>
              <w:rPr>
                <w:rFonts w:hint="eastAsia" w:ascii="宋体" w:hAnsi="宋体"/>
                <w:sz w:val="24"/>
              </w:rPr>
              <w:t>企业荣誉</w:t>
            </w:r>
          </w:p>
        </w:tc>
        <w:tc>
          <w:tcPr>
            <w:tcW w:w="3656" w:type="pct"/>
            <w:noWrap w:val="0"/>
            <w:vAlign w:val="center"/>
          </w:tcPr>
          <w:p>
            <w:pPr>
              <w:spacing w:line="380" w:lineRule="exact"/>
              <w:rPr>
                <w:rFonts w:ascii="宋体" w:hAnsi="宋体"/>
                <w:sz w:val="24"/>
              </w:rPr>
            </w:pPr>
            <w:r>
              <w:rPr>
                <w:rFonts w:hint="eastAsia" w:ascii="宋体" w:hAnsi="宋体"/>
                <w:sz w:val="24"/>
              </w:rPr>
              <w:t>根据供应商</w:t>
            </w:r>
            <w:r>
              <w:rPr>
                <w:rFonts w:ascii="宋体" w:hAnsi="宋体"/>
                <w:sz w:val="24"/>
              </w:rPr>
              <w:t>2019年1月1日至今有效的政府行政职能部门或行业主管部门授予的投标企业荣誉证书进行评分：</w:t>
            </w:r>
          </w:p>
          <w:p>
            <w:pPr>
              <w:spacing w:line="380" w:lineRule="exact"/>
              <w:rPr>
                <w:rFonts w:ascii="宋体" w:hAnsi="宋体"/>
                <w:sz w:val="24"/>
              </w:rPr>
            </w:pPr>
            <w:r>
              <w:rPr>
                <w:rFonts w:hint="eastAsia" w:ascii="宋体" w:hAnsi="宋体"/>
                <w:sz w:val="24"/>
              </w:rPr>
              <w:t>具有国家级（包含国务院所属的部、委、办、局）授予的荣誉的得</w:t>
            </w:r>
            <w:r>
              <w:rPr>
                <w:rFonts w:ascii="宋体" w:hAnsi="宋体"/>
                <w:sz w:val="24"/>
              </w:rPr>
              <w:t>2分</w:t>
            </w:r>
            <w:r>
              <w:rPr>
                <w:rFonts w:hint="eastAsia" w:ascii="宋体" w:hAnsi="宋体"/>
                <w:sz w:val="24"/>
                <w:lang w:eastAsia="zh-CN"/>
              </w:rPr>
              <w:t>；</w:t>
            </w:r>
            <w:r>
              <w:rPr>
                <w:rFonts w:ascii="宋体" w:hAnsi="宋体"/>
                <w:sz w:val="24"/>
              </w:rPr>
              <w:t>具有省级（包含省政府所属的部、委、办、局（厅））授予的荣誉的得1.5分</w:t>
            </w:r>
            <w:r>
              <w:rPr>
                <w:rFonts w:hint="eastAsia" w:ascii="宋体" w:hAnsi="宋体"/>
                <w:sz w:val="24"/>
                <w:lang w:eastAsia="zh-CN"/>
              </w:rPr>
              <w:t>；</w:t>
            </w:r>
            <w:r>
              <w:rPr>
                <w:rFonts w:ascii="宋体" w:hAnsi="宋体"/>
                <w:sz w:val="24"/>
              </w:rPr>
              <w:t>具有市级（包含市政府所属的部、委、办、局或区、县政府）授予的荣誉的得1分。分值不重复计算，未提供不得分。</w:t>
            </w:r>
          </w:p>
          <w:p>
            <w:pPr>
              <w:spacing w:line="380" w:lineRule="exact"/>
              <w:rPr>
                <w:rFonts w:ascii="宋体" w:hAnsi="宋体"/>
                <w:b/>
                <w:sz w:val="24"/>
              </w:rPr>
            </w:pPr>
            <w:r>
              <w:rPr>
                <w:rFonts w:ascii="宋体" w:hAnsi="宋体"/>
                <w:b/>
                <w:sz w:val="24"/>
              </w:rPr>
              <w:t>投标文件中须提供荣誉证书扫描件加盖公章，获奖时间以证书时间为准。</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302" w:type="pct"/>
            <w:noWrap w:val="0"/>
            <w:vAlign w:val="center"/>
          </w:tcPr>
          <w:p>
            <w:pPr>
              <w:spacing w:line="380" w:lineRule="exact"/>
              <w:jc w:val="center"/>
              <w:rPr>
                <w:rFonts w:ascii="宋体" w:hAnsi="宋体"/>
                <w:sz w:val="24"/>
              </w:rPr>
            </w:pPr>
            <w:r>
              <w:rPr>
                <w:rFonts w:hint="eastAsia" w:ascii="宋体" w:hAnsi="宋体"/>
                <w:sz w:val="24"/>
              </w:rPr>
              <w:t>15</w:t>
            </w:r>
          </w:p>
        </w:tc>
        <w:tc>
          <w:tcPr>
            <w:tcW w:w="589" w:type="pct"/>
            <w:noWrap w:val="0"/>
            <w:vAlign w:val="center"/>
          </w:tcPr>
          <w:p>
            <w:pPr>
              <w:spacing w:line="380" w:lineRule="exact"/>
              <w:rPr>
                <w:rFonts w:ascii="宋体" w:hAnsi="宋体"/>
                <w:sz w:val="24"/>
              </w:rPr>
            </w:pPr>
            <w:r>
              <w:rPr>
                <w:rFonts w:hint="eastAsia" w:ascii="宋体" w:hAnsi="宋体"/>
                <w:sz w:val="24"/>
              </w:rPr>
              <w:t>综合实力</w:t>
            </w:r>
          </w:p>
        </w:tc>
        <w:tc>
          <w:tcPr>
            <w:tcW w:w="3656" w:type="pct"/>
            <w:noWrap w:val="0"/>
            <w:vAlign w:val="center"/>
          </w:tcPr>
          <w:p>
            <w:pPr>
              <w:spacing w:line="380" w:lineRule="exact"/>
              <w:rPr>
                <w:rFonts w:ascii="宋体" w:hAnsi="宋体"/>
                <w:sz w:val="24"/>
              </w:rPr>
            </w:pPr>
            <w:r>
              <w:rPr>
                <w:rFonts w:hint="eastAsia" w:ascii="宋体" w:hAnsi="宋体"/>
                <w:sz w:val="24"/>
              </w:rPr>
              <w:t>1. 评标委员会根据供应商通过品质旅行社等级评定评分。</w:t>
            </w:r>
          </w:p>
          <w:p>
            <w:pPr>
              <w:spacing w:line="380" w:lineRule="exact"/>
              <w:rPr>
                <w:rFonts w:ascii="宋体" w:hAnsi="宋体"/>
                <w:sz w:val="24"/>
              </w:rPr>
            </w:pPr>
            <w:r>
              <w:rPr>
                <w:rFonts w:hint="eastAsia" w:ascii="宋体" w:hAnsi="宋体"/>
                <w:sz w:val="24"/>
                <w:lang w:eastAsia="zh-CN"/>
              </w:rPr>
              <w:t>四</w:t>
            </w:r>
            <w:r>
              <w:rPr>
                <w:rFonts w:hint="eastAsia" w:ascii="宋体" w:hAnsi="宋体"/>
                <w:sz w:val="24"/>
              </w:rPr>
              <w:t>星级及以上品质旅行社得3分；</w:t>
            </w:r>
            <w:r>
              <w:rPr>
                <w:rFonts w:hint="eastAsia" w:ascii="宋体" w:hAnsi="宋体"/>
                <w:sz w:val="24"/>
                <w:lang w:eastAsia="zh-CN"/>
              </w:rPr>
              <w:t>三</w:t>
            </w:r>
            <w:r>
              <w:rPr>
                <w:rFonts w:hint="eastAsia" w:ascii="宋体" w:hAnsi="宋体"/>
                <w:sz w:val="24"/>
              </w:rPr>
              <w:t>星级品质旅行社得2分；</w:t>
            </w:r>
            <w:r>
              <w:rPr>
                <w:rFonts w:hint="eastAsia" w:ascii="宋体" w:hAnsi="宋体"/>
                <w:sz w:val="24"/>
                <w:lang w:eastAsia="zh-CN"/>
              </w:rPr>
              <w:t>其余</w:t>
            </w:r>
            <w:r>
              <w:rPr>
                <w:rFonts w:hint="eastAsia" w:ascii="宋体" w:hAnsi="宋体"/>
                <w:sz w:val="24"/>
              </w:rPr>
              <w:t>得1分。（证明材料中须体现企业名称）</w:t>
            </w:r>
          </w:p>
          <w:p>
            <w:pPr>
              <w:spacing w:line="380" w:lineRule="exact"/>
              <w:rPr>
                <w:rFonts w:ascii="宋体" w:hAnsi="宋体"/>
                <w:sz w:val="24"/>
              </w:rPr>
            </w:pPr>
            <w:r>
              <w:rPr>
                <w:rFonts w:hint="eastAsia" w:ascii="宋体" w:hAnsi="宋体"/>
                <w:sz w:val="24"/>
              </w:rPr>
              <w:t>2. 评标委员会根据供应商提供的</w:t>
            </w:r>
            <w:r>
              <w:rPr>
                <w:rFonts w:ascii="宋体" w:hAnsi="宋体"/>
                <w:sz w:val="24"/>
              </w:rPr>
              <w:t>201</w:t>
            </w:r>
            <w:r>
              <w:rPr>
                <w:rFonts w:hint="eastAsia" w:ascii="宋体" w:hAnsi="宋体"/>
                <w:sz w:val="24"/>
              </w:rPr>
              <w:t>9年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日至今的客户满意度评价表；每提供一份满意度评价表，得</w:t>
            </w:r>
            <w:r>
              <w:rPr>
                <w:rFonts w:ascii="宋体" w:hAnsi="宋体"/>
                <w:sz w:val="24"/>
              </w:rPr>
              <w:t>0.5</w:t>
            </w:r>
            <w:r>
              <w:rPr>
                <w:rFonts w:hint="eastAsia" w:ascii="宋体" w:hAnsi="宋体"/>
                <w:sz w:val="24"/>
              </w:rPr>
              <w:t>分，最高2分。</w:t>
            </w:r>
          </w:p>
          <w:p>
            <w:pPr>
              <w:spacing w:line="380" w:lineRule="exact"/>
              <w:rPr>
                <w:rFonts w:ascii="宋体" w:hAnsi="宋体"/>
                <w:b/>
                <w:sz w:val="24"/>
              </w:rPr>
            </w:pPr>
            <w:r>
              <w:rPr>
                <w:rFonts w:hint="eastAsia" w:ascii="宋体" w:hAnsi="宋体"/>
                <w:b/>
                <w:sz w:val="24"/>
              </w:rPr>
              <w:t>客户满意度评价表须加盖客户单位公章或客户单位工会章，否则不得分。且提供同一单位的多张客户满意度评价表不重复累计计算。</w:t>
            </w:r>
          </w:p>
        </w:tc>
        <w:tc>
          <w:tcPr>
            <w:tcW w:w="452" w:type="pct"/>
            <w:noWrap w:val="0"/>
            <w:vAlign w:val="center"/>
          </w:tcPr>
          <w:p>
            <w:pPr>
              <w:widowControl/>
              <w:spacing w:line="380" w:lineRule="exact"/>
              <w:jc w:val="center"/>
              <w:rPr>
                <w:rFonts w:ascii="宋体" w:hAnsi="宋体"/>
                <w:color w:val="000000"/>
                <w:sz w:val="24"/>
              </w:rPr>
            </w:pPr>
            <w:r>
              <w:rPr>
                <w:rFonts w:hint="eastAsia" w:ascii="宋体" w:hAnsi="宋体"/>
                <w:color w:val="000000"/>
                <w:sz w:val="24"/>
              </w:rPr>
              <w:t>5分</w:t>
            </w:r>
          </w:p>
        </w:tc>
      </w:tr>
    </w:tbl>
    <w:p>
      <w:pPr>
        <w:spacing w:line="400" w:lineRule="exact"/>
        <w:ind w:firstLine="241" w:firstLineChars="100"/>
        <w:rPr>
          <w:rFonts w:ascii="宋体" w:hAnsi="宋体" w:cs="宋体"/>
          <w:b/>
          <w:color w:val="auto"/>
          <w:sz w:val="24"/>
        </w:rPr>
      </w:pPr>
      <w:r>
        <w:rPr>
          <w:rFonts w:hint="eastAsia" w:ascii="宋体" w:hAnsi="宋体" w:cs="宋体"/>
          <w:b/>
          <w:color w:val="auto"/>
          <w:sz w:val="24"/>
        </w:rPr>
        <w:t>注：1.所有证书须在有效期内，不在有效期内的不得分；如出现与事实不符等情况，将根据有关规定以“提供虚假材料谋取中标”予以处理。</w:t>
      </w: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17"/>
        <w:ind w:left="0"/>
        <w:rPr>
          <w:color w:val="auto"/>
        </w:rPr>
      </w:pPr>
    </w:p>
    <w:p>
      <w:pPr>
        <w:pStyle w:val="4"/>
        <w:spacing w:line="240" w:lineRule="auto"/>
        <w:ind w:left="360"/>
        <w:jc w:val="center"/>
        <w:rPr>
          <w:rFonts w:ascii="宋体" w:hAnsi="宋体" w:cs="宋体"/>
          <w:color w:val="auto"/>
          <w:sz w:val="32"/>
          <w:szCs w:val="32"/>
        </w:rPr>
      </w:pPr>
      <w:bookmarkStart w:id="40" w:name="_Toc18825"/>
      <w:bookmarkStart w:id="41" w:name="_Toc15926"/>
      <w:bookmarkStart w:id="42" w:name="_Toc30150"/>
      <w:bookmarkStart w:id="43" w:name="_Toc16098"/>
      <w:r>
        <w:rPr>
          <w:rFonts w:hint="eastAsia" w:ascii="宋体" w:hAnsi="宋体" w:cs="宋体"/>
          <w:color w:val="auto"/>
          <w:sz w:val="32"/>
          <w:szCs w:val="32"/>
        </w:rPr>
        <w:t>第五章 合同主要条款</w:t>
      </w:r>
      <w:bookmarkEnd w:id="40"/>
      <w:r>
        <w:rPr>
          <w:rFonts w:hint="eastAsia" w:ascii="宋体" w:hAnsi="宋体" w:cs="宋体"/>
          <w:color w:val="auto"/>
          <w:sz w:val="32"/>
          <w:szCs w:val="32"/>
        </w:rPr>
        <w:t>（仅供参考）</w:t>
      </w:r>
      <w:bookmarkEnd w:id="41"/>
      <w:bookmarkEnd w:id="42"/>
      <w:bookmarkEnd w:id="43"/>
    </w:p>
    <w:p>
      <w:pPr>
        <w:spacing w:beforeLines="150" w:afterLines="50" w:line="480" w:lineRule="exact"/>
        <w:rPr>
          <w:rFonts w:ascii="宋体" w:hAnsi="宋体" w:cs="宋体"/>
          <w:color w:val="auto"/>
          <w:sz w:val="24"/>
        </w:rPr>
      </w:pPr>
      <w:r>
        <w:rPr>
          <w:rFonts w:hint="eastAsia" w:ascii="宋体" w:hAnsi="宋体" w:cs="宋体"/>
          <w:color w:val="auto"/>
          <w:sz w:val="24"/>
        </w:rPr>
        <w:t>采购人：（以下简称甲方）</w:t>
      </w:r>
    </w:p>
    <w:p>
      <w:pPr>
        <w:spacing w:beforeLines="50" w:afterLines="50" w:line="480" w:lineRule="exact"/>
        <w:rPr>
          <w:rFonts w:ascii="宋体" w:hAnsi="宋体" w:cs="宋体"/>
          <w:color w:val="auto"/>
          <w:sz w:val="24"/>
        </w:rPr>
      </w:pPr>
      <w:r>
        <w:rPr>
          <w:rFonts w:hint="eastAsia" w:ascii="宋体" w:hAnsi="宋体" w:cs="宋体"/>
          <w:color w:val="auto"/>
          <w:sz w:val="24"/>
        </w:rPr>
        <w:t>供应商：（以下简称乙方）</w:t>
      </w:r>
    </w:p>
    <w:p>
      <w:pPr>
        <w:spacing w:beforeLines="100" w:line="480" w:lineRule="exact"/>
        <w:ind w:firstLine="480" w:firstLineChars="200"/>
        <w:rPr>
          <w:rFonts w:ascii="宋体" w:hAnsi="宋体" w:cs="宋体"/>
          <w:color w:val="auto"/>
          <w:sz w:val="24"/>
        </w:rPr>
      </w:pPr>
      <w:r>
        <w:rPr>
          <w:rFonts w:hint="eastAsia" w:ascii="宋体" w:hAnsi="宋体" w:cs="宋体"/>
          <w:color w:val="auto"/>
          <w:sz w:val="24"/>
        </w:rPr>
        <w:t>本项目经公开招标入选乙方作为</w:t>
      </w:r>
      <w:r>
        <w:rPr>
          <w:rFonts w:hint="eastAsia" w:ascii="宋体" w:hAnsi="宋体" w:cs="宋体"/>
          <w:color w:val="auto"/>
          <w:sz w:val="24"/>
          <w:u w:val="single"/>
          <w:lang w:eastAsia="zh-CN"/>
        </w:rPr>
        <w:t>东林镇2022年第二轮疗休养项目</w:t>
      </w:r>
      <w:r>
        <w:rPr>
          <w:rFonts w:hint="eastAsia" w:ascii="宋体" w:hAnsi="宋体" w:cs="宋体"/>
          <w:color w:val="auto"/>
          <w:sz w:val="24"/>
        </w:rPr>
        <w:t>的实施单位，依照《中华人民共和国</w:t>
      </w:r>
      <w:r>
        <w:rPr>
          <w:rFonts w:hint="eastAsia" w:ascii="宋体" w:hAnsi="宋体" w:cs="宋体"/>
          <w:color w:val="auto"/>
          <w:sz w:val="24"/>
          <w:lang w:val="en-US" w:eastAsia="zh-CN"/>
        </w:rPr>
        <w:t>民法典</w:t>
      </w:r>
      <w:r>
        <w:rPr>
          <w:rFonts w:hint="eastAsia" w:ascii="宋体" w:hAnsi="宋体" w:cs="宋体"/>
          <w:color w:val="auto"/>
          <w:sz w:val="24"/>
        </w:rPr>
        <w:t>》及其他有关法律、行政法规，遵循平等、自愿、公平和诚实信用的原则，双方就本</w:t>
      </w:r>
      <w:r>
        <w:rPr>
          <w:rFonts w:hint="eastAsia" w:ascii="宋体" w:hAnsi="宋体" w:cs="宋体"/>
          <w:color w:val="auto"/>
          <w:sz w:val="24"/>
          <w:lang w:val="en-US" w:eastAsia="zh-CN"/>
        </w:rPr>
        <w:t>项目</w:t>
      </w:r>
      <w:r>
        <w:rPr>
          <w:rFonts w:hint="eastAsia" w:ascii="宋体" w:hAnsi="宋体" w:cs="宋体"/>
          <w:color w:val="auto"/>
          <w:sz w:val="24"/>
        </w:rPr>
        <w:t>事项协商一致，订立本协议。</w:t>
      </w:r>
    </w:p>
    <w:p>
      <w:pPr>
        <w:autoSpaceDE w:val="0"/>
        <w:autoSpaceDN w:val="0"/>
        <w:adjustRightInd w:val="0"/>
        <w:spacing w:line="48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一、项目名称：</w:t>
      </w:r>
      <w:r>
        <w:rPr>
          <w:rFonts w:hint="eastAsia" w:ascii="宋体" w:hAnsi="宋体" w:cs="宋体"/>
          <w:bCs/>
          <w:color w:val="auto"/>
          <w:sz w:val="24"/>
          <w:lang w:eastAsia="zh-CN"/>
        </w:rPr>
        <w:t>东林镇2022年</w:t>
      </w:r>
      <w:r>
        <w:rPr>
          <w:rFonts w:hint="eastAsia" w:ascii="宋体" w:hAnsi="宋体" w:cs="宋体"/>
          <w:bCs/>
          <w:color w:val="auto"/>
          <w:sz w:val="24"/>
          <w:lang w:val="en-US" w:eastAsia="zh-CN"/>
        </w:rPr>
        <w:t>第二轮</w:t>
      </w:r>
      <w:r>
        <w:rPr>
          <w:rFonts w:hint="eastAsia" w:ascii="宋体" w:hAnsi="宋体" w:cs="宋体"/>
          <w:bCs/>
          <w:color w:val="auto"/>
          <w:sz w:val="24"/>
          <w:lang w:eastAsia="zh-CN"/>
        </w:rPr>
        <w:t>疗休养项目</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二、承包范围：</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服务内容：依据相关疗休养要求，组织东林镇机关工会职工疗休养。</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服务期限：</w:t>
      </w:r>
      <w:r>
        <w:rPr>
          <w:rFonts w:hint="eastAsia" w:ascii="宋体" w:hAnsi="宋体" w:eastAsia="宋体" w:cs="宋体"/>
          <w:bCs/>
          <w:color w:val="auto"/>
          <w:sz w:val="24"/>
        </w:rPr>
        <w:t>自合同签订之日起一年</w:t>
      </w:r>
      <w:r>
        <w:rPr>
          <w:rFonts w:hint="eastAsia" w:ascii="宋体" w:hAnsi="宋体" w:cs="宋体"/>
          <w:bCs/>
          <w:color w:val="auto"/>
          <w:sz w:val="24"/>
        </w:rPr>
        <w:t>。</w:t>
      </w:r>
    </w:p>
    <w:p>
      <w:pPr>
        <w:autoSpaceDE w:val="0"/>
        <w:autoSpaceDN w:val="0"/>
        <w:adjustRightInd w:val="0"/>
        <w:spacing w:line="48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三、本项目服务费用：以</w:t>
      </w:r>
      <w:r>
        <w:rPr>
          <w:rFonts w:hint="eastAsia" w:ascii="宋体" w:hAnsi="宋体" w:cs="宋体"/>
          <w:bCs/>
          <w:color w:val="auto"/>
          <w:sz w:val="24"/>
          <w:lang w:eastAsia="zh-CN"/>
        </w:rPr>
        <w:t>实际参加人数为结算依据。</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四、考核制度：</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五、支付方式：</w:t>
      </w:r>
    </w:p>
    <w:p>
      <w:pPr>
        <w:spacing w:line="480" w:lineRule="exact"/>
        <w:ind w:firstLine="482" w:firstLineChars="200"/>
        <w:rPr>
          <w:rFonts w:ascii="宋体" w:hAnsi="宋体" w:cs="宋体"/>
          <w:color w:val="auto"/>
          <w:sz w:val="24"/>
        </w:rPr>
      </w:pPr>
      <w:r>
        <w:rPr>
          <w:rFonts w:hint="eastAsia" w:ascii="宋体" w:hAnsi="宋体" w:cs="宋体"/>
          <w:b/>
          <w:color w:val="auto"/>
          <w:sz w:val="24"/>
        </w:rPr>
        <w:t>在疫情期间，</w:t>
      </w:r>
      <w:r>
        <w:rPr>
          <w:rFonts w:hint="eastAsia" w:ascii="宋体" w:hAnsi="宋体" w:eastAsia="宋体" w:cs="宋体"/>
          <w:b/>
          <w:color w:val="auto"/>
          <w:sz w:val="24"/>
        </w:rPr>
        <w:t>根据省财政厅《关于进一步发挥政府采购政策功能全力推动经济稳进提质的通知》（浙财采监【2022】3号）要求，</w:t>
      </w:r>
      <w:r>
        <w:rPr>
          <w:rFonts w:hint="eastAsia" w:ascii="宋体" w:hAnsi="宋体" w:cs="宋体"/>
          <w:b/>
          <w:color w:val="auto"/>
          <w:sz w:val="24"/>
        </w:rPr>
        <w:t>制定如以下付款方式，由供应商自主选择确定：</w:t>
      </w:r>
    </w:p>
    <w:p>
      <w:pPr>
        <w:spacing w:beforeLines="50" w:line="480" w:lineRule="exact"/>
        <w:ind w:firstLine="420"/>
        <w:rPr>
          <w:rFonts w:ascii="宋体" w:hAnsi="宋体" w:cs="宋体"/>
          <w:color w:val="auto"/>
          <w:sz w:val="24"/>
        </w:rPr>
      </w:pPr>
      <w:r>
        <w:rPr>
          <w:rFonts w:hint="eastAsia" w:ascii="宋体" w:hAnsi="宋体" w:cs="宋体"/>
          <w:b/>
          <w:bCs/>
          <w:color w:val="auto"/>
          <w:sz w:val="24"/>
          <w:highlight w:val="yellow"/>
          <w:lang w:val="zh-CN"/>
        </w:rPr>
        <w:t>甲方自采购合同生效及具备实施条件后七个工作日内支付合同价的</w:t>
      </w:r>
      <w:r>
        <w:rPr>
          <w:rFonts w:hint="eastAsia" w:ascii="宋体" w:hAnsi="宋体" w:cs="宋体"/>
          <w:b/>
          <w:bCs/>
          <w:color w:val="auto"/>
          <w:sz w:val="24"/>
          <w:highlight w:val="yellow"/>
          <w:lang w:val="en-US" w:eastAsia="zh-CN"/>
        </w:rPr>
        <w:t>4</w:t>
      </w:r>
      <w:r>
        <w:rPr>
          <w:rFonts w:hint="eastAsia" w:ascii="宋体" w:hAnsi="宋体" w:cs="宋体"/>
          <w:b/>
          <w:bCs/>
          <w:color w:val="auto"/>
          <w:sz w:val="24"/>
          <w:highlight w:val="yellow"/>
        </w:rPr>
        <w:t>0%作为预付款。</w:t>
      </w:r>
    </w:p>
    <w:p>
      <w:pPr>
        <w:spacing w:beforeLines="50" w:line="480" w:lineRule="exact"/>
        <w:ind w:firstLine="420"/>
        <w:rPr>
          <w:rFonts w:ascii="宋体" w:hAnsi="宋体" w:cs="宋体"/>
          <w:color w:val="auto"/>
          <w:sz w:val="24"/>
        </w:rPr>
      </w:pPr>
      <w:r>
        <w:rPr>
          <w:rFonts w:hint="eastAsia" w:ascii="宋体" w:hAnsi="宋体" w:cs="宋体"/>
          <w:color w:val="auto"/>
          <w:sz w:val="24"/>
          <w:lang w:eastAsia="zh-CN"/>
        </w:rPr>
        <w:t>项目完成后支付剩余款项，按实际人数结算</w:t>
      </w:r>
      <w:r>
        <w:rPr>
          <w:rFonts w:hint="eastAsia" w:ascii="宋体" w:hAnsi="宋体" w:cs="宋体"/>
          <w:color w:val="auto"/>
          <w:sz w:val="24"/>
        </w:rPr>
        <w:t>。</w:t>
      </w:r>
    </w:p>
    <w:p>
      <w:pPr>
        <w:pStyle w:val="50"/>
        <w:spacing w:line="480" w:lineRule="exact"/>
        <w:ind w:firstLine="420"/>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由2021年筹备资金支付。</w:t>
      </w:r>
    </w:p>
    <w:p>
      <w:pPr>
        <w:pStyle w:val="50"/>
        <w:spacing w:line="480" w:lineRule="exact"/>
        <w:ind w:firstLine="420"/>
        <w:rPr>
          <w:rFonts w:ascii="宋体" w:hAnsi="宋体" w:eastAsia="宋体" w:cs="宋体"/>
          <w:color w:val="auto"/>
        </w:rPr>
      </w:pPr>
      <w:r>
        <w:rPr>
          <w:rFonts w:hint="eastAsia" w:ascii="宋体" w:hAnsi="宋体" w:eastAsia="宋体" w:cs="宋体"/>
          <w:b/>
          <w:color w:val="auto"/>
          <w:sz w:val="24"/>
        </w:rPr>
        <w:t>在签订合同时，</w:t>
      </w:r>
      <w:r>
        <w:rPr>
          <w:rFonts w:hint="eastAsia" w:ascii="宋体" w:hAnsi="宋体" w:eastAsia="宋体" w:cs="宋体"/>
          <w:b/>
          <w:color w:val="auto"/>
          <w:sz w:val="24"/>
          <w:lang w:eastAsia="zh-CN"/>
        </w:rPr>
        <w:t>乙方</w:t>
      </w:r>
      <w:r>
        <w:rPr>
          <w:rFonts w:hint="eastAsia" w:ascii="宋体" w:hAnsi="宋体" w:eastAsia="宋体" w:cs="宋体"/>
          <w:b/>
          <w:color w:val="auto"/>
          <w:sz w:val="24"/>
        </w:rPr>
        <w:t>明确表示无需预付款或者主动要求降低预付款比例的，采购合同可不适用前述规定。</w:t>
      </w:r>
      <w:bookmarkStart w:id="68" w:name="_GoBack"/>
      <w:bookmarkEnd w:id="68"/>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六、双方职责：</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1、乙方对甲方委派的任务应及时响应并且无条件执行。</w:t>
      </w:r>
    </w:p>
    <w:p>
      <w:pPr>
        <w:spacing w:beforeLines="50" w:line="480" w:lineRule="exact"/>
        <w:ind w:firstLine="420"/>
        <w:rPr>
          <w:rFonts w:ascii="宋体" w:hAnsi="宋体" w:cs="宋体"/>
          <w:color w:val="auto"/>
          <w:sz w:val="24"/>
        </w:rPr>
      </w:pPr>
      <w:r>
        <w:rPr>
          <w:rFonts w:hint="eastAsia" w:ascii="宋体" w:hAnsi="宋体" w:cs="宋体"/>
          <w:color w:val="auto"/>
          <w:sz w:val="24"/>
        </w:rPr>
        <w:t>2、乙方应针对甲方要求积极落实工作，及时形成书面文件，确认</w:t>
      </w:r>
      <w:r>
        <w:rPr>
          <w:rFonts w:hint="eastAsia" w:ascii="宋体" w:hAnsi="宋体" w:cs="宋体"/>
          <w:color w:val="auto"/>
          <w:sz w:val="24"/>
          <w:lang w:val="en-US" w:eastAsia="zh-CN"/>
        </w:rPr>
        <w:t>工作</w:t>
      </w:r>
      <w:r>
        <w:rPr>
          <w:rFonts w:hint="eastAsia" w:ascii="宋体" w:hAnsi="宋体" w:cs="宋体"/>
          <w:color w:val="auto"/>
          <w:sz w:val="24"/>
        </w:rPr>
        <w:t>量。</w:t>
      </w:r>
    </w:p>
    <w:p>
      <w:pPr>
        <w:spacing w:beforeLines="50" w:line="480" w:lineRule="exact"/>
        <w:ind w:firstLine="420"/>
        <w:rPr>
          <w:rFonts w:ascii="宋体" w:hAnsi="宋体" w:cs="宋体"/>
          <w:color w:val="auto"/>
          <w:sz w:val="24"/>
        </w:rPr>
      </w:pPr>
      <w:r>
        <w:rPr>
          <w:rFonts w:hint="eastAsia" w:ascii="宋体" w:hAnsi="宋体" w:cs="宋体"/>
          <w:color w:val="auto"/>
          <w:sz w:val="24"/>
        </w:rPr>
        <w:t>3、乙方不得将项目分包或转包，如发现分包或转包，采购人有权责令供应商退场，由此造成的损失，由乙方赔偿。</w:t>
      </w:r>
    </w:p>
    <w:p>
      <w:pPr>
        <w:spacing w:beforeLines="50" w:line="480" w:lineRule="exact"/>
        <w:ind w:firstLine="420"/>
        <w:rPr>
          <w:rFonts w:ascii="宋体" w:hAnsi="宋体" w:cs="宋体"/>
          <w:color w:val="auto"/>
          <w:sz w:val="24"/>
        </w:rPr>
      </w:pPr>
      <w:r>
        <w:rPr>
          <w:rFonts w:hint="eastAsia" w:ascii="宋体" w:hAnsi="宋体" w:cs="宋体"/>
          <w:color w:val="auto"/>
          <w:sz w:val="24"/>
        </w:rPr>
        <w:t>4、甲方会定期或不定期进行检查，如发现安全问题或不满足甲方要求，乙方需立即整改，整改费用由乙方自行承担。</w:t>
      </w:r>
    </w:p>
    <w:p>
      <w:pPr>
        <w:spacing w:beforeLines="50" w:line="480" w:lineRule="exact"/>
        <w:ind w:firstLine="420"/>
        <w:rPr>
          <w:rFonts w:ascii="宋体" w:hAnsi="宋体" w:cs="宋体"/>
          <w:color w:val="auto"/>
          <w:sz w:val="24"/>
        </w:rPr>
      </w:pPr>
      <w:r>
        <w:rPr>
          <w:rFonts w:hint="eastAsia" w:ascii="宋体" w:hAnsi="宋体" w:cs="宋体"/>
          <w:color w:val="auto"/>
          <w:sz w:val="24"/>
        </w:rPr>
        <w:t>5、甲方应根据相关任务情况，积极引导乙方完成相关任务，对于乙方完成的实际</w:t>
      </w:r>
      <w:r>
        <w:rPr>
          <w:rFonts w:hint="eastAsia" w:ascii="宋体" w:hAnsi="宋体" w:cs="宋体"/>
          <w:color w:val="auto"/>
          <w:sz w:val="24"/>
          <w:lang w:eastAsia="zh-CN"/>
        </w:rPr>
        <w:t>内容</w:t>
      </w:r>
      <w:r>
        <w:rPr>
          <w:rFonts w:hint="eastAsia" w:ascii="宋体" w:hAnsi="宋体" w:cs="宋体"/>
          <w:color w:val="auto"/>
          <w:sz w:val="24"/>
        </w:rPr>
        <w:t>，甲方需按时支付乙方的服务费用。</w:t>
      </w:r>
    </w:p>
    <w:p>
      <w:pPr>
        <w:spacing w:beforeLines="50" w:line="480" w:lineRule="exact"/>
        <w:ind w:firstLine="42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、乙方应积极听取甲方有关该项目的其他的合理的建议和意见，而后妥善施行。</w:t>
      </w:r>
    </w:p>
    <w:p>
      <w:pPr>
        <w:autoSpaceDE w:val="0"/>
        <w:autoSpaceDN w:val="0"/>
        <w:adjustRightInd w:val="0"/>
        <w:spacing w:line="480" w:lineRule="exact"/>
        <w:ind w:firstLine="480" w:firstLineChars="20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7、最终路线以甲方决定方案为准，如果甲方不满意路线可以自行跟乙方拟定新路线。</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七、争议：</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本协议在履行过程中发生的争议，由双方当事人协调解决，协商不成向标的物所在地人民法院起诉。</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八、协议份数</w:t>
      </w:r>
    </w:p>
    <w:p>
      <w:pPr>
        <w:autoSpaceDE w:val="0"/>
        <w:autoSpaceDN w:val="0"/>
        <w:adjustRightInd w:val="0"/>
        <w:spacing w:line="480" w:lineRule="exact"/>
        <w:ind w:firstLine="480" w:firstLineChars="200"/>
        <w:rPr>
          <w:rFonts w:ascii="宋体" w:hAnsi="宋体" w:cs="宋体"/>
          <w:bCs/>
          <w:color w:val="auto"/>
          <w:sz w:val="24"/>
        </w:rPr>
      </w:pPr>
      <w:r>
        <w:rPr>
          <w:rFonts w:hint="eastAsia" w:ascii="宋体" w:hAnsi="宋体" w:cs="宋体"/>
          <w:bCs/>
          <w:color w:val="auto"/>
          <w:sz w:val="24"/>
        </w:rPr>
        <w:t>双方约定协议正副本份数：协议正本两份，采购人、供应商各执一份，副本六份，承包、发包各执三份。</w:t>
      </w:r>
    </w:p>
    <w:p>
      <w:pPr>
        <w:autoSpaceDE w:val="0"/>
        <w:autoSpaceDN w:val="0"/>
        <w:adjustRightInd w:val="0"/>
        <w:spacing w:line="480" w:lineRule="exact"/>
        <w:ind w:firstLine="480" w:firstLineChars="200"/>
        <w:rPr>
          <w:rFonts w:ascii="宋体" w:hAnsi="宋体" w:cs="宋体"/>
          <w:color w:val="auto"/>
          <w:sz w:val="24"/>
        </w:rPr>
      </w:pPr>
      <w:r>
        <w:rPr>
          <w:rFonts w:hint="eastAsia" w:ascii="宋体" w:hAnsi="宋体" w:cs="宋体"/>
          <w:bCs/>
          <w:color w:val="auto"/>
          <w:sz w:val="24"/>
        </w:rPr>
        <w:t>九、本合同经双方签字盖章后生效，甲、乙</w:t>
      </w:r>
      <w:r>
        <w:rPr>
          <w:rFonts w:hint="eastAsia" w:ascii="宋体" w:hAnsi="宋体" w:cs="宋体"/>
          <w:color w:val="auto"/>
          <w:sz w:val="24"/>
        </w:rPr>
        <w:t>双方履行合同全部义务。本协议未尽事宜，参照招标文件要求的基础上，双方协调解决。</w:t>
      </w:r>
    </w:p>
    <w:p>
      <w:pPr>
        <w:spacing w:beforeLines="50" w:line="400" w:lineRule="exact"/>
        <w:rPr>
          <w:rFonts w:ascii="宋体" w:hAnsi="宋体" w:cs="宋体"/>
          <w:color w:val="auto"/>
          <w:sz w:val="24"/>
        </w:rPr>
      </w:pPr>
    </w:p>
    <w:p>
      <w:pPr>
        <w:spacing w:beforeLines="50" w:line="400" w:lineRule="exact"/>
        <w:rPr>
          <w:rFonts w:ascii="宋体" w:hAnsi="宋体" w:cs="宋体"/>
          <w:color w:val="auto"/>
          <w:sz w:val="24"/>
        </w:rPr>
      </w:pPr>
      <w:r>
        <w:rPr>
          <w:rFonts w:hint="eastAsia" w:ascii="宋体" w:hAnsi="宋体" w:cs="宋体"/>
          <w:color w:val="auto"/>
          <w:sz w:val="24"/>
        </w:rPr>
        <w:t>甲方（公章）：                            乙方（公章）：</w:t>
      </w:r>
    </w:p>
    <w:p>
      <w:pPr>
        <w:spacing w:beforeLines="50" w:line="400" w:lineRule="exact"/>
        <w:rPr>
          <w:rFonts w:ascii="宋体" w:hAnsi="宋体" w:cs="宋体"/>
          <w:color w:val="auto"/>
          <w:sz w:val="24"/>
        </w:rPr>
      </w:pPr>
      <w:r>
        <w:rPr>
          <w:rFonts w:hint="eastAsia" w:ascii="宋体" w:hAnsi="宋体" w:cs="宋体"/>
          <w:color w:val="auto"/>
          <w:sz w:val="24"/>
        </w:rPr>
        <w:t>法定代表人或授权委托人：                 法定代表人或授权委托人：</w:t>
      </w:r>
    </w:p>
    <w:p>
      <w:pPr>
        <w:spacing w:beforeLines="50" w:line="400" w:lineRule="exact"/>
        <w:rPr>
          <w:rFonts w:ascii="宋体" w:hAnsi="宋体" w:cs="宋体"/>
          <w:color w:val="auto"/>
          <w:sz w:val="24"/>
        </w:rPr>
      </w:pPr>
      <w:r>
        <w:rPr>
          <w:rFonts w:hint="eastAsia" w:ascii="宋体" w:hAnsi="宋体" w:cs="宋体"/>
          <w:color w:val="auto"/>
          <w:sz w:val="24"/>
        </w:rPr>
        <w:t>地址：                                   地址：</w:t>
      </w:r>
    </w:p>
    <w:p>
      <w:pPr>
        <w:spacing w:beforeLines="50" w:line="400" w:lineRule="exact"/>
        <w:rPr>
          <w:rFonts w:ascii="宋体" w:hAnsi="宋体" w:cs="宋体"/>
          <w:color w:val="auto"/>
          <w:sz w:val="24"/>
        </w:rPr>
      </w:pPr>
      <w:r>
        <w:rPr>
          <w:rFonts w:hint="eastAsia" w:ascii="宋体" w:hAnsi="宋体" w:cs="宋体"/>
          <w:color w:val="auto"/>
          <w:sz w:val="24"/>
        </w:rPr>
        <w:t>邮编：                                   邮编：</w:t>
      </w:r>
    </w:p>
    <w:p>
      <w:pPr>
        <w:spacing w:beforeLines="50" w:line="400" w:lineRule="exact"/>
        <w:rPr>
          <w:rFonts w:ascii="宋体" w:hAnsi="宋体" w:cs="宋体"/>
          <w:color w:val="auto"/>
          <w:sz w:val="24"/>
        </w:rPr>
      </w:pPr>
      <w:r>
        <w:rPr>
          <w:rFonts w:hint="eastAsia" w:ascii="宋体" w:hAnsi="宋体" w:cs="宋体"/>
          <w:color w:val="auto"/>
          <w:sz w:val="24"/>
        </w:rPr>
        <w:t>联系人：                                 联系人：</w:t>
      </w:r>
    </w:p>
    <w:p>
      <w:pPr>
        <w:spacing w:beforeLines="50" w:line="400" w:lineRule="exact"/>
        <w:rPr>
          <w:rFonts w:ascii="宋体" w:hAnsi="宋体" w:cs="宋体"/>
          <w:color w:val="auto"/>
          <w:sz w:val="24"/>
        </w:rPr>
      </w:pPr>
      <w:r>
        <w:rPr>
          <w:rFonts w:hint="eastAsia" w:ascii="宋体" w:hAnsi="宋体" w:cs="宋体"/>
          <w:color w:val="auto"/>
          <w:sz w:val="24"/>
        </w:rPr>
        <w:t>电话：                                   电话：</w:t>
      </w:r>
    </w:p>
    <w:p>
      <w:pPr>
        <w:spacing w:beforeLines="50" w:line="400" w:lineRule="exact"/>
        <w:rPr>
          <w:rFonts w:ascii="宋体" w:hAnsi="宋体" w:cs="宋体"/>
          <w:color w:val="auto"/>
          <w:sz w:val="24"/>
        </w:rPr>
      </w:pPr>
      <w:r>
        <w:rPr>
          <w:rFonts w:hint="eastAsia" w:ascii="宋体" w:hAnsi="宋体" w:cs="宋体"/>
          <w:color w:val="auto"/>
          <w:sz w:val="24"/>
        </w:rPr>
        <w:t>传真：                                   传真：</w:t>
      </w:r>
    </w:p>
    <w:p>
      <w:pPr>
        <w:spacing w:beforeLines="50" w:line="400" w:lineRule="exact"/>
        <w:rPr>
          <w:rFonts w:ascii="宋体" w:hAnsi="宋体" w:cs="宋体"/>
          <w:color w:val="auto"/>
          <w:sz w:val="24"/>
        </w:rPr>
      </w:pPr>
      <w:r>
        <w:rPr>
          <w:rFonts w:hint="eastAsia" w:ascii="宋体" w:hAnsi="宋体" w:cs="宋体"/>
          <w:color w:val="auto"/>
          <w:sz w:val="24"/>
        </w:rPr>
        <w:t>开户银行：                               开户银行：</w:t>
      </w:r>
    </w:p>
    <w:p>
      <w:pPr>
        <w:spacing w:beforeLines="50" w:line="400" w:lineRule="exact"/>
        <w:rPr>
          <w:rFonts w:ascii="宋体" w:hAnsi="宋体" w:cs="宋体"/>
          <w:color w:val="auto"/>
          <w:sz w:val="24"/>
        </w:rPr>
      </w:pPr>
      <w:r>
        <w:rPr>
          <w:rFonts w:hint="eastAsia" w:ascii="宋体" w:hAnsi="宋体" w:cs="宋体"/>
          <w:color w:val="auto"/>
          <w:sz w:val="24"/>
        </w:rPr>
        <w:t>帐号：                                   帐号：</w:t>
      </w:r>
    </w:p>
    <w:p>
      <w:pPr>
        <w:spacing w:beforeLines="50" w:line="400" w:lineRule="exact"/>
        <w:rPr>
          <w:rFonts w:hint="eastAsia" w:ascii="宋体" w:hAnsi="宋体" w:cs="宋体"/>
          <w:color w:val="auto"/>
          <w:sz w:val="24"/>
        </w:rPr>
      </w:pPr>
      <w:r>
        <w:rPr>
          <w:rFonts w:hint="eastAsia" w:ascii="宋体" w:hAnsi="宋体" w:cs="宋体"/>
          <w:color w:val="auto"/>
          <w:sz w:val="24"/>
        </w:rPr>
        <w:t>年 月 日                                 年 月 日</w:t>
      </w:r>
    </w:p>
    <w:p>
      <w:pPr>
        <w:pStyle w:val="2"/>
      </w:pPr>
    </w:p>
    <w:p>
      <w:pPr>
        <w:pStyle w:val="4"/>
        <w:spacing w:line="240" w:lineRule="auto"/>
        <w:ind w:left="360"/>
        <w:jc w:val="center"/>
        <w:rPr>
          <w:rFonts w:ascii="宋体" w:hAnsi="宋体" w:cs="宋体"/>
          <w:color w:val="auto"/>
          <w:sz w:val="32"/>
          <w:szCs w:val="32"/>
        </w:rPr>
      </w:pPr>
      <w:bookmarkStart w:id="44" w:name="_Toc20685"/>
      <w:bookmarkStart w:id="45" w:name="_Toc21224"/>
      <w:r>
        <w:rPr>
          <w:rFonts w:hint="eastAsia" w:ascii="宋体" w:hAnsi="宋体" w:cs="宋体"/>
          <w:color w:val="auto"/>
          <w:sz w:val="32"/>
          <w:szCs w:val="32"/>
        </w:rPr>
        <w:t>第六章  响应文件格式</w:t>
      </w:r>
      <w:bookmarkEnd w:id="44"/>
      <w:bookmarkEnd w:id="45"/>
    </w:p>
    <w:p>
      <w:pPr>
        <w:widowControl/>
        <w:autoSpaceDE w:val="0"/>
        <w:autoSpaceDN w:val="0"/>
        <w:snapToGrid w:val="0"/>
        <w:spacing w:line="440" w:lineRule="exact"/>
        <w:ind w:firstLine="480" w:firstLineChars="200"/>
        <w:jc w:val="left"/>
        <w:textAlignment w:val="bottom"/>
        <w:rPr>
          <w:rFonts w:hint="eastAsia" w:ascii="宋体" w:hAnsi="宋体" w:cs="宋体"/>
          <w:bCs/>
          <w:color w:val="auto"/>
          <w:sz w:val="24"/>
        </w:rPr>
      </w:pPr>
      <w:r>
        <w:rPr>
          <w:rFonts w:hint="eastAsia" w:ascii="宋体" w:hAnsi="宋体" w:cs="宋体"/>
          <w:bCs/>
          <w:color w:val="auto"/>
          <w:sz w:val="24"/>
        </w:rPr>
        <w:t>本章节内容提供部分响应文件格式，磋商文件中要求，但未提供格式的，须由供应商自行制作。</w:t>
      </w: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rPr>
          <w:rFonts w:hint="eastAsia" w:ascii="宋体" w:hAnsi="宋体" w:cs="宋体"/>
          <w:bCs/>
          <w:color w:val="auto"/>
          <w:sz w:val="24"/>
        </w:rPr>
      </w:pPr>
    </w:p>
    <w:p>
      <w:pPr>
        <w:pStyle w:val="3"/>
        <w:rPr>
          <w:rFonts w:hint="eastAsia" w:ascii="宋体" w:hAnsi="宋体" w:cs="宋体"/>
          <w:bCs/>
          <w:color w:val="auto"/>
          <w:sz w:val="24"/>
        </w:rPr>
      </w:pPr>
    </w:p>
    <w:p>
      <w:pPr>
        <w:rPr>
          <w:rFonts w:hint="eastAsia" w:ascii="宋体" w:hAnsi="宋体" w:cs="宋体"/>
          <w:bCs/>
          <w:color w:val="auto"/>
          <w:sz w:val="24"/>
        </w:rPr>
      </w:pPr>
    </w:p>
    <w:p>
      <w:pPr>
        <w:pStyle w:val="2"/>
      </w:pPr>
    </w:p>
    <w:p>
      <w:pPr>
        <w:widowControl/>
        <w:autoSpaceDE w:val="0"/>
        <w:autoSpaceDN w:val="0"/>
        <w:snapToGrid w:val="0"/>
        <w:spacing w:line="440" w:lineRule="exact"/>
        <w:ind w:firstLine="482" w:firstLineChars="200"/>
        <w:jc w:val="center"/>
        <w:textAlignment w:val="bottom"/>
        <w:outlineLvl w:val="0"/>
        <w:rPr>
          <w:rFonts w:ascii="宋体" w:hAnsi="宋体" w:cs="宋体"/>
          <w:b/>
          <w:color w:val="auto"/>
          <w:sz w:val="24"/>
        </w:rPr>
      </w:pPr>
      <w:bookmarkStart w:id="46" w:name="_Toc21893"/>
      <w:bookmarkStart w:id="47" w:name="_Toc13444"/>
      <w:r>
        <w:rPr>
          <w:rFonts w:hint="eastAsia" w:ascii="宋体" w:hAnsi="宋体"/>
          <w:b/>
          <w:color w:val="auto"/>
          <w:kern w:val="0"/>
          <w:sz w:val="24"/>
        </w:rPr>
        <w:t>磋商声明书</w:t>
      </w:r>
      <w:bookmarkEnd w:id="46"/>
      <w:bookmarkEnd w:id="47"/>
    </w:p>
    <w:p>
      <w:pPr>
        <w:snapToGrid w:val="0"/>
        <w:spacing w:beforeLines="50" w:after="50" w:line="276"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r>
        <w:rPr>
          <w:rFonts w:hint="eastAsia" w:ascii="宋体" w:hAnsi="宋体"/>
          <w:color w:val="auto"/>
          <w:sz w:val="24"/>
        </w:rPr>
        <w:t>：</w:t>
      </w:r>
    </w:p>
    <w:p>
      <w:pPr>
        <w:snapToGrid w:val="0"/>
        <w:spacing w:beforeLines="50" w:after="50" w:line="276" w:lineRule="auto"/>
        <w:ind w:firstLine="720" w:firstLineChars="300"/>
        <w:rPr>
          <w:rFonts w:ascii="宋体" w:hAnsi="宋体"/>
          <w:color w:val="auto"/>
          <w:sz w:val="24"/>
        </w:rPr>
      </w:pPr>
      <w:r>
        <w:rPr>
          <w:rFonts w:hint="eastAsia" w:ascii="宋体" w:hAnsi="宋体"/>
          <w:color w:val="auto"/>
          <w:sz w:val="24"/>
          <w:u w:val="single"/>
        </w:rPr>
        <w:t>（供应商名称）</w:t>
      </w:r>
      <w:r>
        <w:rPr>
          <w:rFonts w:hint="eastAsia" w:ascii="宋体" w:hAnsi="宋体"/>
          <w:color w:val="auto"/>
          <w:sz w:val="24"/>
        </w:rPr>
        <w:t>系中华人民共和国合法企业，经营地址</w:t>
      </w:r>
      <w:r>
        <w:rPr>
          <w:rFonts w:hint="eastAsia" w:ascii="宋体" w:hAnsi="宋体"/>
          <w:color w:val="auto"/>
          <w:sz w:val="24"/>
          <w:u w:val="single"/>
          <w:lang w:val="en-US" w:eastAsia="zh-CN"/>
        </w:rPr>
        <w:t xml:space="preserve">          </w:t>
      </w:r>
      <w:r>
        <w:rPr>
          <w:rFonts w:hint="eastAsia" w:ascii="宋体" w:hAnsi="宋体"/>
          <w:color w:val="auto"/>
          <w:sz w:val="24"/>
        </w:rPr>
        <w:t>。</w:t>
      </w:r>
    </w:p>
    <w:p>
      <w:pPr>
        <w:snapToGrid w:val="0"/>
        <w:spacing w:beforeLines="50" w:after="50" w:line="276" w:lineRule="auto"/>
        <w:ind w:firstLine="645"/>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（姓名）</w:t>
      </w:r>
      <w:r>
        <w:rPr>
          <w:rFonts w:hint="eastAsia" w:ascii="宋体" w:hAnsi="宋体"/>
          <w:color w:val="auto"/>
          <w:sz w:val="24"/>
        </w:rPr>
        <w:t>系</w:t>
      </w:r>
      <w:r>
        <w:rPr>
          <w:rFonts w:hint="eastAsia" w:ascii="宋体" w:hAnsi="宋体"/>
          <w:color w:val="auto"/>
          <w:sz w:val="24"/>
          <w:u w:val="single"/>
        </w:rPr>
        <w:t>（投标人名称）</w:t>
      </w:r>
      <w:r>
        <w:rPr>
          <w:rFonts w:hint="eastAsia" w:ascii="宋体" w:hAnsi="宋体"/>
          <w:color w:val="auto"/>
          <w:sz w:val="24"/>
        </w:rPr>
        <w:t>的法定代表人，我方愿意参加贵方组织的</w:t>
      </w:r>
      <w:r>
        <w:rPr>
          <w:rFonts w:hint="eastAsia" w:ascii="宋体" w:hAnsi="宋体"/>
          <w:color w:val="auto"/>
          <w:sz w:val="24"/>
          <w:u w:val="single"/>
          <w:lang w:val="en-US" w:eastAsia="zh-CN"/>
        </w:rPr>
        <w:t xml:space="preserve">      </w:t>
      </w:r>
      <w:r>
        <w:rPr>
          <w:rFonts w:hint="eastAsia" w:ascii="宋体" w:hAnsi="宋体"/>
          <w:color w:val="auto"/>
          <w:sz w:val="24"/>
        </w:rPr>
        <w:t>项目的投标，为便于贵方公正、择优地确定中标人，我方就本次投标有关事项郑重声明如下：</w:t>
      </w:r>
    </w:p>
    <w:p>
      <w:pPr>
        <w:snapToGrid w:val="0"/>
        <w:spacing w:line="276" w:lineRule="auto"/>
        <w:ind w:firstLine="480" w:firstLineChars="200"/>
        <w:rPr>
          <w:rFonts w:ascii="宋体" w:hAnsi="宋体"/>
          <w:color w:val="auto"/>
          <w:sz w:val="24"/>
        </w:rPr>
      </w:pPr>
      <w:r>
        <w:rPr>
          <w:rFonts w:hint="eastAsia" w:ascii="宋体" w:hAnsi="宋体"/>
          <w:color w:val="auto"/>
          <w:sz w:val="24"/>
        </w:rPr>
        <w:t>1、我方向贵方提交的所有投标文件、资料都是准确的和真实的。</w:t>
      </w:r>
    </w:p>
    <w:p>
      <w:pPr>
        <w:snapToGrid w:val="0"/>
        <w:spacing w:beforeLines="50" w:line="276" w:lineRule="auto"/>
        <w:ind w:firstLine="480" w:firstLineChars="200"/>
        <w:rPr>
          <w:rFonts w:ascii="宋体" w:hAnsi="宋体"/>
          <w:color w:val="auto"/>
          <w:sz w:val="24"/>
        </w:rPr>
      </w:pPr>
      <w:r>
        <w:rPr>
          <w:rFonts w:hint="eastAsia" w:ascii="宋体" w:hAnsi="宋体"/>
          <w:color w:val="auto"/>
          <w:sz w:val="24"/>
        </w:rPr>
        <w:t>2、我方不是招标人的附属机构，在获知本项目采购信息后，与招标人聘请的为此项目提供咨询服务的公司及其附属机构没有任何联系。</w:t>
      </w:r>
    </w:p>
    <w:p>
      <w:pPr>
        <w:snapToGrid w:val="0"/>
        <w:spacing w:beforeLines="50" w:line="276" w:lineRule="auto"/>
        <w:ind w:firstLine="480" w:firstLineChars="200"/>
        <w:rPr>
          <w:rFonts w:ascii="宋体" w:hAnsi="宋体"/>
          <w:color w:val="auto"/>
          <w:sz w:val="24"/>
        </w:rPr>
      </w:pPr>
      <w:r>
        <w:rPr>
          <w:rFonts w:hint="eastAsia" w:ascii="宋体" w:hAnsi="宋体"/>
          <w:color w:val="auto"/>
          <w:sz w:val="24"/>
        </w:rPr>
        <w:t>3、我方诚意提请贵方关注：近期有关该项目的维修服务、质量等方面的重大决策和事项有：</w:t>
      </w:r>
    </w:p>
    <w:p>
      <w:pPr>
        <w:snapToGrid w:val="0"/>
        <w:spacing w:beforeLines="50" w:line="276" w:lineRule="auto"/>
        <w:ind w:firstLine="480" w:firstLineChars="200"/>
        <w:rPr>
          <w:rFonts w:hint="eastAsia" w:ascii="宋体" w:hAnsi="宋体"/>
          <w:color w:val="auto"/>
          <w:sz w:val="24"/>
          <w:u w:val="single"/>
          <w:lang w:val="en-US" w:eastAsia="zh-CN"/>
        </w:rPr>
      </w:pPr>
      <w:r>
        <w:rPr>
          <w:rFonts w:hint="eastAsia" w:ascii="宋体" w:hAnsi="宋体"/>
          <w:color w:val="auto"/>
          <w:sz w:val="24"/>
          <w:u w:val="single"/>
          <w:lang w:val="en-US" w:eastAsia="zh-CN"/>
        </w:rPr>
        <w:t xml:space="preserve">                                             </w:t>
      </w:r>
    </w:p>
    <w:p>
      <w:pPr>
        <w:snapToGrid w:val="0"/>
        <w:spacing w:beforeLines="50" w:line="276" w:lineRule="auto"/>
        <w:ind w:firstLine="480" w:firstLineChars="200"/>
        <w:rPr>
          <w:rFonts w:ascii="宋体" w:hAnsi="宋体"/>
          <w:color w:val="auto"/>
          <w:sz w:val="24"/>
          <w:u w:val="single"/>
        </w:rPr>
      </w:pPr>
      <w:r>
        <w:rPr>
          <w:rFonts w:hint="eastAsia" w:ascii="宋体" w:hAnsi="宋体"/>
          <w:color w:val="auto"/>
          <w:sz w:val="24"/>
        </w:rPr>
        <w:t>4、我方</w:t>
      </w:r>
      <w:r>
        <w:rPr>
          <w:rFonts w:hint="eastAsia" w:hAnsi="宋体"/>
          <w:color w:val="auto"/>
          <w:sz w:val="24"/>
        </w:rPr>
        <w:t>及由本人担任法定代表人的其他机构最近三年内被通报或者被处罚的违法行为有：</w:t>
      </w:r>
    </w:p>
    <w:p>
      <w:pPr>
        <w:snapToGrid w:val="0"/>
        <w:spacing w:beforeLines="50" w:line="276" w:lineRule="auto"/>
        <w:ind w:firstLine="480" w:firstLineChars="200"/>
        <w:rPr>
          <w:rFonts w:ascii="宋体" w:hAnsi="宋体"/>
          <w:color w:val="auto"/>
          <w:sz w:val="24"/>
          <w:u w:val="single"/>
        </w:rPr>
      </w:pPr>
      <w:r>
        <w:rPr>
          <w:rFonts w:hint="eastAsia" w:ascii="宋体" w:hAnsi="宋体"/>
          <w:color w:val="auto"/>
          <w:sz w:val="24"/>
          <w:u w:val="single"/>
          <w:lang w:val="en-US" w:eastAsia="zh-CN"/>
        </w:rPr>
        <w:t xml:space="preserve">                                             </w:t>
      </w:r>
    </w:p>
    <w:p>
      <w:pPr>
        <w:snapToGrid w:val="0"/>
        <w:spacing w:line="276" w:lineRule="auto"/>
        <w:ind w:firstLine="480" w:firstLineChars="200"/>
        <w:rPr>
          <w:rFonts w:ascii="宋体" w:hAnsi="宋体"/>
          <w:color w:val="auto"/>
          <w:sz w:val="24"/>
        </w:rPr>
      </w:pPr>
      <w:r>
        <w:rPr>
          <w:rFonts w:hint="eastAsia" w:ascii="宋体" w:hAnsi="宋体"/>
          <w:color w:val="auto"/>
          <w:sz w:val="24"/>
        </w:rPr>
        <w:t>5、以上事项如有虚假或隐瞒，我方愿意承担一切后果，并不再寻求任何旨在减轻或免除法律责任的辩解。</w:t>
      </w:r>
    </w:p>
    <w:p>
      <w:pPr>
        <w:snapToGrid w:val="0"/>
        <w:spacing w:line="276" w:lineRule="auto"/>
        <w:ind w:firstLine="480" w:firstLineChars="200"/>
        <w:rPr>
          <w:rFonts w:ascii="宋体" w:hAnsi="宋体"/>
          <w:color w:val="auto"/>
          <w:sz w:val="24"/>
        </w:rPr>
      </w:pPr>
    </w:p>
    <w:p>
      <w:pPr>
        <w:snapToGrid w:val="0"/>
        <w:spacing w:line="276" w:lineRule="auto"/>
        <w:ind w:firstLine="480" w:firstLineChars="200"/>
        <w:rPr>
          <w:rFonts w:ascii="宋体" w:hAnsi="宋体"/>
          <w:color w:val="auto"/>
          <w:sz w:val="24"/>
        </w:rPr>
      </w:pPr>
    </w:p>
    <w:p>
      <w:pPr>
        <w:snapToGrid w:val="0"/>
        <w:spacing w:beforeLines="50"/>
        <w:ind w:firstLine="2232" w:firstLineChars="930"/>
        <w:rPr>
          <w:rFonts w:ascii="宋体" w:hAnsi="宋体"/>
          <w:color w:val="auto"/>
          <w:sz w:val="24"/>
        </w:rPr>
      </w:pPr>
      <w:r>
        <w:rPr>
          <w:rFonts w:hint="eastAsia" w:ascii="宋体" w:hAnsi="宋体"/>
          <w:color w:val="auto"/>
          <w:sz w:val="24"/>
        </w:rPr>
        <w:t>法定代表人或授权代表签字：</w:t>
      </w:r>
    </w:p>
    <w:p>
      <w:pPr>
        <w:snapToGrid w:val="0"/>
        <w:spacing w:beforeLines="50" w:after="50"/>
        <w:ind w:firstLine="3000" w:firstLineChars="1250"/>
        <w:rPr>
          <w:rFonts w:ascii="宋体" w:hAnsi="宋体"/>
          <w:color w:val="auto"/>
          <w:sz w:val="24"/>
        </w:rPr>
      </w:pPr>
      <w:r>
        <w:rPr>
          <w:rFonts w:hint="eastAsia" w:ascii="宋体" w:hAnsi="宋体"/>
          <w:color w:val="auto"/>
          <w:sz w:val="24"/>
        </w:rPr>
        <w:t>投标人公章：</w:t>
      </w:r>
    </w:p>
    <w:p>
      <w:pPr>
        <w:ind w:firstLine="4320" w:firstLineChars="1800"/>
        <w:rPr>
          <w:rFonts w:ascii="宋体" w:hAnsi="宋体" w:cs="宋体"/>
          <w:b/>
          <w:color w:val="auto"/>
          <w:sz w:val="32"/>
          <w:szCs w:val="32"/>
        </w:rPr>
      </w:pPr>
      <w:r>
        <w:rPr>
          <w:rFonts w:hint="eastAsia" w:ascii="宋体" w:hAnsi="宋体"/>
          <w:color w:val="auto"/>
          <w:sz w:val="24"/>
        </w:rPr>
        <w:t>年    月    日</w:t>
      </w:r>
    </w:p>
    <w:p>
      <w:pPr>
        <w:spacing w:line="280" w:lineRule="exact"/>
        <w:rPr>
          <w:rFonts w:ascii="宋体" w:hAnsi="宋体" w:cs="宋体"/>
          <w:color w:val="auto"/>
          <w:sz w:val="24"/>
        </w:rPr>
      </w:pPr>
    </w:p>
    <w:p>
      <w:pPr>
        <w:spacing w:line="280" w:lineRule="exact"/>
        <w:rPr>
          <w:rFonts w:ascii="宋体" w:hAnsi="宋体" w:cs="宋体"/>
          <w:color w:val="auto"/>
          <w:sz w:val="24"/>
        </w:rPr>
      </w:pPr>
    </w:p>
    <w:p>
      <w:pPr>
        <w:spacing w:line="280" w:lineRule="exact"/>
        <w:rPr>
          <w:rFonts w:ascii="宋体" w:hAnsi="宋体" w:cs="宋体"/>
          <w:color w:val="auto"/>
          <w:sz w:val="24"/>
        </w:rPr>
      </w:pPr>
    </w:p>
    <w:p>
      <w:pPr>
        <w:spacing w:line="280" w:lineRule="exact"/>
        <w:rPr>
          <w:rFonts w:ascii="宋体" w:hAnsi="宋体" w:cs="宋体"/>
          <w:color w:val="auto"/>
          <w:sz w:val="24"/>
        </w:rPr>
      </w:pPr>
    </w:p>
    <w:p>
      <w:pPr>
        <w:pStyle w:val="50"/>
        <w:rPr>
          <w:rFonts w:ascii="宋体" w:hAnsi="宋体" w:eastAsia="宋体" w:cs="宋体"/>
          <w:color w:val="auto"/>
          <w:sz w:val="24"/>
        </w:rPr>
      </w:pPr>
    </w:p>
    <w:p>
      <w:pPr>
        <w:pStyle w:val="50"/>
        <w:rPr>
          <w:rFonts w:ascii="宋体" w:hAnsi="宋体" w:eastAsia="宋体" w:cs="宋体"/>
          <w:color w:val="auto"/>
          <w:sz w:val="24"/>
        </w:rPr>
      </w:pPr>
    </w:p>
    <w:p>
      <w:pPr>
        <w:pStyle w:val="50"/>
        <w:rPr>
          <w:rFonts w:ascii="宋体" w:hAnsi="宋体" w:eastAsia="宋体" w:cs="宋体"/>
          <w:color w:val="auto"/>
          <w:sz w:val="24"/>
        </w:rPr>
      </w:pPr>
    </w:p>
    <w:p>
      <w:pPr>
        <w:spacing w:line="280" w:lineRule="exact"/>
        <w:rPr>
          <w:rFonts w:ascii="宋体" w:hAnsi="宋体" w:cs="宋体"/>
          <w:color w:val="auto"/>
          <w:sz w:val="24"/>
        </w:rPr>
      </w:pPr>
    </w:p>
    <w:p>
      <w:pPr>
        <w:pageBreakBefore/>
        <w:jc w:val="center"/>
        <w:outlineLvl w:val="0"/>
        <w:rPr>
          <w:rFonts w:ascii="宋体" w:hAnsi="宋体"/>
          <w:b/>
          <w:color w:val="auto"/>
          <w:kern w:val="0"/>
          <w:sz w:val="24"/>
        </w:rPr>
      </w:pPr>
      <w:bookmarkStart w:id="48" w:name="_Toc31051"/>
      <w:bookmarkStart w:id="49" w:name="_Toc11605"/>
      <w:r>
        <w:rPr>
          <w:rFonts w:hint="eastAsia" w:ascii="宋体" w:hAnsi="宋体"/>
          <w:b/>
          <w:color w:val="auto"/>
          <w:kern w:val="0"/>
          <w:sz w:val="24"/>
        </w:rPr>
        <w:t>法定代表人有效身份证明书</w:t>
      </w:r>
      <w:bookmarkEnd w:id="48"/>
      <w:bookmarkEnd w:id="49"/>
    </w:p>
    <w:p>
      <w:pPr>
        <w:spacing w:line="500" w:lineRule="exact"/>
        <w:ind w:firstLine="360" w:firstLineChars="150"/>
        <w:jc w:val="left"/>
        <w:rPr>
          <w:rFonts w:ascii="宋体" w:hAnsi="宋体"/>
          <w:color w:val="auto"/>
          <w:kern w:val="0"/>
          <w:sz w:val="24"/>
        </w:rPr>
      </w:pPr>
      <w:r>
        <w:rPr>
          <w:rFonts w:hint="eastAsia" w:ascii="宋体" w:hAnsi="宋体"/>
          <w:color w:val="auto"/>
          <w:kern w:val="0"/>
          <w:sz w:val="24"/>
          <w:u w:val="single"/>
        </w:rPr>
        <w:t>（姓名）</w:t>
      </w:r>
      <w:r>
        <w:rPr>
          <w:rFonts w:hint="eastAsia" w:ascii="宋体" w:hAnsi="宋体"/>
          <w:color w:val="auto"/>
          <w:kern w:val="0"/>
          <w:sz w:val="24"/>
        </w:rPr>
        <w:t>是</w:t>
      </w:r>
      <w:r>
        <w:rPr>
          <w:rFonts w:hint="eastAsia" w:ascii="宋体" w:hAnsi="宋体"/>
          <w:color w:val="auto"/>
          <w:kern w:val="0"/>
          <w:sz w:val="24"/>
          <w:u w:val="single"/>
        </w:rPr>
        <w:t>（供应商全称）</w:t>
      </w:r>
      <w:r>
        <w:rPr>
          <w:rFonts w:hint="eastAsia" w:ascii="宋体" w:hAnsi="宋体"/>
          <w:color w:val="auto"/>
          <w:kern w:val="0"/>
          <w:sz w:val="24"/>
        </w:rPr>
        <w:t>的法定代表人，身份证号码为</w:t>
      </w:r>
      <w:r>
        <w:rPr>
          <w:rFonts w:hint="eastAsia" w:ascii="宋体" w:hAnsi="宋体"/>
          <w:color w:val="auto"/>
          <w:kern w:val="0"/>
          <w:sz w:val="24"/>
          <w:u w:val="single"/>
          <w:lang w:val="en-US" w:eastAsia="zh-CN"/>
        </w:rPr>
        <w:t xml:space="preserve">                    </w:t>
      </w:r>
      <w:r>
        <w:rPr>
          <w:rFonts w:hint="eastAsia" w:ascii="宋体" w:hAnsi="宋体"/>
          <w:color w:val="auto"/>
          <w:kern w:val="0"/>
          <w:sz w:val="24"/>
        </w:rPr>
        <w:t>。</w:t>
      </w:r>
    </w:p>
    <w:p>
      <w:pPr>
        <w:spacing w:line="500" w:lineRule="exact"/>
        <w:jc w:val="left"/>
        <w:rPr>
          <w:rFonts w:ascii="宋体" w:hAnsi="宋体"/>
          <w:color w:val="auto"/>
          <w:kern w:val="0"/>
          <w:sz w:val="24"/>
        </w:rPr>
      </w:pPr>
      <w:r>
        <w:rPr>
          <w:rFonts w:hint="eastAsia" w:ascii="宋体" w:hAnsi="宋体"/>
          <w:color w:val="auto"/>
          <w:kern w:val="0"/>
          <w:sz w:val="24"/>
        </w:rPr>
        <w:t>特此证明。</w:t>
      </w:r>
    </w:p>
    <w:p>
      <w:pPr>
        <w:spacing w:line="500" w:lineRule="exact"/>
        <w:jc w:val="left"/>
        <w:rPr>
          <w:rFonts w:ascii="宋体" w:hAnsi="宋体"/>
          <w:color w:val="auto"/>
          <w:kern w:val="0"/>
          <w:sz w:val="24"/>
        </w:rPr>
      </w:pPr>
    </w:p>
    <w:p>
      <w:pPr>
        <w:spacing w:line="500" w:lineRule="exact"/>
        <w:jc w:val="left"/>
        <w:rPr>
          <w:rFonts w:ascii="宋体" w:hAnsi="宋体"/>
          <w:color w:val="auto"/>
          <w:kern w:val="0"/>
          <w:sz w:val="24"/>
        </w:rPr>
      </w:pPr>
    </w:p>
    <w:p>
      <w:pPr>
        <w:spacing w:line="500" w:lineRule="exact"/>
        <w:jc w:val="left"/>
        <w:rPr>
          <w:rFonts w:ascii="宋体" w:hAnsi="宋体"/>
          <w:color w:val="auto"/>
          <w:kern w:val="0"/>
          <w:sz w:val="24"/>
        </w:rPr>
      </w:pPr>
      <w:r>
        <w:rPr>
          <w:rFonts w:hint="eastAsia" w:ascii="宋体" w:hAnsi="宋体"/>
          <w:color w:val="auto"/>
          <w:kern w:val="0"/>
          <w:sz w:val="24"/>
        </w:rPr>
        <w:t>供应商：（盖章）</w:t>
      </w:r>
    </w:p>
    <w:p>
      <w:pPr>
        <w:spacing w:line="500" w:lineRule="exact"/>
        <w:jc w:val="left"/>
        <w:rPr>
          <w:rFonts w:ascii="宋体" w:hAnsi="宋体"/>
          <w:color w:val="auto"/>
          <w:kern w:val="0"/>
          <w:sz w:val="24"/>
        </w:rPr>
      </w:pPr>
    </w:p>
    <w:p>
      <w:pPr>
        <w:spacing w:line="500" w:lineRule="exact"/>
        <w:jc w:val="left"/>
        <w:rPr>
          <w:rFonts w:ascii="宋体" w:hAnsi="宋体"/>
          <w:color w:val="auto"/>
          <w:kern w:val="0"/>
          <w:sz w:val="24"/>
        </w:rPr>
      </w:pPr>
      <w:r>
        <w:rPr>
          <w:rFonts w:hint="eastAsia" w:ascii="宋体" w:hAnsi="宋体"/>
          <w:color w:val="auto"/>
          <w:kern w:val="0"/>
          <w:sz w:val="24"/>
        </w:rPr>
        <w:t>法定代表人或其授权代理人（签名或盖章）</w:t>
      </w:r>
    </w:p>
    <w:p>
      <w:pPr>
        <w:spacing w:line="500" w:lineRule="exact"/>
        <w:jc w:val="left"/>
        <w:rPr>
          <w:rFonts w:ascii="宋体" w:hAnsi="宋体"/>
          <w:color w:val="auto"/>
          <w:kern w:val="0"/>
          <w:sz w:val="24"/>
        </w:rPr>
      </w:pPr>
    </w:p>
    <w:p>
      <w:pPr>
        <w:spacing w:line="500" w:lineRule="exact"/>
        <w:jc w:val="left"/>
        <w:rPr>
          <w:rFonts w:ascii="宋体" w:hAnsi="宋体"/>
          <w:color w:val="auto"/>
          <w:kern w:val="0"/>
          <w:sz w:val="24"/>
        </w:rPr>
      </w:pPr>
      <w:r>
        <w:rPr>
          <w:rFonts w:hint="eastAsia" w:ascii="宋体" w:hAnsi="宋体"/>
          <w:color w:val="auto"/>
          <w:kern w:val="0"/>
          <w:sz w:val="24"/>
        </w:rPr>
        <w:t>日期：      年   月   日</w:t>
      </w:r>
    </w:p>
    <w:p>
      <w:pPr>
        <w:spacing w:line="500" w:lineRule="exact"/>
        <w:jc w:val="left"/>
        <w:rPr>
          <w:rFonts w:ascii="宋体" w:hAnsi="宋体"/>
          <w:color w:val="auto"/>
          <w:kern w:val="0"/>
          <w:sz w:val="24"/>
        </w:rPr>
      </w:pPr>
      <w:r>
        <w:rPr>
          <w:rFonts w:hint="eastAsia" w:ascii="宋体" w:hAnsi="宋体"/>
          <w:color w:val="auto"/>
          <w:kern w:val="0"/>
          <w:sz w:val="24"/>
        </w:rPr>
        <w:t>——————————————————————————————</w:t>
      </w:r>
    </w:p>
    <w:p>
      <w:pPr>
        <w:spacing w:line="500" w:lineRule="exact"/>
        <w:jc w:val="center"/>
        <w:rPr>
          <w:rFonts w:ascii="宋体" w:hAnsi="宋体"/>
          <w:color w:val="auto"/>
          <w:kern w:val="0"/>
          <w:sz w:val="24"/>
        </w:rPr>
      </w:pPr>
    </w:p>
    <w:p>
      <w:pPr>
        <w:spacing w:line="500" w:lineRule="exact"/>
        <w:jc w:val="center"/>
        <w:rPr>
          <w:rFonts w:ascii="宋体" w:hAnsi="宋体"/>
          <w:color w:val="auto"/>
          <w:kern w:val="0"/>
          <w:sz w:val="24"/>
        </w:rPr>
      </w:pPr>
    </w:p>
    <w:p>
      <w:pPr>
        <w:spacing w:line="500" w:lineRule="exact"/>
        <w:jc w:val="center"/>
        <w:rPr>
          <w:rFonts w:ascii="宋体" w:hAnsi="宋体"/>
          <w:color w:val="auto"/>
          <w:kern w:val="0"/>
          <w:sz w:val="24"/>
        </w:rPr>
      </w:pPr>
    </w:p>
    <w:p>
      <w:pPr>
        <w:spacing w:line="500" w:lineRule="exact"/>
        <w:jc w:val="center"/>
        <w:rPr>
          <w:rFonts w:ascii="宋体" w:hAnsi="宋体"/>
          <w:color w:val="auto"/>
          <w:kern w:val="0"/>
          <w:sz w:val="24"/>
        </w:rPr>
      </w:pPr>
      <w:r>
        <w:rPr>
          <w:rFonts w:hint="eastAsia" w:ascii="宋体" w:hAnsi="宋体"/>
          <w:color w:val="auto"/>
          <w:kern w:val="0"/>
          <w:sz w:val="24"/>
        </w:rPr>
        <w:t>有效身份证明复印件粘贴处</w:t>
      </w:r>
    </w:p>
    <w:p>
      <w:pPr>
        <w:spacing w:line="500" w:lineRule="exact"/>
        <w:jc w:val="center"/>
        <w:rPr>
          <w:rFonts w:ascii="宋体" w:hAnsi="宋体"/>
          <w:color w:val="auto"/>
          <w:kern w:val="0"/>
          <w:sz w:val="24"/>
        </w:rPr>
      </w:pPr>
    </w:p>
    <w:p>
      <w:pPr>
        <w:spacing w:line="500" w:lineRule="exact"/>
        <w:jc w:val="center"/>
        <w:rPr>
          <w:rFonts w:ascii="宋体" w:hAnsi="宋体"/>
          <w:color w:val="auto"/>
          <w:kern w:val="0"/>
          <w:sz w:val="24"/>
        </w:rPr>
      </w:pPr>
    </w:p>
    <w:p>
      <w:pPr>
        <w:pageBreakBefore/>
        <w:snapToGrid w:val="0"/>
        <w:spacing w:beforeLines="50" w:after="50" w:line="400" w:lineRule="exact"/>
        <w:jc w:val="center"/>
        <w:outlineLvl w:val="0"/>
        <w:rPr>
          <w:rFonts w:ascii="宋体" w:hAnsi="宋体"/>
          <w:b/>
          <w:bCs/>
          <w:color w:val="auto"/>
          <w:sz w:val="24"/>
        </w:rPr>
      </w:pPr>
      <w:bookmarkStart w:id="50" w:name="_Toc7547"/>
      <w:bookmarkStart w:id="51" w:name="_Toc17887"/>
      <w:r>
        <w:rPr>
          <w:rFonts w:hint="eastAsia" w:ascii="宋体" w:hAnsi="宋体"/>
          <w:b/>
          <w:bCs/>
          <w:color w:val="auto"/>
          <w:sz w:val="24"/>
        </w:rPr>
        <w:t>法定代表人授权委托书</w:t>
      </w:r>
      <w:bookmarkEnd w:id="50"/>
      <w:bookmarkEnd w:id="51"/>
    </w:p>
    <w:p>
      <w:pPr>
        <w:snapToGrid w:val="0"/>
        <w:spacing w:beforeLines="50" w:after="50" w:line="400" w:lineRule="exact"/>
        <w:rPr>
          <w:rFonts w:ascii="宋体" w:hAnsi="宋体"/>
          <w:b/>
          <w:bCs/>
          <w:color w:val="auto"/>
          <w:sz w:val="24"/>
        </w:rPr>
      </w:pPr>
      <w:r>
        <w:rPr>
          <w:rFonts w:hint="eastAsia" w:ascii="宋体" w:hAnsi="宋体"/>
          <w:color w:val="auto"/>
          <w:sz w:val="24"/>
        </w:rPr>
        <w:t>致：</w:t>
      </w:r>
      <w:r>
        <w:rPr>
          <w:rFonts w:hint="eastAsia" w:ascii="宋体" w:hAnsi="宋体"/>
          <w:color w:val="auto"/>
          <w:sz w:val="24"/>
          <w:u w:val="single"/>
        </w:rPr>
        <w:t xml:space="preserve"> （招标采购人名称）</w:t>
      </w:r>
      <w:r>
        <w:rPr>
          <w:rFonts w:hint="eastAsia" w:ascii="宋体" w:hAnsi="宋体"/>
          <w:color w:val="auto"/>
          <w:sz w:val="24"/>
        </w:rPr>
        <w:t>：</w:t>
      </w:r>
    </w:p>
    <w:p>
      <w:pPr>
        <w:snapToGrid w:val="0"/>
        <w:spacing w:beforeLines="50" w:after="50" w:line="460" w:lineRule="exact"/>
        <w:ind w:firstLine="600" w:firstLineChars="250"/>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（姓名）</w:t>
      </w:r>
      <w:r>
        <w:rPr>
          <w:rFonts w:hint="eastAsia" w:ascii="宋体" w:hAnsi="宋体"/>
          <w:color w:val="auto"/>
          <w:sz w:val="24"/>
        </w:rPr>
        <w:t xml:space="preserve">系 </w:t>
      </w:r>
      <w:r>
        <w:rPr>
          <w:rFonts w:hint="eastAsia" w:ascii="宋体" w:hAnsi="宋体"/>
          <w:color w:val="auto"/>
          <w:sz w:val="24"/>
          <w:u w:val="single"/>
        </w:rPr>
        <w:t>（投标人名称）</w:t>
      </w:r>
      <w:r>
        <w:rPr>
          <w:rFonts w:hint="eastAsia" w:ascii="宋体" w:hAnsi="宋体"/>
          <w:color w:val="auto"/>
          <w:sz w:val="24"/>
        </w:rPr>
        <w:t>的法定代表人，现授权委托本单位在职职工</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lang w:val="en-US" w:eastAsia="zh-CN"/>
        </w:rPr>
        <w:t xml:space="preserve">                </w:t>
      </w:r>
      <w:r>
        <w:rPr>
          <w:rFonts w:hint="eastAsia" w:ascii="宋体" w:hAnsi="宋体"/>
          <w:color w:val="auto"/>
          <w:sz w:val="24"/>
        </w:rPr>
        <w:t>项目的投标活动，并代表我方全权办理针对上述项目的投标、开标、评标、签约等具体事务和签署相关文件。</w:t>
      </w:r>
    </w:p>
    <w:p>
      <w:pPr>
        <w:snapToGrid w:val="0"/>
        <w:spacing w:beforeLines="50" w:after="50" w:line="400" w:lineRule="exact"/>
        <w:rPr>
          <w:rFonts w:ascii="宋体" w:hAnsi="宋体"/>
          <w:color w:val="auto"/>
          <w:sz w:val="24"/>
        </w:rPr>
      </w:pPr>
      <w:r>
        <w:rPr>
          <w:rFonts w:hint="eastAsia" w:ascii="宋体" w:hAnsi="宋体"/>
          <w:color w:val="auto"/>
          <w:sz w:val="24"/>
        </w:rPr>
        <w:t xml:space="preserve">    我方对被授权人的签名事项负全部责任。</w:t>
      </w:r>
    </w:p>
    <w:p>
      <w:pPr>
        <w:snapToGrid w:val="0"/>
        <w:spacing w:beforeLines="50" w:after="50" w:line="460" w:lineRule="exact"/>
        <w:ind w:firstLine="482"/>
        <w:rPr>
          <w:rFonts w:ascii="宋体" w:hAnsi="宋体"/>
          <w:color w:val="auto"/>
          <w:sz w:val="24"/>
        </w:rPr>
      </w:pPr>
      <w:r>
        <w:rPr>
          <w:rFonts w:hint="eastAsia" w:ascii="宋体" w:hAnsi="宋体"/>
          <w:color w:val="auto"/>
          <w:sz w:val="24"/>
        </w:rPr>
        <w:t>在撤销授权的书面通知以前，本授权书一直有效。被授权人在授权书有效期内签署的所有文件不因授权的撤销而失效。</w:t>
      </w:r>
    </w:p>
    <w:p>
      <w:pPr>
        <w:snapToGrid w:val="0"/>
        <w:spacing w:beforeLines="50" w:after="50" w:line="400" w:lineRule="exact"/>
        <w:ind w:firstLine="480"/>
        <w:rPr>
          <w:rFonts w:ascii="宋体" w:hAnsi="宋体"/>
          <w:color w:val="auto"/>
          <w:sz w:val="24"/>
        </w:rPr>
      </w:pPr>
      <w:r>
        <w:rPr>
          <w:rFonts w:hint="eastAsia" w:ascii="宋体" w:hAnsi="宋体"/>
          <w:color w:val="auto"/>
          <w:sz w:val="24"/>
        </w:rPr>
        <w:t>被授权人无转委托权，特此委托。</w:t>
      </w:r>
    </w:p>
    <w:p>
      <w:pPr>
        <w:snapToGrid w:val="0"/>
        <w:spacing w:beforeLines="50" w:after="50" w:line="400" w:lineRule="exact"/>
        <w:rPr>
          <w:rFonts w:ascii="宋体" w:hAnsi="宋体"/>
          <w:color w:val="auto"/>
          <w:sz w:val="24"/>
        </w:rPr>
      </w:pPr>
    </w:p>
    <w:p>
      <w:pPr>
        <w:snapToGrid w:val="0"/>
        <w:spacing w:beforeLines="50" w:after="50" w:line="400" w:lineRule="exact"/>
        <w:rPr>
          <w:rFonts w:ascii="宋体" w:hAnsi="宋体"/>
          <w:color w:val="auto"/>
          <w:sz w:val="24"/>
          <w:u w:val="single"/>
        </w:rPr>
      </w:pPr>
      <w:r>
        <w:rPr>
          <w:rFonts w:hint="eastAsia" w:ascii="宋体" w:hAnsi="宋体"/>
          <w:color w:val="auto"/>
          <w:sz w:val="24"/>
        </w:rPr>
        <w:t xml:space="preserve">被授权人签名：        </w:t>
      </w:r>
      <w:r>
        <w:rPr>
          <w:rFonts w:hint="eastAsia" w:ascii="宋体" w:hAnsi="宋体"/>
          <w:color w:val="auto"/>
          <w:sz w:val="24"/>
          <w:lang w:val="en-US" w:eastAsia="zh-CN"/>
        </w:rPr>
        <w:t xml:space="preserve">                    </w:t>
      </w:r>
      <w:r>
        <w:rPr>
          <w:rFonts w:hint="eastAsia" w:ascii="宋体" w:hAnsi="宋体"/>
          <w:color w:val="auto"/>
          <w:sz w:val="24"/>
        </w:rPr>
        <w:t xml:space="preserve"> 法定代表人签名：</w:t>
      </w:r>
    </w:p>
    <w:p>
      <w:pPr>
        <w:snapToGrid w:val="0"/>
        <w:spacing w:beforeLines="50" w:after="50" w:line="400" w:lineRule="exact"/>
        <w:rPr>
          <w:rFonts w:ascii="宋体" w:hAnsi="宋体"/>
          <w:color w:val="auto"/>
          <w:sz w:val="24"/>
          <w:u w:val="single"/>
        </w:rPr>
      </w:pPr>
    </w:p>
    <w:p>
      <w:pPr>
        <w:snapToGrid w:val="0"/>
        <w:spacing w:beforeLines="50" w:after="50" w:line="400" w:lineRule="exact"/>
        <w:rPr>
          <w:rFonts w:ascii="宋体" w:hAnsi="宋体"/>
          <w:color w:val="auto"/>
          <w:sz w:val="24"/>
          <w:u w:val="single"/>
        </w:rPr>
      </w:pPr>
      <w:r>
        <w:rPr>
          <w:rFonts w:hint="eastAsia" w:ascii="宋体" w:hAnsi="宋体"/>
          <w:color w:val="auto"/>
          <w:sz w:val="24"/>
        </w:rPr>
        <w:t xml:space="preserve">职务：                </w:t>
      </w:r>
      <w:r>
        <w:rPr>
          <w:rFonts w:hint="eastAsia" w:ascii="宋体" w:hAnsi="宋体"/>
          <w:color w:val="auto"/>
          <w:sz w:val="24"/>
          <w:lang w:val="en-US" w:eastAsia="zh-CN"/>
        </w:rPr>
        <w:t xml:space="preserve">                  </w:t>
      </w:r>
      <w:r>
        <w:rPr>
          <w:rFonts w:hint="eastAsia" w:ascii="宋体" w:hAnsi="宋体"/>
          <w:color w:val="auto"/>
          <w:sz w:val="24"/>
        </w:rPr>
        <w:t xml:space="preserve">   职务：</w:t>
      </w:r>
    </w:p>
    <w:p>
      <w:pPr>
        <w:snapToGrid w:val="0"/>
        <w:spacing w:beforeLines="50" w:after="50" w:line="400" w:lineRule="exact"/>
        <w:ind w:firstLine="960" w:firstLineChars="400"/>
        <w:rPr>
          <w:rFonts w:ascii="宋体" w:hAnsi="宋体"/>
          <w:color w:val="auto"/>
          <w:sz w:val="24"/>
        </w:rPr>
      </w:pPr>
    </w:p>
    <w:p>
      <w:pPr>
        <w:snapToGrid w:val="0"/>
        <w:spacing w:beforeLines="50" w:after="50" w:line="400" w:lineRule="exact"/>
        <w:rPr>
          <w:rFonts w:ascii="宋体" w:hAnsi="宋体"/>
          <w:color w:val="auto"/>
          <w:sz w:val="24"/>
        </w:rPr>
      </w:pPr>
      <w:r>
        <w:rPr>
          <w:rFonts w:hint="eastAsia" w:ascii="宋体" w:hAnsi="宋体"/>
          <w:color w:val="auto"/>
          <w:sz w:val="24"/>
        </w:rPr>
        <w:t>被授权人身份证号码：</w:t>
      </w:r>
    </w:p>
    <w:p>
      <w:pPr>
        <w:snapToGrid w:val="0"/>
        <w:spacing w:beforeLines="50" w:after="50" w:line="400" w:lineRule="exact"/>
        <w:rPr>
          <w:rFonts w:ascii="宋体" w:hAnsi="宋体"/>
          <w:color w:val="auto"/>
          <w:sz w:val="24"/>
        </w:rPr>
      </w:pPr>
    </w:p>
    <w:p>
      <w:pPr>
        <w:snapToGrid w:val="0"/>
        <w:spacing w:beforeLines="50" w:after="50" w:line="400" w:lineRule="exact"/>
        <w:rPr>
          <w:rFonts w:ascii="宋体" w:hAnsi="宋体"/>
          <w:color w:val="auto"/>
          <w:sz w:val="24"/>
        </w:rPr>
      </w:pPr>
      <w:r>
        <w:rPr>
          <w:rFonts w:hint="eastAsia" w:ascii="宋体" w:hAnsi="宋体"/>
          <w:color w:val="auto"/>
          <w:sz w:val="24"/>
        </w:rPr>
        <w:t xml:space="preserve">                                     投标人公章：</w:t>
      </w:r>
    </w:p>
    <w:p>
      <w:pPr>
        <w:snapToGrid w:val="0"/>
        <w:spacing w:beforeLines="50" w:after="50" w:line="400" w:lineRule="exact"/>
        <w:jc w:val="center"/>
        <w:rPr>
          <w:rFonts w:ascii="宋体" w:hAnsi="宋体"/>
          <w:color w:val="auto"/>
          <w:sz w:val="24"/>
        </w:rPr>
      </w:pPr>
      <w:r>
        <w:rPr>
          <w:rFonts w:hint="eastAsia" w:ascii="宋体" w:hAnsi="宋体"/>
          <w:color w:val="auto"/>
          <w:sz w:val="24"/>
        </w:rPr>
        <w:t xml:space="preserve">                                        年    月    日</w:t>
      </w:r>
    </w:p>
    <w:p>
      <w:pPr>
        <w:jc w:val="center"/>
        <w:rPr>
          <w:rFonts w:ascii="宋体" w:hAnsi="宋体"/>
          <w:color w:val="auto"/>
          <w:kern w:val="0"/>
          <w:sz w:val="24"/>
        </w:rPr>
      </w:pPr>
      <w:r>
        <w:rPr>
          <w:rFonts w:hint="eastAsia" w:ascii="宋体" w:hAnsi="宋体"/>
          <w:color w:val="auto"/>
          <w:kern w:val="0"/>
          <w:sz w:val="24"/>
        </w:rPr>
        <w:t>——————————————————————————————</w:t>
      </w:r>
    </w:p>
    <w:p>
      <w:pPr>
        <w:jc w:val="center"/>
        <w:rPr>
          <w:rFonts w:ascii="宋体" w:hAnsi="宋体"/>
          <w:color w:val="auto"/>
          <w:kern w:val="0"/>
          <w:sz w:val="24"/>
        </w:rPr>
      </w:pPr>
      <w:r>
        <w:rPr>
          <w:rFonts w:hint="eastAsia" w:ascii="宋体" w:hAnsi="宋体"/>
          <w:color w:val="auto"/>
          <w:kern w:val="0"/>
          <w:sz w:val="24"/>
        </w:rPr>
        <w:t>授权代理人有效身份证明复印件粘贴处</w:t>
      </w:r>
    </w:p>
    <w:p>
      <w:pPr>
        <w:pStyle w:val="3"/>
        <w:ind w:firstLine="281"/>
        <w:rPr>
          <w:rFonts w:ascii="宋体" w:hAnsi="宋体" w:cs="宋体"/>
          <w:b/>
          <w:color w:val="auto"/>
          <w:szCs w:val="21"/>
        </w:rPr>
      </w:pPr>
    </w:p>
    <w:p>
      <w:pPr>
        <w:pStyle w:val="3"/>
        <w:ind w:firstLine="281"/>
        <w:rPr>
          <w:rFonts w:ascii="宋体" w:hAnsi="宋体" w:cs="宋体"/>
          <w:b/>
          <w:color w:val="auto"/>
          <w:szCs w:val="21"/>
        </w:rPr>
      </w:pPr>
    </w:p>
    <w:p>
      <w:pPr>
        <w:pStyle w:val="3"/>
        <w:ind w:firstLine="281"/>
        <w:rPr>
          <w:rFonts w:ascii="宋体" w:hAnsi="宋体" w:cs="宋体"/>
          <w:b/>
          <w:color w:val="auto"/>
          <w:szCs w:val="21"/>
        </w:rPr>
      </w:pPr>
    </w:p>
    <w:p>
      <w:pPr>
        <w:pStyle w:val="3"/>
        <w:ind w:firstLine="281"/>
        <w:rPr>
          <w:rFonts w:ascii="宋体" w:hAnsi="宋体" w:cs="宋体"/>
          <w:b/>
          <w:color w:val="auto"/>
          <w:szCs w:val="21"/>
        </w:rPr>
      </w:pPr>
    </w:p>
    <w:p>
      <w:pPr>
        <w:pStyle w:val="3"/>
        <w:ind w:firstLine="281"/>
        <w:rPr>
          <w:rFonts w:ascii="宋体" w:hAnsi="宋体" w:cs="宋体"/>
          <w:b/>
          <w:color w:val="auto"/>
          <w:szCs w:val="21"/>
        </w:rPr>
      </w:pPr>
      <w:r>
        <w:rPr>
          <w:rFonts w:hint="eastAsia" w:ascii="宋体" w:hAnsi="宋体" w:cs="宋体"/>
          <w:b/>
          <w:color w:val="auto"/>
          <w:szCs w:val="21"/>
        </w:rPr>
        <w:t>后附授权代理人社保缴费证明（加盖社保机构章）</w:t>
      </w:r>
    </w:p>
    <w:p>
      <w:pPr>
        <w:tabs>
          <w:tab w:val="left" w:pos="1650"/>
        </w:tabs>
        <w:spacing w:line="560" w:lineRule="exact"/>
        <w:jc w:val="center"/>
        <w:outlineLvl w:val="0"/>
        <w:rPr>
          <w:rFonts w:ascii="宋体" w:hAnsi="宋体" w:cs="宋体"/>
          <w:b/>
          <w:bCs/>
          <w:color w:val="auto"/>
          <w:sz w:val="24"/>
        </w:rPr>
      </w:pPr>
      <w:bookmarkStart w:id="52" w:name="_Toc3346"/>
      <w:bookmarkStart w:id="53" w:name="_Toc8058"/>
      <w:r>
        <w:rPr>
          <w:rFonts w:hint="eastAsia" w:ascii="宋体" w:hAnsi="宋体" w:cs="宋体"/>
          <w:b/>
          <w:bCs/>
          <w:color w:val="auto"/>
          <w:sz w:val="24"/>
        </w:rPr>
        <w:t>信用承诺书</w:t>
      </w:r>
      <w:bookmarkEnd w:id="52"/>
      <w:bookmarkEnd w:id="53"/>
    </w:p>
    <w:p>
      <w:pPr>
        <w:tabs>
          <w:tab w:val="left" w:pos="1650"/>
        </w:tabs>
        <w:spacing w:line="560" w:lineRule="exact"/>
        <w:rPr>
          <w:rFonts w:ascii="宋体" w:hAnsi="宋体" w:cs="宋体"/>
          <w:color w:val="auto"/>
          <w:sz w:val="24"/>
        </w:rPr>
      </w:pPr>
    </w:p>
    <w:p>
      <w:pPr>
        <w:tabs>
          <w:tab w:val="left" w:pos="1650"/>
        </w:tabs>
        <w:jc w:val="left"/>
        <w:rPr>
          <w:rFonts w:ascii="宋体" w:hAnsi="宋体" w:cs="宋体"/>
          <w:color w:val="auto"/>
          <w:sz w:val="24"/>
        </w:rPr>
      </w:pPr>
      <w:r>
        <w:rPr>
          <w:rFonts w:hint="eastAsia" w:ascii="宋体" w:hAnsi="宋体" w:cs="宋体"/>
          <w:color w:val="auto"/>
          <w:sz w:val="24"/>
          <w:u w:val="single"/>
        </w:rPr>
        <w:t>（投标单位）</w:t>
      </w:r>
      <w:r>
        <w:rPr>
          <w:rFonts w:hint="eastAsia" w:ascii="宋体" w:hAnsi="宋体" w:cs="宋体"/>
          <w:color w:val="auto"/>
          <w:sz w:val="24"/>
        </w:rPr>
        <w:t>现参加</w:t>
      </w:r>
      <w:r>
        <w:rPr>
          <w:rFonts w:hint="eastAsia" w:ascii="宋体" w:hAnsi="宋体" w:cs="宋体"/>
          <w:color w:val="auto"/>
          <w:sz w:val="24"/>
          <w:u w:val="single"/>
        </w:rPr>
        <w:t>（采购项目）</w:t>
      </w:r>
      <w:r>
        <w:rPr>
          <w:rFonts w:hint="eastAsia" w:ascii="宋体" w:hAnsi="宋体" w:cs="宋体"/>
          <w:color w:val="auto"/>
          <w:sz w:val="24"/>
        </w:rPr>
        <w:t>政府采购活动，郑重承诺如下：</w:t>
      </w:r>
    </w:p>
    <w:p>
      <w:pPr>
        <w:tabs>
          <w:tab w:val="left" w:pos="1650"/>
        </w:tabs>
        <w:spacing w:line="560" w:lineRule="exact"/>
        <w:ind w:firstLine="630"/>
        <w:rPr>
          <w:rFonts w:ascii="宋体" w:hAnsi="宋体" w:cs="宋体"/>
          <w:color w:val="auto"/>
          <w:sz w:val="24"/>
        </w:rPr>
      </w:pPr>
      <w:r>
        <w:rPr>
          <w:rFonts w:hint="eastAsia" w:ascii="宋体" w:hAnsi="宋体" w:cs="宋体"/>
          <w:color w:val="auto"/>
          <w:sz w:val="24"/>
        </w:rPr>
        <w:t>对所提供的资料合法性、真实性、准确性和有效性负责；</w:t>
      </w:r>
    </w:p>
    <w:p>
      <w:pPr>
        <w:tabs>
          <w:tab w:val="left" w:pos="1650"/>
        </w:tabs>
        <w:spacing w:line="560" w:lineRule="exact"/>
        <w:ind w:firstLine="630"/>
        <w:rPr>
          <w:rFonts w:ascii="宋体" w:hAnsi="宋体" w:cs="宋体"/>
          <w:color w:val="auto"/>
          <w:sz w:val="24"/>
        </w:rPr>
      </w:pPr>
      <w:r>
        <w:rPr>
          <w:rFonts w:hint="eastAsia" w:ascii="宋体" w:hAnsi="宋体" w:cs="宋体"/>
          <w:color w:val="auto"/>
          <w:sz w:val="24"/>
        </w:rPr>
        <w:t>严格按照国家法律、法规和规章，依法开展相关经济活动，全面履行应尽的责任和义务；</w:t>
      </w:r>
    </w:p>
    <w:p>
      <w:pPr>
        <w:tabs>
          <w:tab w:val="left" w:pos="1650"/>
        </w:tabs>
        <w:spacing w:line="560" w:lineRule="exact"/>
        <w:ind w:firstLine="630"/>
        <w:rPr>
          <w:rFonts w:ascii="宋体" w:hAnsi="宋体" w:cs="宋体"/>
          <w:color w:val="auto"/>
          <w:sz w:val="24"/>
        </w:rPr>
      </w:pPr>
      <w:r>
        <w:rPr>
          <w:rFonts w:hint="eastAsia" w:ascii="宋体" w:hAnsi="宋体" w:cs="宋体"/>
          <w:color w:val="auto"/>
          <w:sz w:val="24"/>
        </w:rPr>
        <w:t>加强自我约束、自我规范、自我管理，不制假售假、不虚假宣传、不违约毁约、不恶意逃债、不偷税漏税，诚信依法经营；</w:t>
      </w:r>
    </w:p>
    <w:p>
      <w:pPr>
        <w:tabs>
          <w:tab w:val="left" w:pos="1650"/>
        </w:tabs>
        <w:spacing w:line="560" w:lineRule="exact"/>
        <w:ind w:firstLine="630"/>
        <w:rPr>
          <w:rFonts w:ascii="宋体" w:hAnsi="宋体" w:cs="宋体"/>
          <w:color w:val="auto"/>
          <w:sz w:val="24"/>
        </w:rPr>
      </w:pPr>
      <w:r>
        <w:rPr>
          <w:rFonts w:hint="eastAsia" w:ascii="宋体" w:hAnsi="宋体" w:cs="宋体"/>
          <w:color w:val="auto"/>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宋体" w:hAnsi="宋体" w:cs="宋体"/>
          <w:color w:val="auto"/>
          <w:sz w:val="24"/>
        </w:rPr>
      </w:pPr>
      <w:r>
        <w:rPr>
          <w:rFonts w:hint="eastAsia" w:ascii="宋体" w:hAnsi="宋体" w:cs="宋体"/>
          <w:color w:val="auto"/>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宋体" w:hAnsi="宋体" w:cs="宋体"/>
          <w:color w:val="auto"/>
          <w:sz w:val="24"/>
          <w:u w:val="single"/>
        </w:rPr>
      </w:pPr>
    </w:p>
    <w:p>
      <w:pPr>
        <w:tabs>
          <w:tab w:val="left" w:pos="1650"/>
        </w:tabs>
        <w:spacing w:line="560" w:lineRule="exact"/>
        <w:rPr>
          <w:rFonts w:ascii="宋体" w:hAnsi="宋体" w:cs="宋体"/>
          <w:color w:val="auto"/>
          <w:sz w:val="24"/>
          <w:u w:val="single"/>
        </w:rPr>
      </w:pPr>
    </w:p>
    <w:p>
      <w:pPr>
        <w:widowControl/>
        <w:spacing w:line="560" w:lineRule="exact"/>
        <w:ind w:firstLine="600" w:firstLineChars="250"/>
        <w:jc w:val="left"/>
        <w:rPr>
          <w:rFonts w:ascii="宋体" w:hAnsi="宋体" w:cs="宋体"/>
          <w:color w:val="auto"/>
          <w:spacing w:val="-7"/>
          <w:kern w:val="0"/>
          <w:sz w:val="24"/>
        </w:rPr>
      </w:pPr>
      <w:r>
        <w:rPr>
          <w:rFonts w:hint="eastAsia" w:ascii="宋体" w:hAnsi="宋体" w:cs="宋体"/>
          <w:color w:val="auto"/>
          <w:sz w:val="24"/>
        </w:rPr>
        <w:t>统一社会信用代码：</w:t>
      </w:r>
    </w:p>
    <w:p>
      <w:pPr>
        <w:widowControl/>
        <w:spacing w:line="560" w:lineRule="exact"/>
        <w:jc w:val="left"/>
        <w:rPr>
          <w:rFonts w:ascii="宋体" w:hAnsi="宋体" w:cs="宋体"/>
          <w:color w:val="auto"/>
          <w:kern w:val="0"/>
          <w:sz w:val="24"/>
        </w:rPr>
      </w:pPr>
    </w:p>
    <w:p>
      <w:pPr>
        <w:widowControl/>
        <w:spacing w:line="560" w:lineRule="exact"/>
        <w:ind w:firstLine="6360" w:firstLineChars="2650"/>
        <w:jc w:val="left"/>
        <w:rPr>
          <w:rFonts w:ascii="宋体" w:hAnsi="宋体" w:cs="宋体"/>
          <w:color w:val="auto"/>
          <w:sz w:val="24"/>
        </w:rPr>
      </w:pPr>
      <w:r>
        <w:rPr>
          <w:rFonts w:hint="eastAsia" w:ascii="宋体" w:hAnsi="宋体" w:cs="宋体"/>
          <w:color w:val="auto"/>
          <w:sz w:val="24"/>
        </w:rPr>
        <w:t>承诺单位/个人（盖章/签名）</w:t>
      </w:r>
    </w:p>
    <w:p>
      <w:pPr>
        <w:adjustRightInd w:val="0"/>
        <w:snapToGrid w:val="0"/>
        <w:spacing w:line="320" w:lineRule="exact"/>
        <w:rPr>
          <w:rFonts w:ascii="宋体" w:hAnsi="宋体" w:cs="宋体"/>
          <w:color w:val="auto"/>
          <w:sz w:val="24"/>
        </w:rPr>
      </w:pPr>
      <w:r>
        <w:rPr>
          <w:rFonts w:hint="eastAsia" w:ascii="宋体" w:hAnsi="宋体" w:cs="宋体"/>
          <w:color w:val="auto"/>
          <w:sz w:val="24"/>
        </w:rPr>
        <w:t xml:space="preserve">                                                       时间：20  年  月  日</w:t>
      </w:r>
    </w:p>
    <w:p>
      <w:pPr>
        <w:adjustRightInd w:val="0"/>
        <w:snapToGrid w:val="0"/>
        <w:spacing w:line="320" w:lineRule="exact"/>
        <w:rPr>
          <w:rFonts w:ascii="宋体" w:hAnsi="宋体" w:cs="宋体"/>
          <w:color w:val="auto"/>
          <w:szCs w:val="21"/>
        </w:rPr>
      </w:pPr>
    </w:p>
    <w:p>
      <w:pPr>
        <w:spacing w:line="400" w:lineRule="exact"/>
        <w:jc w:val="left"/>
        <w:rPr>
          <w:rFonts w:ascii="宋体" w:hAnsi="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pStyle w:val="50"/>
        <w:rPr>
          <w:rFonts w:ascii="宋体" w:hAnsi="宋体" w:eastAsia="宋体" w:cs="宋体"/>
          <w:b/>
          <w:bCs/>
          <w:color w:val="auto"/>
          <w:sz w:val="28"/>
          <w:szCs w:val="28"/>
        </w:rPr>
      </w:pPr>
    </w:p>
    <w:p>
      <w:pPr>
        <w:autoSpaceDE w:val="0"/>
        <w:autoSpaceDN w:val="0"/>
        <w:adjustRightInd w:val="0"/>
        <w:snapToGrid w:val="0"/>
        <w:spacing w:line="440" w:lineRule="exact"/>
        <w:jc w:val="center"/>
        <w:outlineLvl w:val="0"/>
        <w:rPr>
          <w:rFonts w:ascii="宋体" w:hAnsi="宋体" w:cs="宋体"/>
          <w:b/>
          <w:color w:val="auto"/>
          <w:sz w:val="24"/>
        </w:rPr>
      </w:pPr>
      <w:bookmarkStart w:id="54" w:name="_Toc18887"/>
    </w:p>
    <w:p>
      <w:pPr>
        <w:autoSpaceDE w:val="0"/>
        <w:autoSpaceDN w:val="0"/>
        <w:adjustRightInd w:val="0"/>
        <w:snapToGrid w:val="0"/>
        <w:spacing w:line="440" w:lineRule="exact"/>
        <w:jc w:val="center"/>
        <w:outlineLvl w:val="0"/>
        <w:rPr>
          <w:rFonts w:ascii="宋体" w:hAnsi="宋体" w:cs="宋体"/>
          <w:b/>
          <w:color w:val="auto"/>
          <w:sz w:val="24"/>
        </w:rPr>
      </w:pPr>
      <w:bookmarkStart w:id="55" w:name="_Toc25714"/>
      <w:r>
        <w:rPr>
          <w:rFonts w:hint="eastAsia" w:ascii="宋体" w:hAnsi="宋体" w:cs="宋体"/>
          <w:b/>
          <w:color w:val="auto"/>
          <w:sz w:val="24"/>
        </w:rPr>
        <w:t>供应商同类项目实施情况一览表</w:t>
      </w:r>
      <w:bookmarkEnd w:id="54"/>
      <w:bookmarkEnd w:id="55"/>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序号</w:t>
            </w:r>
          </w:p>
        </w:tc>
        <w:tc>
          <w:tcPr>
            <w:tcW w:w="1454"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项目名称</w:t>
            </w:r>
          </w:p>
        </w:tc>
        <w:tc>
          <w:tcPr>
            <w:tcW w:w="1660"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项目实施时间</w:t>
            </w:r>
          </w:p>
        </w:tc>
        <w:tc>
          <w:tcPr>
            <w:tcW w:w="1963"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项目单位名称</w:t>
            </w:r>
          </w:p>
          <w:p>
            <w:pPr>
              <w:spacing w:line="360" w:lineRule="exact"/>
              <w:jc w:val="center"/>
              <w:rPr>
                <w:rFonts w:ascii="宋体" w:hAnsi="宋体" w:cs="宋体"/>
                <w:color w:val="auto"/>
                <w:sz w:val="24"/>
              </w:rPr>
            </w:pPr>
            <w:r>
              <w:rPr>
                <w:rFonts w:hint="eastAsia" w:ascii="宋体" w:hAnsi="宋体" w:cs="宋体"/>
                <w:color w:val="auto"/>
                <w:sz w:val="24"/>
              </w:rPr>
              <w:t>地址及联系方式</w:t>
            </w:r>
          </w:p>
        </w:tc>
        <w:tc>
          <w:tcPr>
            <w:tcW w:w="1844"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项目合同金额（单位：万元）</w:t>
            </w:r>
          </w:p>
        </w:tc>
        <w:tc>
          <w:tcPr>
            <w:tcW w:w="1270"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项目获</w:t>
            </w:r>
          </w:p>
          <w:p>
            <w:pPr>
              <w:spacing w:line="360" w:lineRule="exact"/>
              <w:jc w:val="center"/>
              <w:rPr>
                <w:rFonts w:ascii="宋体" w:hAnsi="宋体" w:cs="宋体"/>
                <w:color w:val="auto"/>
                <w:sz w:val="24"/>
              </w:rPr>
            </w:pPr>
            <w:r>
              <w:rPr>
                <w:rFonts w:hint="eastAsia" w:ascii="宋体" w:hAnsi="宋体" w:cs="宋体"/>
                <w:color w:val="auto"/>
                <w:sz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ign w:val="center"/>
          </w:tcPr>
          <w:p>
            <w:pPr>
              <w:spacing w:line="360" w:lineRule="exact"/>
              <w:jc w:val="center"/>
              <w:rPr>
                <w:rFonts w:ascii="宋体" w:hAnsi="宋体" w:cs="宋体"/>
                <w:color w:val="auto"/>
                <w:sz w:val="24"/>
              </w:rPr>
            </w:pPr>
          </w:p>
        </w:tc>
        <w:tc>
          <w:tcPr>
            <w:tcW w:w="1454" w:type="dxa"/>
            <w:noWrap/>
            <w:vAlign w:val="center"/>
          </w:tcPr>
          <w:p>
            <w:pPr>
              <w:spacing w:line="360" w:lineRule="exact"/>
              <w:jc w:val="center"/>
              <w:rPr>
                <w:rFonts w:ascii="宋体" w:hAnsi="宋体" w:cs="宋体"/>
                <w:color w:val="auto"/>
                <w:sz w:val="24"/>
              </w:rPr>
            </w:pPr>
          </w:p>
        </w:tc>
        <w:tc>
          <w:tcPr>
            <w:tcW w:w="1660" w:type="dxa"/>
            <w:noWrap/>
            <w:vAlign w:val="center"/>
          </w:tcPr>
          <w:p>
            <w:pPr>
              <w:spacing w:line="360" w:lineRule="exact"/>
              <w:jc w:val="center"/>
              <w:rPr>
                <w:rFonts w:ascii="宋体" w:hAnsi="宋体" w:cs="宋体"/>
                <w:color w:val="auto"/>
                <w:sz w:val="24"/>
              </w:rPr>
            </w:pPr>
          </w:p>
        </w:tc>
        <w:tc>
          <w:tcPr>
            <w:tcW w:w="1963" w:type="dxa"/>
            <w:noWrap/>
            <w:vAlign w:val="center"/>
          </w:tcPr>
          <w:p>
            <w:pPr>
              <w:spacing w:line="360" w:lineRule="exact"/>
              <w:jc w:val="center"/>
              <w:rPr>
                <w:rFonts w:ascii="宋体" w:hAnsi="宋体" w:cs="宋体"/>
                <w:color w:val="auto"/>
                <w:sz w:val="24"/>
              </w:rPr>
            </w:pPr>
          </w:p>
        </w:tc>
        <w:tc>
          <w:tcPr>
            <w:tcW w:w="1844" w:type="dxa"/>
            <w:noWrap/>
            <w:vAlign w:val="center"/>
          </w:tcPr>
          <w:p>
            <w:pPr>
              <w:spacing w:line="360" w:lineRule="exact"/>
              <w:jc w:val="center"/>
              <w:rPr>
                <w:rFonts w:ascii="宋体" w:hAnsi="宋体" w:cs="宋体"/>
                <w:color w:val="auto"/>
                <w:sz w:val="24"/>
              </w:rPr>
            </w:pPr>
          </w:p>
        </w:tc>
        <w:tc>
          <w:tcPr>
            <w:tcW w:w="1270" w:type="dxa"/>
            <w:noWrap/>
            <w:vAlign w:val="center"/>
          </w:tcPr>
          <w:p>
            <w:pPr>
              <w:spacing w:line="360" w:lineRule="exact"/>
              <w:jc w:val="center"/>
              <w:rPr>
                <w:rFonts w:ascii="宋体" w:hAnsi="宋体" w:cs="宋体"/>
                <w:color w:val="auto"/>
                <w:sz w:val="24"/>
              </w:rPr>
            </w:pPr>
          </w:p>
        </w:tc>
      </w:tr>
    </w:tbl>
    <w:p>
      <w:pPr>
        <w:autoSpaceDE w:val="0"/>
        <w:autoSpaceDN w:val="0"/>
        <w:adjustRightInd w:val="0"/>
        <w:snapToGrid w:val="0"/>
        <w:spacing w:line="440" w:lineRule="exact"/>
        <w:ind w:firstLine="482" w:firstLineChars="200"/>
        <w:rPr>
          <w:rFonts w:ascii="宋体" w:hAnsi="宋体" w:cs="宋体"/>
          <w:b/>
          <w:color w:val="auto"/>
          <w:sz w:val="24"/>
        </w:rPr>
      </w:pPr>
      <w:r>
        <w:rPr>
          <w:rFonts w:hint="eastAsia" w:ascii="宋体" w:hAnsi="宋体" w:cs="宋体"/>
          <w:b/>
          <w:color w:val="auto"/>
          <w:sz w:val="24"/>
        </w:rPr>
        <w:t>注：相关证明材料等附后。</w:t>
      </w:r>
    </w:p>
    <w:p>
      <w:pPr>
        <w:snapToGrid w:val="0"/>
        <w:spacing w:line="440" w:lineRule="exact"/>
        <w:rPr>
          <w:rFonts w:ascii="宋体" w:hAnsi="宋体" w:cs="宋体"/>
          <w:color w:val="auto"/>
          <w:sz w:val="24"/>
        </w:rPr>
      </w:pPr>
    </w:p>
    <w:p>
      <w:pPr>
        <w:snapToGrid w:val="0"/>
        <w:spacing w:line="440" w:lineRule="exact"/>
        <w:ind w:firstLine="3360" w:firstLineChars="1400"/>
        <w:rPr>
          <w:rFonts w:ascii="宋体" w:hAnsi="宋体" w:cs="宋体"/>
          <w:color w:val="auto"/>
          <w:sz w:val="24"/>
          <w:u w:val="single"/>
        </w:rPr>
      </w:pPr>
      <w:r>
        <w:rPr>
          <w:rFonts w:hint="eastAsia" w:ascii="宋体" w:hAnsi="宋体" w:cs="宋体"/>
          <w:color w:val="auto"/>
          <w:sz w:val="24"/>
        </w:rPr>
        <w:t>授权代表签名：</w:t>
      </w:r>
    </w:p>
    <w:p>
      <w:pPr>
        <w:pStyle w:val="2"/>
        <w:adjustRightInd w:val="0"/>
        <w:snapToGrid w:val="0"/>
        <w:spacing w:after="0" w:line="440" w:lineRule="exact"/>
        <w:ind w:firstLine="3360" w:firstLineChars="1400"/>
        <w:rPr>
          <w:rFonts w:ascii="宋体" w:hAnsi="宋体" w:cs="宋体"/>
          <w:color w:val="auto"/>
          <w:sz w:val="24"/>
        </w:rPr>
      </w:pPr>
      <w:r>
        <w:rPr>
          <w:rFonts w:hint="eastAsia" w:ascii="宋体" w:hAnsi="宋体" w:cs="宋体"/>
          <w:color w:val="auto"/>
          <w:sz w:val="24"/>
        </w:rPr>
        <w:t>供应商盖章：</w:t>
      </w:r>
    </w:p>
    <w:p>
      <w:pPr>
        <w:adjustRightInd w:val="0"/>
        <w:snapToGrid w:val="0"/>
        <w:spacing w:line="440" w:lineRule="exact"/>
        <w:ind w:firstLine="3360" w:firstLineChars="1400"/>
        <w:rPr>
          <w:rFonts w:ascii="宋体" w:hAnsi="宋体" w:cs="宋体"/>
          <w:bCs/>
          <w:color w:val="auto"/>
          <w:sz w:val="24"/>
        </w:rPr>
      </w:pPr>
      <w:r>
        <w:rPr>
          <w:rFonts w:hint="eastAsia" w:ascii="宋体" w:hAnsi="宋体" w:cs="宋体"/>
          <w:bCs/>
          <w:color w:val="auto"/>
          <w:sz w:val="24"/>
        </w:rPr>
        <w:t>年 月  日</w:t>
      </w:r>
    </w:p>
    <w:p>
      <w:pPr>
        <w:pStyle w:val="50"/>
        <w:rPr>
          <w:rFonts w:ascii="宋体" w:hAnsi="宋体" w:eastAsia="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spacing w:line="400" w:lineRule="exact"/>
        <w:jc w:val="left"/>
        <w:rPr>
          <w:rFonts w:ascii="宋体" w:hAnsi="宋体" w:cs="宋体"/>
          <w:b/>
          <w:bCs/>
          <w:color w:val="auto"/>
          <w:sz w:val="28"/>
          <w:szCs w:val="28"/>
        </w:rPr>
      </w:pPr>
    </w:p>
    <w:p>
      <w:pPr>
        <w:adjustRightInd w:val="0"/>
        <w:snapToGrid w:val="0"/>
        <w:spacing w:line="440" w:lineRule="exact"/>
        <w:jc w:val="both"/>
        <w:textAlignment w:val="baseline"/>
        <w:outlineLvl w:val="0"/>
        <w:rPr>
          <w:rFonts w:ascii="宋体" w:hAnsi="宋体" w:cs="宋体"/>
          <w:b/>
          <w:color w:val="auto"/>
          <w:sz w:val="24"/>
        </w:rPr>
      </w:pPr>
      <w:bookmarkStart w:id="56" w:name="_Toc20841"/>
    </w:p>
    <w:p>
      <w:pPr>
        <w:adjustRightInd w:val="0"/>
        <w:snapToGrid w:val="0"/>
        <w:spacing w:line="440" w:lineRule="exact"/>
        <w:jc w:val="center"/>
        <w:textAlignment w:val="baseline"/>
        <w:outlineLvl w:val="0"/>
        <w:rPr>
          <w:rFonts w:ascii="宋体" w:hAnsi="宋体" w:cs="宋体"/>
          <w:b/>
          <w:color w:val="auto"/>
          <w:sz w:val="24"/>
        </w:rPr>
      </w:pPr>
      <w:bookmarkStart w:id="57" w:name="_Toc11747"/>
      <w:r>
        <w:rPr>
          <w:rFonts w:hint="eastAsia" w:ascii="宋体" w:hAnsi="宋体" w:cs="宋体"/>
          <w:b/>
          <w:color w:val="auto"/>
          <w:sz w:val="24"/>
        </w:rPr>
        <w:t>项目实施人员一览表</w:t>
      </w:r>
      <w:bookmarkEnd w:id="56"/>
      <w:bookmarkEnd w:id="57"/>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姓名</w:t>
            </w:r>
          </w:p>
        </w:tc>
        <w:tc>
          <w:tcPr>
            <w:tcW w:w="944"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职务</w:t>
            </w:r>
          </w:p>
        </w:tc>
        <w:tc>
          <w:tcPr>
            <w:tcW w:w="1561"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专业技术资格</w:t>
            </w:r>
          </w:p>
        </w:tc>
        <w:tc>
          <w:tcPr>
            <w:tcW w:w="1182"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证书编号</w:t>
            </w:r>
          </w:p>
        </w:tc>
        <w:tc>
          <w:tcPr>
            <w:tcW w:w="2367"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参加本单位工作时间</w:t>
            </w:r>
          </w:p>
        </w:tc>
        <w:tc>
          <w:tcPr>
            <w:tcW w:w="1723" w:type="dxa"/>
            <w:noWrap/>
            <w:vAlign w:val="center"/>
          </w:tcPr>
          <w:p>
            <w:pPr>
              <w:spacing w:line="360" w:lineRule="exact"/>
              <w:jc w:val="center"/>
              <w:rPr>
                <w:rFonts w:ascii="宋体" w:hAnsi="宋体" w:cs="宋体"/>
                <w:color w:val="auto"/>
                <w:sz w:val="24"/>
              </w:rPr>
            </w:pPr>
            <w:r>
              <w:rPr>
                <w:rFonts w:hint="eastAsia" w:ascii="宋体" w:hAnsi="宋体" w:cs="宋体"/>
                <w:color w:val="auto"/>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ign w:val="center"/>
          </w:tcPr>
          <w:p>
            <w:pPr>
              <w:spacing w:line="360" w:lineRule="exact"/>
              <w:jc w:val="center"/>
              <w:rPr>
                <w:rFonts w:ascii="宋体" w:hAnsi="宋体" w:cs="宋体"/>
                <w:color w:val="auto"/>
                <w:sz w:val="24"/>
              </w:rPr>
            </w:pPr>
          </w:p>
        </w:tc>
        <w:tc>
          <w:tcPr>
            <w:tcW w:w="944" w:type="dxa"/>
            <w:noWrap/>
            <w:vAlign w:val="center"/>
          </w:tcPr>
          <w:p>
            <w:pPr>
              <w:spacing w:line="360" w:lineRule="exact"/>
              <w:jc w:val="center"/>
              <w:rPr>
                <w:rFonts w:ascii="宋体" w:hAnsi="宋体" w:cs="宋体"/>
                <w:color w:val="auto"/>
                <w:sz w:val="24"/>
              </w:rPr>
            </w:pPr>
          </w:p>
        </w:tc>
        <w:tc>
          <w:tcPr>
            <w:tcW w:w="1561" w:type="dxa"/>
            <w:noWrap/>
            <w:vAlign w:val="center"/>
          </w:tcPr>
          <w:p>
            <w:pPr>
              <w:spacing w:line="360" w:lineRule="exact"/>
              <w:jc w:val="center"/>
              <w:rPr>
                <w:rFonts w:ascii="宋体" w:hAnsi="宋体" w:cs="宋体"/>
                <w:color w:val="auto"/>
                <w:sz w:val="24"/>
              </w:rPr>
            </w:pPr>
          </w:p>
        </w:tc>
        <w:tc>
          <w:tcPr>
            <w:tcW w:w="1182" w:type="dxa"/>
            <w:noWrap/>
            <w:vAlign w:val="center"/>
          </w:tcPr>
          <w:p>
            <w:pPr>
              <w:spacing w:line="360" w:lineRule="exact"/>
              <w:jc w:val="center"/>
              <w:rPr>
                <w:rFonts w:ascii="宋体" w:hAnsi="宋体" w:cs="宋体"/>
                <w:color w:val="auto"/>
                <w:sz w:val="24"/>
              </w:rPr>
            </w:pPr>
          </w:p>
        </w:tc>
        <w:tc>
          <w:tcPr>
            <w:tcW w:w="2367" w:type="dxa"/>
            <w:noWrap/>
            <w:vAlign w:val="center"/>
          </w:tcPr>
          <w:p>
            <w:pPr>
              <w:spacing w:line="360" w:lineRule="exact"/>
              <w:jc w:val="center"/>
              <w:rPr>
                <w:rFonts w:ascii="宋体" w:hAnsi="宋体" w:cs="宋体"/>
                <w:color w:val="auto"/>
                <w:sz w:val="24"/>
              </w:rPr>
            </w:pPr>
          </w:p>
        </w:tc>
        <w:tc>
          <w:tcPr>
            <w:tcW w:w="1723" w:type="dxa"/>
            <w:noWrap/>
            <w:vAlign w:val="center"/>
          </w:tcPr>
          <w:p>
            <w:pPr>
              <w:spacing w:line="360" w:lineRule="exact"/>
              <w:jc w:val="center"/>
              <w:rPr>
                <w:rFonts w:ascii="宋体" w:hAnsi="宋体" w:cs="宋体"/>
                <w:color w:val="auto"/>
                <w:sz w:val="24"/>
              </w:rPr>
            </w:pPr>
          </w:p>
        </w:tc>
      </w:tr>
    </w:tbl>
    <w:p>
      <w:pPr>
        <w:snapToGrid w:val="0"/>
        <w:spacing w:line="400" w:lineRule="exact"/>
        <w:jc w:val="left"/>
        <w:rPr>
          <w:rFonts w:ascii="宋体" w:hAnsi="宋体" w:cs="宋体"/>
          <w:color w:val="auto"/>
          <w:sz w:val="24"/>
        </w:rPr>
      </w:pPr>
      <w:r>
        <w:rPr>
          <w:rFonts w:hint="eastAsia" w:ascii="宋体" w:hAnsi="宋体" w:cs="宋体"/>
          <w:color w:val="auto"/>
          <w:sz w:val="24"/>
        </w:rPr>
        <w:t>注：1、在填写时，如本表格不适合投标单位的实际情况，可根据本表格式自行划表填写。</w:t>
      </w:r>
    </w:p>
    <w:p>
      <w:pPr>
        <w:snapToGrid w:val="0"/>
        <w:spacing w:line="400" w:lineRule="exact"/>
        <w:jc w:val="left"/>
        <w:outlineLvl w:val="0"/>
        <w:rPr>
          <w:rFonts w:ascii="宋体" w:hAnsi="宋体" w:cs="宋体"/>
          <w:color w:val="auto"/>
          <w:sz w:val="24"/>
        </w:rPr>
      </w:pPr>
      <w:bookmarkStart w:id="58" w:name="_Toc8367"/>
      <w:bookmarkStart w:id="59" w:name="_Toc8052"/>
      <w:r>
        <w:rPr>
          <w:rFonts w:hint="eastAsia" w:ascii="宋体" w:hAnsi="宋体" w:cs="宋体"/>
          <w:color w:val="auto"/>
          <w:sz w:val="24"/>
        </w:rPr>
        <w:t>2、相关人员社保缴纳证明复印件附后。</w:t>
      </w:r>
      <w:bookmarkEnd w:id="58"/>
      <w:bookmarkEnd w:id="59"/>
    </w:p>
    <w:p>
      <w:pPr>
        <w:snapToGrid w:val="0"/>
        <w:spacing w:line="440" w:lineRule="exact"/>
        <w:ind w:firstLine="3360" w:firstLineChars="1400"/>
        <w:jc w:val="center"/>
        <w:rPr>
          <w:rFonts w:ascii="宋体" w:hAnsi="宋体" w:cs="宋体"/>
          <w:color w:val="auto"/>
          <w:sz w:val="24"/>
        </w:rPr>
      </w:pPr>
    </w:p>
    <w:p>
      <w:pPr>
        <w:snapToGrid w:val="0"/>
        <w:spacing w:line="440" w:lineRule="exact"/>
        <w:jc w:val="center"/>
        <w:rPr>
          <w:rFonts w:ascii="宋体" w:hAnsi="宋体" w:cs="宋体"/>
          <w:color w:val="auto"/>
          <w:sz w:val="24"/>
          <w:u w:val="single"/>
        </w:rPr>
      </w:pPr>
      <w:r>
        <w:rPr>
          <w:rFonts w:hint="eastAsia" w:ascii="宋体" w:hAnsi="宋体" w:cs="宋体"/>
          <w:color w:val="auto"/>
          <w:sz w:val="24"/>
        </w:rPr>
        <w:t>授权代表签名：</w:t>
      </w:r>
    </w:p>
    <w:p>
      <w:pPr>
        <w:pStyle w:val="2"/>
        <w:adjustRightInd w:val="0"/>
        <w:snapToGrid w:val="0"/>
        <w:spacing w:after="0" w:line="440" w:lineRule="exact"/>
        <w:jc w:val="center"/>
        <w:rPr>
          <w:rFonts w:ascii="宋体" w:hAnsi="宋体" w:cs="宋体"/>
          <w:color w:val="auto"/>
          <w:sz w:val="24"/>
        </w:rPr>
      </w:pPr>
      <w:r>
        <w:rPr>
          <w:rFonts w:hint="eastAsia" w:ascii="宋体" w:hAnsi="宋体" w:cs="宋体"/>
          <w:color w:val="auto"/>
          <w:sz w:val="24"/>
        </w:rPr>
        <w:t>供应商盖章：</w:t>
      </w:r>
    </w:p>
    <w:p>
      <w:pPr>
        <w:adjustRightInd w:val="0"/>
        <w:snapToGrid w:val="0"/>
        <w:spacing w:line="440" w:lineRule="exact"/>
        <w:jc w:val="center"/>
        <w:rPr>
          <w:rFonts w:ascii="宋体" w:hAnsi="宋体" w:cs="宋体"/>
          <w:bCs/>
          <w:color w:val="auto"/>
          <w:sz w:val="24"/>
        </w:rPr>
      </w:pPr>
      <w:r>
        <w:rPr>
          <w:rFonts w:hint="eastAsia" w:ascii="宋体" w:hAnsi="宋体" w:cs="宋体"/>
          <w:bCs/>
          <w:color w:val="auto"/>
          <w:sz w:val="24"/>
        </w:rPr>
        <w:t>年  月  日</w:t>
      </w:r>
    </w:p>
    <w:p>
      <w:pPr>
        <w:spacing w:line="400" w:lineRule="exact"/>
        <w:jc w:val="left"/>
        <w:rPr>
          <w:rFonts w:ascii="宋体" w:hAnsi="宋体" w:cs="宋体"/>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6"/>
        <w:keepNext w:val="0"/>
        <w:keepLines w:val="0"/>
        <w:pageBreakBefore/>
        <w:spacing w:line="360" w:lineRule="auto"/>
        <w:jc w:val="center"/>
        <w:rPr>
          <w:rFonts w:ascii="宋体" w:hAnsi="宋体" w:cs="宋体"/>
          <w:color w:val="auto"/>
          <w:sz w:val="24"/>
          <w:szCs w:val="24"/>
        </w:rPr>
      </w:pPr>
      <w:bookmarkStart w:id="60" w:name="_Toc13630"/>
      <w:r>
        <w:rPr>
          <w:rFonts w:hint="eastAsia" w:ascii="宋体" w:hAnsi="宋体" w:cs="宋体"/>
          <w:color w:val="auto"/>
          <w:sz w:val="24"/>
          <w:szCs w:val="24"/>
        </w:rPr>
        <w:t>磋 商 函</w:t>
      </w:r>
      <w:bookmarkEnd w:id="60"/>
    </w:p>
    <w:p>
      <w:pPr>
        <w:snapToGrid w:val="0"/>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（采购单位）</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lang w:val="en-US" w:eastAsia="zh-CN"/>
        </w:rPr>
        <w:t xml:space="preserve">               </w:t>
      </w:r>
      <w:r>
        <w:rPr>
          <w:rFonts w:hint="eastAsia" w:ascii="宋体" w:hAnsi="宋体" w:cs="宋体"/>
          <w:color w:val="auto"/>
          <w:sz w:val="24"/>
        </w:rPr>
        <w:t>项目的磋商公告</w:t>
      </w:r>
      <w:r>
        <w:rPr>
          <w:rFonts w:hint="eastAsia" w:ascii="宋体" w:hAnsi="宋体" w:cs="宋体"/>
          <w:color w:val="auto"/>
          <w:sz w:val="24"/>
          <w:u w:val="none"/>
        </w:rPr>
        <w:t>（</w:t>
      </w:r>
      <w:r>
        <w:rPr>
          <w:rFonts w:hint="eastAsia" w:ascii="宋体" w:hAnsi="宋体" w:cs="宋体"/>
          <w:color w:val="auto"/>
          <w:sz w:val="24"/>
        </w:rPr>
        <w:t>项目编号：</w:t>
      </w:r>
      <w:r>
        <w:rPr>
          <w:rFonts w:hint="eastAsia" w:ascii="宋体" w:hAnsi="宋体" w:cs="宋体"/>
          <w:color w:val="auto"/>
          <w:sz w:val="24"/>
          <w:u w:val="single"/>
          <w:lang w:val="en-US" w:eastAsia="zh-CN"/>
        </w:rPr>
        <w:t xml:space="preserve">         </w:t>
      </w:r>
      <w:r>
        <w:rPr>
          <w:rFonts w:hint="eastAsia" w:ascii="宋体" w:hAnsi="宋体" w:cs="宋体"/>
          <w:color w:val="auto"/>
          <w:sz w:val="24"/>
        </w:rPr>
        <w:t>），签字代表</w:t>
      </w:r>
      <w:r>
        <w:rPr>
          <w:rFonts w:hint="eastAsia" w:ascii="宋体" w:hAnsi="宋体" w:cs="宋体"/>
          <w:color w:val="auto"/>
          <w:sz w:val="24"/>
          <w:u w:val="single"/>
        </w:rPr>
        <w:t>（全名）</w:t>
      </w:r>
      <w:r>
        <w:rPr>
          <w:rFonts w:hint="eastAsia" w:ascii="宋体" w:hAnsi="宋体" w:cs="宋体"/>
          <w:color w:val="auto"/>
          <w:sz w:val="24"/>
        </w:rPr>
        <w:t>经正式授权并代表供应商</w:t>
      </w:r>
      <w:r>
        <w:rPr>
          <w:rFonts w:hint="eastAsia" w:ascii="宋体" w:hAnsi="宋体" w:cs="宋体"/>
          <w:color w:val="auto"/>
          <w:sz w:val="24"/>
          <w:u w:val="single"/>
        </w:rPr>
        <w:t>（供应商名称）</w:t>
      </w:r>
      <w:r>
        <w:rPr>
          <w:rFonts w:hint="eastAsia" w:ascii="宋体" w:hAnsi="宋体" w:cs="宋体"/>
          <w:color w:val="auto"/>
          <w:sz w:val="24"/>
          <w:u w:val="single"/>
          <w:lang w:val="en-US" w:eastAsia="zh-CN"/>
        </w:rPr>
        <w:t xml:space="preserve">     </w:t>
      </w:r>
      <w:r>
        <w:rPr>
          <w:rFonts w:hint="eastAsia" w:ascii="宋体" w:hAnsi="宋体" w:cs="宋体"/>
          <w:color w:val="auto"/>
          <w:sz w:val="24"/>
        </w:rPr>
        <w:t>提交资格文件、技术/资信/商务文件、报价文件各</w:t>
      </w:r>
      <w:r>
        <w:rPr>
          <w:rFonts w:hint="eastAsia" w:ascii="宋体" w:hAnsi="宋体" w:cs="宋体"/>
          <w:color w:val="auto"/>
          <w:sz w:val="24"/>
          <w:u w:val="single"/>
          <w:lang w:val="en-US" w:eastAsia="zh-CN"/>
        </w:rPr>
        <w:t>一</w:t>
      </w:r>
      <w:r>
        <w:rPr>
          <w:rFonts w:hint="eastAsia" w:ascii="宋体" w:hAnsi="宋体" w:cs="宋体"/>
          <w:color w:val="auto"/>
          <w:sz w:val="24"/>
        </w:rPr>
        <w:t>份。</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据此函，签字代表宣布同意如下：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2、供应商在投标之前已经与贵方进行了充分的沟通，完全理解并接受磋商文件的各项规定和要求，对磋商文件的合理性、合法性不再有异议。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3、本投标有效期自开标日起</w:t>
      </w:r>
      <w:r>
        <w:rPr>
          <w:rFonts w:hint="eastAsia" w:ascii="宋体" w:hAnsi="宋体" w:cs="宋体"/>
          <w:color w:val="auto"/>
          <w:sz w:val="24"/>
          <w:u w:val="single"/>
        </w:rPr>
        <w:t xml:space="preserve"> 60</w:t>
      </w:r>
      <w:r>
        <w:rPr>
          <w:rFonts w:hint="eastAsia" w:ascii="宋体" w:hAnsi="宋体" w:cs="宋体"/>
          <w:color w:val="auto"/>
          <w:sz w:val="24"/>
        </w:rPr>
        <w:t>个日历天。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4、如中标，本响应文件至本项目合同履行完毕止均保持有效，本供应商将按“磋商文件”及政府采购法律、法规的规定履行合同责任和义务。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5、供应商同意按照贵方要求提供与投标有关的一切数据或资料，并保证其真实性、合法性。</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6、与本磋商有关的一切正式往来信函请寄：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地址：</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邮编：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电话：</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传真：</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供应商代表姓名: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职务：</w:t>
      </w:r>
    </w:p>
    <w:p>
      <w:pPr>
        <w:snapToGrid w:val="0"/>
        <w:spacing w:line="360" w:lineRule="auto"/>
        <w:rPr>
          <w:rFonts w:ascii="宋体" w:hAnsi="宋体" w:cs="宋体"/>
          <w:color w:val="auto"/>
          <w:sz w:val="24"/>
        </w:rPr>
      </w:pP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供应商名称(盖章):</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银行帐号：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法定代表人签字:</w:t>
      </w:r>
    </w:p>
    <w:p>
      <w:pPr>
        <w:adjustRightInd w:val="0"/>
        <w:snapToGrid w:val="0"/>
        <w:spacing w:beforeLines="50" w:afterLines="50" w:line="360" w:lineRule="auto"/>
        <w:ind w:firstLine="480" w:firstLineChars="200"/>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napToGrid w:val="0"/>
        <w:spacing w:line="440" w:lineRule="exact"/>
        <w:jc w:val="center"/>
        <w:outlineLvl w:val="0"/>
        <w:rPr>
          <w:rFonts w:ascii="宋体" w:hAnsi="宋体" w:cs="宋体"/>
          <w:b/>
          <w:color w:val="auto"/>
          <w:sz w:val="24"/>
        </w:rPr>
      </w:pPr>
      <w:bookmarkStart w:id="61" w:name="_Toc11117"/>
      <w:bookmarkStart w:id="62" w:name="_Toc23617"/>
      <w:r>
        <w:rPr>
          <w:rFonts w:hint="eastAsia" w:ascii="宋体" w:hAnsi="宋体" w:cs="宋体"/>
          <w:b/>
          <w:color w:val="auto"/>
          <w:sz w:val="24"/>
          <w:lang w:eastAsia="zh-CN"/>
        </w:rPr>
        <w:t>磋商</w:t>
      </w:r>
      <w:r>
        <w:rPr>
          <w:rFonts w:hint="eastAsia" w:ascii="宋体" w:hAnsi="宋体" w:cs="宋体"/>
          <w:b/>
          <w:color w:val="auto"/>
          <w:sz w:val="24"/>
        </w:rPr>
        <w:t>一览表（首次报价）</w:t>
      </w:r>
      <w:bookmarkEnd w:id="61"/>
      <w:bookmarkEnd w:id="62"/>
    </w:p>
    <w:p>
      <w:pPr>
        <w:snapToGrid w:val="0"/>
        <w:spacing w:line="440" w:lineRule="exact"/>
        <w:rPr>
          <w:rFonts w:ascii="宋体" w:hAnsi="宋体" w:cs="宋体"/>
          <w:color w:val="auto"/>
          <w:sz w:val="24"/>
          <w:u w:val="single"/>
        </w:rPr>
      </w:pPr>
      <w:r>
        <w:rPr>
          <w:rFonts w:hint="eastAsia" w:ascii="宋体" w:hAnsi="宋体" w:cs="宋体"/>
          <w:color w:val="auto"/>
          <w:sz w:val="24"/>
        </w:rPr>
        <w:t>项目编号：</w:t>
      </w:r>
    </w:p>
    <w:p>
      <w:pPr>
        <w:snapToGrid w:val="0"/>
        <w:spacing w:afterLines="50" w:line="440" w:lineRule="exact"/>
        <w:rPr>
          <w:rFonts w:ascii="宋体" w:hAnsi="宋体" w:cs="宋体"/>
          <w:color w:val="auto"/>
          <w:sz w:val="24"/>
        </w:rPr>
      </w:pPr>
      <w:r>
        <w:rPr>
          <w:rFonts w:hint="eastAsia" w:ascii="宋体" w:hAnsi="宋体" w:cs="宋体"/>
          <w:color w:val="auto"/>
          <w:sz w:val="24"/>
        </w:rPr>
        <w:t>项目名称：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4285"/>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51" w:type="dxa"/>
            <w:noWrap/>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4285" w:type="dxa"/>
            <w:noWrap/>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内容</w:t>
            </w:r>
          </w:p>
        </w:tc>
        <w:tc>
          <w:tcPr>
            <w:tcW w:w="3432" w:type="dxa"/>
            <w:noWrap/>
            <w:vAlign w:val="center"/>
          </w:tcPr>
          <w:p>
            <w:pPr>
              <w:spacing w:line="400" w:lineRule="exact"/>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单价（元</w:t>
            </w:r>
            <w:r>
              <w:rPr>
                <w:rFonts w:hint="eastAsia" w:ascii="宋体" w:hAnsi="宋体" w:cs="宋体"/>
                <w:b/>
                <w:bCs/>
                <w:color w:val="auto"/>
                <w:sz w:val="24"/>
                <w:lang w:val="en-US" w:eastAsia="zh-CN"/>
              </w:rPr>
              <w:t>/人</w:t>
            </w:r>
            <w:r>
              <w:rPr>
                <w:rFonts w:hint="eastAsia" w:ascii="宋体" w:hAnsi="宋体" w:cs="宋体"/>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51" w:type="dxa"/>
            <w:noWrap/>
            <w:vAlign w:val="center"/>
          </w:tcPr>
          <w:p>
            <w:pPr>
              <w:spacing w:line="400" w:lineRule="exact"/>
              <w:jc w:val="center"/>
              <w:rPr>
                <w:rFonts w:ascii="宋体" w:hAnsi="宋体" w:cs="宋体"/>
                <w:color w:val="auto"/>
                <w:sz w:val="24"/>
              </w:rPr>
            </w:pPr>
            <w:r>
              <w:rPr>
                <w:rFonts w:hint="eastAsia" w:ascii="宋体" w:hAnsi="宋体" w:cs="宋体"/>
                <w:color w:val="auto"/>
                <w:sz w:val="24"/>
              </w:rPr>
              <w:t>1</w:t>
            </w:r>
          </w:p>
        </w:tc>
        <w:tc>
          <w:tcPr>
            <w:tcW w:w="4285" w:type="dxa"/>
            <w:noWrap/>
            <w:vAlign w:val="center"/>
          </w:tcPr>
          <w:p>
            <w:pPr>
              <w:spacing w:line="40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东林镇2022年第二轮疗休养</w:t>
            </w:r>
          </w:p>
        </w:tc>
        <w:tc>
          <w:tcPr>
            <w:tcW w:w="3432" w:type="dxa"/>
            <w:noWrap/>
            <w:vAlign w:val="center"/>
          </w:tcPr>
          <w:p>
            <w:pPr>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3000</w:t>
            </w:r>
          </w:p>
        </w:tc>
      </w:tr>
    </w:tbl>
    <w:p>
      <w:pPr>
        <w:snapToGrid w:val="0"/>
        <w:spacing w:afterLines="50" w:line="440" w:lineRule="exact"/>
        <w:rPr>
          <w:rFonts w:ascii="宋体" w:hAnsi="宋体" w:cs="宋体"/>
          <w:color w:val="auto"/>
          <w:sz w:val="24"/>
        </w:rPr>
      </w:pPr>
    </w:p>
    <w:p>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▲注： 1.报价一经涂改，应在涂改处加盖单位公章或者由法定代表人或授权代表签字或盖章，否则其投标作无效标处理。</w:t>
      </w:r>
    </w:p>
    <w:p>
      <w:p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    2.投标费用包括项目实施所需的一切费用。投标报价以人民币元进行报价。本项目为固定单价，报价不做竞争。</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3.未提供此表格的将视为没有实质性响应</w:t>
      </w:r>
      <w:r>
        <w:rPr>
          <w:rFonts w:hint="eastAsia" w:ascii="宋体" w:hAnsi="宋体" w:cs="宋体"/>
          <w:color w:val="auto"/>
          <w:sz w:val="24"/>
          <w:lang w:eastAsia="zh-CN"/>
        </w:rPr>
        <w:t>采购</w:t>
      </w:r>
      <w:r>
        <w:rPr>
          <w:rFonts w:hint="eastAsia" w:ascii="宋体" w:hAnsi="宋体" w:cs="宋体"/>
          <w:color w:val="auto"/>
          <w:sz w:val="24"/>
        </w:rPr>
        <w:t>文件。</w:t>
      </w:r>
    </w:p>
    <w:p>
      <w:pPr>
        <w:snapToGrid w:val="0"/>
        <w:spacing w:line="440" w:lineRule="exact"/>
        <w:rPr>
          <w:rFonts w:ascii="宋体" w:hAnsi="宋体" w:cs="宋体"/>
          <w:color w:val="auto"/>
          <w:sz w:val="24"/>
        </w:rPr>
      </w:pPr>
    </w:p>
    <w:p>
      <w:pPr>
        <w:snapToGrid w:val="0"/>
        <w:spacing w:line="440" w:lineRule="exact"/>
        <w:rPr>
          <w:rFonts w:ascii="宋体" w:hAnsi="宋体" w:cs="宋体"/>
          <w:color w:val="auto"/>
          <w:sz w:val="24"/>
        </w:rPr>
      </w:pPr>
      <w:r>
        <w:rPr>
          <w:rFonts w:hint="eastAsia" w:ascii="宋体" w:hAnsi="宋体" w:cs="宋体"/>
          <w:color w:val="auto"/>
          <w:sz w:val="24"/>
        </w:rPr>
        <w:t>法定代表人（签字）：</w:t>
      </w:r>
    </w:p>
    <w:p>
      <w:pPr>
        <w:snapToGrid w:val="0"/>
        <w:spacing w:line="440" w:lineRule="exact"/>
        <w:rPr>
          <w:rFonts w:ascii="宋体" w:hAnsi="宋体" w:cs="宋体"/>
          <w:color w:val="auto"/>
          <w:sz w:val="24"/>
        </w:rPr>
      </w:pPr>
      <w:r>
        <w:rPr>
          <w:rFonts w:hint="eastAsia" w:ascii="宋体" w:hAnsi="宋体" w:cs="宋体"/>
          <w:color w:val="auto"/>
          <w:sz w:val="24"/>
        </w:rPr>
        <w:t>供应商名称（盖章）：</w:t>
      </w:r>
    </w:p>
    <w:p>
      <w:pPr>
        <w:snapToGrid w:val="0"/>
        <w:spacing w:line="440" w:lineRule="exact"/>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pStyle w:val="50"/>
        <w:rPr>
          <w:rFonts w:ascii="宋体" w:hAnsi="宋体" w:eastAsia="宋体" w:cs="宋体"/>
          <w:b/>
          <w:color w:val="auto"/>
          <w:sz w:val="28"/>
          <w:szCs w:val="28"/>
        </w:rPr>
      </w:pPr>
    </w:p>
    <w:p>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pPr>
        <w:pStyle w:val="19"/>
        <w:adjustRightInd w:val="0"/>
        <w:snapToGrid w:val="0"/>
        <w:spacing w:before="0" w:after="0" w:line="340" w:lineRule="exact"/>
        <w:jc w:val="center"/>
        <w:outlineLvl w:val="0"/>
        <w:rPr>
          <w:rFonts w:cs="宋体"/>
          <w:color w:val="auto"/>
          <w:sz w:val="30"/>
          <w:szCs w:val="30"/>
        </w:rPr>
      </w:pPr>
      <w:bookmarkStart w:id="63" w:name="_Toc5516"/>
      <w:bookmarkStart w:id="64" w:name="_Toc26977"/>
      <w:bookmarkStart w:id="65" w:name="_Toc16328"/>
      <w:r>
        <w:rPr>
          <w:rFonts w:hint="eastAsia" w:cs="宋体"/>
          <w:b/>
          <w:bCs/>
          <w:color w:val="auto"/>
          <w:kern w:val="44"/>
          <w:sz w:val="28"/>
          <w:szCs w:val="28"/>
        </w:rPr>
        <w:t>自评分表</w:t>
      </w:r>
      <w:bookmarkEnd w:id="63"/>
      <w:bookmarkEnd w:id="64"/>
      <w:bookmarkEnd w:id="65"/>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140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宋体" w:hAnsi="宋体" w:cs="宋体"/>
                <w:color w:val="auto"/>
                <w:sz w:val="24"/>
              </w:rPr>
            </w:pPr>
            <w:r>
              <w:rPr>
                <w:rFonts w:hint="eastAsia" w:ascii="宋体" w:hAnsi="宋体" w:cs="宋体"/>
                <w:color w:val="auto"/>
                <w:sz w:val="24"/>
              </w:rPr>
              <w:t>序号</w:t>
            </w:r>
          </w:p>
        </w:tc>
        <w:tc>
          <w:tcPr>
            <w:tcW w:w="2968" w:type="dxa"/>
            <w:vAlign w:val="center"/>
          </w:tcPr>
          <w:p>
            <w:pPr>
              <w:spacing w:line="360" w:lineRule="exact"/>
              <w:jc w:val="center"/>
              <w:rPr>
                <w:rFonts w:ascii="宋体" w:hAnsi="宋体" w:cs="宋体"/>
                <w:color w:val="auto"/>
                <w:sz w:val="24"/>
              </w:rPr>
            </w:pPr>
            <w:r>
              <w:rPr>
                <w:rFonts w:hint="eastAsia" w:ascii="宋体" w:hAnsi="宋体" w:cs="宋体"/>
                <w:color w:val="auto"/>
                <w:sz w:val="24"/>
              </w:rPr>
              <w:t>评分内容</w:t>
            </w:r>
          </w:p>
        </w:tc>
        <w:tc>
          <w:tcPr>
            <w:tcW w:w="1701" w:type="dxa"/>
            <w:vAlign w:val="center"/>
          </w:tcPr>
          <w:p>
            <w:pPr>
              <w:spacing w:line="360" w:lineRule="exact"/>
              <w:jc w:val="center"/>
              <w:rPr>
                <w:rFonts w:ascii="宋体" w:hAnsi="宋体" w:cs="宋体"/>
                <w:color w:val="auto"/>
                <w:sz w:val="24"/>
              </w:rPr>
            </w:pPr>
            <w:r>
              <w:rPr>
                <w:rFonts w:hint="eastAsia" w:ascii="宋体" w:hAnsi="宋体" w:cs="宋体"/>
                <w:color w:val="auto"/>
                <w:sz w:val="24"/>
              </w:rPr>
              <w:t>标准分</w:t>
            </w:r>
          </w:p>
        </w:tc>
        <w:tc>
          <w:tcPr>
            <w:tcW w:w="1276" w:type="dxa"/>
            <w:vAlign w:val="center"/>
          </w:tcPr>
          <w:p>
            <w:pPr>
              <w:spacing w:line="360" w:lineRule="exact"/>
              <w:jc w:val="center"/>
              <w:rPr>
                <w:rFonts w:ascii="宋体" w:hAnsi="宋体" w:cs="宋体"/>
                <w:color w:val="auto"/>
                <w:sz w:val="24"/>
              </w:rPr>
            </w:pPr>
            <w:r>
              <w:rPr>
                <w:rFonts w:hint="eastAsia" w:ascii="宋体" w:hAnsi="宋体" w:cs="宋体"/>
                <w:color w:val="auto"/>
                <w:sz w:val="24"/>
              </w:rPr>
              <w:t>自评分</w:t>
            </w:r>
          </w:p>
        </w:tc>
        <w:tc>
          <w:tcPr>
            <w:tcW w:w="1403" w:type="dxa"/>
            <w:vAlign w:val="center"/>
          </w:tcPr>
          <w:p>
            <w:pPr>
              <w:spacing w:line="360" w:lineRule="exact"/>
              <w:jc w:val="center"/>
              <w:rPr>
                <w:rFonts w:ascii="宋体" w:hAnsi="宋体" w:cs="宋体"/>
                <w:color w:val="auto"/>
                <w:sz w:val="24"/>
              </w:rPr>
            </w:pPr>
            <w:r>
              <w:rPr>
                <w:rFonts w:hint="eastAsia" w:ascii="宋体" w:hAnsi="宋体" w:cs="宋体"/>
                <w:color w:val="auto"/>
                <w:sz w:val="24"/>
              </w:rPr>
              <w:t>在响应文件中所对应的页码</w:t>
            </w:r>
          </w:p>
        </w:tc>
        <w:tc>
          <w:tcPr>
            <w:tcW w:w="1136" w:type="dxa"/>
            <w:vAlign w:val="center"/>
          </w:tcPr>
          <w:p>
            <w:pPr>
              <w:spacing w:line="360" w:lineRule="exact"/>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1</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2</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3</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4</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5</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6</w:t>
            </w:r>
          </w:p>
        </w:tc>
        <w:tc>
          <w:tcPr>
            <w:tcW w:w="2968" w:type="dxa"/>
            <w:vAlign w:val="center"/>
          </w:tcPr>
          <w:p>
            <w:pPr>
              <w:spacing w:line="300" w:lineRule="exact"/>
              <w:jc w:val="center"/>
              <w:rPr>
                <w:rFonts w:ascii="宋体" w:hAnsi="宋体" w:cs="宋体"/>
                <w:b/>
                <w:color w:val="auto"/>
                <w:kern w:val="0"/>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7</w:t>
            </w:r>
          </w:p>
        </w:tc>
        <w:tc>
          <w:tcPr>
            <w:tcW w:w="2968" w:type="dxa"/>
            <w:vAlign w:val="center"/>
          </w:tcPr>
          <w:p>
            <w:pPr>
              <w:spacing w:line="300" w:lineRule="exact"/>
              <w:jc w:val="center"/>
              <w:rPr>
                <w:rFonts w:ascii="宋体" w:hAnsi="宋体" w:cs="宋体"/>
                <w:b/>
                <w:snapToGrid w:val="0"/>
                <w:color w:val="auto"/>
                <w:sz w:val="24"/>
              </w:rPr>
            </w:pPr>
          </w:p>
        </w:tc>
        <w:tc>
          <w:tcPr>
            <w:tcW w:w="1701" w:type="dxa"/>
            <w:vAlign w:val="center"/>
          </w:tcPr>
          <w:p>
            <w:pPr>
              <w:spacing w:line="300" w:lineRule="exact"/>
              <w:jc w:val="center"/>
              <w:rPr>
                <w:rFonts w:ascii="宋体" w:hAnsi="宋体" w:cs="宋体"/>
                <w:snapToGrid w:val="0"/>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8</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snapToGrid w:val="0"/>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9</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宋体" w:hAnsi="宋体" w:cs="宋体"/>
                <w:snapToGrid w:val="0"/>
                <w:color w:val="auto"/>
                <w:sz w:val="24"/>
              </w:rPr>
            </w:pPr>
            <w:r>
              <w:rPr>
                <w:rFonts w:hint="eastAsia" w:ascii="宋体" w:hAnsi="宋体" w:cs="宋体"/>
                <w:snapToGrid w:val="0"/>
                <w:color w:val="auto"/>
                <w:sz w:val="24"/>
              </w:rPr>
              <w:t>10</w:t>
            </w:r>
          </w:p>
        </w:tc>
        <w:tc>
          <w:tcPr>
            <w:tcW w:w="2968" w:type="dxa"/>
            <w:vAlign w:val="center"/>
          </w:tcPr>
          <w:p>
            <w:pPr>
              <w:spacing w:line="300" w:lineRule="exact"/>
              <w:jc w:val="center"/>
              <w:rPr>
                <w:rFonts w:ascii="宋体" w:hAnsi="宋体" w:cs="宋体"/>
                <w:b/>
                <w:color w:val="auto"/>
                <w:sz w:val="24"/>
              </w:rPr>
            </w:pPr>
          </w:p>
        </w:tc>
        <w:tc>
          <w:tcPr>
            <w:tcW w:w="1701" w:type="dxa"/>
            <w:vAlign w:val="center"/>
          </w:tcPr>
          <w:p>
            <w:pPr>
              <w:spacing w:line="30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宋体" w:hAnsi="宋体" w:cs="宋体"/>
                <w:color w:val="auto"/>
                <w:sz w:val="24"/>
              </w:rPr>
            </w:pPr>
          </w:p>
        </w:tc>
        <w:tc>
          <w:tcPr>
            <w:tcW w:w="2968" w:type="dxa"/>
            <w:vAlign w:val="center"/>
          </w:tcPr>
          <w:p>
            <w:pPr>
              <w:spacing w:line="360" w:lineRule="exact"/>
              <w:jc w:val="center"/>
              <w:rPr>
                <w:rFonts w:ascii="宋体" w:hAnsi="宋体" w:cs="宋体"/>
                <w:color w:val="auto"/>
                <w:sz w:val="24"/>
              </w:rPr>
            </w:pPr>
          </w:p>
        </w:tc>
        <w:tc>
          <w:tcPr>
            <w:tcW w:w="1701" w:type="dxa"/>
            <w:vAlign w:val="center"/>
          </w:tcPr>
          <w:p>
            <w:pPr>
              <w:spacing w:line="360" w:lineRule="exact"/>
              <w:jc w:val="center"/>
              <w:rPr>
                <w:rFonts w:ascii="宋体" w:hAnsi="宋体" w:cs="宋体"/>
                <w:color w:val="auto"/>
                <w:sz w:val="24"/>
              </w:rPr>
            </w:pPr>
          </w:p>
        </w:tc>
        <w:tc>
          <w:tcPr>
            <w:tcW w:w="1276" w:type="dxa"/>
            <w:vAlign w:val="center"/>
          </w:tcPr>
          <w:p>
            <w:pPr>
              <w:spacing w:line="360" w:lineRule="exact"/>
              <w:rPr>
                <w:rFonts w:ascii="宋体" w:hAnsi="宋体" w:cs="宋体"/>
                <w:color w:val="auto"/>
                <w:sz w:val="24"/>
              </w:rPr>
            </w:pPr>
          </w:p>
        </w:tc>
        <w:tc>
          <w:tcPr>
            <w:tcW w:w="1403" w:type="dxa"/>
            <w:vAlign w:val="center"/>
          </w:tcPr>
          <w:p>
            <w:pPr>
              <w:spacing w:line="360" w:lineRule="exact"/>
              <w:rPr>
                <w:rFonts w:ascii="宋体" w:hAnsi="宋体" w:cs="宋体"/>
                <w:color w:val="auto"/>
                <w:sz w:val="24"/>
              </w:rPr>
            </w:pPr>
          </w:p>
        </w:tc>
        <w:tc>
          <w:tcPr>
            <w:tcW w:w="1136" w:type="dxa"/>
            <w:vAlign w:val="center"/>
          </w:tcPr>
          <w:p>
            <w:pPr>
              <w:spacing w:line="360" w:lineRule="exact"/>
              <w:rPr>
                <w:rFonts w:ascii="宋体" w:hAnsi="宋体" w:cs="宋体"/>
                <w:color w:val="auto"/>
                <w:sz w:val="24"/>
              </w:rPr>
            </w:pPr>
          </w:p>
        </w:tc>
      </w:tr>
    </w:tbl>
    <w:p>
      <w:pPr>
        <w:spacing w:line="400" w:lineRule="exact"/>
        <w:rPr>
          <w:rFonts w:ascii="宋体" w:hAnsi="宋体" w:cs="宋体"/>
          <w:b/>
          <w:color w:val="auto"/>
          <w:sz w:val="24"/>
        </w:rPr>
      </w:pPr>
      <w:r>
        <w:rPr>
          <w:rFonts w:hint="eastAsia" w:ascii="宋体" w:hAnsi="宋体" w:cs="宋体"/>
          <w:b/>
          <w:color w:val="auto"/>
          <w:sz w:val="24"/>
        </w:rPr>
        <w:t>注：“自评表”装订在技术商务文件首页。竞标供应商应认真填写相关内容在响应文件中所对应的页码，否则有可能做无效标处理。</w:t>
      </w:r>
    </w:p>
    <w:p>
      <w:pPr>
        <w:spacing w:line="360" w:lineRule="auto"/>
        <w:ind w:firstLine="422"/>
        <w:jc w:val="center"/>
        <w:rPr>
          <w:rFonts w:ascii="宋体" w:hAnsi="宋体" w:cs="宋体"/>
          <w:b/>
          <w:color w:val="auto"/>
          <w:sz w:val="24"/>
        </w:rPr>
      </w:pPr>
    </w:p>
    <w:p>
      <w:pPr>
        <w:spacing w:line="360" w:lineRule="auto"/>
        <w:ind w:firstLine="422"/>
        <w:jc w:val="center"/>
        <w:rPr>
          <w:rFonts w:ascii="宋体" w:hAnsi="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Style w:val="50"/>
        <w:rPr>
          <w:rFonts w:ascii="宋体" w:hAnsi="宋体" w:eastAsia="宋体" w:cs="宋体"/>
          <w:b/>
          <w:color w:val="auto"/>
          <w:sz w:val="24"/>
        </w:rPr>
      </w:pPr>
    </w:p>
    <w:p>
      <w:pPr>
        <w:pageBreakBefore/>
        <w:snapToGrid w:val="0"/>
        <w:spacing w:before="50" w:after="50" w:line="360" w:lineRule="auto"/>
        <w:jc w:val="center"/>
        <w:outlineLvl w:val="0"/>
        <w:rPr>
          <w:rFonts w:ascii="宋体" w:hAnsi="宋体" w:cs="宋体"/>
          <w:b/>
          <w:color w:val="auto"/>
          <w:sz w:val="24"/>
        </w:rPr>
      </w:pPr>
      <w:bookmarkStart w:id="66" w:name="_Toc25087"/>
      <w:bookmarkStart w:id="67" w:name="_Toc7196"/>
      <w:r>
        <w:rPr>
          <w:rFonts w:hint="eastAsia" w:ascii="宋体" w:hAnsi="宋体" w:cs="宋体"/>
          <w:b/>
          <w:color w:val="auto"/>
          <w:sz w:val="28"/>
          <w:szCs w:val="28"/>
        </w:rPr>
        <w:t>招标代理服务费承诺函</w:t>
      </w:r>
      <w:bookmarkEnd w:id="66"/>
      <w:bookmarkEnd w:id="67"/>
    </w:p>
    <w:p>
      <w:pPr>
        <w:spacing w:line="360" w:lineRule="auto"/>
        <w:jc w:val="both"/>
        <w:rPr>
          <w:rFonts w:ascii="宋体" w:hAnsi="宋体" w:cs="宋体"/>
          <w:b/>
          <w:bCs/>
          <w:color w:val="auto"/>
          <w:sz w:val="24"/>
        </w:rPr>
      </w:pPr>
    </w:p>
    <w:p>
      <w:pPr>
        <w:spacing w:line="360" w:lineRule="auto"/>
        <w:rPr>
          <w:rFonts w:ascii="宋体" w:hAnsi="宋体" w:cs="宋体"/>
          <w:color w:val="auto"/>
          <w:sz w:val="24"/>
        </w:rPr>
      </w:pPr>
      <w:r>
        <w:rPr>
          <w:rFonts w:hint="eastAsia" w:ascii="宋体" w:hAnsi="宋体" w:cs="宋体"/>
          <w:color w:val="auto"/>
          <w:sz w:val="24"/>
        </w:rPr>
        <w:t>宁波建信工程造价咨询事务所有限公司：</w:t>
      </w:r>
    </w:p>
    <w:p>
      <w:pPr>
        <w:spacing w:line="360" w:lineRule="auto"/>
        <w:ind w:firstLine="570"/>
        <w:rPr>
          <w:rFonts w:ascii="宋体" w:hAnsi="宋体" w:cs="宋体"/>
          <w:color w:val="auto"/>
          <w:sz w:val="24"/>
        </w:rPr>
      </w:pPr>
      <w:r>
        <w:rPr>
          <w:rFonts w:hint="eastAsia" w:ascii="宋体" w:hAnsi="宋体" w:cs="宋体"/>
          <w:color w:val="auto"/>
          <w:sz w:val="24"/>
        </w:rPr>
        <w:t>根据</w:t>
      </w:r>
      <w:r>
        <w:rPr>
          <w:rFonts w:hint="eastAsia" w:ascii="宋体" w:hAnsi="宋体" w:cs="宋体"/>
          <w:b/>
          <w:bCs/>
          <w:color w:val="auto"/>
          <w:sz w:val="24"/>
          <w:u w:val="single"/>
          <w:lang w:eastAsia="zh-CN"/>
        </w:rPr>
        <w:t>东林镇2022年第二轮疗休养项目</w:t>
      </w:r>
      <w:r>
        <w:rPr>
          <w:rFonts w:hint="eastAsia" w:ascii="宋体" w:hAnsi="宋体" w:cs="宋体"/>
          <w:color w:val="auto"/>
          <w:sz w:val="24"/>
        </w:rPr>
        <w:t>磋商文件规定，一旦我公司中标，由我公司全额支付本项目的招标代理服务费，在我公司收到</w:t>
      </w:r>
      <w:r>
        <w:rPr>
          <w:rFonts w:hint="eastAsia" w:ascii="宋体" w:hAnsi="宋体" w:cs="宋体"/>
          <w:color w:val="auto"/>
          <w:sz w:val="24"/>
          <w:lang w:eastAsia="zh-CN"/>
        </w:rPr>
        <w:t>成交通知书</w:t>
      </w:r>
      <w:r>
        <w:rPr>
          <w:rFonts w:hint="eastAsia" w:ascii="宋体" w:hAnsi="宋体" w:cs="宋体"/>
          <w:color w:val="auto"/>
          <w:sz w:val="24"/>
        </w:rPr>
        <w:t>后当日一次性向贵公司缴清。</w:t>
      </w:r>
    </w:p>
    <w:p>
      <w:pPr>
        <w:spacing w:line="360" w:lineRule="auto"/>
        <w:ind w:firstLine="570"/>
        <w:rPr>
          <w:rFonts w:ascii="宋体" w:hAnsi="宋体" w:cs="宋体"/>
          <w:color w:val="auto"/>
          <w:sz w:val="24"/>
        </w:rPr>
      </w:pPr>
    </w:p>
    <w:p>
      <w:pPr>
        <w:spacing w:line="360" w:lineRule="auto"/>
        <w:ind w:firstLine="570"/>
        <w:rPr>
          <w:rFonts w:ascii="宋体" w:hAnsi="宋体" w:cs="宋体"/>
          <w:color w:val="auto"/>
          <w:sz w:val="24"/>
        </w:rPr>
      </w:pPr>
      <w:r>
        <w:rPr>
          <w:rFonts w:hint="eastAsia" w:ascii="宋体" w:hAnsi="宋体" w:cs="宋体"/>
          <w:color w:val="auto"/>
          <w:sz w:val="24"/>
        </w:rPr>
        <w:t>本承诺函自开标之日起至本次采购期满有效。</w:t>
      </w:r>
    </w:p>
    <w:p>
      <w:pPr>
        <w:spacing w:line="360" w:lineRule="auto"/>
        <w:ind w:firstLine="570"/>
        <w:rPr>
          <w:rFonts w:ascii="宋体" w:hAnsi="宋体" w:cs="宋体"/>
          <w:color w:val="auto"/>
          <w:sz w:val="24"/>
        </w:rPr>
      </w:pPr>
    </w:p>
    <w:p>
      <w:pPr>
        <w:spacing w:line="360" w:lineRule="auto"/>
        <w:ind w:firstLine="570"/>
        <w:rPr>
          <w:rFonts w:ascii="宋体" w:hAnsi="宋体" w:cs="宋体"/>
          <w:color w:val="auto"/>
          <w:sz w:val="24"/>
        </w:rPr>
      </w:pPr>
    </w:p>
    <w:p>
      <w:pPr>
        <w:pStyle w:val="77"/>
        <w:spacing w:line="360" w:lineRule="auto"/>
        <w:rPr>
          <w:rFonts w:ascii="宋体" w:hAnsi="宋体" w:cs="宋体"/>
          <w:color w:val="auto"/>
          <w:sz w:val="24"/>
          <w:szCs w:val="24"/>
        </w:rPr>
      </w:pPr>
    </w:p>
    <w:p>
      <w:pPr>
        <w:pStyle w:val="77"/>
        <w:spacing w:line="360" w:lineRule="auto"/>
        <w:rPr>
          <w:rFonts w:ascii="宋体" w:hAnsi="宋体" w:cs="宋体"/>
          <w:color w:val="auto"/>
          <w:sz w:val="24"/>
          <w:szCs w:val="24"/>
        </w:rPr>
      </w:pPr>
    </w:p>
    <w:p>
      <w:pPr>
        <w:pStyle w:val="77"/>
        <w:spacing w:line="360" w:lineRule="auto"/>
        <w:rPr>
          <w:rFonts w:ascii="宋体" w:hAnsi="宋体" w:cs="宋体"/>
          <w:color w:val="auto"/>
          <w:sz w:val="24"/>
          <w:szCs w:val="24"/>
        </w:rPr>
      </w:pPr>
    </w:p>
    <w:p>
      <w:pPr>
        <w:pStyle w:val="77"/>
        <w:spacing w:line="360" w:lineRule="auto"/>
        <w:rPr>
          <w:rFonts w:ascii="宋体" w:hAnsi="宋体" w:cs="宋体"/>
          <w:color w:val="auto"/>
          <w:sz w:val="24"/>
          <w:szCs w:val="24"/>
        </w:rPr>
      </w:pPr>
    </w:p>
    <w:p>
      <w:pPr>
        <w:pStyle w:val="77"/>
        <w:spacing w:line="360" w:lineRule="auto"/>
        <w:rPr>
          <w:rFonts w:ascii="宋体" w:hAnsi="宋体" w:cs="宋体"/>
          <w:color w:val="auto"/>
          <w:sz w:val="24"/>
          <w:szCs w:val="24"/>
        </w:rPr>
      </w:pPr>
    </w:p>
    <w:p>
      <w:pPr>
        <w:pStyle w:val="77"/>
        <w:spacing w:line="360" w:lineRule="auto"/>
        <w:rPr>
          <w:rFonts w:ascii="宋体" w:hAnsi="宋体" w:cs="宋体"/>
          <w:color w:val="auto"/>
          <w:sz w:val="24"/>
          <w:szCs w:val="24"/>
        </w:rPr>
      </w:pPr>
    </w:p>
    <w:p>
      <w:pPr>
        <w:spacing w:line="360" w:lineRule="auto"/>
        <w:ind w:firstLine="570"/>
        <w:rPr>
          <w:rFonts w:ascii="宋体" w:hAnsi="宋体" w:cs="宋体"/>
          <w:color w:val="auto"/>
          <w:sz w:val="24"/>
        </w:rPr>
      </w:pPr>
    </w:p>
    <w:p>
      <w:pPr>
        <w:pStyle w:val="12"/>
        <w:spacing w:line="360" w:lineRule="auto"/>
        <w:ind w:firstLine="3720" w:firstLineChars="1550"/>
        <w:rPr>
          <w:rFonts w:ascii="宋体" w:hAnsi="宋体" w:cs="宋体"/>
          <w:color w:val="auto"/>
          <w:sz w:val="24"/>
          <w:szCs w:val="24"/>
        </w:rPr>
      </w:pPr>
      <w:r>
        <w:rPr>
          <w:rFonts w:hint="eastAsia" w:ascii="宋体" w:hAnsi="宋体" w:cs="宋体"/>
          <w:color w:val="auto"/>
          <w:sz w:val="24"/>
          <w:szCs w:val="24"/>
        </w:rPr>
        <w:t>供应商：（盖章）</w:t>
      </w:r>
    </w:p>
    <w:p>
      <w:pPr>
        <w:pStyle w:val="12"/>
        <w:spacing w:line="360" w:lineRule="auto"/>
        <w:ind w:firstLine="3600" w:firstLineChars="1500"/>
        <w:rPr>
          <w:rFonts w:ascii="宋体" w:hAnsi="宋体" w:cs="宋体"/>
          <w:color w:val="auto"/>
          <w:sz w:val="24"/>
          <w:szCs w:val="24"/>
        </w:rPr>
      </w:pPr>
      <w:r>
        <w:rPr>
          <w:rFonts w:hint="eastAsia" w:ascii="宋体" w:hAnsi="宋体" w:cs="宋体"/>
          <w:color w:val="auto"/>
          <w:sz w:val="24"/>
          <w:szCs w:val="24"/>
        </w:rPr>
        <w:t>法定代表人或其授权代理人（签字或盖章）</w:t>
      </w:r>
    </w:p>
    <w:p>
      <w:pPr>
        <w:pStyle w:val="12"/>
        <w:spacing w:line="360" w:lineRule="auto"/>
        <w:ind w:firstLine="0"/>
        <w:jc w:val="right"/>
        <w:rPr>
          <w:rFonts w:ascii="宋体" w:hAnsi="宋体" w:cs="宋体"/>
          <w:color w:val="auto"/>
          <w:spacing w:val="14"/>
          <w:sz w:val="24"/>
          <w:szCs w:val="24"/>
        </w:rPr>
      </w:pPr>
      <w:r>
        <w:rPr>
          <w:rFonts w:hint="eastAsia" w:ascii="宋体" w:hAnsi="宋体" w:cs="宋体"/>
          <w:color w:val="auto"/>
          <w:sz w:val="24"/>
          <w:szCs w:val="24"/>
        </w:rPr>
        <w:t>日期：    年   月   日</w:t>
      </w:r>
    </w:p>
    <w:p>
      <w:pPr>
        <w:pStyle w:val="50"/>
        <w:rPr>
          <w:rFonts w:ascii="宋体" w:hAnsi="宋体" w:eastAsia="宋体" w:cs="宋体"/>
          <w:b/>
          <w:color w:val="auto"/>
          <w:sz w:val="24"/>
        </w:rPr>
      </w:pPr>
    </w:p>
    <w:p>
      <w:pPr>
        <w:spacing w:line="360" w:lineRule="auto"/>
        <w:ind w:firstLine="422"/>
        <w:jc w:val="center"/>
        <w:rPr>
          <w:rFonts w:ascii="宋体" w:hAnsi="宋体" w:cs="宋体"/>
          <w:b/>
          <w:color w:val="auto"/>
          <w:sz w:val="24"/>
        </w:rPr>
      </w:pPr>
    </w:p>
    <w:p>
      <w:pPr>
        <w:spacing w:line="360" w:lineRule="auto"/>
        <w:ind w:firstLine="422"/>
        <w:jc w:val="center"/>
        <w:rPr>
          <w:rFonts w:ascii="宋体" w:hAnsi="宋体" w:cs="宋体"/>
          <w:b/>
          <w:color w:val="auto"/>
          <w:sz w:val="24"/>
        </w:rPr>
      </w:pPr>
    </w:p>
    <w:p>
      <w:pPr>
        <w:spacing w:line="360" w:lineRule="auto"/>
        <w:ind w:firstLine="422"/>
        <w:jc w:val="center"/>
        <w:rPr>
          <w:rFonts w:ascii="宋体" w:hAnsi="宋体" w:cs="宋体"/>
          <w:b/>
          <w:color w:val="auto"/>
          <w:sz w:val="24"/>
        </w:rPr>
      </w:pPr>
    </w:p>
    <w:p>
      <w:pPr>
        <w:spacing w:line="360" w:lineRule="auto"/>
        <w:rPr>
          <w:rFonts w:ascii="宋体" w:hAnsi="宋体" w:cs="宋体"/>
          <w:b/>
          <w:color w:val="auto"/>
          <w:sz w:val="24"/>
        </w:rPr>
      </w:pPr>
    </w:p>
    <w:sectPr>
      <w:footerReference r:id="rId10" w:type="first"/>
      <w:footerReference r:id="rId9" w:type="default"/>
      <w:pgSz w:w="11906" w:h="16838"/>
      <w:pgMar w:top="1134" w:right="1134" w:bottom="1134" w:left="1134" w:header="567" w:footer="567"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黑体"/>
    <w:panose1 w:val="00000000000000000000"/>
    <w:charset w:val="86"/>
    <w:family w:val="modern"/>
    <w:pitch w:val="default"/>
    <w:sig w:usb0="00000000" w:usb1="00000000" w:usb2="00000012"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T.壞..">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b/>
        <w:bCs/>
      </w:rPr>
      <w:t>宁波建信工程造价咨询事务所有限公司    电话：0572-2125808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b/>
        <w:bC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rPr>
      <w:t>宁波建信工程造价咨询事务所有限公司    电话：0572-2125808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rPr>
      <w:t>宁波建信工程造价咨询事务所有限公司    电话：0572-2125808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rPr>
        <w:rFonts w:ascii="仿宋" w:hAnsi="仿宋" w:eastAsia="仿宋" w:cs="仿宋"/>
      </w:rPr>
    </w:pPr>
  </w:p>
  <w:p>
    <w:pPr>
      <w:pStyle w:val="24"/>
      <w:pBdr>
        <w:bottom w:val="single" w:color="auto" w:sz="4" w:space="0"/>
      </w:pBdr>
      <w:ind w:left="422" w:hanging="422" w:hangingChars="200"/>
      <w:jc w:val="left"/>
      <w:rPr>
        <w:rFonts w:ascii="宋体" w:hAnsi="宋体" w:cs="宋体"/>
        <w:b/>
        <w:bCs/>
        <w:sz w:val="21"/>
        <w:szCs w:val="21"/>
      </w:rPr>
    </w:pPr>
    <w:r>
      <w:rPr>
        <w:rFonts w:hint="eastAsia" w:ascii="宋体" w:hAnsi="宋体" w:cs="宋体"/>
        <w:b/>
        <w:bCs/>
        <w:sz w:val="21"/>
        <w:szCs w:val="21"/>
        <w:lang w:eastAsia="zh-CN"/>
      </w:rPr>
      <w:t>东林镇2022年第二轮疗休养项目</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8485"/>
        <w:tab w:val="clear" w:pos="8306"/>
      </w:tabs>
      <w:jc w:val="left"/>
      <w:rPr>
        <w:rFonts w:ascii="宋体" w:hAnsi="宋体" w:cs="宋体"/>
        <w:b/>
        <w:bCs/>
        <w:sz w:val="21"/>
        <w:szCs w:val="21"/>
      </w:rPr>
    </w:pPr>
    <w:r>
      <w:rPr>
        <w:rFonts w:hint="eastAsia" w:ascii="宋体" w:hAnsi="宋体" w:cs="宋体"/>
        <w:b/>
        <w:bCs/>
        <w:sz w:val="21"/>
        <w:szCs w:val="21"/>
        <w:lang w:eastAsia="zh-CN"/>
      </w:rPr>
      <w:t>东林镇2022年第二轮疗休养项目</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3BA7B"/>
    <w:multiLevelType w:val="singleLevel"/>
    <w:tmpl w:val="13B3BA7B"/>
    <w:lvl w:ilvl="0" w:tentative="0">
      <w:start w:val="2"/>
      <w:numFmt w:val="decimal"/>
      <w:suff w:val="nothing"/>
      <w:lvlText w:val="%1、"/>
      <w:lvlJc w:val="left"/>
    </w:lvl>
  </w:abstractNum>
  <w:abstractNum w:abstractNumId="1">
    <w:nsid w:val="4102F0D1"/>
    <w:multiLevelType w:val="singleLevel"/>
    <w:tmpl w:val="4102F0D1"/>
    <w:lvl w:ilvl="0" w:tentative="0">
      <w:start w:val="2"/>
      <w:numFmt w:val="chineseCounting"/>
      <w:suff w:val="nothing"/>
      <w:lvlText w:val="（%1）"/>
      <w:lvlJc w:val="left"/>
      <w:rPr>
        <w:rFonts w:hint="eastAsia"/>
      </w:rPr>
    </w:lvl>
  </w:abstractNum>
  <w:abstractNum w:abstractNumId="2">
    <w:nsid w:val="620152E0"/>
    <w:multiLevelType w:val="singleLevel"/>
    <w:tmpl w:val="620152E0"/>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jQ3MTg2N2MxZmRhODY0ODM4ZGMxZGIwNTJkMzUifQ=="/>
  </w:docVars>
  <w:rsids>
    <w:rsidRoot w:val="00172A27"/>
    <w:rsid w:val="000015B1"/>
    <w:rsid w:val="000029F2"/>
    <w:rsid w:val="00002A20"/>
    <w:rsid w:val="00002F4E"/>
    <w:rsid w:val="00003CEB"/>
    <w:rsid w:val="00003DB3"/>
    <w:rsid w:val="0000720F"/>
    <w:rsid w:val="000103C3"/>
    <w:rsid w:val="000125E1"/>
    <w:rsid w:val="00013B67"/>
    <w:rsid w:val="000155B1"/>
    <w:rsid w:val="00015C38"/>
    <w:rsid w:val="0001673C"/>
    <w:rsid w:val="000203E6"/>
    <w:rsid w:val="00022834"/>
    <w:rsid w:val="00023A79"/>
    <w:rsid w:val="00023C4C"/>
    <w:rsid w:val="00025678"/>
    <w:rsid w:val="000263C6"/>
    <w:rsid w:val="00026C9E"/>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77117"/>
    <w:rsid w:val="0008056D"/>
    <w:rsid w:val="00083EEF"/>
    <w:rsid w:val="00086B28"/>
    <w:rsid w:val="0009178E"/>
    <w:rsid w:val="000918A1"/>
    <w:rsid w:val="00092F55"/>
    <w:rsid w:val="0009661D"/>
    <w:rsid w:val="00096D39"/>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D3E44"/>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020"/>
    <w:rsid w:val="001121D9"/>
    <w:rsid w:val="001140D1"/>
    <w:rsid w:val="0011471D"/>
    <w:rsid w:val="00115377"/>
    <w:rsid w:val="001172B0"/>
    <w:rsid w:val="00117E99"/>
    <w:rsid w:val="001201F3"/>
    <w:rsid w:val="00121224"/>
    <w:rsid w:val="00121F64"/>
    <w:rsid w:val="00124952"/>
    <w:rsid w:val="0012696F"/>
    <w:rsid w:val="00127B96"/>
    <w:rsid w:val="001336C1"/>
    <w:rsid w:val="001346E8"/>
    <w:rsid w:val="001352F3"/>
    <w:rsid w:val="00135BA9"/>
    <w:rsid w:val="00137D9D"/>
    <w:rsid w:val="00140A64"/>
    <w:rsid w:val="00141C8E"/>
    <w:rsid w:val="00142D03"/>
    <w:rsid w:val="00151A9F"/>
    <w:rsid w:val="00152697"/>
    <w:rsid w:val="00152F68"/>
    <w:rsid w:val="00155185"/>
    <w:rsid w:val="0016015F"/>
    <w:rsid w:val="00160841"/>
    <w:rsid w:val="00161EEE"/>
    <w:rsid w:val="00162189"/>
    <w:rsid w:val="001621EA"/>
    <w:rsid w:val="00163A6D"/>
    <w:rsid w:val="0016518C"/>
    <w:rsid w:val="00170AE7"/>
    <w:rsid w:val="0017138A"/>
    <w:rsid w:val="00171E1F"/>
    <w:rsid w:val="001723A0"/>
    <w:rsid w:val="00172A27"/>
    <w:rsid w:val="00174BD5"/>
    <w:rsid w:val="00175E3E"/>
    <w:rsid w:val="0017689A"/>
    <w:rsid w:val="00182078"/>
    <w:rsid w:val="00183173"/>
    <w:rsid w:val="00183629"/>
    <w:rsid w:val="00185762"/>
    <w:rsid w:val="00190968"/>
    <w:rsid w:val="00190CEA"/>
    <w:rsid w:val="00191359"/>
    <w:rsid w:val="00192EC7"/>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5A5"/>
    <w:rsid w:val="002147A3"/>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2F431D"/>
    <w:rsid w:val="002F6F50"/>
    <w:rsid w:val="00301761"/>
    <w:rsid w:val="00301B69"/>
    <w:rsid w:val="00303029"/>
    <w:rsid w:val="003041B2"/>
    <w:rsid w:val="00305FD0"/>
    <w:rsid w:val="0030762C"/>
    <w:rsid w:val="00311BB8"/>
    <w:rsid w:val="003125CB"/>
    <w:rsid w:val="003144D2"/>
    <w:rsid w:val="003164B6"/>
    <w:rsid w:val="0032052F"/>
    <w:rsid w:val="003238DB"/>
    <w:rsid w:val="00324FF3"/>
    <w:rsid w:val="00325742"/>
    <w:rsid w:val="003273ED"/>
    <w:rsid w:val="00331C5C"/>
    <w:rsid w:val="00334FB3"/>
    <w:rsid w:val="003365A2"/>
    <w:rsid w:val="00336ABA"/>
    <w:rsid w:val="00336C75"/>
    <w:rsid w:val="00337035"/>
    <w:rsid w:val="00337D86"/>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5594"/>
    <w:rsid w:val="00377D4F"/>
    <w:rsid w:val="00380D64"/>
    <w:rsid w:val="00383688"/>
    <w:rsid w:val="00383974"/>
    <w:rsid w:val="00385CD5"/>
    <w:rsid w:val="00385E22"/>
    <w:rsid w:val="00387FCA"/>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13DB"/>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6E31"/>
    <w:rsid w:val="00407BBF"/>
    <w:rsid w:val="004115DB"/>
    <w:rsid w:val="004152CB"/>
    <w:rsid w:val="00417139"/>
    <w:rsid w:val="00417282"/>
    <w:rsid w:val="004204D5"/>
    <w:rsid w:val="0042151A"/>
    <w:rsid w:val="00421D5E"/>
    <w:rsid w:val="00422EC8"/>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16AE"/>
    <w:rsid w:val="00464E27"/>
    <w:rsid w:val="00470854"/>
    <w:rsid w:val="00475695"/>
    <w:rsid w:val="00477662"/>
    <w:rsid w:val="004805C7"/>
    <w:rsid w:val="00482DC5"/>
    <w:rsid w:val="00486317"/>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C7271"/>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6C60"/>
    <w:rsid w:val="00527E9F"/>
    <w:rsid w:val="00530001"/>
    <w:rsid w:val="005320A2"/>
    <w:rsid w:val="00534FE0"/>
    <w:rsid w:val="005379B4"/>
    <w:rsid w:val="00541206"/>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E24"/>
    <w:rsid w:val="005C5604"/>
    <w:rsid w:val="005C6CF3"/>
    <w:rsid w:val="005D09CE"/>
    <w:rsid w:val="005D0B2C"/>
    <w:rsid w:val="005D3840"/>
    <w:rsid w:val="005E0B4C"/>
    <w:rsid w:val="005E15EA"/>
    <w:rsid w:val="005E2ADE"/>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67E46"/>
    <w:rsid w:val="0067048E"/>
    <w:rsid w:val="00671728"/>
    <w:rsid w:val="00671913"/>
    <w:rsid w:val="00674505"/>
    <w:rsid w:val="006754D4"/>
    <w:rsid w:val="00675E62"/>
    <w:rsid w:val="006767E5"/>
    <w:rsid w:val="00676A84"/>
    <w:rsid w:val="00681063"/>
    <w:rsid w:val="00681C36"/>
    <w:rsid w:val="00683E5C"/>
    <w:rsid w:val="00690B4C"/>
    <w:rsid w:val="00691009"/>
    <w:rsid w:val="006910B6"/>
    <w:rsid w:val="00691966"/>
    <w:rsid w:val="006920B0"/>
    <w:rsid w:val="006943FB"/>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D0A36"/>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4E1D"/>
    <w:rsid w:val="00766C9E"/>
    <w:rsid w:val="007716DB"/>
    <w:rsid w:val="00774CDC"/>
    <w:rsid w:val="00775766"/>
    <w:rsid w:val="00776E29"/>
    <w:rsid w:val="00777631"/>
    <w:rsid w:val="00782A9E"/>
    <w:rsid w:val="00785338"/>
    <w:rsid w:val="00785C94"/>
    <w:rsid w:val="007869A4"/>
    <w:rsid w:val="00787A6E"/>
    <w:rsid w:val="00790AF5"/>
    <w:rsid w:val="00790CD6"/>
    <w:rsid w:val="00790EFD"/>
    <w:rsid w:val="00792BD6"/>
    <w:rsid w:val="0079490D"/>
    <w:rsid w:val="0079656C"/>
    <w:rsid w:val="007968FA"/>
    <w:rsid w:val="007A6D46"/>
    <w:rsid w:val="007B0031"/>
    <w:rsid w:val="007B2374"/>
    <w:rsid w:val="007B72E8"/>
    <w:rsid w:val="007C2601"/>
    <w:rsid w:val="007C2BA0"/>
    <w:rsid w:val="007C2E91"/>
    <w:rsid w:val="007C4A5C"/>
    <w:rsid w:val="007C74BB"/>
    <w:rsid w:val="007C75D0"/>
    <w:rsid w:val="007D1B74"/>
    <w:rsid w:val="007D5803"/>
    <w:rsid w:val="007E15F7"/>
    <w:rsid w:val="007E1C21"/>
    <w:rsid w:val="007E23D6"/>
    <w:rsid w:val="007E26BB"/>
    <w:rsid w:val="007E30A3"/>
    <w:rsid w:val="007F0BEB"/>
    <w:rsid w:val="007F3266"/>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0B0"/>
    <w:rsid w:val="008552B5"/>
    <w:rsid w:val="00855769"/>
    <w:rsid w:val="008578B0"/>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A45EE"/>
    <w:rsid w:val="008A5A78"/>
    <w:rsid w:val="008B1273"/>
    <w:rsid w:val="008B2744"/>
    <w:rsid w:val="008B3C6C"/>
    <w:rsid w:val="008B6491"/>
    <w:rsid w:val="008B73F8"/>
    <w:rsid w:val="008C7BE4"/>
    <w:rsid w:val="008D21BB"/>
    <w:rsid w:val="008D21F8"/>
    <w:rsid w:val="008D304C"/>
    <w:rsid w:val="008D34B7"/>
    <w:rsid w:val="008D64CE"/>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2B"/>
    <w:rsid w:val="00933193"/>
    <w:rsid w:val="0093591B"/>
    <w:rsid w:val="009375CD"/>
    <w:rsid w:val="00940037"/>
    <w:rsid w:val="00943333"/>
    <w:rsid w:val="00945657"/>
    <w:rsid w:val="00946518"/>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6198"/>
    <w:rsid w:val="009D6B94"/>
    <w:rsid w:val="009D7775"/>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62B6"/>
    <w:rsid w:val="00A36D70"/>
    <w:rsid w:val="00A4094A"/>
    <w:rsid w:val="00A453C4"/>
    <w:rsid w:val="00A465C7"/>
    <w:rsid w:val="00A465E0"/>
    <w:rsid w:val="00A468A4"/>
    <w:rsid w:val="00A546F7"/>
    <w:rsid w:val="00A55B9A"/>
    <w:rsid w:val="00A565A4"/>
    <w:rsid w:val="00A572CA"/>
    <w:rsid w:val="00A61A0E"/>
    <w:rsid w:val="00A64156"/>
    <w:rsid w:val="00A66EA0"/>
    <w:rsid w:val="00A6705F"/>
    <w:rsid w:val="00A71272"/>
    <w:rsid w:val="00A7305D"/>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1466"/>
    <w:rsid w:val="00B1467B"/>
    <w:rsid w:val="00B14C48"/>
    <w:rsid w:val="00B1542A"/>
    <w:rsid w:val="00B16C20"/>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4197"/>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75F1"/>
    <w:rsid w:val="00B9776D"/>
    <w:rsid w:val="00B97B4C"/>
    <w:rsid w:val="00BA050A"/>
    <w:rsid w:val="00BA072E"/>
    <w:rsid w:val="00BA0FD4"/>
    <w:rsid w:val="00BA14C9"/>
    <w:rsid w:val="00BA2CB7"/>
    <w:rsid w:val="00BA3573"/>
    <w:rsid w:val="00BA4FB6"/>
    <w:rsid w:val="00BA5839"/>
    <w:rsid w:val="00BA5FFA"/>
    <w:rsid w:val="00BA70D4"/>
    <w:rsid w:val="00BA793F"/>
    <w:rsid w:val="00BB04EF"/>
    <w:rsid w:val="00BB0AED"/>
    <w:rsid w:val="00BB23B4"/>
    <w:rsid w:val="00BB2C6B"/>
    <w:rsid w:val="00BB43B5"/>
    <w:rsid w:val="00BB590F"/>
    <w:rsid w:val="00BB7619"/>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29BA"/>
    <w:rsid w:val="00C148CC"/>
    <w:rsid w:val="00C15B12"/>
    <w:rsid w:val="00C24ED5"/>
    <w:rsid w:val="00C2678D"/>
    <w:rsid w:val="00C3172A"/>
    <w:rsid w:val="00C33FA8"/>
    <w:rsid w:val="00C34C38"/>
    <w:rsid w:val="00C35DB1"/>
    <w:rsid w:val="00C3618C"/>
    <w:rsid w:val="00C36C92"/>
    <w:rsid w:val="00C37AD1"/>
    <w:rsid w:val="00C413CF"/>
    <w:rsid w:val="00C4222A"/>
    <w:rsid w:val="00C430DF"/>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6E11"/>
    <w:rsid w:val="00CF0249"/>
    <w:rsid w:val="00CF13DB"/>
    <w:rsid w:val="00CF228A"/>
    <w:rsid w:val="00CF5C50"/>
    <w:rsid w:val="00CF7208"/>
    <w:rsid w:val="00D01923"/>
    <w:rsid w:val="00D03D8C"/>
    <w:rsid w:val="00D03E8B"/>
    <w:rsid w:val="00D10413"/>
    <w:rsid w:val="00D12D17"/>
    <w:rsid w:val="00D15EE6"/>
    <w:rsid w:val="00D16978"/>
    <w:rsid w:val="00D17C46"/>
    <w:rsid w:val="00D20684"/>
    <w:rsid w:val="00D21ABC"/>
    <w:rsid w:val="00D22025"/>
    <w:rsid w:val="00D22F8F"/>
    <w:rsid w:val="00D24532"/>
    <w:rsid w:val="00D2624F"/>
    <w:rsid w:val="00D26AB8"/>
    <w:rsid w:val="00D3076F"/>
    <w:rsid w:val="00D30DA6"/>
    <w:rsid w:val="00D42DB9"/>
    <w:rsid w:val="00D442AB"/>
    <w:rsid w:val="00D47A7E"/>
    <w:rsid w:val="00D5054C"/>
    <w:rsid w:val="00D51033"/>
    <w:rsid w:val="00D53DB1"/>
    <w:rsid w:val="00D54A3E"/>
    <w:rsid w:val="00D60DE0"/>
    <w:rsid w:val="00D614DB"/>
    <w:rsid w:val="00D61A27"/>
    <w:rsid w:val="00D62DC9"/>
    <w:rsid w:val="00D62F06"/>
    <w:rsid w:val="00D63794"/>
    <w:rsid w:val="00D73C16"/>
    <w:rsid w:val="00D745EB"/>
    <w:rsid w:val="00D7581D"/>
    <w:rsid w:val="00D76D8E"/>
    <w:rsid w:val="00D81748"/>
    <w:rsid w:val="00D8453F"/>
    <w:rsid w:val="00D860BC"/>
    <w:rsid w:val="00D862FA"/>
    <w:rsid w:val="00D90E4C"/>
    <w:rsid w:val="00D948E4"/>
    <w:rsid w:val="00D951E8"/>
    <w:rsid w:val="00D969BB"/>
    <w:rsid w:val="00D97B29"/>
    <w:rsid w:val="00DA02BA"/>
    <w:rsid w:val="00DA26B6"/>
    <w:rsid w:val="00DA4E0A"/>
    <w:rsid w:val="00DB0D1D"/>
    <w:rsid w:val="00DB143B"/>
    <w:rsid w:val="00DB2574"/>
    <w:rsid w:val="00DB42F4"/>
    <w:rsid w:val="00DB61E3"/>
    <w:rsid w:val="00DB6D6F"/>
    <w:rsid w:val="00DC2172"/>
    <w:rsid w:val="00DC5452"/>
    <w:rsid w:val="00DC6897"/>
    <w:rsid w:val="00DC7D8E"/>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2D0E"/>
    <w:rsid w:val="00E95465"/>
    <w:rsid w:val="00E959D0"/>
    <w:rsid w:val="00E95EFA"/>
    <w:rsid w:val="00E96C7C"/>
    <w:rsid w:val="00E97F23"/>
    <w:rsid w:val="00EA0C47"/>
    <w:rsid w:val="00EA4A0B"/>
    <w:rsid w:val="00EA4A99"/>
    <w:rsid w:val="00EA60DC"/>
    <w:rsid w:val="00EA6162"/>
    <w:rsid w:val="00EB49CF"/>
    <w:rsid w:val="00EB6ABB"/>
    <w:rsid w:val="00EC19E0"/>
    <w:rsid w:val="00EC7909"/>
    <w:rsid w:val="00EC7EF1"/>
    <w:rsid w:val="00ED0C4F"/>
    <w:rsid w:val="00ED7411"/>
    <w:rsid w:val="00EE048F"/>
    <w:rsid w:val="00EE04B8"/>
    <w:rsid w:val="00EE712A"/>
    <w:rsid w:val="00EF2A2C"/>
    <w:rsid w:val="00EF2FC8"/>
    <w:rsid w:val="00EF43DF"/>
    <w:rsid w:val="00EF49DE"/>
    <w:rsid w:val="00EF565B"/>
    <w:rsid w:val="00EF56FA"/>
    <w:rsid w:val="00EF6986"/>
    <w:rsid w:val="00EF76A1"/>
    <w:rsid w:val="00F0064B"/>
    <w:rsid w:val="00F0302F"/>
    <w:rsid w:val="00F07987"/>
    <w:rsid w:val="00F11C78"/>
    <w:rsid w:val="00F134E2"/>
    <w:rsid w:val="00F1427F"/>
    <w:rsid w:val="00F14712"/>
    <w:rsid w:val="00F147BD"/>
    <w:rsid w:val="00F15CB2"/>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57DCB"/>
    <w:rsid w:val="00F60D96"/>
    <w:rsid w:val="00F63D03"/>
    <w:rsid w:val="00F6430A"/>
    <w:rsid w:val="00F6438F"/>
    <w:rsid w:val="00F64D2E"/>
    <w:rsid w:val="00F64E27"/>
    <w:rsid w:val="00F67572"/>
    <w:rsid w:val="00F712B5"/>
    <w:rsid w:val="00F74B52"/>
    <w:rsid w:val="00F74B67"/>
    <w:rsid w:val="00F75390"/>
    <w:rsid w:val="00F76BD9"/>
    <w:rsid w:val="00F7707A"/>
    <w:rsid w:val="00F80EE8"/>
    <w:rsid w:val="00F817A7"/>
    <w:rsid w:val="00F829CF"/>
    <w:rsid w:val="00F9086E"/>
    <w:rsid w:val="00F91CC4"/>
    <w:rsid w:val="00F9550F"/>
    <w:rsid w:val="00F97D86"/>
    <w:rsid w:val="00FA27B2"/>
    <w:rsid w:val="00FA2CA7"/>
    <w:rsid w:val="00FA47AB"/>
    <w:rsid w:val="00FB2A0D"/>
    <w:rsid w:val="00FB2D04"/>
    <w:rsid w:val="00FB4EC9"/>
    <w:rsid w:val="00FB546E"/>
    <w:rsid w:val="00FB6BE6"/>
    <w:rsid w:val="00FC1346"/>
    <w:rsid w:val="00FC1B49"/>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502C"/>
    <w:rsid w:val="00FF5A28"/>
    <w:rsid w:val="00FF5B4F"/>
    <w:rsid w:val="00FF6187"/>
    <w:rsid w:val="00FF6DB6"/>
    <w:rsid w:val="00FF76F5"/>
    <w:rsid w:val="01011480"/>
    <w:rsid w:val="011F3D7A"/>
    <w:rsid w:val="01326262"/>
    <w:rsid w:val="01656F24"/>
    <w:rsid w:val="01C90C4A"/>
    <w:rsid w:val="01F863FC"/>
    <w:rsid w:val="02215985"/>
    <w:rsid w:val="022173D0"/>
    <w:rsid w:val="022962B0"/>
    <w:rsid w:val="023D7796"/>
    <w:rsid w:val="025B266A"/>
    <w:rsid w:val="028E26C7"/>
    <w:rsid w:val="028F074E"/>
    <w:rsid w:val="02CA1753"/>
    <w:rsid w:val="030233D9"/>
    <w:rsid w:val="03297296"/>
    <w:rsid w:val="033A7662"/>
    <w:rsid w:val="03446F6E"/>
    <w:rsid w:val="03D15CE1"/>
    <w:rsid w:val="041720E0"/>
    <w:rsid w:val="044F7FBF"/>
    <w:rsid w:val="046A3DDB"/>
    <w:rsid w:val="04745625"/>
    <w:rsid w:val="047C661B"/>
    <w:rsid w:val="04875A81"/>
    <w:rsid w:val="04926F01"/>
    <w:rsid w:val="04966D96"/>
    <w:rsid w:val="04B623AB"/>
    <w:rsid w:val="04BB20DB"/>
    <w:rsid w:val="0519260A"/>
    <w:rsid w:val="052A74D2"/>
    <w:rsid w:val="05322C2F"/>
    <w:rsid w:val="058E2345"/>
    <w:rsid w:val="05E5378E"/>
    <w:rsid w:val="060E37AA"/>
    <w:rsid w:val="06275130"/>
    <w:rsid w:val="062B7AAE"/>
    <w:rsid w:val="067B0C94"/>
    <w:rsid w:val="06A45440"/>
    <w:rsid w:val="06E83E78"/>
    <w:rsid w:val="070C5363"/>
    <w:rsid w:val="07143072"/>
    <w:rsid w:val="07787C5D"/>
    <w:rsid w:val="07796FE9"/>
    <w:rsid w:val="079D3318"/>
    <w:rsid w:val="07B14AA4"/>
    <w:rsid w:val="07EC6DCD"/>
    <w:rsid w:val="07F95346"/>
    <w:rsid w:val="082479C5"/>
    <w:rsid w:val="084D72B2"/>
    <w:rsid w:val="08A113FE"/>
    <w:rsid w:val="08E12F9E"/>
    <w:rsid w:val="09311453"/>
    <w:rsid w:val="096A3E13"/>
    <w:rsid w:val="0A341367"/>
    <w:rsid w:val="0A3D7005"/>
    <w:rsid w:val="0A5C5A79"/>
    <w:rsid w:val="0A6D153B"/>
    <w:rsid w:val="0A97161F"/>
    <w:rsid w:val="0AB7616F"/>
    <w:rsid w:val="0B1B07ED"/>
    <w:rsid w:val="0B8310A6"/>
    <w:rsid w:val="0BBB7CBE"/>
    <w:rsid w:val="0BC929F4"/>
    <w:rsid w:val="0BE87CEE"/>
    <w:rsid w:val="0BF6462C"/>
    <w:rsid w:val="0C326A92"/>
    <w:rsid w:val="0C334EAC"/>
    <w:rsid w:val="0C377F4F"/>
    <w:rsid w:val="0C7620CF"/>
    <w:rsid w:val="0C8B36E8"/>
    <w:rsid w:val="0CB6507C"/>
    <w:rsid w:val="0CEE3136"/>
    <w:rsid w:val="0D2E7DE1"/>
    <w:rsid w:val="0D346B06"/>
    <w:rsid w:val="0D63265E"/>
    <w:rsid w:val="0D8B4C55"/>
    <w:rsid w:val="0DD43FF0"/>
    <w:rsid w:val="0DE76366"/>
    <w:rsid w:val="0E1C0117"/>
    <w:rsid w:val="0E1D7F43"/>
    <w:rsid w:val="0E2A4679"/>
    <w:rsid w:val="0E4A51B6"/>
    <w:rsid w:val="0E5D5AD1"/>
    <w:rsid w:val="0E7D6E57"/>
    <w:rsid w:val="0E962269"/>
    <w:rsid w:val="0EBE0F7E"/>
    <w:rsid w:val="0ED546FE"/>
    <w:rsid w:val="0EDB551A"/>
    <w:rsid w:val="0EFD4A6A"/>
    <w:rsid w:val="0F713A55"/>
    <w:rsid w:val="0F752022"/>
    <w:rsid w:val="10281845"/>
    <w:rsid w:val="1028336F"/>
    <w:rsid w:val="103B0E7B"/>
    <w:rsid w:val="107239CE"/>
    <w:rsid w:val="107C3B75"/>
    <w:rsid w:val="10837074"/>
    <w:rsid w:val="10F34432"/>
    <w:rsid w:val="10F52B46"/>
    <w:rsid w:val="111C3176"/>
    <w:rsid w:val="118E5F95"/>
    <w:rsid w:val="12014730"/>
    <w:rsid w:val="120A3DAC"/>
    <w:rsid w:val="121C3810"/>
    <w:rsid w:val="121F769F"/>
    <w:rsid w:val="123272E8"/>
    <w:rsid w:val="124302B5"/>
    <w:rsid w:val="12545BAE"/>
    <w:rsid w:val="12A10108"/>
    <w:rsid w:val="12D75169"/>
    <w:rsid w:val="12DF4A31"/>
    <w:rsid w:val="12EC70FD"/>
    <w:rsid w:val="12F5413C"/>
    <w:rsid w:val="130D4B97"/>
    <w:rsid w:val="131107A6"/>
    <w:rsid w:val="131C1BCB"/>
    <w:rsid w:val="132018F9"/>
    <w:rsid w:val="135344BC"/>
    <w:rsid w:val="13632622"/>
    <w:rsid w:val="13791F67"/>
    <w:rsid w:val="13CF1D2C"/>
    <w:rsid w:val="13D428C4"/>
    <w:rsid w:val="13F560DB"/>
    <w:rsid w:val="14E3723D"/>
    <w:rsid w:val="15310F01"/>
    <w:rsid w:val="153E337E"/>
    <w:rsid w:val="154B41B7"/>
    <w:rsid w:val="1582395B"/>
    <w:rsid w:val="15B448B3"/>
    <w:rsid w:val="165B4F07"/>
    <w:rsid w:val="16902214"/>
    <w:rsid w:val="16940BAF"/>
    <w:rsid w:val="16C5279C"/>
    <w:rsid w:val="17210EA8"/>
    <w:rsid w:val="174B6C8A"/>
    <w:rsid w:val="17795761"/>
    <w:rsid w:val="17800C9F"/>
    <w:rsid w:val="17AC3DF0"/>
    <w:rsid w:val="17B80619"/>
    <w:rsid w:val="17BD3615"/>
    <w:rsid w:val="17C95EB7"/>
    <w:rsid w:val="17F432CD"/>
    <w:rsid w:val="1871628D"/>
    <w:rsid w:val="18A81DA2"/>
    <w:rsid w:val="18D562C9"/>
    <w:rsid w:val="18FA0730"/>
    <w:rsid w:val="19082B75"/>
    <w:rsid w:val="194F5F68"/>
    <w:rsid w:val="197A2D9B"/>
    <w:rsid w:val="19D6153F"/>
    <w:rsid w:val="1A99651C"/>
    <w:rsid w:val="1AED1401"/>
    <w:rsid w:val="1B1361F4"/>
    <w:rsid w:val="1B937646"/>
    <w:rsid w:val="1BB95D62"/>
    <w:rsid w:val="1C111760"/>
    <w:rsid w:val="1C265C92"/>
    <w:rsid w:val="1C45364B"/>
    <w:rsid w:val="1C5079FE"/>
    <w:rsid w:val="1C5727E7"/>
    <w:rsid w:val="1CE356A9"/>
    <w:rsid w:val="1D1E5548"/>
    <w:rsid w:val="1D1F41BE"/>
    <w:rsid w:val="1D282323"/>
    <w:rsid w:val="1D885188"/>
    <w:rsid w:val="1DAE562A"/>
    <w:rsid w:val="1DDA120F"/>
    <w:rsid w:val="1DED0DA3"/>
    <w:rsid w:val="1DF615BC"/>
    <w:rsid w:val="1E042E14"/>
    <w:rsid w:val="1E13478A"/>
    <w:rsid w:val="1E4B5802"/>
    <w:rsid w:val="1E885379"/>
    <w:rsid w:val="1E8D7AD7"/>
    <w:rsid w:val="1EF70EBC"/>
    <w:rsid w:val="1EF73293"/>
    <w:rsid w:val="1F274F5A"/>
    <w:rsid w:val="1F3D609E"/>
    <w:rsid w:val="1F595B6B"/>
    <w:rsid w:val="1F9319B3"/>
    <w:rsid w:val="1FBA6C68"/>
    <w:rsid w:val="1FDC79B1"/>
    <w:rsid w:val="1FEF6F34"/>
    <w:rsid w:val="20142A6F"/>
    <w:rsid w:val="209439DE"/>
    <w:rsid w:val="20B44D9E"/>
    <w:rsid w:val="20BC0D1A"/>
    <w:rsid w:val="20CD63E6"/>
    <w:rsid w:val="21061AE7"/>
    <w:rsid w:val="21161DC5"/>
    <w:rsid w:val="213B78FF"/>
    <w:rsid w:val="21BB5357"/>
    <w:rsid w:val="21C65DC2"/>
    <w:rsid w:val="21CE5529"/>
    <w:rsid w:val="2211244F"/>
    <w:rsid w:val="2214007A"/>
    <w:rsid w:val="22410C0E"/>
    <w:rsid w:val="22491A77"/>
    <w:rsid w:val="225C2A84"/>
    <w:rsid w:val="225E5953"/>
    <w:rsid w:val="22F259F1"/>
    <w:rsid w:val="232B0D57"/>
    <w:rsid w:val="23D45BF3"/>
    <w:rsid w:val="242578D6"/>
    <w:rsid w:val="244766DE"/>
    <w:rsid w:val="245C7F95"/>
    <w:rsid w:val="24727D09"/>
    <w:rsid w:val="2476229D"/>
    <w:rsid w:val="24766275"/>
    <w:rsid w:val="24E90732"/>
    <w:rsid w:val="24ED0582"/>
    <w:rsid w:val="250A1958"/>
    <w:rsid w:val="250A3344"/>
    <w:rsid w:val="251478B2"/>
    <w:rsid w:val="25245F91"/>
    <w:rsid w:val="254A3258"/>
    <w:rsid w:val="256100EE"/>
    <w:rsid w:val="25705DD4"/>
    <w:rsid w:val="257B0A56"/>
    <w:rsid w:val="25AC7034"/>
    <w:rsid w:val="25E410CE"/>
    <w:rsid w:val="25EB0814"/>
    <w:rsid w:val="25F57BBA"/>
    <w:rsid w:val="25F7163A"/>
    <w:rsid w:val="26030BE4"/>
    <w:rsid w:val="266613DF"/>
    <w:rsid w:val="26790A16"/>
    <w:rsid w:val="268D3A24"/>
    <w:rsid w:val="26BC6432"/>
    <w:rsid w:val="26C12755"/>
    <w:rsid w:val="26CF4864"/>
    <w:rsid w:val="26F05EFD"/>
    <w:rsid w:val="273B7716"/>
    <w:rsid w:val="274D113D"/>
    <w:rsid w:val="2759433F"/>
    <w:rsid w:val="279C7354"/>
    <w:rsid w:val="27C653AD"/>
    <w:rsid w:val="281771FE"/>
    <w:rsid w:val="288655D8"/>
    <w:rsid w:val="288F5BED"/>
    <w:rsid w:val="28E37C83"/>
    <w:rsid w:val="292204E8"/>
    <w:rsid w:val="29237341"/>
    <w:rsid w:val="29306DBA"/>
    <w:rsid w:val="29633A7E"/>
    <w:rsid w:val="29725F40"/>
    <w:rsid w:val="298C3C07"/>
    <w:rsid w:val="29947266"/>
    <w:rsid w:val="29951A65"/>
    <w:rsid w:val="29BD641A"/>
    <w:rsid w:val="29C64437"/>
    <w:rsid w:val="2A237956"/>
    <w:rsid w:val="2A2543E7"/>
    <w:rsid w:val="2A367D20"/>
    <w:rsid w:val="2A754B36"/>
    <w:rsid w:val="2AA646BC"/>
    <w:rsid w:val="2AAE3A25"/>
    <w:rsid w:val="2B024A50"/>
    <w:rsid w:val="2B434B82"/>
    <w:rsid w:val="2BA6719E"/>
    <w:rsid w:val="2BDA2C98"/>
    <w:rsid w:val="2BE945FC"/>
    <w:rsid w:val="2BEF0A25"/>
    <w:rsid w:val="2C0077F9"/>
    <w:rsid w:val="2C32628A"/>
    <w:rsid w:val="2C4769F3"/>
    <w:rsid w:val="2C6A7F82"/>
    <w:rsid w:val="2D401DF6"/>
    <w:rsid w:val="2D665813"/>
    <w:rsid w:val="2D7C3E5B"/>
    <w:rsid w:val="2DA85C45"/>
    <w:rsid w:val="2DB0254A"/>
    <w:rsid w:val="2DC931D1"/>
    <w:rsid w:val="2DE2279A"/>
    <w:rsid w:val="2DF77600"/>
    <w:rsid w:val="2E010428"/>
    <w:rsid w:val="2E06749A"/>
    <w:rsid w:val="2E3D5C95"/>
    <w:rsid w:val="2E7E5611"/>
    <w:rsid w:val="2F045B51"/>
    <w:rsid w:val="2F2D7CA2"/>
    <w:rsid w:val="2F354433"/>
    <w:rsid w:val="2F63356A"/>
    <w:rsid w:val="2F8F4E93"/>
    <w:rsid w:val="2F9D7AE1"/>
    <w:rsid w:val="2FD4296E"/>
    <w:rsid w:val="2FDC1300"/>
    <w:rsid w:val="2FE77813"/>
    <w:rsid w:val="2FFF1822"/>
    <w:rsid w:val="30004D09"/>
    <w:rsid w:val="30773792"/>
    <w:rsid w:val="30CD3C1C"/>
    <w:rsid w:val="31011B30"/>
    <w:rsid w:val="31AD5DB1"/>
    <w:rsid w:val="31D161A2"/>
    <w:rsid w:val="31F363B8"/>
    <w:rsid w:val="322E500B"/>
    <w:rsid w:val="32786D65"/>
    <w:rsid w:val="32D229B4"/>
    <w:rsid w:val="32D83D74"/>
    <w:rsid w:val="32D90296"/>
    <w:rsid w:val="33096E37"/>
    <w:rsid w:val="332F6683"/>
    <w:rsid w:val="33681D1C"/>
    <w:rsid w:val="339D05D5"/>
    <w:rsid w:val="339D2F76"/>
    <w:rsid w:val="33A3327B"/>
    <w:rsid w:val="33B652B0"/>
    <w:rsid w:val="33B70ED4"/>
    <w:rsid w:val="33D25C33"/>
    <w:rsid w:val="341F1015"/>
    <w:rsid w:val="342E65F8"/>
    <w:rsid w:val="3438483D"/>
    <w:rsid w:val="34412BF7"/>
    <w:rsid w:val="3487066E"/>
    <w:rsid w:val="34A01CA1"/>
    <w:rsid w:val="34AE5C9C"/>
    <w:rsid w:val="34B45FFD"/>
    <w:rsid w:val="35394A00"/>
    <w:rsid w:val="3546436C"/>
    <w:rsid w:val="35851268"/>
    <w:rsid w:val="35944E06"/>
    <w:rsid w:val="35996879"/>
    <w:rsid w:val="35A1483D"/>
    <w:rsid w:val="35D256F7"/>
    <w:rsid w:val="35E64B3E"/>
    <w:rsid w:val="35F1711F"/>
    <w:rsid w:val="36374761"/>
    <w:rsid w:val="364F295F"/>
    <w:rsid w:val="366F465B"/>
    <w:rsid w:val="3678368B"/>
    <w:rsid w:val="36D21CF0"/>
    <w:rsid w:val="36DA7901"/>
    <w:rsid w:val="36E37CAA"/>
    <w:rsid w:val="371328BA"/>
    <w:rsid w:val="371E05FC"/>
    <w:rsid w:val="372B217C"/>
    <w:rsid w:val="37B37472"/>
    <w:rsid w:val="37FE535E"/>
    <w:rsid w:val="38862930"/>
    <w:rsid w:val="38AD6848"/>
    <w:rsid w:val="39076E91"/>
    <w:rsid w:val="390A0A90"/>
    <w:rsid w:val="390C498C"/>
    <w:rsid w:val="39130728"/>
    <w:rsid w:val="391C1D28"/>
    <w:rsid w:val="393048AB"/>
    <w:rsid w:val="394319E7"/>
    <w:rsid w:val="39B87C64"/>
    <w:rsid w:val="39D76680"/>
    <w:rsid w:val="39ED0932"/>
    <w:rsid w:val="3A292DA0"/>
    <w:rsid w:val="3A2D2830"/>
    <w:rsid w:val="3A525B14"/>
    <w:rsid w:val="3A703033"/>
    <w:rsid w:val="3A96547D"/>
    <w:rsid w:val="3A9C0648"/>
    <w:rsid w:val="3AC66CA6"/>
    <w:rsid w:val="3AE04FC9"/>
    <w:rsid w:val="3AED005D"/>
    <w:rsid w:val="3B2001FE"/>
    <w:rsid w:val="3B37435C"/>
    <w:rsid w:val="3B3E796D"/>
    <w:rsid w:val="3B434AA0"/>
    <w:rsid w:val="3B5C681C"/>
    <w:rsid w:val="3B691DFF"/>
    <w:rsid w:val="3B703865"/>
    <w:rsid w:val="3B7E3082"/>
    <w:rsid w:val="3B7F4030"/>
    <w:rsid w:val="3B961E09"/>
    <w:rsid w:val="3B997D5E"/>
    <w:rsid w:val="3BBD4D3D"/>
    <w:rsid w:val="3BE97BC5"/>
    <w:rsid w:val="3BF25E22"/>
    <w:rsid w:val="3C222A5F"/>
    <w:rsid w:val="3C3E596B"/>
    <w:rsid w:val="3C4C0846"/>
    <w:rsid w:val="3C503419"/>
    <w:rsid w:val="3C5366EB"/>
    <w:rsid w:val="3C576E0F"/>
    <w:rsid w:val="3C801E59"/>
    <w:rsid w:val="3CB25374"/>
    <w:rsid w:val="3CEB7D3A"/>
    <w:rsid w:val="3CF165CE"/>
    <w:rsid w:val="3D0B5459"/>
    <w:rsid w:val="3D164275"/>
    <w:rsid w:val="3D412B9F"/>
    <w:rsid w:val="3D630FBF"/>
    <w:rsid w:val="3E4C484E"/>
    <w:rsid w:val="3E5006D8"/>
    <w:rsid w:val="3E6952D0"/>
    <w:rsid w:val="3EDA2A0E"/>
    <w:rsid w:val="3EF1596A"/>
    <w:rsid w:val="3EFB73C4"/>
    <w:rsid w:val="3F801255"/>
    <w:rsid w:val="3FB74E1E"/>
    <w:rsid w:val="3FF971CD"/>
    <w:rsid w:val="40002C39"/>
    <w:rsid w:val="4018795E"/>
    <w:rsid w:val="404F314F"/>
    <w:rsid w:val="40627EA0"/>
    <w:rsid w:val="40F47299"/>
    <w:rsid w:val="41447F78"/>
    <w:rsid w:val="41C704C5"/>
    <w:rsid w:val="41F212BF"/>
    <w:rsid w:val="422746D2"/>
    <w:rsid w:val="427D4E15"/>
    <w:rsid w:val="42981012"/>
    <w:rsid w:val="42A2632D"/>
    <w:rsid w:val="42B73FEE"/>
    <w:rsid w:val="42CD31C8"/>
    <w:rsid w:val="42F245C7"/>
    <w:rsid w:val="4304451E"/>
    <w:rsid w:val="437A7046"/>
    <w:rsid w:val="437F2CCD"/>
    <w:rsid w:val="43A33F59"/>
    <w:rsid w:val="43A52834"/>
    <w:rsid w:val="43AA5E34"/>
    <w:rsid w:val="43BE25A5"/>
    <w:rsid w:val="43D234C2"/>
    <w:rsid w:val="43E5423C"/>
    <w:rsid w:val="44120E71"/>
    <w:rsid w:val="442C60E8"/>
    <w:rsid w:val="4459767A"/>
    <w:rsid w:val="44761557"/>
    <w:rsid w:val="44880C4A"/>
    <w:rsid w:val="450D1680"/>
    <w:rsid w:val="455A2497"/>
    <w:rsid w:val="461A46B9"/>
    <w:rsid w:val="4659102E"/>
    <w:rsid w:val="467848DB"/>
    <w:rsid w:val="46E51F8C"/>
    <w:rsid w:val="47012860"/>
    <w:rsid w:val="47051099"/>
    <w:rsid w:val="470F3C79"/>
    <w:rsid w:val="47C6635A"/>
    <w:rsid w:val="47C83F0B"/>
    <w:rsid w:val="47EF67FD"/>
    <w:rsid w:val="47FB3A5F"/>
    <w:rsid w:val="48382A1A"/>
    <w:rsid w:val="486652A7"/>
    <w:rsid w:val="48C83BB4"/>
    <w:rsid w:val="497F0EEA"/>
    <w:rsid w:val="49867780"/>
    <w:rsid w:val="499255F9"/>
    <w:rsid w:val="49AE050D"/>
    <w:rsid w:val="4A71028B"/>
    <w:rsid w:val="4A742A8D"/>
    <w:rsid w:val="4A757E64"/>
    <w:rsid w:val="4A823874"/>
    <w:rsid w:val="4A86206C"/>
    <w:rsid w:val="4A881878"/>
    <w:rsid w:val="4AF52CCD"/>
    <w:rsid w:val="4B244615"/>
    <w:rsid w:val="4B263FD8"/>
    <w:rsid w:val="4B3727C4"/>
    <w:rsid w:val="4B493344"/>
    <w:rsid w:val="4B7E6C22"/>
    <w:rsid w:val="4BB83D41"/>
    <w:rsid w:val="4C1759FF"/>
    <w:rsid w:val="4C772A70"/>
    <w:rsid w:val="4C7B2D4A"/>
    <w:rsid w:val="4C8D2BA6"/>
    <w:rsid w:val="4CA938A5"/>
    <w:rsid w:val="4CCC3F6C"/>
    <w:rsid w:val="4D5E5C04"/>
    <w:rsid w:val="4D603A60"/>
    <w:rsid w:val="4D98533A"/>
    <w:rsid w:val="4DCA1D82"/>
    <w:rsid w:val="4E054025"/>
    <w:rsid w:val="4E2D1301"/>
    <w:rsid w:val="4E3872EE"/>
    <w:rsid w:val="4E3C4D4D"/>
    <w:rsid w:val="4E611E94"/>
    <w:rsid w:val="4EC731AC"/>
    <w:rsid w:val="4F922963"/>
    <w:rsid w:val="4F942E56"/>
    <w:rsid w:val="4F94439B"/>
    <w:rsid w:val="4FB40CCC"/>
    <w:rsid w:val="4FEE7B91"/>
    <w:rsid w:val="503946DC"/>
    <w:rsid w:val="50A6515E"/>
    <w:rsid w:val="50BA786B"/>
    <w:rsid w:val="50ED18C5"/>
    <w:rsid w:val="51097286"/>
    <w:rsid w:val="51721AC2"/>
    <w:rsid w:val="51A61653"/>
    <w:rsid w:val="51D0484B"/>
    <w:rsid w:val="520C67D5"/>
    <w:rsid w:val="524F1A68"/>
    <w:rsid w:val="52513323"/>
    <w:rsid w:val="52666EC0"/>
    <w:rsid w:val="52667B34"/>
    <w:rsid w:val="52BB31A0"/>
    <w:rsid w:val="52CD45AB"/>
    <w:rsid w:val="52CE64B2"/>
    <w:rsid w:val="5318164F"/>
    <w:rsid w:val="534F447E"/>
    <w:rsid w:val="53D348D9"/>
    <w:rsid w:val="54105E10"/>
    <w:rsid w:val="54220010"/>
    <w:rsid w:val="542F7157"/>
    <w:rsid w:val="5443408F"/>
    <w:rsid w:val="549A1259"/>
    <w:rsid w:val="54AE08D9"/>
    <w:rsid w:val="5505576D"/>
    <w:rsid w:val="551C62C9"/>
    <w:rsid w:val="55253D88"/>
    <w:rsid w:val="554329FC"/>
    <w:rsid w:val="556270B4"/>
    <w:rsid w:val="558D5164"/>
    <w:rsid w:val="563B0804"/>
    <w:rsid w:val="56951D81"/>
    <w:rsid w:val="56DA2E2C"/>
    <w:rsid w:val="56FD32AE"/>
    <w:rsid w:val="56FE68E6"/>
    <w:rsid w:val="5775155A"/>
    <w:rsid w:val="577801EC"/>
    <w:rsid w:val="57867F62"/>
    <w:rsid w:val="57A70F09"/>
    <w:rsid w:val="58112409"/>
    <w:rsid w:val="58117210"/>
    <w:rsid w:val="583311B3"/>
    <w:rsid w:val="58471F95"/>
    <w:rsid w:val="58D174DA"/>
    <w:rsid w:val="590D482E"/>
    <w:rsid w:val="591C268D"/>
    <w:rsid w:val="591E1871"/>
    <w:rsid w:val="592F2358"/>
    <w:rsid w:val="599B63C9"/>
    <w:rsid w:val="59EB38CC"/>
    <w:rsid w:val="59FC01F2"/>
    <w:rsid w:val="5A6168CC"/>
    <w:rsid w:val="5A784B5C"/>
    <w:rsid w:val="5AA96C5E"/>
    <w:rsid w:val="5B12188D"/>
    <w:rsid w:val="5B33722F"/>
    <w:rsid w:val="5B9D063F"/>
    <w:rsid w:val="5BA207EA"/>
    <w:rsid w:val="5BC12B3F"/>
    <w:rsid w:val="5BE53848"/>
    <w:rsid w:val="5C046A5C"/>
    <w:rsid w:val="5C052729"/>
    <w:rsid w:val="5C4A2849"/>
    <w:rsid w:val="5C5767E0"/>
    <w:rsid w:val="5CC80455"/>
    <w:rsid w:val="5CFD17BF"/>
    <w:rsid w:val="5D3636B1"/>
    <w:rsid w:val="5D38775F"/>
    <w:rsid w:val="5DFA71D3"/>
    <w:rsid w:val="5E4774AC"/>
    <w:rsid w:val="5EA55315"/>
    <w:rsid w:val="5EB07804"/>
    <w:rsid w:val="5EC926C7"/>
    <w:rsid w:val="5F604DF4"/>
    <w:rsid w:val="5F8D7C55"/>
    <w:rsid w:val="5F953188"/>
    <w:rsid w:val="5FB81E1F"/>
    <w:rsid w:val="5FD34E04"/>
    <w:rsid w:val="606E6168"/>
    <w:rsid w:val="60A905A7"/>
    <w:rsid w:val="60FB4ACC"/>
    <w:rsid w:val="61407A73"/>
    <w:rsid w:val="61603634"/>
    <w:rsid w:val="61664963"/>
    <w:rsid w:val="61665EEA"/>
    <w:rsid w:val="61B719C0"/>
    <w:rsid w:val="61F15103"/>
    <w:rsid w:val="620E2F87"/>
    <w:rsid w:val="63107243"/>
    <w:rsid w:val="631A396D"/>
    <w:rsid w:val="631E0515"/>
    <w:rsid w:val="636A2F9E"/>
    <w:rsid w:val="636D6A11"/>
    <w:rsid w:val="6383595D"/>
    <w:rsid w:val="6385784E"/>
    <w:rsid w:val="64545CA3"/>
    <w:rsid w:val="64722655"/>
    <w:rsid w:val="64994FF6"/>
    <w:rsid w:val="64AC452B"/>
    <w:rsid w:val="64AE04B2"/>
    <w:rsid w:val="64D20092"/>
    <w:rsid w:val="65150BCC"/>
    <w:rsid w:val="6532301A"/>
    <w:rsid w:val="654B3B4D"/>
    <w:rsid w:val="65967D35"/>
    <w:rsid w:val="65E1359C"/>
    <w:rsid w:val="65F7082A"/>
    <w:rsid w:val="65FF3823"/>
    <w:rsid w:val="660608ED"/>
    <w:rsid w:val="66663562"/>
    <w:rsid w:val="66744AA5"/>
    <w:rsid w:val="66A01E20"/>
    <w:rsid w:val="66E91653"/>
    <w:rsid w:val="673962FA"/>
    <w:rsid w:val="67796C98"/>
    <w:rsid w:val="679F4F83"/>
    <w:rsid w:val="680F4478"/>
    <w:rsid w:val="6824093F"/>
    <w:rsid w:val="685969C5"/>
    <w:rsid w:val="686B6F42"/>
    <w:rsid w:val="686E3734"/>
    <w:rsid w:val="68792F69"/>
    <w:rsid w:val="68843A54"/>
    <w:rsid w:val="68B56363"/>
    <w:rsid w:val="68DC4ECB"/>
    <w:rsid w:val="68EA010D"/>
    <w:rsid w:val="68F656F3"/>
    <w:rsid w:val="690B7936"/>
    <w:rsid w:val="693D2BDF"/>
    <w:rsid w:val="69503F60"/>
    <w:rsid w:val="69B56E67"/>
    <w:rsid w:val="69C56A18"/>
    <w:rsid w:val="6A065370"/>
    <w:rsid w:val="6A142AE4"/>
    <w:rsid w:val="6A195434"/>
    <w:rsid w:val="6A3263AB"/>
    <w:rsid w:val="6A404FBE"/>
    <w:rsid w:val="6A5F5901"/>
    <w:rsid w:val="6A780CF1"/>
    <w:rsid w:val="6A887328"/>
    <w:rsid w:val="6A940057"/>
    <w:rsid w:val="6AC350C9"/>
    <w:rsid w:val="6AC70E68"/>
    <w:rsid w:val="6AE46553"/>
    <w:rsid w:val="6B1D3BCB"/>
    <w:rsid w:val="6B9A47CE"/>
    <w:rsid w:val="6B9E1A6B"/>
    <w:rsid w:val="6BA35411"/>
    <w:rsid w:val="6BCF3DB4"/>
    <w:rsid w:val="6C201B81"/>
    <w:rsid w:val="6C3E5445"/>
    <w:rsid w:val="6C6D6F91"/>
    <w:rsid w:val="6C744FE4"/>
    <w:rsid w:val="6C88238E"/>
    <w:rsid w:val="6C88625E"/>
    <w:rsid w:val="6C8B5555"/>
    <w:rsid w:val="6CB75ECD"/>
    <w:rsid w:val="6CB8670C"/>
    <w:rsid w:val="6CBC2D8B"/>
    <w:rsid w:val="6D404BC8"/>
    <w:rsid w:val="6D4D0181"/>
    <w:rsid w:val="6D9D4668"/>
    <w:rsid w:val="6DBE0429"/>
    <w:rsid w:val="6DD57D61"/>
    <w:rsid w:val="6E490E4B"/>
    <w:rsid w:val="6E58511B"/>
    <w:rsid w:val="6E6A26C1"/>
    <w:rsid w:val="6E831B0F"/>
    <w:rsid w:val="6E8F3A32"/>
    <w:rsid w:val="6ECE33D4"/>
    <w:rsid w:val="6EE340CB"/>
    <w:rsid w:val="6F080338"/>
    <w:rsid w:val="6F97225E"/>
    <w:rsid w:val="6FBB5014"/>
    <w:rsid w:val="700A639E"/>
    <w:rsid w:val="702131A3"/>
    <w:rsid w:val="70367322"/>
    <w:rsid w:val="708E2AFA"/>
    <w:rsid w:val="70D65120"/>
    <w:rsid w:val="7110374A"/>
    <w:rsid w:val="7149603D"/>
    <w:rsid w:val="715F5300"/>
    <w:rsid w:val="719321A3"/>
    <w:rsid w:val="71A75A65"/>
    <w:rsid w:val="71DF4C3F"/>
    <w:rsid w:val="71F108D3"/>
    <w:rsid w:val="72351724"/>
    <w:rsid w:val="723732DF"/>
    <w:rsid w:val="726218A5"/>
    <w:rsid w:val="72853095"/>
    <w:rsid w:val="72A34FCB"/>
    <w:rsid w:val="72D111A5"/>
    <w:rsid w:val="72DA194E"/>
    <w:rsid w:val="72E1796D"/>
    <w:rsid w:val="72F37AC4"/>
    <w:rsid w:val="72FF03B9"/>
    <w:rsid w:val="73725EE0"/>
    <w:rsid w:val="73996051"/>
    <w:rsid w:val="739E27B8"/>
    <w:rsid w:val="73C36C71"/>
    <w:rsid w:val="73DD6007"/>
    <w:rsid w:val="73FE7F01"/>
    <w:rsid w:val="740B755E"/>
    <w:rsid w:val="74106863"/>
    <w:rsid w:val="74470BC7"/>
    <w:rsid w:val="745E0AA2"/>
    <w:rsid w:val="74845C70"/>
    <w:rsid w:val="749C4AA7"/>
    <w:rsid w:val="74B0081B"/>
    <w:rsid w:val="74BE6E2A"/>
    <w:rsid w:val="74D10528"/>
    <w:rsid w:val="74D27357"/>
    <w:rsid w:val="74DC1E43"/>
    <w:rsid w:val="75690CC6"/>
    <w:rsid w:val="75B20134"/>
    <w:rsid w:val="75BE0068"/>
    <w:rsid w:val="75EA6A00"/>
    <w:rsid w:val="76337DDA"/>
    <w:rsid w:val="764A4782"/>
    <w:rsid w:val="765E58B5"/>
    <w:rsid w:val="76D4241C"/>
    <w:rsid w:val="76D96B9D"/>
    <w:rsid w:val="76DC77DB"/>
    <w:rsid w:val="76E41FD6"/>
    <w:rsid w:val="77047DB6"/>
    <w:rsid w:val="77330ED2"/>
    <w:rsid w:val="776637B2"/>
    <w:rsid w:val="779919FD"/>
    <w:rsid w:val="779D37F4"/>
    <w:rsid w:val="77D86B3F"/>
    <w:rsid w:val="77E068D1"/>
    <w:rsid w:val="782C7D5F"/>
    <w:rsid w:val="7845344B"/>
    <w:rsid w:val="78667EE3"/>
    <w:rsid w:val="78831703"/>
    <w:rsid w:val="78A47DD7"/>
    <w:rsid w:val="78EA5C27"/>
    <w:rsid w:val="791D2ACC"/>
    <w:rsid w:val="79292630"/>
    <w:rsid w:val="795E7151"/>
    <w:rsid w:val="79773084"/>
    <w:rsid w:val="797E03EE"/>
    <w:rsid w:val="799E363A"/>
    <w:rsid w:val="7A3915CB"/>
    <w:rsid w:val="7A8F2373"/>
    <w:rsid w:val="7A9042B5"/>
    <w:rsid w:val="7A906F6B"/>
    <w:rsid w:val="7AE31134"/>
    <w:rsid w:val="7AF51477"/>
    <w:rsid w:val="7B265E6F"/>
    <w:rsid w:val="7B770BD0"/>
    <w:rsid w:val="7B8560E6"/>
    <w:rsid w:val="7B980403"/>
    <w:rsid w:val="7BA03B38"/>
    <w:rsid w:val="7BAC63E8"/>
    <w:rsid w:val="7BCE2B97"/>
    <w:rsid w:val="7BEB5709"/>
    <w:rsid w:val="7BF37C4F"/>
    <w:rsid w:val="7BF80007"/>
    <w:rsid w:val="7C47363F"/>
    <w:rsid w:val="7CBA2313"/>
    <w:rsid w:val="7CD24305"/>
    <w:rsid w:val="7CD741D0"/>
    <w:rsid w:val="7D0C7D05"/>
    <w:rsid w:val="7D5D1A27"/>
    <w:rsid w:val="7D650B9A"/>
    <w:rsid w:val="7D870A88"/>
    <w:rsid w:val="7E066BDD"/>
    <w:rsid w:val="7E947B14"/>
    <w:rsid w:val="7EA33426"/>
    <w:rsid w:val="7EA873A0"/>
    <w:rsid w:val="7EB87245"/>
    <w:rsid w:val="7F4E447C"/>
    <w:rsid w:val="7F99095B"/>
    <w:rsid w:val="7FE15339"/>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4"/>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85"/>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86"/>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0">
    <w:name w:val="heading 7"/>
    <w:basedOn w:val="1"/>
    <w:next w:val="1"/>
    <w:link w:val="87"/>
    <w:unhideWhenUsed/>
    <w:qFormat/>
    <w:uiPriority w:val="0"/>
    <w:pPr>
      <w:keepNext/>
      <w:keepLines/>
      <w:spacing w:before="240" w:after="64" w:line="320" w:lineRule="auto"/>
      <w:outlineLvl w:val="6"/>
    </w:pPr>
    <w:rPr>
      <w:b/>
      <w:bCs/>
      <w:sz w:val="24"/>
    </w:rPr>
  </w:style>
  <w:style w:type="paragraph" w:styleId="11">
    <w:name w:val="heading 8"/>
    <w:basedOn w:val="1"/>
    <w:next w:val="1"/>
    <w:link w:val="95"/>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next w:val="1"/>
    <w:qFormat/>
    <w:uiPriority w:val="0"/>
    <w:pPr>
      <w:ind w:firstLine="420" w:firstLineChars="100"/>
    </w:pPr>
  </w:style>
  <w:style w:type="paragraph" w:styleId="12">
    <w:name w:val="Normal Indent"/>
    <w:basedOn w:val="1"/>
    <w:link w:val="62"/>
    <w:qFormat/>
    <w:uiPriority w:val="0"/>
    <w:pPr>
      <w:ind w:firstLine="420"/>
    </w:pPr>
    <w:rPr>
      <w:szCs w:val="20"/>
    </w:rPr>
  </w:style>
  <w:style w:type="paragraph" w:styleId="13">
    <w:name w:val="caption"/>
    <w:basedOn w:val="1"/>
    <w:next w:val="1"/>
    <w:qFormat/>
    <w:uiPriority w:val="0"/>
    <w:pPr>
      <w:widowControl/>
      <w:spacing w:after="200" w:line="276" w:lineRule="auto"/>
      <w:jc w:val="left"/>
    </w:pPr>
    <w:rPr>
      <w:b/>
      <w:bCs/>
      <w:caps/>
      <w:kern w:val="0"/>
      <w:sz w:val="16"/>
      <w:szCs w:val="18"/>
      <w:lang w:eastAsia="en-US" w:bidi="en-US"/>
    </w:rPr>
  </w:style>
  <w:style w:type="paragraph" w:styleId="14">
    <w:name w:val="annotation text"/>
    <w:basedOn w:val="1"/>
    <w:link w:val="55"/>
    <w:qFormat/>
    <w:uiPriority w:val="0"/>
    <w:pPr>
      <w:jc w:val="left"/>
    </w:pPr>
  </w:style>
  <w:style w:type="paragraph" w:styleId="1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16">
    <w:name w:val="List Number 3"/>
    <w:basedOn w:val="1"/>
    <w:qFormat/>
    <w:uiPriority w:val="0"/>
    <w:pPr>
      <w:tabs>
        <w:tab w:val="left" w:pos="1200"/>
      </w:tabs>
      <w:ind w:left="1200" w:hanging="360"/>
    </w:p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toc 3"/>
    <w:basedOn w:val="1"/>
    <w:next w:val="1"/>
    <w:semiHidden/>
    <w:unhideWhenUsed/>
    <w:qFormat/>
    <w:uiPriority w:val="0"/>
    <w:pPr>
      <w:ind w:left="840" w:leftChars="400"/>
    </w:pPr>
  </w:style>
  <w:style w:type="paragraph" w:styleId="19">
    <w:name w:val="Plain Text"/>
    <w:basedOn w:val="1"/>
    <w:next w:val="20"/>
    <w:link w:val="67"/>
    <w:qFormat/>
    <w:uiPriority w:val="0"/>
    <w:pPr>
      <w:widowControl/>
      <w:spacing w:before="100" w:beforeAutospacing="1" w:after="100" w:afterAutospacing="1"/>
      <w:jc w:val="left"/>
    </w:pPr>
    <w:rPr>
      <w:rFonts w:ascii="宋体" w:hAnsi="宋体"/>
      <w:kern w:val="0"/>
      <w:sz w:val="24"/>
    </w:rPr>
  </w:style>
  <w:style w:type="paragraph" w:styleId="20">
    <w:name w:val="Date"/>
    <w:basedOn w:val="1"/>
    <w:next w:val="1"/>
    <w:link w:val="56"/>
    <w:qFormat/>
    <w:uiPriority w:val="0"/>
    <w:pPr>
      <w:widowControl/>
      <w:spacing w:before="100" w:beforeAutospacing="1" w:after="100" w:afterAutospacing="1"/>
      <w:jc w:val="left"/>
    </w:pPr>
    <w:rPr>
      <w:rFonts w:ascii="宋体" w:hAnsi="宋体"/>
      <w:kern w:val="0"/>
      <w:sz w:val="24"/>
    </w:rPr>
  </w:style>
  <w:style w:type="paragraph" w:styleId="21">
    <w:name w:val="Body Text Indent 2"/>
    <w:basedOn w:val="1"/>
    <w:link w:val="6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65"/>
    <w:qFormat/>
    <w:uiPriority w:val="99"/>
    <w:pPr>
      <w:tabs>
        <w:tab w:val="center" w:pos="4153"/>
        <w:tab w:val="right" w:pos="8306"/>
      </w:tabs>
      <w:snapToGrid w:val="0"/>
      <w:jc w:val="left"/>
    </w:pPr>
    <w:rPr>
      <w:sz w:val="18"/>
      <w:szCs w:val="18"/>
    </w:rPr>
  </w:style>
  <w:style w:type="paragraph" w:styleId="24">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494"/>
      </w:tabs>
    </w:pPr>
    <w:rPr>
      <w:rFonts w:ascii="宋体" w:hAnsi="宋体"/>
      <w:sz w:val="32"/>
    </w:rPr>
  </w:style>
  <w:style w:type="paragraph" w:styleId="26">
    <w:name w:val="List"/>
    <w:basedOn w:val="1"/>
    <w:qFormat/>
    <w:uiPriority w:val="0"/>
    <w:pPr>
      <w:ind w:left="200" w:hanging="200" w:hangingChars="200"/>
    </w:pPr>
    <w:rPr>
      <w:szCs w:val="22"/>
    </w:rPr>
  </w:style>
  <w:style w:type="paragraph" w:styleId="27">
    <w:name w:val="Body Text Indent 3"/>
    <w:basedOn w:val="1"/>
    <w:link w:val="66"/>
    <w:qFormat/>
    <w:uiPriority w:val="0"/>
    <w:pPr>
      <w:spacing w:after="120"/>
      <w:ind w:left="420" w:leftChars="200"/>
    </w:pPr>
    <w:rPr>
      <w:kern w:val="0"/>
      <w:sz w:val="16"/>
      <w:szCs w:val="16"/>
    </w:rPr>
  </w:style>
  <w:style w:type="paragraph" w:styleId="28">
    <w:name w:val="toc 2"/>
    <w:basedOn w:val="1"/>
    <w:next w:val="1"/>
    <w:qFormat/>
    <w:uiPriority w:val="0"/>
    <w:pPr>
      <w:tabs>
        <w:tab w:val="right" w:leader="dot" w:pos="8494"/>
      </w:tabs>
    </w:pPr>
    <w:rPr>
      <w:sz w:val="30"/>
    </w:rPr>
  </w:style>
  <w:style w:type="paragraph" w:styleId="29">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0">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31">
    <w:name w:val="annotation subject"/>
    <w:basedOn w:val="14"/>
    <w:next w:val="14"/>
    <w:link w:val="70"/>
    <w:qFormat/>
    <w:uiPriority w:val="0"/>
    <w:rPr>
      <w:b/>
      <w:bCs/>
    </w:rPr>
  </w:style>
  <w:style w:type="paragraph" w:styleId="32">
    <w:name w:val="Body Text First Indent 2"/>
    <w:basedOn w:val="15"/>
    <w:qFormat/>
    <w:uiPriority w:val="0"/>
    <w:pPr>
      <w:spacing w:after="120" w:line="276" w:lineRule="auto"/>
      <w:ind w:left="420" w:leftChars="200" w:firstLine="420"/>
    </w:pPr>
    <w:rPr>
      <w:rFonts w:ascii="Calibri" w:hAnsi="Calibri"/>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basedOn w:val="35"/>
    <w:semiHidden/>
    <w:unhideWhenUsed/>
    <w:qFormat/>
    <w:uiPriority w:val="0"/>
    <w:rPr>
      <w:color w:val="333333"/>
      <w:u w:val="none"/>
    </w:rPr>
  </w:style>
  <w:style w:type="character" w:styleId="39">
    <w:name w:val="Emphasis"/>
    <w:basedOn w:val="35"/>
    <w:qFormat/>
    <w:uiPriority w:val="0"/>
  </w:style>
  <w:style w:type="character" w:styleId="40">
    <w:name w:val="HTML Definition"/>
    <w:basedOn w:val="35"/>
    <w:semiHidden/>
    <w:unhideWhenUsed/>
    <w:qFormat/>
    <w:uiPriority w:val="0"/>
  </w:style>
  <w:style w:type="character" w:styleId="41">
    <w:name w:val="HTML Typewriter"/>
    <w:basedOn w:val="35"/>
    <w:semiHidden/>
    <w:unhideWhenUsed/>
    <w:qFormat/>
    <w:uiPriority w:val="0"/>
    <w:rPr>
      <w:rFonts w:hint="default" w:ascii="monospace" w:hAnsi="monospace" w:eastAsia="monospace" w:cs="monospace"/>
      <w:sz w:val="20"/>
    </w:rPr>
  </w:style>
  <w:style w:type="character" w:styleId="42">
    <w:name w:val="HTML Acronym"/>
    <w:basedOn w:val="35"/>
    <w:semiHidden/>
    <w:unhideWhenUsed/>
    <w:qFormat/>
    <w:uiPriority w:val="0"/>
  </w:style>
  <w:style w:type="character" w:styleId="43">
    <w:name w:val="HTML Variable"/>
    <w:basedOn w:val="35"/>
    <w:semiHidden/>
    <w:unhideWhenUsed/>
    <w:qFormat/>
    <w:uiPriority w:val="0"/>
  </w:style>
  <w:style w:type="character" w:styleId="44">
    <w:name w:val="Hyperlink"/>
    <w:qFormat/>
    <w:uiPriority w:val="0"/>
    <w:rPr>
      <w:color w:val="0000FF"/>
      <w:u w:val="single"/>
    </w:rPr>
  </w:style>
  <w:style w:type="character" w:styleId="45">
    <w:name w:val="HTML Code"/>
    <w:basedOn w:val="35"/>
    <w:semiHidden/>
    <w:unhideWhenUsed/>
    <w:qFormat/>
    <w:uiPriority w:val="0"/>
    <w:rPr>
      <w:rFonts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semiHidden/>
    <w:unhideWhenUsed/>
    <w:qFormat/>
    <w:uiPriority w:val="0"/>
  </w:style>
  <w:style w:type="character" w:styleId="48">
    <w:name w:val="HTML Keyboard"/>
    <w:basedOn w:val="35"/>
    <w:semiHidden/>
    <w:unhideWhenUsed/>
    <w:qFormat/>
    <w:uiPriority w:val="0"/>
    <w:rPr>
      <w:rFonts w:hint="default" w:ascii="monospace" w:hAnsi="monospace" w:eastAsia="monospace" w:cs="monospace"/>
      <w:sz w:val="20"/>
    </w:rPr>
  </w:style>
  <w:style w:type="character" w:styleId="49">
    <w:name w:val="HTML Sample"/>
    <w:basedOn w:val="35"/>
    <w:semiHidden/>
    <w:unhideWhenUsed/>
    <w:qFormat/>
    <w:uiPriority w:val="0"/>
    <w:rPr>
      <w:rFonts w:hint="default" w:ascii="monospace" w:hAnsi="monospace" w:eastAsia="monospace" w:cs="monospace"/>
    </w:rPr>
  </w:style>
  <w:style w:type="paragraph" w:customStyle="1" w:styleId="50">
    <w:name w:val="无间隔1"/>
    <w:qFormat/>
    <w:uiPriority w:val="0"/>
    <w:pPr>
      <w:adjustRightInd w:val="0"/>
      <w:snapToGrid w:val="0"/>
    </w:pPr>
    <w:rPr>
      <w:rFonts w:ascii="Tahoma" w:hAnsi="Tahoma" w:eastAsia="微软雅黑" w:cs="Tahoma"/>
      <w:sz w:val="22"/>
      <w:szCs w:val="22"/>
      <w:lang w:val="en-US" w:eastAsia="zh-CN" w:bidi="ar-SA"/>
    </w:rPr>
  </w:style>
  <w:style w:type="paragraph" w:customStyle="1" w:styleId="51">
    <w:name w:val="BodyText1I"/>
    <w:basedOn w:val="52"/>
    <w:qFormat/>
    <w:uiPriority w:val="0"/>
    <w:pPr>
      <w:tabs>
        <w:tab w:val="left" w:pos="3380"/>
      </w:tabs>
      <w:ind w:firstLine="420" w:firstLineChars="100"/>
    </w:pPr>
    <w:rPr>
      <w:rFonts w:ascii="宋体" w:hAnsi="宋体"/>
      <w:sz w:val="28"/>
      <w:szCs w:val="28"/>
    </w:rPr>
  </w:style>
  <w:style w:type="paragraph" w:customStyle="1" w:styleId="52">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53">
    <w:name w:val="表格文字"/>
    <w:basedOn w:val="1"/>
    <w:next w:val="2"/>
    <w:qFormat/>
    <w:uiPriority w:val="0"/>
    <w:pPr>
      <w:adjustRightInd w:val="0"/>
      <w:spacing w:line="420" w:lineRule="atLeast"/>
      <w:jc w:val="left"/>
      <w:textAlignment w:val="baseline"/>
    </w:pPr>
    <w:rPr>
      <w:rFonts w:ascii="Times New Roman" w:hAnsi="Times New Roman"/>
      <w:kern w:val="0"/>
    </w:rPr>
  </w:style>
  <w:style w:type="character" w:customStyle="1" w:styleId="54">
    <w:name w:val="标题 1 Char"/>
    <w:link w:val="4"/>
    <w:qFormat/>
    <w:uiPriority w:val="0"/>
    <w:rPr>
      <w:b/>
      <w:bCs/>
      <w:kern w:val="44"/>
      <w:sz w:val="44"/>
      <w:szCs w:val="44"/>
    </w:rPr>
  </w:style>
  <w:style w:type="character" w:customStyle="1" w:styleId="55">
    <w:name w:val="批注文字 Char"/>
    <w:link w:val="14"/>
    <w:qFormat/>
    <w:uiPriority w:val="0"/>
    <w:rPr>
      <w:kern w:val="2"/>
      <w:sz w:val="21"/>
      <w:szCs w:val="24"/>
    </w:rPr>
  </w:style>
  <w:style w:type="character" w:customStyle="1" w:styleId="56">
    <w:name w:val="日期 Char"/>
    <w:link w:val="20"/>
    <w:qFormat/>
    <w:uiPriority w:val="0"/>
    <w:rPr>
      <w:rFonts w:ascii="宋体" w:hAnsi="宋体" w:cs="宋体"/>
      <w:sz w:val="24"/>
      <w:szCs w:val="24"/>
    </w:rPr>
  </w:style>
  <w:style w:type="character" w:customStyle="1" w:styleId="57">
    <w:name w:val="页眉 Char"/>
    <w:link w:val="24"/>
    <w:qFormat/>
    <w:uiPriority w:val="99"/>
    <w:rPr>
      <w:kern w:val="2"/>
      <w:sz w:val="18"/>
      <w:szCs w:val="18"/>
    </w:rPr>
  </w:style>
  <w:style w:type="character" w:customStyle="1" w:styleId="58">
    <w:name w:val="标题1 Char"/>
    <w:link w:val="59"/>
    <w:qFormat/>
    <w:uiPriority w:val="0"/>
    <w:rPr>
      <w:rFonts w:ascii="宋体" w:hAnsi="Courier New"/>
      <w:b/>
      <w:sz w:val="30"/>
      <w:szCs w:val="21"/>
    </w:rPr>
  </w:style>
  <w:style w:type="paragraph" w:customStyle="1" w:styleId="59">
    <w:name w:val="标题1"/>
    <w:basedOn w:val="1"/>
    <w:link w:val="58"/>
    <w:qFormat/>
    <w:uiPriority w:val="0"/>
    <w:pPr>
      <w:spacing w:line="360" w:lineRule="auto"/>
    </w:pPr>
    <w:rPr>
      <w:rFonts w:ascii="宋体" w:hAnsi="Courier New"/>
      <w:b/>
      <w:kern w:val="0"/>
      <w:sz w:val="30"/>
      <w:szCs w:val="21"/>
    </w:rPr>
  </w:style>
  <w:style w:type="character" w:customStyle="1" w:styleId="60">
    <w:name w:val="正文文本缩进 3 Char1"/>
    <w:qFormat/>
    <w:uiPriority w:val="0"/>
    <w:rPr>
      <w:kern w:val="2"/>
      <w:sz w:val="16"/>
      <w:szCs w:val="16"/>
    </w:rPr>
  </w:style>
  <w:style w:type="character" w:customStyle="1" w:styleId="61">
    <w:name w:val="正文文本缩进 2 Char"/>
    <w:link w:val="21"/>
    <w:qFormat/>
    <w:uiPriority w:val="0"/>
    <w:rPr>
      <w:kern w:val="2"/>
      <w:sz w:val="21"/>
      <w:szCs w:val="24"/>
    </w:rPr>
  </w:style>
  <w:style w:type="character" w:customStyle="1" w:styleId="62">
    <w:name w:val="正文缩进 Char"/>
    <w:link w:val="12"/>
    <w:qFormat/>
    <w:uiPriority w:val="0"/>
    <w:rPr>
      <w:kern w:val="2"/>
      <w:sz w:val="21"/>
    </w:rPr>
  </w:style>
  <w:style w:type="character" w:customStyle="1" w:styleId="63">
    <w:name w:val="标题 2 Char"/>
    <w:link w:val="5"/>
    <w:qFormat/>
    <w:uiPriority w:val="0"/>
    <w:rPr>
      <w:rFonts w:ascii="Arial" w:hAnsi="Arial" w:eastAsia="黑体"/>
      <w:b/>
      <w:bCs/>
      <w:kern w:val="2"/>
      <w:sz w:val="32"/>
      <w:szCs w:val="32"/>
    </w:rPr>
  </w:style>
  <w:style w:type="character" w:customStyle="1" w:styleId="64">
    <w:name w:val="纯文本 Char1"/>
    <w:qFormat/>
    <w:uiPriority w:val="0"/>
    <w:rPr>
      <w:rFonts w:ascii="宋体" w:hAnsi="Courier New" w:eastAsia="宋体"/>
      <w:kern w:val="2"/>
      <w:sz w:val="24"/>
      <w:szCs w:val="24"/>
      <w:lang w:val="en-US" w:eastAsia="zh-CN" w:bidi="ar-SA"/>
    </w:rPr>
  </w:style>
  <w:style w:type="character" w:customStyle="1" w:styleId="65">
    <w:name w:val="页脚 Char"/>
    <w:link w:val="23"/>
    <w:qFormat/>
    <w:uiPriority w:val="99"/>
    <w:rPr>
      <w:kern w:val="2"/>
      <w:sz w:val="18"/>
      <w:szCs w:val="18"/>
    </w:rPr>
  </w:style>
  <w:style w:type="character" w:customStyle="1" w:styleId="66">
    <w:name w:val="正文文本缩进 3 Char"/>
    <w:link w:val="27"/>
    <w:qFormat/>
    <w:uiPriority w:val="0"/>
    <w:rPr>
      <w:sz w:val="16"/>
      <w:szCs w:val="16"/>
    </w:rPr>
  </w:style>
  <w:style w:type="character" w:customStyle="1" w:styleId="67">
    <w:name w:val="纯文本 Char"/>
    <w:link w:val="19"/>
    <w:qFormat/>
    <w:uiPriority w:val="0"/>
    <w:rPr>
      <w:rFonts w:ascii="宋体" w:hAnsi="宋体" w:cs="宋体"/>
      <w:sz w:val="24"/>
      <w:szCs w:val="24"/>
    </w:rPr>
  </w:style>
  <w:style w:type="character" w:customStyle="1" w:styleId="68">
    <w:name w:val="无间隔 Char"/>
    <w:link w:val="69"/>
    <w:qFormat/>
    <w:uiPriority w:val="1"/>
    <w:rPr>
      <w:rFonts w:ascii="Calibri" w:hAnsi="Calibri"/>
      <w:sz w:val="22"/>
      <w:szCs w:val="22"/>
      <w:lang w:val="en-US" w:eastAsia="zh-CN" w:bidi="ar-SA"/>
    </w:rPr>
  </w:style>
  <w:style w:type="paragraph" w:styleId="69">
    <w:name w:val="No Spacing"/>
    <w:link w:val="68"/>
    <w:qFormat/>
    <w:uiPriority w:val="1"/>
    <w:rPr>
      <w:rFonts w:ascii="Calibri" w:hAnsi="Calibri" w:eastAsia="宋体" w:cs="Times New Roman"/>
      <w:sz w:val="22"/>
      <w:szCs w:val="22"/>
      <w:lang w:val="en-US" w:eastAsia="zh-CN" w:bidi="ar-SA"/>
    </w:rPr>
  </w:style>
  <w:style w:type="character" w:customStyle="1" w:styleId="70">
    <w:name w:val="批注主题 Char"/>
    <w:link w:val="31"/>
    <w:qFormat/>
    <w:uiPriority w:val="0"/>
    <w:rPr>
      <w:b/>
      <w:bCs/>
      <w:kern w:val="2"/>
      <w:sz w:val="21"/>
      <w:szCs w:val="24"/>
    </w:rPr>
  </w:style>
  <w:style w:type="paragraph" w:customStyle="1" w:styleId="71">
    <w:name w:val="正文1"/>
    <w:basedOn w:val="1"/>
    <w:qFormat/>
    <w:uiPriority w:val="0"/>
    <w:pPr>
      <w:widowControl/>
      <w:spacing w:line="360" w:lineRule="auto"/>
      <w:ind w:firstLine="200" w:firstLineChars="200"/>
      <w:jc w:val="left"/>
    </w:pPr>
    <w:rPr>
      <w:rFonts w:cs="仿宋_GB2312"/>
      <w:snapToGrid w:val="0"/>
      <w:color w:val="000000"/>
      <w:sz w:val="24"/>
    </w:rPr>
  </w:style>
  <w:style w:type="paragraph" w:customStyle="1" w:styleId="72">
    <w:name w:val="Normal Indent1"/>
    <w:basedOn w:val="1"/>
    <w:qFormat/>
    <w:uiPriority w:val="0"/>
    <w:pPr>
      <w:ind w:firstLine="420" w:firstLineChars="200"/>
    </w:pPr>
  </w:style>
  <w:style w:type="paragraph" w:customStyle="1" w:styleId="73">
    <w:name w:val="0-正文"/>
    <w:basedOn w:val="1"/>
    <w:qFormat/>
    <w:uiPriority w:val="0"/>
    <w:pPr>
      <w:ind w:firstLine="420" w:firstLineChars="200"/>
    </w:pPr>
    <w:rPr>
      <w:rFonts w:ascii="汉仪仿宋简" w:hAnsi="仿宋"/>
      <w:szCs w:val="28"/>
    </w:rPr>
  </w:style>
  <w:style w:type="paragraph" w:customStyle="1" w:styleId="74">
    <w:name w:val="p0"/>
    <w:basedOn w:val="1"/>
    <w:qFormat/>
    <w:uiPriority w:val="99"/>
    <w:pPr>
      <w:widowControl/>
    </w:pPr>
    <w:rPr>
      <w:kern w:val="0"/>
      <w:sz w:val="28"/>
      <w:szCs w:val="28"/>
    </w:rPr>
  </w:style>
  <w:style w:type="paragraph" w:customStyle="1" w:styleId="7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76">
    <w:name w:val="List Paragraph"/>
    <w:basedOn w:val="1"/>
    <w:qFormat/>
    <w:uiPriority w:val="99"/>
    <w:pPr>
      <w:ind w:firstLine="420" w:firstLineChars="200"/>
    </w:pPr>
  </w:style>
  <w:style w:type="paragraph" w:customStyle="1" w:styleId="77">
    <w:name w:val="_Style 1"/>
    <w:qFormat/>
    <w:uiPriority w:val="0"/>
    <w:rPr>
      <w:rFonts w:ascii="Calibri" w:hAnsi="Calibri" w:eastAsia="宋体" w:cs="Times New Roman"/>
      <w:kern w:val="2"/>
      <w:sz w:val="28"/>
      <w:szCs w:val="22"/>
      <w:lang w:val="en-US" w:eastAsia="zh-CN" w:bidi="ar-SA"/>
    </w:rPr>
  </w:style>
  <w:style w:type="paragraph" w:customStyle="1" w:styleId="78">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79">
    <w:name w:val="中等深浅网格 1 - 强调文字颜色 21"/>
    <w:basedOn w:val="1"/>
    <w:qFormat/>
    <w:uiPriority w:val="0"/>
    <w:pPr>
      <w:spacing w:line="360" w:lineRule="auto"/>
      <w:ind w:firstLine="420" w:firstLineChars="200"/>
    </w:pPr>
    <w:rPr>
      <w:kern w:val="0"/>
      <w:sz w:val="34"/>
      <w:szCs w:val="20"/>
    </w:rPr>
  </w:style>
  <w:style w:type="paragraph" w:customStyle="1" w:styleId="8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82">
    <w:name w:val="首行缩进"/>
    <w:basedOn w:val="1"/>
    <w:qFormat/>
    <w:uiPriority w:val="0"/>
    <w:pPr>
      <w:spacing w:line="360" w:lineRule="auto"/>
      <w:ind w:firstLine="480" w:firstLineChars="200"/>
    </w:pPr>
    <w:rPr>
      <w:sz w:val="24"/>
      <w:lang w:val="zh-CN"/>
    </w:rPr>
  </w:style>
  <w:style w:type="paragraph" w:customStyle="1" w:styleId="83">
    <w:name w:val="Char Char Char"/>
    <w:basedOn w:val="1"/>
    <w:qFormat/>
    <w:uiPriority w:val="0"/>
    <w:rPr>
      <w:rFonts w:ascii="Tahoma" w:hAnsi="Tahoma"/>
      <w:sz w:val="24"/>
      <w:szCs w:val="20"/>
    </w:rPr>
  </w:style>
  <w:style w:type="character" w:customStyle="1" w:styleId="84">
    <w:name w:val="标题 3 Char"/>
    <w:basedOn w:val="35"/>
    <w:link w:val="6"/>
    <w:qFormat/>
    <w:uiPriority w:val="0"/>
    <w:rPr>
      <w:b/>
      <w:bCs/>
      <w:kern w:val="2"/>
      <w:sz w:val="32"/>
      <w:szCs w:val="32"/>
    </w:rPr>
  </w:style>
  <w:style w:type="character" w:customStyle="1" w:styleId="85">
    <w:name w:val="标题 5 Char"/>
    <w:basedOn w:val="35"/>
    <w:link w:val="8"/>
    <w:qFormat/>
    <w:uiPriority w:val="0"/>
    <w:rPr>
      <w:b/>
      <w:bCs/>
      <w:kern w:val="2"/>
      <w:sz w:val="28"/>
      <w:szCs w:val="28"/>
    </w:rPr>
  </w:style>
  <w:style w:type="character" w:customStyle="1" w:styleId="86">
    <w:name w:val="标题 6 Char"/>
    <w:basedOn w:val="35"/>
    <w:link w:val="9"/>
    <w:qFormat/>
    <w:uiPriority w:val="0"/>
    <w:rPr>
      <w:rFonts w:asciiTheme="majorHAnsi" w:hAnsiTheme="majorHAnsi" w:eastAsiaTheme="majorEastAsia" w:cstheme="majorBidi"/>
      <w:b/>
      <w:bCs/>
      <w:kern w:val="2"/>
      <w:sz w:val="24"/>
      <w:szCs w:val="24"/>
    </w:rPr>
  </w:style>
  <w:style w:type="character" w:customStyle="1" w:styleId="87">
    <w:name w:val="标题 7 Char"/>
    <w:basedOn w:val="35"/>
    <w:link w:val="10"/>
    <w:qFormat/>
    <w:uiPriority w:val="0"/>
    <w:rPr>
      <w:b/>
      <w:bCs/>
      <w:kern w:val="2"/>
      <w:sz w:val="24"/>
      <w:szCs w:val="24"/>
    </w:rPr>
  </w:style>
  <w:style w:type="paragraph" w:customStyle="1" w:styleId="88">
    <w:name w:val="p16"/>
    <w:basedOn w:val="1"/>
    <w:qFormat/>
    <w:uiPriority w:val="0"/>
    <w:pPr>
      <w:widowControl/>
      <w:ind w:firstLine="420"/>
    </w:pPr>
    <w:rPr>
      <w:rFonts w:ascii="Times New Roman" w:hAnsi="Times New Roman"/>
      <w:kern w:val="0"/>
    </w:rPr>
  </w:style>
  <w:style w:type="paragraph" w:customStyle="1" w:styleId="89">
    <w:name w:val="本文正文段落格式"/>
    <w:basedOn w:val="1"/>
    <w:qFormat/>
    <w:uiPriority w:val="0"/>
    <w:pPr>
      <w:widowControl/>
      <w:spacing w:line="360" w:lineRule="auto"/>
      <w:ind w:firstLine="480" w:firstLineChars="200"/>
    </w:pPr>
    <w:rPr>
      <w:rFonts w:ascii="仿宋" w:hAnsi="Arial Unicode MS" w:eastAsia="仿宋"/>
      <w:sz w:val="24"/>
    </w:rPr>
  </w:style>
  <w:style w:type="paragraph" w:customStyle="1" w:styleId="90">
    <w:name w:val="paragraph1"/>
    <w:basedOn w:val="1"/>
    <w:qFormat/>
    <w:uiPriority w:val="0"/>
    <w:pPr>
      <w:spacing w:beforeLines="20" w:afterLines="30"/>
      <w:ind w:firstLine="200" w:firstLineChars="200"/>
    </w:pPr>
    <w:rPr>
      <w:rFonts w:ascii="Times New Roman" w:hAnsi="Times New Roman"/>
    </w:rPr>
  </w:style>
  <w:style w:type="paragraph" w:customStyle="1" w:styleId="91">
    <w:name w:val="正文，首行缩进两字符"/>
    <w:basedOn w:val="1"/>
    <w:qFormat/>
    <w:uiPriority w:val="0"/>
    <w:pPr>
      <w:spacing w:line="300" w:lineRule="auto"/>
    </w:pPr>
    <w:rPr>
      <w:rFonts w:ascii="Times New Roman" w:hAnsi="Times New Roman"/>
    </w:rPr>
  </w:style>
  <w:style w:type="paragraph" w:customStyle="1" w:styleId="92">
    <w:name w:val="图片格式"/>
    <w:basedOn w:val="1"/>
    <w:qFormat/>
    <w:uiPriority w:val="0"/>
    <w:pPr>
      <w:adjustRightInd w:val="0"/>
      <w:snapToGrid w:val="0"/>
      <w:spacing w:line="360" w:lineRule="auto"/>
      <w:jc w:val="center"/>
    </w:pPr>
    <w:rPr>
      <w:rFonts w:ascii="宋体" w:hAnsi="宋体"/>
      <w:sz w:val="24"/>
    </w:rPr>
  </w:style>
  <w:style w:type="paragraph" w:customStyle="1" w:styleId="93">
    <w:name w:val="列出段落1"/>
    <w:basedOn w:val="1"/>
    <w:qFormat/>
    <w:uiPriority w:val="34"/>
    <w:pPr>
      <w:spacing w:line="360" w:lineRule="auto"/>
      <w:ind w:firstLine="420" w:firstLineChars="200"/>
    </w:pPr>
    <w:rPr>
      <w:rFonts w:ascii="Times New Roman" w:hAnsi="Times New Roman"/>
    </w:rPr>
  </w:style>
  <w:style w:type="paragraph" w:customStyle="1" w:styleId="94">
    <w:name w:val="my正文"/>
    <w:basedOn w:val="1"/>
    <w:qFormat/>
    <w:uiPriority w:val="0"/>
    <w:pPr>
      <w:adjustRightInd w:val="0"/>
      <w:snapToGrid w:val="0"/>
      <w:ind w:firstLine="200" w:firstLineChars="200"/>
    </w:pPr>
    <w:rPr>
      <w:rFonts w:ascii="Times New Roman" w:hAnsi="Times New Roman"/>
      <w:kern w:val="0"/>
    </w:rPr>
  </w:style>
  <w:style w:type="character" w:customStyle="1" w:styleId="95">
    <w:name w:val="标题 8 Char"/>
    <w:basedOn w:val="35"/>
    <w:link w:val="11"/>
    <w:semiHidden/>
    <w:qFormat/>
    <w:uiPriority w:val="0"/>
    <w:rPr>
      <w:rFonts w:asciiTheme="majorHAnsi" w:hAnsiTheme="majorHAnsi" w:eastAsiaTheme="majorEastAsia" w:cstheme="majorBidi"/>
      <w:kern w:val="2"/>
      <w:sz w:val="24"/>
      <w:szCs w:val="24"/>
    </w:rPr>
  </w:style>
  <w:style w:type="paragraph" w:customStyle="1" w:styleId="96">
    <w:name w:val="*正文"/>
    <w:basedOn w:val="1"/>
    <w:next w:val="1"/>
    <w:qFormat/>
    <w:uiPriority w:val="0"/>
    <w:pPr>
      <w:widowControl/>
      <w:ind w:firstLine="200" w:firstLineChars="200"/>
      <w:jc w:val="left"/>
    </w:pPr>
    <w:rPr>
      <w:rFonts w:ascii="宋体" w:hAnsi="Times New Roman" w:cs="黑体"/>
    </w:rPr>
  </w:style>
  <w:style w:type="paragraph" w:customStyle="1" w:styleId="97">
    <w:name w:val="！正文缩进2字符Alt+S"/>
    <w:basedOn w:val="1"/>
    <w:qFormat/>
    <w:uiPriority w:val="0"/>
    <w:pPr>
      <w:spacing w:before="40" w:after="40"/>
      <w:ind w:firstLine="510"/>
      <w:jc w:val="left"/>
    </w:pPr>
    <w:rPr>
      <w:rFonts w:ascii="宋体" w:hAnsi="宋体"/>
      <w:sz w:val="24"/>
    </w:rPr>
  </w:style>
  <w:style w:type="paragraph" w:customStyle="1" w:styleId="98">
    <w:name w:val="正文2"/>
    <w:basedOn w:val="1"/>
    <w:qFormat/>
    <w:uiPriority w:val="0"/>
    <w:pPr>
      <w:spacing w:before="156" w:after="100" w:afterAutospacing="1" w:line="360" w:lineRule="auto"/>
      <w:ind w:firstLine="510" w:firstLineChars="200"/>
    </w:pPr>
    <w:rPr>
      <w:rFonts w:ascii="Times New Roman" w:hAnsi="Times New Roman"/>
      <w:sz w:val="24"/>
    </w:rPr>
  </w:style>
  <w:style w:type="paragraph" w:customStyle="1" w:styleId="99">
    <w:name w:val="a5正文"/>
    <w:basedOn w:val="1"/>
    <w:qFormat/>
    <w:uiPriority w:val="0"/>
    <w:pPr>
      <w:spacing w:line="360" w:lineRule="auto"/>
      <w:ind w:firstLine="480" w:firstLineChars="200"/>
    </w:pPr>
    <w:rPr>
      <w:sz w:val="24"/>
    </w:rPr>
  </w:style>
  <w:style w:type="paragraph" w:customStyle="1" w:styleId="100">
    <w:name w:val="06--正文"/>
    <w:basedOn w:val="1"/>
    <w:qFormat/>
    <w:uiPriority w:val="0"/>
    <w:pPr>
      <w:spacing w:before="20" w:after="60" w:line="360" w:lineRule="auto"/>
      <w:ind w:firstLine="200" w:firstLineChars="200"/>
    </w:pPr>
    <w:rPr>
      <w:rFonts w:ascii="仿宋_GB2312" w:hAnsi="宋体" w:eastAsia="仿宋"/>
      <w:kern w:val="0"/>
      <w:sz w:val="28"/>
      <w:szCs w:val="28"/>
    </w:rPr>
  </w:style>
  <w:style w:type="paragraph" w:customStyle="1" w:styleId="101">
    <w:name w:val="md_block"/>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列出段落11"/>
    <w:basedOn w:val="1"/>
    <w:qFormat/>
    <w:uiPriority w:val="34"/>
    <w:pPr>
      <w:ind w:firstLine="420" w:firstLineChars="200"/>
    </w:pPr>
    <w:rPr>
      <w:rFonts w:ascii="宋体" w:hAnsi="宋体"/>
      <w:sz w:val="24"/>
    </w:rPr>
  </w:style>
  <w:style w:type="paragraph" w:customStyle="1" w:styleId="103">
    <w:name w:val="Default"/>
    <w:unhideWhenUsed/>
    <w:qFormat/>
    <w:uiPriority w:val="99"/>
    <w:pPr>
      <w:widowControl w:val="0"/>
      <w:autoSpaceDE w:val="0"/>
      <w:autoSpaceDN w:val="0"/>
      <w:adjustRightInd w:val="0"/>
    </w:pPr>
    <w:rPr>
      <w:rFonts w:hint="eastAsia" w:ascii="宋体T.壞.." w:hAnsi="宋体T.壞.." w:eastAsia="宋体T.壞.." w:cs="Times New Roman"/>
      <w:color w:val="000000"/>
      <w:sz w:val="24"/>
      <w:szCs w:val="24"/>
      <w:lang w:val="en-US" w:eastAsia="zh-CN" w:bidi="ar-SA"/>
    </w:rPr>
  </w:style>
  <w:style w:type="paragraph" w:customStyle="1" w:styleId="104">
    <w:name w:val="Table Paragraph"/>
    <w:basedOn w:val="1"/>
    <w:qFormat/>
    <w:uiPriority w:val="1"/>
    <w:rPr>
      <w:rFonts w:ascii="宋体" w:hAnsi="宋体" w:cs="宋体"/>
      <w:lang w:val="zh-CN" w:bidi="zh-CN"/>
    </w:rPr>
  </w:style>
  <w:style w:type="character" w:customStyle="1" w:styleId="105">
    <w:name w:val="NormalCharacter"/>
    <w:semiHidden/>
    <w:qFormat/>
    <w:uiPriority w:val="0"/>
  </w:style>
  <w:style w:type="paragraph" w:customStyle="1" w:styleId="10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4A230-62A7-4342-B3AC-D54FB7E08B7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20535</Words>
  <Characters>21588</Characters>
  <Lines>201</Lines>
  <Paragraphs>56</Paragraphs>
  <TotalTime>8</TotalTime>
  <ScaleCrop>false</ScaleCrop>
  <LinksUpToDate>false</LinksUpToDate>
  <CharactersWithSpaces>22501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2020-11-06T00:54:00Z</dcterms:created>
  <dc:creator>庞诗文</dc:creator>
  <cp:lastModifiedBy>晟妈</cp:lastModifiedBy>
  <cp:lastPrinted>2019-05-21T08:29:00Z</cp:lastPrinted>
  <dcterms:modified xsi:type="dcterms:W3CDTF">2022-11-03T08:15:30Z</dcterms:modified>
  <dc:title>南宁市政府集中采购中心政府采购项目委托办理须知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73867BB4FA984EA9882A520CEB6522D9</vt:lpwstr>
  </property>
</Properties>
</file>