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871E3">
      <w:pPr>
        <w:spacing w:line="360" w:lineRule="auto"/>
        <w:jc w:val="center"/>
        <w:rPr>
          <w:rFonts w:ascii="宋体" w:hAnsi="宋体" w:cs="宋体"/>
          <w:b/>
          <w:color w:val="auto"/>
          <w:sz w:val="24"/>
          <w:highlight w:val="none"/>
        </w:rPr>
      </w:pPr>
    </w:p>
    <w:p w14:paraId="45969B83">
      <w:pPr>
        <w:spacing w:line="360" w:lineRule="auto"/>
        <w:jc w:val="center"/>
        <w:rPr>
          <w:rFonts w:ascii="宋体" w:hAnsi="宋体" w:cs="宋体"/>
          <w:b/>
          <w:color w:val="auto"/>
          <w:sz w:val="24"/>
          <w:highlight w:val="none"/>
        </w:rPr>
      </w:pPr>
    </w:p>
    <w:p w14:paraId="3C071213">
      <w:pPr>
        <w:adjustRightInd/>
        <w:spacing w:line="360" w:lineRule="auto"/>
        <w:jc w:val="center"/>
        <w:rPr>
          <w:rFonts w:ascii="宋体" w:hAnsi="宋体" w:cs="宋体"/>
          <w:b/>
          <w:color w:val="auto"/>
          <w:sz w:val="44"/>
          <w:szCs w:val="44"/>
          <w:highlight w:val="none"/>
        </w:rPr>
      </w:pPr>
    </w:p>
    <w:p w14:paraId="18A6317E">
      <w:pPr>
        <w:spacing w:line="360" w:lineRule="auto"/>
        <w:jc w:val="center"/>
        <w:rPr>
          <w:rFonts w:ascii="宋体" w:hAnsi="宋体" w:cs="宋体"/>
          <w:b/>
          <w:color w:val="auto"/>
          <w:sz w:val="44"/>
          <w:szCs w:val="44"/>
          <w:highlight w:val="none"/>
        </w:rPr>
      </w:pPr>
    </w:p>
    <w:p w14:paraId="5D9AD755">
      <w:pPr>
        <w:adjustRightInd/>
        <w:spacing w:line="360" w:lineRule="auto"/>
        <w:jc w:val="center"/>
        <w:rPr>
          <w:rFonts w:ascii="宋体" w:hAnsi="宋体" w:cs="宋体"/>
          <w:b/>
          <w:color w:val="auto"/>
          <w:sz w:val="48"/>
          <w:szCs w:val="48"/>
          <w:highlight w:val="none"/>
        </w:rPr>
      </w:pPr>
    </w:p>
    <w:p w14:paraId="1943FBA3">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镇海区2025-2026年松材线虫病防治项目</w:t>
      </w:r>
    </w:p>
    <w:p w14:paraId="2B238C14">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63E9EFFC">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0124914">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CBZJ-20256140G</w:t>
      </w:r>
      <w:r>
        <w:rPr>
          <w:rFonts w:hint="eastAsia" w:ascii="宋体" w:hAnsi="宋体" w:cs="宋体"/>
          <w:color w:val="auto"/>
          <w:sz w:val="30"/>
          <w:szCs w:val="30"/>
          <w:highlight w:val="none"/>
        </w:rPr>
        <w:t xml:space="preserve">   </w:t>
      </w:r>
    </w:p>
    <w:p w14:paraId="09492F78">
      <w:pPr>
        <w:adjustRightInd/>
        <w:spacing w:line="360" w:lineRule="auto"/>
        <w:rPr>
          <w:rFonts w:ascii="宋体" w:hAnsi="宋体" w:cs="宋体"/>
          <w:color w:val="auto"/>
          <w:sz w:val="28"/>
          <w:szCs w:val="20"/>
          <w:highlight w:val="none"/>
        </w:rPr>
      </w:pPr>
    </w:p>
    <w:p w14:paraId="465DF9AF">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1285B3E">
      <w:pPr>
        <w:spacing w:line="360" w:lineRule="auto"/>
        <w:jc w:val="center"/>
        <w:rPr>
          <w:rFonts w:ascii="宋体" w:hAnsi="宋体" w:cs="宋体"/>
          <w:b/>
          <w:color w:val="auto"/>
          <w:sz w:val="44"/>
          <w:szCs w:val="44"/>
          <w:highlight w:val="none"/>
        </w:rPr>
      </w:pPr>
    </w:p>
    <w:p w14:paraId="3E65CC5B">
      <w:pPr>
        <w:spacing w:line="360" w:lineRule="auto"/>
        <w:jc w:val="center"/>
        <w:rPr>
          <w:rFonts w:ascii="宋体" w:hAnsi="宋体" w:cs="宋体"/>
          <w:color w:val="auto"/>
          <w:sz w:val="24"/>
          <w:highlight w:val="none"/>
        </w:rPr>
      </w:pPr>
    </w:p>
    <w:p w14:paraId="443FAD20">
      <w:pPr>
        <w:spacing w:line="360" w:lineRule="auto"/>
        <w:jc w:val="center"/>
        <w:rPr>
          <w:rFonts w:ascii="宋体" w:hAnsi="宋体" w:cs="宋体"/>
          <w:color w:val="auto"/>
          <w:sz w:val="24"/>
          <w:highlight w:val="none"/>
        </w:rPr>
      </w:pPr>
    </w:p>
    <w:p w14:paraId="7B746D50">
      <w:pPr>
        <w:spacing w:line="360" w:lineRule="auto"/>
        <w:rPr>
          <w:rFonts w:ascii="宋体" w:hAnsi="宋体" w:cs="宋体"/>
          <w:color w:val="auto"/>
          <w:sz w:val="32"/>
          <w:szCs w:val="32"/>
          <w:highlight w:val="none"/>
        </w:rPr>
      </w:pPr>
    </w:p>
    <w:p w14:paraId="349D1B49">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宁波市自然资源和规划局镇海分局</w:t>
      </w:r>
    </w:p>
    <w:p w14:paraId="229583BA">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浙江中基正采管理咨询有限公司</w:t>
      </w:r>
    </w:p>
    <w:p w14:paraId="1556F192">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71B1378A">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B5ED5A6">
      <w:pPr>
        <w:pStyle w:val="635"/>
        <w:rPr>
          <w:color w:val="auto"/>
          <w:highlight w:val="none"/>
        </w:rPr>
      </w:pPr>
    </w:p>
    <w:p w14:paraId="025DD4AE">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C030E9A">
      <w:pPr>
        <w:spacing w:line="360" w:lineRule="auto"/>
        <w:rPr>
          <w:rFonts w:ascii="宋体" w:hAnsi="宋体" w:cs="宋体"/>
          <w:color w:val="auto"/>
          <w:sz w:val="32"/>
          <w:szCs w:val="32"/>
          <w:highlight w:val="none"/>
        </w:rPr>
      </w:pPr>
    </w:p>
    <w:p w14:paraId="5EED3A1E">
      <w:pPr>
        <w:spacing w:line="360" w:lineRule="auto"/>
        <w:rPr>
          <w:rFonts w:ascii="宋体" w:hAnsi="宋体" w:cs="宋体"/>
          <w:color w:val="auto"/>
          <w:sz w:val="32"/>
          <w:szCs w:val="32"/>
          <w:highlight w:val="none"/>
        </w:rPr>
      </w:pPr>
    </w:p>
    <w:p w14:paraId="200CA34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FA97E2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5D23E5D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C76818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19E08C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1A7A79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CBB988A">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43DB59BA">
      <w:pPr>
        <w:spacing w:line="360" w:lineRule="auto"/>
        <w:ind w:firstLine="549" w:firstLineChars="229"/>
        <w:rPr>
          <w:rFonts w:ascii="宋体" w:hAnsi="宋体" w:cs="宋体"/>
          <w:color w:val="auto"/>
          <w:sz w:val="24"/>
          <w:highlight w:val="none"/>
        </w:rPr>
      </w:pPr>
    </w:p>
    <w:p w14:paraId="56119A9A">
      <w:pPr>
        <w:spacing w:line="360" w:lineRule="auto"/>
        <w:ind w:firstLine="549" w:firstLineChars="229"/>
        <w:rPr>
          <w:rFonts w:ascii="宋体" w:hAnsi="宋体" w:cs="宋体"/>
          <w:color w:val="auto"/>
          <w:sz w:val="24"/>
          <w:highlight w:val="none"/>
        </w:rPr>
      </w:pPr>
    </w:p>
    <w:p w14:paraId="72DE5DDE">
      <w:pPr>
        <w:spacing w:line="360" w:lineRule="auto"/>
        <w:ind w:firstLine="549" w:firstLineChars="229"/>
        <w:rPr>
          <w:rFonts w:ascii="宋体" w:hAnsi="宋体" w:cs="宋体"/>
          <w:color w:val="auto"/>
          <w:sz w:val="24"/>
          <w:highlight w:val="none"/>
        </w:rPr>
      </w:pPr>
    </w:p>
    <w:p w14:paraId="611880F5">
      <w:pPr>
        <w:spacing w:line="360" w:lineRule="auto"/>
        <w:ind w:firstLine="549" w:firstLineChars="229"/>
        <w:rPr>
          <w:rFonts w:ascii="宋体" w:hAnsi="宋体" w:cs="宋体"/>
          <w:color w:val="auto"/>
          <w:sz w:val="24"/>
          <w:highlight w:val="none"/>
        </w:rPr>
      </w:pPr>
    </w:p>
    <w:p w14:paraId="5549B57C">
      <w:pPr>
        <w:spacing w:line="360" w:lineRule="auto"/>
        <w:ind w:firstLine="549" w:firstLineChars="229"/>
        <w:rPr>
          <w:rFonts w:ascii="宋体" w:hAnsi="宋体" w:cs="宋体"/>
          <w:color w:val="auto"/>
          <w:sz w:val="24"/>
          <w:highlight w:val="none"/>
        </w:rPr>
      </w:pPr>
    </w:p>
    <w:p w14:paraId="4643D132">
      <w:pPr>
        <w:spacing w:line="360" w:lineRule="auto"/>
        <w:ind w:firstLine="549" w:firstLineChars="229"/>
        <w:rPr>
          <w:rFonts w:ascii="宋体" w:hAnsi="宋体" w:cs="宋体"/>
          <w:color w:val="auto"/>
          <w:sz w:val="24"/>
          <w:highlight w:val="none"/>
        </w:rPr>
      </w:pPr>
    </w:p>
    <w:p w14:paraId="73A86799">
      <w:pPr>
        <w:spacing w:line="360" w:lineRule="auto"/>
        <w:ind w:firstLine="549" w:firstLineChars="229"/>
        <w:rPr>
          <w:rFonts w:ascii="宋体" w:hAnsi="宋体" w:cs="宋体"/>
          <w:color w:val="auto"/>
          <w:sz w:val="24"/>
          <w:highlight w:val="none"/>
        </w:rPr>
      </w:pPr>
    </w:p>
    <w:p w14:paraId="2F8C4159">
      <w:pPr>
        <w:spacing w:line="360" w:lineRule="auto"/>
        <w:ind w:firstLine="549" w:firstLineChars="229"/>
        <w:rPr>
          <w:rFonts w:ascii="宋体" w:hAnsi="宋体" w:cs="宋体"/>
          <w:color w:val="auto"/>
          <w:sz w:val="24"/>
          <w:highlight w:val="none"/>
        </w:rPr>
      </w:pPr>
    </w:p>
    <w:p w14:paraId="25DD3AD3">
      <w:pPr>
        <w:spacing w:line="360" w:lineRule="auto"/>
        <w:ind w:firstLine="549" w:firstLineChars="229"/>
        <w:rPr>
          <w:rFonts w:ascii="宋体" w:hAnsi="宋体" w:cs="宋体"/>
          <w:color w:val="auto"/>
          <w:sz w:val="24"/>
          <w:highlight w:val="none"/>
        </w:rPr>
      </w:pPr>
    </w:p>
    <w:p w14:paraId="164BD2B9">
      <w:pPr>
        <w:spacing w:line="360" w:lineRule="auto"/>
        <w:ind w:firstLine="549" w:firstLineChars="229"/>
        <w:rPr>
          <w:rFonts w:ascii="宋体" w:hAnsi="宋体" w:cs="宋体"/>
          <w:color w:val="auto"/>
          <w:sz w:val="24"/>
          <w:highlight w:val="none"/>
        </w:rPr>
      </w:pPr>
    </w:p>
    <w:p w14:paraId="6DB39628">
      <w:pPr>
        <w:spacing w:line="360" w:lineRule="auto"/>
        <w:ind w:firstLine="549" w:firstLineChars="229"/>
        <w:rPr>
          <w:rFonts w:ascii="宋体" w:hAnsi="宋体" w:cs="宋体"/>
          <w:color w:val="auto"/>
          <w:sz w:val="24"/>
          <w:highlight w:val="none"/>
        </w:rPr>
      </w:pPr>
    </w:p>
    <w:p w14:paraId="61D38530">
      <w:pPr>
        <w:spacing w:line="360" w:lineRule="auto"/>
        <w:ind w:firstLine="549" w:firstLineChars="229"/>
        <w:rPr>
          <w:rFonts w:ascii="宋体" w:hAnsi="宋体" w:cs="宋体"/>
          <w:color w:val="auto"/>
          <w:sz w:val="24"/>
          <w:highlight w:val="none"/>
        </w:rPr>
      </w:pPr>
    </w:p>
    <w:p w14:paraId="15952579">
      <w:pPr>
        <w:spacing w:line="360" w:lineRule="auto"/>
        <w:rPr>
          <w:rFonts w:ascii="宋体" w:hAnsi="宋体" w:cs="宋体"/>
          <w:color w:val="auto"/>
          <w:sz w:val="24"/>
          <w:highlight w:val="none"/>
        </w:rPr>
      </w:pPr>
    </w:p>
    <w:p w14:paraId="654B68DD">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1436F5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94D0B2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镇海区2025-2026年松材线虫病防治项目</w:t>
      </w:r>
      <w:r>
        <w:rPr>
          <w:rFonts w:hint="eastAsia" w:ascii="宋体" w:hAnsi="宋体" w:cs="宋体"/>
          <w:color w:val="auto"/>
          <w:sz w:val="24"/>
          <w:highlight w:val="none"/>
        </w:rPr>
        <w:t>招标项目的潜在供应商应在政采云平台（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8月1</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点</w:t>
      </w:r>
      <w:r>
        <w:rPr>
          <w:rFonts w:hint="eastAsia" w:ascii="宋体" w:hAnsi="宋体" w:cs="宋体"/>
          <w:color w:val="auto"/>
          <w:sz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2D7A6BF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A13830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CBZJ-20256140G</w:t>
      </w:r>
      <w:r>
        <w:rPr>
          <w:rFonts w:hint="eastAsia" w:ascii="宋体" w:hAnsi="宋体" w:cs="宋体"/>
          <w:color w:val="auto"/>
          <w:sz w:val="24"/>
          <w:highlight w:val="none"/>
        </w:rPr>
        <w:t xml:space="preserve">   </w:t>
      </w:r>
    </w:p>
    <w:p w14:paraId="51F7AC5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镇海区2025-2026年松材线虫病防治项目</w:t>
      </w:r>
    </w:p>
    <w:p w14:paraId="5FFA669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85</w:t>
      </w:r>
      <w:r>
        <w:rPr>
          <w:rFonts w:hint="eastAsia" w:ascii="宋体" w:hAnsi="宋体" w:cs="宋体"/>
          <w:b/>
          <w:color w:val="auto"/>
          <w:sz w:val="24"/>
          <w:highlight w:val="none"/>
        </w:rPr>
        <w:t>0000.00</w:t>
      </w:r>
    </w:p>
    <w:p w14:paraId="2F8C0B22">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85</w:t>
      </w:r>
      <w:r>
        <w:rPr>
          <w:rFonts w:hint="eastAsia" w:ascii="宋体" w:hAnsi="宋体" w:cs="宋体"/>
          <w:b/>
          <w:color w:val="auto"/>
          <w:sz w:val="24"/>
          <w:highlight w:val="none"/>
        </w:rPr>
        <w:t>0000.00</w:t>
      </w:r>
    </w:p>
    <w:p w14:paraId="6FF66D39">
      <w:pPr>
        <w:spacing w:line="360" w:lineRule="auto"/>
        <w:ind w:firstLine="480"/>
        <w:rPr>
          <w:rFonts w:ascii="宋体" w:hAnsi="宋体" w:cs="宋体"/>
          <w:b/>
          <w:bCs/>
          <w:snapToGrid w:val="0"/>
          <w:color w:val="auto"/>
          <w:kern w:val="28"/>
          <w:sz w:val="24"/>
          <w:szCs w:val="20"/>
          <w:highlight w:val="none"/>
        </w:rPr>
      </w:pPr>
      <w:r>
        <w:rPr>
          <w:rFonts w:hint="eastAsia" w:ascii="宋体" w:hAnsi="宋体" w:cs="宋体"/>
          <w:b/>
          <w:bCs/>
          <w:snapToGrid w:val="0"/>
          <w:color w:val="auto"/>
          <w:kern w:val="28"/>
          <w:sz w:val="24"/>
          <w:szCs w:val="20"/>
          <w:highlight w:val="none"/>
        </w:rPr>
        <w:t>采购需求：</w:t>
      </w:r>
    </w:p>
    <w:p w14:paraId="02F0FF55">
      <w:pPr>
        <w:spacing w:line="360" w:lineRule="auto"/>
        <w:ind w:left="210" w:leftChars="100" w:firstLine="480"/>
        <w:rPr>
          <w:rFonts w:hint="eastAsia" w:ascii="宋体" w:hAnsi="宋体" w:eastAsia="宋体" w:cs="宋体"/>
          <w:snapToGrid w:val="0"/>
          <w:color w:val="auto"/>
          <w:kern w:val="28"/>
          <w:sz w:val="24"/>
          <w:szCs w:val="20"/>
          <w:highlight w:val="none"/>
          <w:lang w:eastAsia="zh-CN"/>
        </w:rPr>
      </w:pPr>
      <w:r>
        <w:rPr>
          <w:rFonts w:hint="eastAsia" w:ascii="宋体" w:hAnsi="宋体" w:cs="宋体"/>
          <w:snapToGrid w:val="0"/>
          <w:color w:val="auto"/>
          <w:kern w:val="28"/>
          <w:sz w:val="24"/>
          <w:szCs w:val="20"/>
          <w:highlight w:val="none"/>
        </w:rPr>
        <w:t>标项名称：</w:t>
      </w:r>
      <w:r>
        <w:rPr>
          <w:rFonts w:hint="eastAsia" w:ascii="宋体" w:hAnsi="宋体" w:cs="宋体"/>
          <w:snapToGrid w:val="0"/>
          <w:color w:val="auto"/>
          <w:kern w:val="28"/>
          <w:sz w:val="24"/>
          <w:szCs w:val="20"/>
          <w:highlight w:val="none"/>
          <w:lang w:eastAsia="zh-CN"/>
        </w:rPr>
        <w:t>镇海区2025-2026年松材线虫病防治项目</w:t>
      </w:r>
    </w:p>
    <w:p w14:paraId="01FA5269">
      <w:pPr>
        <w:spacing w:line="360" w:lineRule="auto"/>
        <w:ind w:left="210" w:leftChars="100"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数量：1项</w:t>
      </w:r>
    </w:p>
    <w:p w14:paraId="095465BA">
      <w:pPr>
        <w:spacing w:line="360" w:lineRule="auto"/>
        <w:ind w:left="210" w:leftChars="100"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预算金额（元）:</w:t>
      </w:r>
      <w:r>
        <w:rPr>
          <w:rFonts w:hint="eastAsia" w:ascii="宋体" w:hAnsi="宋体" w:cs="宋体"/>
          <w:snapToGrid w:val="0"/>
          <w:color w:val="auto"/>
          <w:kern w:val="28"/>
          <w:sz w:val="24"/>
          <w:szCs w:val="20"/>
          <w:highlight w:val="none"/>
          <w:lang w:val="en-US" w:eastAsia="zh-CN"/>
        </w:rPr>
        <w:t>85</w:t>
      </w:r>
      <w:r>
        <w:rPr>
          <w:rFonts w:hint="eastAsia" w:ascii="宋体" w:hAnsi="宋体" w:cs="宋体"/>
          <w:snapToGrid w:val="0"/>
          <w:color w:val="auto"/>
          <w:kern w:val="28"/>
          <w:sz w:val="24"/>
          <w:szCs w:val="20"/>
          <w:highlight w:val="none"/>
        </w:rPr>
        <w:t>0000.00</w:t>
      </w:r>
    </w:p>
    <w:p w14:paraId="0A89F953">
      <w:pPr>
        <w:pStyle w:val="5"/>
        <w:spacing w:line="360" w:lineRule="auto"/>
        <w:ind w:left="210" w:leftChars="100" w:firstLine="480"/>
        <w:rPr>
          <w:rFonts w:hAnsi="宋体" w:cs="宋体"/>
          <w:bCs/>
          <w:snapToGrid/>
          <w:color w:val="auto"/>
          <w:kern w:val="2"/>
          <w:sz w:val="24"/>
          <w:szCs w:val="24"/>
          <w:highlight w:val="none"/>
        </w:rPr>
      </w:pPr>
      <w:r>
        <w:rPr>
          <w:rFonts w:hint="eastAsia" w:hAnsi="宋体" w:cs="宋体"/>
          <w:color w:val="auto"/>
          <w:sz w:val="24"/>
          <w:highlight w:val="none"/>
        </w:rPr>
        <w:t>简要规格描述或项目基本概况介绍、用途：镇海</w:t>
      </w:r>
      <w:r>
        <w:rPr>
          <w:rFonts w:hint="eastAsia" w:hAnsi="宋体" w:cs="宋体"/>
          <w:color w:val="auto"/>
          <w:sz w:val="24"/>
          <w:highlight w:val="none"/>
          <w:lang w:val="en-US" w:eastAsia="zh-CN"/>
        </w:rPr>
        <w:t>区</w:t>
      </w:r>
      <w:r>
        <w:rPr>
          <w:rFonts w:hint="eastAsia" w:ascii="宋体" w:hAnsi="宋体" w:eastAsia="宋体" w:cs="宋体"/>
          <w:bCs/>
          <w:color w:val="000000" w:themeColor="text1"/>
          <w:sz w:val="24"/>
          <w:highlight w:val="none"/>
          <w:lang w:eastAsia="zh-CN"/>
          <w14:textFill>
            <w14:solidFill>
              <w14:schemeClr w14:val="tx1"/>
            </w14:solidFill>
          </w14:textFill>
        </w:rPr>
        <w:t>202</w:t>
      </w:r>
      <w:r>
        <w:rPr>
          <w:rFonts w:hint="eastAsia" w:hAnsi="宋体" w:cs="宋体"/>
          <w:bCs/>
          <w:color w:val="000000" w:themeColor="text1"/>
          <w:sz w:val="24"/>
          <w:highlight w:val="none"/>
          <w:lang w:val="en-US" w:eastAsia="zh-CN"/>
          <w14:textFill>
            <w14:solidFill>
              <w14:schemeClr w14:val="tx1"/>
            </w14:solidFill>
          </w14:textFill>
        </w:rPr>
        <w:t>5</w:t>
      </w:r>
      <w:r>
        <w:rPr>
          <w:rFonts w:hint="eastAsia" w:ascii="宋体" w:hAnsi="宋体" w:eastAsia="宋体" w:cs="宋体"/>
          <w:bCs/>
          <w:color w:val="000000" w:themeColor="text1"/>
          <w:sz w:val="24"/>
          <w:highlight w:val="none"/>
          <w:lang w:eastAsia="zh-CN"/>
          <w14:textFill>
            <w14:solidFill>
              <w14:schemeClr w14:val="tx1"/>
            </w14:solidFill>
          </w14:textFill>
        </w:rPr>
        <w:t>-202</w:t>
      </w:r>
      <w:r>
        <w:rPr>
          <w:rFonts w:hint="eastAsia" w:hAnsi="宋体" w:cs="宋体"/>
          <w:bCs/>
          <w:color w:val="000000" w:themeColor="text1"/>
          <w:sz w:val="24"/>
          <w:highlight w:val="none"/>
          <w:lang w:val="en-US" w:eastAsia="zh-CN"/>
          <w14:textFill>
            <w14:solidFill>
              <w14:schemeClr w14:val="tx1"/>
            </w14:solidFill>
          </w14:textFill>
        </w:rPr>
        <w:t>6</w:t>
      </w:r>
      <w:r>
        <w:rPr>
          <w:rFonts w:hint="eastAsia" w:ascii="宋体" w:hAnsi="宋体" w:eastAsia="宋体" w:cs="宋体"/>
          <w:bCs/>
          <w:color w:val="000000" w:themeColor="text1"/>
          <w:sz w:val="24"/>
          <w:highlight w:val="none"/>
          <w:lang w:eastAsia="zh-CN"/>
          <w14:textFill>
            <w14:solidFill>
              <w14:schemeClr w14:val="tx1"/>
            </w14:solidFill>
          </w14:textFill>
        </w:rPr>
        <w:t>年</w:t>
      </w:r>
      <w:r>
        <w:rPr>
          <w:rFonts w:hint="eastAsia" w:hAnsi="宋体" w:cs="宋体"/>
          <w:color w:val="auto"/>
          <w:sz w:val="24"/>
          <w:highlight w:val="none"/>
        </w:rPr>
        <w:t>松林日常监测、枯死树清理、松木打孔注药等工作；</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53199573">
      <w:pPr>
        <w:spacing w:line="360" w:lineRule="auto"/>
        <w:ind w:left="210" w:leftChars="100"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备注：/。</w:t>
      </w:r>
    </w:p>
    <w:p w14:paraId="5BEBED0C">
      <w:pPr>
        <w:pStyle w:val="130"/>
        <w:ind w:firstLine="482"/>
        <w:outlineLvl w:val="2"/>
        <w:rPr>
          <w:rFonts w:hint="eastAsia" w:ascii="宋体" w:hAnsi="宋体" w:cs="宋体"/>
          <w:bCs/>
          <w:color w:val="auto"/>
          <w:highlight w:val="none"/>
        </w:rPr>
      </w:pPr>
      <w:r>
        <w:rPr>
          <w:rFonts w:hint="eastAsia" w:ascii="宋体" w:hAnsi="宋体" w:cs="宋体"/>
          <w:b/>
          <w:color w:val="auto"/>
          <w:highlight w:val="none"/>
        </w:rPr>
        <w:t>合同履约期限：</w:t>
      </w:r>
      <w:r>
        <w:rPr>
          <w:rFonts w:hint="eastAsia" w:ascii="宋体" w:hAnsi="宋体" w:cs="宋体"/>
          <w:bCs/>
          <w:color w:val="auto"/>
          <w:highlight w:val="none"/>
        </w:rPr>
        <w:t>自合同签订生效后开始至双方合同义务完全履行后截止。</w:t>
      </w:r>
    </w:p>
    <w:p w14:paraId="3B00C33B">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sdtPr>
        <w:sdtEndPr>
          <w:rPr>
            <w:rFonts w:hAnsi="宋体" w:cs="宋体"/>
            <w:color w:val="auto"/>
            <w:kern w:val="0"/>
            <w:sz w:val="24"/>
            <w:highlight w:val="none"/>
          </w:rPr>
        </w:sdtEndPr>
        <w:sdtContent>
          <w:r>
            <w:rPr>
              <w:rFonts w:ascii="Wingdings" w:hAnsi="Wingdings" w:cs="宋体"/>
              <w:color w:val="auto"/>
              <w:kern w:val="0"/>
              <w:sz w:val="24"/>
              <w:highlight w:val="none"/>
            </w:rPr>
            <w:sym w:font="Wingdings" w:char="00A8"/>
          </w:r>
        </w:sdtContent>
      </w:sdt>
      <w:r>
        <w:rPr>
          <w:rFonts w:hint="eastAsia" w:hAnsi="宋体" w:cs="宋体"/>
          <w:b/>
          <w:color w:val="auto"/>
          <w:sz w:val="24"/>
          <w:highlight w:val="none"/>
        </w:rPr>
        <w:t>是；</w:t>
      </w:r>
      <w:sdt>
        <w:sdtPr>
          <w:rPr>
            <w:rFonts w:hAnsi="宋体" w:cs="宋体"/>
            <w:color w:val="auto"/>
            <w:kern w:val="0"/>
            <w:sz w:val="24"/>
            <w:highlight w:val="none"/>
          </w:rPr>
          <w:id w:val="-1591624199"/>
        </w:sdtPr>
        <w:sdtEndPr>
          <w:rPr>
            <w:rFonts w:hAnsi="宋体" w:cs="宋体"/>
            <w:color w:val="auto"/>
            <w:kern w:val="0"/>
            <w:sz w:val="24"/>
            <w:highlight w:val="none"/>
          </w:rPr>
        </w:sdtEndPr>
        <w:sdtContent>
          <w:sdt>
            <w:sdtPr>
              <w:rPr>
                <w:rFonts w:ascii="Segoe UI Symbol" w:hAnsi="Segoe UI Symbol" w:cs="Segoe UI Symbol"/>
                <w:color w:val="auto"/>
                <w:kern w:val="0"/>
                <w:sz w:val="24"/>
                <w:highlight w:val="none"/>
              </w:rPr>
              <w:id w:val="-426350861"/>
            </w:sdtPr>
            <w:sdtEndPr>
              <w:rPr>
                <w:rFonts w:ascii="Segoe UI Symbol" w:hAnsi="Segoe UI Symbol" w:cs="Segoe UI Symbol"/>
                <w:color w:val="auto"/>
                <w:kern w:val="0"/>
                <w:sz w:val="24"/>
                <w:highlight w:val="none"/>
              </w:rPr>
            </w:sdtEndPr>
            <w:sdtContent>
              <w:r>
                <w:rPr>
                  <w:rFonts w:ascii="Segoe UI Symbol" w:hAnsi="Segoe UI Symbol" w:cs="Segoe UI Symbol"/>
                  <w:color w:val="auto"/>
                  <w:kern w:val="0"/>
                  <w:sz w:val="24"/>
                  <w:highlight w:val="none"/>
                </w:rPr>
                <w:sym w:font="Wingdings" w:char="00FE"/>
              </w:r>
            </w:sdtContent>
          </w:sdt>
        </w:sdtContent>
      </w:sdt>
      <w:r>
        <w:rPr>
          <w:rFonts w:hint="eastAsia" w:hAnsi="宋体" w:cs="宋体"/>
          <w:b/>
          <w:color w:val="auto"/>
          <w:sz w:val="24"/>
          <w:highlight w:val="none"/>
        </w:rPr>
        <w:t>否</w:t>
      </w:r>
      <w:r>
        <w:rPr>
          <w:rFonts w:hint="eastAsia" w:hAnsi="宋体" w:cs="宋体"/>
          <w:color w:val="auto"/>
          <w:kern w:val="0"/>
          <w:sz w:val="24"/>
          <w:highlight w:val="none"/>
        </w:rPr>
        <w:t>。</w:t>
      </w:r>
    </w:p>
    <w:p w14:paraId="5346AE23">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DC2CF82">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E201FE2">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w:t>
      </w:r>
    </w:p>
    <w:p w14:paraId="0DA93092">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6261BC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w:t>
      </w:r>
    </w:p>
    <w:p w14:paraId="0B745D7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69850"/>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FE"/>
              </w:r>
            </w:sdtContent>
          </w:sdt>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30BC135">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53285"/>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FE"/>
              </w:r>
            </w:sdtContent>
          </w:sdt>
        </w:sdtContent>
      </w:sdt>
      <w:r>
        <w:rPr>
          <w:rFonts w:hint="eastAsia" w:ascii="宋体" w:hAnsi="宋体" w:cs="宋体"/>
          <w:color w:val="auto"/>
          <w:sz w:val="24"/>
          <w:highlight w:val="none"/>
        </w:rPr>
        <w:t>服务全部由符合政策要求的中小企业承接，提供中小企业声明函；</w:t>
      </w:r>
    </w:p>
    <w:p w14:paraId="34BE6D35">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67537542">
      <w:pPr>
        <w:rPr>
          <w:rFonts w:ascii="宋体" w:hAnsi="宋体" w:cs="宋体"/>
          <w:color w:val="auto"/>
          <w:highlight w:val="none"/>
        </w:rPr>
      </w:pPr>
    </w:p>
    <w:p w14:paraId="0A52047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394F4D8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87D168E">
      <w:pPr>
        <w:spacing w:line="360" w:lineRule="auto"/>
        <w:ind w:firstLine="480" w:firstLineChars="200"/>
        <w:rPr>
          <w:rFonts w:hint="eastAsia" w:ascii="宋体" w:hAnsi="宋体" w:eastAsia="宋体" w:cs="宋体"/>
          <w:color w:val="auto"/>
          <w:sz w:val="24"/>
          <w:highlight w:val="none"/>
          <w:lang w:val="en-US"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p>
    <w:p w14:paraId="30B259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080A9E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675A12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ED8381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7C1121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F3E3AD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CBE80DE">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51C9A8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47C15CC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4890A08B">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8月1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2A1BDF1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0A51E8AB">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20BEC3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2850FDF">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51DCC7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0A9B1D10">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62ABAD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DA639FE">
      <w:pPr>
        <w:spacing w:line="360" w:lineRule="auto"/>
        <w:ind w:firstLine="482" w:firstLineChars="200"/>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4. 其他事项：</w:t>
      </w:r>
    </w:p>
    <w:p w14:paraId="1BC31436">
      <w:pPr>
        <w:spacing w:line="360" w:lineRule="auto"/>
        <w:ind w:firstLine="482"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促进中小企业发展等，详见招标文件第二部分。</w:t>
      </w:r>
    </w:p>
    <w:p w14:paraId="4839D3D3">
      <w:pPr>
        <w:spacing w:line="360" w:lineRule="auto"/>
        <w:ind w:firstLine="482"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3）招标文件的获取：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使用账号登录或者使用CA登录政采云平台；进入“项目采购”应用，在获取采购文件菜单中选择项目，获取招标文件。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采购人、采购代理机构将依托政采云平台完成本项目的电子交易活动，平台不接受未按本公告约定方式获取招标文件的供应商进行响应活动；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对未按上述方式获取招标文件的供应商对该文件提出的质疑，采购人或采购代理机构将不予处理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不提供招标文件纸质版；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文件后缀为：jmbs）上传至政府采购云平台，还可以在提交响应文件的截止时间前直接提交或者以邮政快递方式提交备份响应文件1份。备份响应文件的制作、存储、密封详见招标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招标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p>
    <w:p w14:paraId="2C7431B2">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招标文件公告期限与招标公告的公告期限一致。</w:t>
      </w:r>
    </w:p>
    <w:p w14:paraId="1A584B8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（4）本《第一部分 招标公告》中二、申请人的资格要求：第一条中的“重大税收违法案件当事人名单”即为“重大税收违法失信主体”。</w:t>
      </w:r>
    </w:p>
    <w:p w14:paraId="413F908A">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E2B6B1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762CCE84">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名    称：宁波市自然资源和规划局镇海分局</w:t>
      </w:r>
    </w:p>
    <w:p w14:paraId="5F0372A7">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地    址：镇海区骆驼街道民和路789号</w:t>
      </w:r>
    </w:p>
    <w:p w14:paraId="019329F4">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传    真：/</w:t>
      </w:r>
    </w:p>
    <w:p w14:paraId="2555946C">
      <w:pPr>
        <w:spacing w:line="360" w:lineRule="auto"/>
        <w:ind w:firstLine="480" w:firstLineChars="200"/>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项目联系人（询问）：</w:t>
      </w:r>
      <w:r>
        <w:rPr>
          <w:rFonts w:hint="eastAsia" w:cs="宋体" w:asciiTheme="minorEastAsia" w:hAnsiTheme="minorEastAsia" w:eastAsiaTheme="minorEastAsia"/>
          <w:color w:val="auto"/>
          <w:sz w:val="24"/>
          <w:highlight w:val="none"/>
          <w:lang w:eastAsia="zh-CN"/>
        </w:rPr>
        <w:t>曹瑜</w:t>
      </w:r>
    </w:p>
    <w:p w14:paraId="67DC5A56">
      <w:pPr>
        <w:spacing w:line="360" w:lineRule="auto"/>
        <w:ind w:firstLine="480" w:firstLineChars="200"/>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项目联系方式（询问）：</w:t>
      </w:r>
      <w:r>
        <w:rPr>
          <w:rFonts w:hint="eastAsia" w:cs="宋体" w:asciiTheme="minorEastAsia" w:hAnsiTheme="minorEastAsia" w:eastAsiaTheme="minorEastAsia"/>
          <w:color w:val="auto"/>
          <w:sz w:val="24"/>
          <w:highlight w:val="none"/>
          <w:lang w:val="en-US" w:eastAsia="zh-CN"/>
        </w:rPr>
        <w:t>0574-86257733</w:t>
      </w:r>
    </w:p>
    <w:p w14:paraId="78A4D912">
      <w:pPr>
        <w:spacing w:line="360" w:lineRule="auto"/>
        <w:ind w:firstLine="480" w:firstLineChars="200"/>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质疑联系人：</w:t>
      </w:r>
      <w:r>
        <w:rPr>
          <w:rFonts w:hint="eastAsia" w:cs="宋体" w:asciiTheme="minorEastAsia" w:hAnsiTheme="minorEastAsia" w:eastAsiaTheme="minorEastAsia"/>
          <w:color w:val="auto"/>
          <w:sz w:val="24"/>
          <w:highlight w:val="none"/>
          <w:lang w:eastAsia="zh-CN"/>
        </w:rPr>
        <w:t>周峥艺</w:t>
      </w:r>
    </w:p>
    <w:p w14:paraId="49949E6C">
      <w:pPr>
        <w:spacing w:line="360" w:lineRule="auto"/>
        <w:ind w:firstLine="480" w:firstLineChars="200"/>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质疑联系方式：</w:t>
      </w:r>
      <w:r>
        <w:rPr>
          <w:rFonts w:hint="eastAsia" w:cs="宋体" w:asciiTheme="minorEastAsia" w:hAnsiTheme="minorEastAsia" w:eastAsiaTheme="minorEastAsia"/>
          <w:color w:val="auto"/>
          <w:sz w:val="24"/>
          <w:highlight w:val="none"/>
          <w:lang w:val="en-US" w:eastAsia="zh-CN"/>
        </w:rPr>
        <w:t>0574-86371265</w:t>
      </w:r>
    </w:p>
    <w:p w14:paraId="24535B45">
      <w:pPr>
        <w:spacing w:line="360" w:lineRule="auto"/>
        <w:ind w:firstLine="480"/>
        <w:rPr>
          <w:rFonts w:ascii="宋体" w:hAnsi="宋体" w:cs="宋体"/>
          <w:color w:val="auto"/>
          <w:sz w:val="24"/>
          <w:highlight w:val="none"/>
        </w:rPr>
      </w:pPr>
      <w:bookmarkStart w:id="11" w:name="_Toc28359020"/>
      <w:bookmarkStart w:id="12" w:name="_Toc28359097"/>
      <w:bookmarkStart w:id="13" w:name="_Toc35393807"/>
      <w:bookmarkStart w:id="14" w:name="_Toc35393638"/>
      <w:r>
        <w:rPr>
          <w:rFonts w:hint="eastAsia" w:ascii="宋体" w:hAnsi="宋体" w:cs="宋体"/>
          <w:color w:val="auto"/>
          <w:sz w:val="24"/>
          <w:highlight w:val="none"/>
        </w:rPr>
        <w:t>2.采购代理机构信息</w:t>
      </w:r>
      <w:bookmarkEnd w:id="11"/>
      <w:bookmarkEnd w:id="12"/>
      <w:bookmarkEnd w:id="13"/>
      <w:bookmarkEnd w:id="14"/>
      <w:r>
        <w:rPr>
          <w:rFonts w:hint="eastAsia" w:ascii="宋体" w:hAnsi="宋体" w:cs="宋体"/>
          <w:color w:val="auto"/>
          <w:sz w:val="24"/>
          <w:highlight w:val="none"/>
        </w:rPr>
        <w:t>：</w:t>
      </w:r>
    </w:p>
    <w:p w14:paraId="5376F47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称：浙江中基正采管理咨询有限公司</w:t>
      </w:r>
    </w:p>
    <w:p w14:paraId="16B5DDF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址：宁波市鄞州区天童南路666号中基大厦19楼</w:t>
      </w:r>
    </w:p>
    <w:p w14:paraId="6FB30DC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w:t>
      </w:r>
    </w:p>
    <w:p w14:paraId="13C7A1C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项目联系人（询问）：谢工</w:t>
      </w:r>
    </w:p>
    <w:p w14:paraId="7F33AA1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项目联系方式（询问）：0574-87425371</w:t>
      </w:r>
    </w:p>
    <w:p w14:paraId="4D27875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质疑联系人：王近娜</w:t>
      </w:r>
    </w:p>
    <w:p w14:paraId="631999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质疑联系方式：0574-87425583</w:t>
      </w:r>
    </w:p>
    <w:p w14:paraId="48980F46">
      <w:pPr>
        <w:spacing w:line="360" w:lineRule="auto"/>
        <w:ind w:firstLine="480"/>
        <w:rPr>
          <w:rFonts w:ascii="宋体" w:hAnsi="宋体" w:cs="宋体"/>
          <w:color w:val="auto"/>
          <w:sz w:val="24"/>
          <w:highlight w:val="none"/>
        </w:rPr>
      </w:pPr>
      <w:bookmarkStart w:id="15" w:name="_Toc35393808"/>
      <w:bookmarkStart w:id="16" w:name="_Toc35393639"/>
      <w:bookmarkStart w:id="17" w:name="_Toc28359021"/>
      <w:bookmarkStart w:id="18" w:name="_Toc28359098"/>
      <w:r>
        <w:rPr>
          <w:rFonts w:hint="eastAsia" w:ascii="宋体" w:hAnsi="宋体" w:cs="宋体"/>
          <w:color w:val="auto"/>
          <w:sz w:val="24"/>
          <w:highlight w:val="none"/>
        </w:rPr>
        <w:t>3. 同级政府采购监督管理部门：</w:t>
      </w:r>
    </w:p>
    <w:bookmarkEnd w:id="15"/>
    <w:bookmarkEnd w:id="16"/>
    <w:bookmarkEnd w:id="17"/>
    <w:bookmarkEnd w:id="18"/>
    <w:p w14:paraId="71B3F11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称：宁波市镇海区政府采购办公室</w:t>
      </w:r>
    </w:p>
    <w:p w14:paraId="40F8550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地    址：宁波市镇海区骆驼街道民和路569号 </w:t>
      </w:r>
    </w:p>
    <w:p w14:paraId="221313B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w:t>
      </w:r>
    </w:p>
    <w:p w14:paraId="3DAEBD4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联 系 人：金老师</w:t>
      </w:r>
    </w:p>
    <w:p w14:paraId="31933504">
      <w:pPr>
        <w:spacing w:line="360" w:lineRule="auto"/>
        <w:ind w:firstLine="480"/>
        <w:rPr>
          <w:rFonts w:ascii="宋体" w:hAnsi="宋体" w:cs="宋体"/>
          <w:color w:val="auto"/>
          <w:sz w:val="24"/>
          <w:highlight w:val="none"/>
        </w:rPr>
      </w:pPr>
      <w:bookmarkStart w:id="19" w:name="_Toc13810"/>
      <w:r>
        <w:rPr>
          <w:rFonts w:hint="eastAsia" w:ascii="宋体" w:hAnsi="宋体" w:cs="宋体"/>
          <w:color w:val="auto"/>
          <w:sz w:val="24"/>
          <w:highlight w:val="none"/>
        </w:rPr>
        <w:t>监督投诉电话：</w:t>
      </w:r>
      <w:bookmarkEnd w:id="19"/>
      <w:r>
        <w:rPr>
          <w:rFonts w:hint="eastAsia" w:ascii="宋体" w:hAnsi="宋体" w:cs="宋体"/>
          <w:color w:val="auto"/>
          <w:sz w:val="24"/>
          <w:highlight w:val="none"/>
        </w:rPr>
        <w:t xml:space="preserve">0574-89389666 </w:t>
      </w:r>
    </w:p>
    <w:p w14:paraId="54DDF5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DCDA0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794BD96">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7860154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供应商须知</w:t>
      </w:r>
      <w:bookmarkEnd w:id="9"/>
    </w:p>
    <w:p w14:paraId="757CCDB3">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6928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7163CA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012578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5E9289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0757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13E99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57A29F0">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C2F7ADB">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4F36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AE5EA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EDD8A2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9F42ACE">
            <w:pPr>
              <w:numPr>
                <w:ilvl w:val="0"/>
                <w:numId w:val="1"/>
              </w:num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本项目为专门面向中小企业，服务全部由符合政策要求的中小企业承接。</w:t>
            </w:r>
          </w:p>
          <w:p w14:paraId="5904CD10">
            <w:pPr>
              <w:numPr>
                <w:ilvl w:val="0"/>
                <w:numId w:val="1"/>
              </w:numPr>
              <w:snapToGrid w:val="0"/>
              <w:spacing w:line="360" w:lineRule="auto"/>
              <w:rPr>
                <w:color w:val="auto"/>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lang w:eastAsia="zh-CN"/>
              </w:rPr>
              <w:t>镇海区2025-2026年松材线虫病防治项目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其他未列明行业</w:t>
            </w:r>
            <w:r>
              <w:rPr>
                <w:rFonts w:hint="eastAsia" w:ascii="宋体" w:hAnsi="宋体" w:cs="宋体"/>
                <w:color w:val="auto"/>
                <w:kern w:val="0"/>
                <w:sz w:val="24"/>
                <w:highlight w:val="none"/>
              </w:rPr>
              <w:t>；</w:t>
            </w:r>
          </w:p>
        </w:tc>
      </w:tr>
      <w:tr w14:paraId="3303C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8E21F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742E66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471E34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EBA73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9988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BC83AD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148BD1E">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ECE13B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sdtPr>
              <w:sdtEndPr>
                <w:rPr>
                  <w:rFonts w:hint="eastAsia" w:ascii="宋体" w:hAnsi="宋体" w:cs="宋体"/>
                  <w:color w:val="auto"/>
                  <w:kern w:val="0"/>
                  <w:sz w:val="24"/>
                  <w:highlight w:val="none"/>
                </w:rPr>
              </w:sdtEndPr>
              <w:sdtContent>
                <w:r>
                  <w:rPr>
                    <w:rFonts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71B10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7DCD83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8AE299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B4A32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9B18D37">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7E913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91AA9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CC44D9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B34339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ACBB31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260EDA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9FA251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32949A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73BD72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E1D2268">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35033F1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B23169A">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637E4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8BE61B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AB855DB">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61F925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EE2E22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1782E6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（1）在评标时安排每个供应商进行方案讲解演示。每个供应商时间不超过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3ABFAE7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0201758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14:paraId="59DD98C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26B832C3">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51223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3EF5CE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472F8B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FF03E0B">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FBAB996">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供应商未提供有效的资格证明文件的，视为供应商不具备招标文件中规定的资格要求，投标无效。</w:t>
            </w:r>
          </w:p>
        </w:tc>
      </w:tr>
      <w:tr w14:paraId="18007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1A088395">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34A4C14">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2F522B6">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201C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D1CE8B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978F9F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4718F98">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2A635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E953D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625893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983138F">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开标一览表（报价表）是报价的唯一载体，如供应商在政府采购云平台填写的投标报价与投标文件报价文件中开标一览表（报价表）不一致的，以报价文件中开标一览表（报价表）为准。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投标文件中价格全部采用人民币报价。招标文件未列明，而供应商认为必需的费用也需列入报价。投标报价为供应商正确地完全履行采购内容及要求的价格体现，包括但不限于完成该项工作所需的人工费、</w:t>
            </w:r>
            <w:r>
              <w:rPr>
                <w:rFonts w:hint="eastAsia" w:ascii="宋体" w:hAnsi="宋体" w:cs="宋体"/>
                <w:color w:val="auto"/>
                <w:kern w:val="0"/>
                <w:sz w:val="24"/>
                <w:highlight w:val="none"/>
              </w:rPr>
              <w:t>设备使用费</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生产用具</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管理费、社会保险、</w:t>
            </w:r>
            <w:r>
              <w:rPr>
                <w:rFonts w:hint="eastAsia" w:ascii="宋体" w:hAnsi="宋体" w:cs="宋体"/>
                <w:color w:val="auto"/>
                <w:kern w:val="0"/>
                <w:sz w:val="24"/>
                <w:highlight w:val="none"/>
                <w:lang w:val="en-US" w:eastAsia="zh-CN"/>
              </w:rPr>
              <w:t>监测费、调查费</w:t>
            </w:r>
            <w:r>
              <w:rPr>
                <w:rFonts w:hint="eastAsia" w:ascii="宋体" w:hAnsi="宋体" w:cs="宋体"/>
                <w:color w:val="auto"/>
                <w:kern w:val="0"/>
                <w:sz w:val="24"/>
                <w:highlight w:val="none"/>
                <w:lang w:val="zh-CN"/>
              </w:rPr>
              <w:t>等完成本项目服务所发生的全部费用以及供应商企业利润、税金和政策性文件规定及合同包含的所有风险、责任等各项应有费用。除非因特殊原因并经双方协商同意，供应商不得再要求追加任何费用。</w:t>
            </w:r>
          </w:p>
          <w:p w14:paraId="790C871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84E30D4">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4DCF65D1">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5EC0B5F">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29E1EC7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63D5C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vAlign w:val="center"/>
          </w:tcPr>
          <w:p w14:paraId="2EF6AD4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3F813D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8725C8B">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C17D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1DD8F8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33D28E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备份投标文件送达时间、地点和签收人员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18A4282">
            <w:pPr>
              <w:pStyle w:val="32"/>
              <w:spacing w:line="360" w:lineRule="auto"/>
              <w:rPr>
                <w:rFonts w:hAnsi="宋体" w:cs="宋体"/>
                <w:color w:val="auto"/>
                <w:sz w:val="24"/>
                <w:szCs w:val="24"/>
                <w:highlight w:val="none"/>
              </w:rPr>
            </w:pPr>
            <w:r>
              <w:rPr>
                <w:rFonts w:hint="eastAsia" w:hAnsi="宋体" w:cs="宋体"/>
                <w:color w:val="auto"/>
                <w:sz w:val="24"/>
                <w:highlight w:val="none"/>
              </w:rPr>
              <w:t>（1）</w:t>
            </w:r>
            <w:r>
              <w:rPr>
                <w:rFonts w:hint="eastAsia" w:hAnsi="宋体" w:cs="宋体"/>
                <w:color w:val="auto"/>
                <w:sz w:val="24"/>
                <w:szCs w:val="24"/>
                <w:highlight w:val="none"/>
              </w:rPr>
              <w:t>直接提交备份投标文件的：</w:t>
            </w:r>
          </w:p>
          <w:p w14:paraId="2F251A44">
            <w:pPr>
              <w:pStyle w:val="32"/>
              <w:spacing w:line="360" w:lineRule="auto"/>
              <w:rPr>
                <w:rFonts w:hAnsi="宋体" w:cs="宋体"/>
                <w:color w:val="auto"/>
                <w:sz w:val="24"/>
                <w:szCs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宁波市镇海区公共资源交易中心。</w:t>
            </w:r>
          </w:p>
          <w:p w14:paraId="2FEFFC61">
            <w:pPr>
              <w:pStyle w:val="32"/>
              <w:spacing w:line="360" w:lineRule="auto"/>
              <w:rPr>
                <w:rFonts w:hAnsi="宋体" w:cs="宋体"/>
                <w:color w:val="auto"/>
                <w:sz w:val="24"/>
                <w:szCs w:val="24"/>
                <w:highlight w:val="none"/>
              </w:rPr>
            </w:pPr>
            <w:r>
              <w:rPr>
                <w:rFonts w:hint="eastAsia" w:hAnsi="宋体" w:cs="宋体"/>
                <w:color w:val="auto"/>
                <w:kern w:val="28"/>
                <w:sz w:val="24"/>
                <w:szCs w:val="24"/>
                <w:highlight w:val="none"/>
              </w:rPr>
              <w:t>（2）</w:t>
            </w:r>
            <w:r>
              <w:rPr>
                <w:rFonts w:hint="eastAsia" w:hAnsi="宋体" w:cs="宋体"/>
                <w:color w:val="auto"/>
                <w:sz w:val="24"/>
                <w:szCs w:val="24"/>
                <w:highlight w:val="none"/>
              </w:rPr>
              <w:t>以邮政快递方式递交备份投标文件的：</w:t>
            </w:r>
          </w:p>
          <w:p w14:paraId="29964C6C">
            <w:pPr>
              <w:pStyle w:val="32"/>
              <w:spacing w:line="360" w:lineRule="auto"/>
              <w:rPr>
                <w:rFonts w:hAnsi="宋体" w:cs="宋体"/>
                <w:color w:val="auto"/>
                <w:kern w:val="28"/>
                <w:sz w:val="24"/>
                <w:szCs w:val="24"/>
                <w:highlight w:val="none"/>
              </w:rPr>
            </w:pPr>
            <w:r>
              <w:rPr>
                <w:rFonts w:hint="eastAsia" w:hAnsi="宋体" w:cs="宋体"/>
                <w:snapToGrid/>
                <w:color w:val="auto"/>
                <w:sz w:val="24"/>
                <w:szCs w:val="24"/>
                <w:highlight w:val="none"/>
              </w:rPr>
              <w:t>备份投标文件送达</w:t>
            </w:r>
            <w:r>
              <w:rPr>
                <w:rFonts w:hint="eastAsia" w:hAnsi="宋体" w:cs="宋体"/>
                <w:color w:val="auto"/>
                <w:sz w:val="24"/>
                <w:szCs w:val="24"/>
                <w:highlight w:val="none"/>
              </w:rPr>
              <w:t>截止时间：</w:t>
            </w:r>
            <w:r>
              <w:rPr>
                <w:rFonts w:hint="eastAsia" w:hAnsi="宋体" w:cs="宋体"/>
                <w:color w:val="auto"/>
                <w:sz w:val="24"/>
                <w:szCs w:val="24"/>
                <w:highlight w:val="none"/>
                <w:u w:val="single"/>
              </w:rPr>
              <w:t>开标时间前一个工作日的16:00止。</w:t>
            </w:r>
          </w:p>
          <w:p w14:paraId="4718DEE5">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宁波市鄞州区天童南路666号中基大厦19楼业务六部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0574-87425371</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采购人、采购代理机构不强制或变相强制供应商提交备份投标文件。</w:t>
            </w:r>
          </w:p>
        </w:tc>
      </w:tr>
      <w:tr w14:paraId="7A969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4B87418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3610E2A">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06B1A7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02547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3B9CBC5A">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685C1E7">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4215093A">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B728F87">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0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4539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0C696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4FC0036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中标服务费</w:t>
            </w:r>
          </w:p>
        </w:tc>
        <w:tc>
          <w:tcPr>
            <w:tcW w:w="6095" w:type="dxa"/>
            <w:tcBorders>
              <w:top w:val="single" w:color="auto" w:sz="4" w:space="0"/>
              <w:left w:val="single" w:color="auto" w:sz="4" w:space="0"/>
              <w:bottom w:val="single" w:color="auto" w:sz="4" w:space="0"/>
              <w:right w:val="single" w:color="auto" w:sz="4" w:space="0"/>
            </w:tcBorders>
            <w:vAlign w:val="center"/>
          </w:tcPr>
          <w:p w14:paraId="7B1165F0">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采购代理参考下表中服务招标标准（按差额定率累进法计算），根据预算金额，向中标人收取</w:t>
            </w:r>
            <w:r>
              <w:rPr>
                <w:rFonts w:hint="eastAsia" w:cs="Arial" w:asciiTheme="minorEastAsia" w:hAnsiTheme="minorEastAsia" w:eastAsiaTheme="minorEastAsia"/>
                <w:color w:val="auto"/>
                <w:kern w:val="0"/>
                <w:sz w:val="24"/>
                <w:highlight w:val="none"/>
                <w:lang w:val="en-US" w:eastAsia="zh-CN"/>
              </w:rPr>
              <w:t>中标</w:t>
            </w:r>
            <w:r>
              <w:rPr>
                <w:rFonts w:hint="eastAsia" w:cs="Arial" w:asciiTheme="minorEastAsia" w:hAnsiTheme="minorEastAsia" w:eastAsiaTheme="minorEastAsia"/>
                <w:color w:val="auto"/>
                <w:kern w:val="0"/>
                <w:sz w:val="24"/>
                <w:highlight w:val="none"/>
              </w:rPr>
              <w:t>服务费。</w:t>
            </w:r>
          </w:p>
          <w:tbl>
            <w:tblPr>
              <w:tblStyle w:val="62"/>
              <w:tblW w:w="5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562"/>
              <w:gridCol w:w="984"/>
              <w:gridCol w:w="907"/>
              <w:gridCol w:w="985"/>
            </w:tblGrid>
            <w:tr w14:paraId="5522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32" w:hRule="atLeast"/>
                <w:jc w:val="center"/>
              </w:trPr>
              <w:tc>
                <w:tcPr>
                  <w:tcW w:w="2562" w:type="dxa"/>
                  <w:tcBorders>
                    <w:tl2br w:val="single" w:color="auto" w:sz="4" w:space="0"/>
                  </w:tcBorders>
                  <w:tcMar>
                    <w:top w:w="30" w:type="dxa"/>
                    <w:left w:w="150" w:type="dxa"/>
                    <w:bottom w:w="30" w:type="dxa"/>
                    <w:right w:w="150" w:type="dxa"/>
                  </w:tcMar>
                  <w:vAlign w:val="center"/>
                </w:tcPr>
                <w:p w14:paraId="7A22BF4F">
                  <w:pPr>
                    <w:spacing w:line="360" w:lineRule="auto"/>
                    <w:rPr>
                      <w:rFonts w:cs="Arial" w:asciiTheme="minorEastAsia" w:hAnsiTheme="minorEastAsia" w:eastAsiaTheme="minorEastAsia"/>
                      <w:color w:val="auto"/>
                      <w:kern w:val="0"/>
                      <w:sz w:val="24"/>
                      <w:highlight w:val="none"/>
                    </w:rPr>
                  </w:pPr>
                </w:p>
                <w:p w14:paraId="4EA31087">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中标金额（万元）</w:t>
                  </w:r>
                </w:p>
                <w:p w14:paraId="4F930F30">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费率</w:t>
                  </w:r>
                </w:p>
                <w:p w14:paraId="5E8B3119">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服务类型</w:t>
                  </w:r>
                </w:p>
              </w:tc>
              <w:tc>
                <w:tcPr>
                  <w:tcW w:w="984" w:type="dxa"/>
                  <w:tcMar>
                    <w:top w:w="30" w:type="dxa"/>
                    <w:left w:w="150" w:type="dxa"/>
                    <w:bottom w:w="30" w:type="dxa"/>
                    <w:right w:w="150" w:type="dxa"/>
                  </w:tcMar>
                  <w:vAlign w:val="center"/>
                </w:tcPr>
                <w:p w14:paraId="407E06C8">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货物招标</w:t>
                  </w:r>
                </w:p>
              </w:tc>
              <w:tc>
                <w:tcPr>
                  <w:tcW w:w="907" w:type="dxa"/>
                  <w:tcMar>
                    <w:top w:w="30" w:type="dxa"/>
                    <w:left w:w="150" w:type="dxa"/>
                    <w:bottom w:w="30" w:type="dxa"/>
                    <w:right w:w="150" w:type="dxa"/>
                  </w:tcMar>
                  <w:vAlign w:val="center"/>
                </w:tcPr>
                <w:p w14:paraId="35E79D43">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服务招标</w:t>
                  </w:r>
                </w:p>
              </w:tc>
              <w:tc>
                <w:tcPr>
                  <w:tcW w:w="985" w:type="dxa"/>
                  <w:tcMar>
                    <w:top w:w="30" w:type="dxa"/>
                    <w:left w:w="150" w:type="dxa"/>
                    <w:bottom w:w="30" w:type="dxa"/>
                    <w:right w:w="150" w:type="dxa"/>
                  </w:tcMar>
                  <w:vAlign w:val="center"/>
                </w:tcPr>
                <w:p w14:paraId="187BD907">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工程招标</w:t>
                  </w:r>
                </w:p>
              </w:tc>
            </w:tr>
            <w:tr w14:paraId="431E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jc w:val="center"/>
              </w:trPr>
              <w:tc>
                <w:tcPr>
                  <w:tcW w:w="2562" w:type="dxa"/>
                  <w:tcMar>
                    <w:top w:w="30" w:type="dxa"/>
                    <w:left w:w="150" w:type="dxa"/>
                    <w:bottom w:w="30" w:type="dxa"/>
                    <w:right w:w="150" w:type="dxa"/>
                  </w:tcMar>
                  <w:vAlign w:val="center"/>
                </w:tcPr>
                <w:p w14:paraId="2DE3EF37">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100以下</w:t>
                  </w:r>
                </w:p>
              </w:tc>
              <w:tc>
                <w:tcPr>
                  <w:tcW w:w="984" w:type="dxa"/>
                  <w:tcMar>
                    <w:top w:w="30" w:type="dxa"/>
                    <w:left w:w="150" w:type="dxa"/>
                    <w:bottom w:w="30" w:type="dxa"/>
                    <w:right w:w="150" w:type="dxa"/>
                  </w:tcMar>
                  <w:vAlign w:val="center"/>
                </w:tcPr>
                <w:p w14:paraId="4E2FE0E9">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1.5%</w:t>
                  </w:r>
                </w:p>
              </w:tc>
              <w:tc>
                <w:tcPr>
                  <w:tcW w:w="907" w:type="dxa"/>
                  <w:tcMar>
                    <w:top w:w="30" w:type="dxa"/>
                    <w:left w:w="150" w:type="dxa"/>
                    <w:bottom w:w="30" w:type="dxa"/>
                    <w:right w:w="150" w:type="dxa"/>
                  </w:tcMar>
                  <w:vAlign w:val="center"/>
                </w:tcPr>
                <w:p w14:paraId="147E25A5">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1.5%</w:t>
                  </w:r>
                </w:p>
              </w:tc>
              <w:tc>
                <w:tcPr>
                  <w:tcW w:w="985" w:type="dxa"/>
                  <w:tcMar>
                    <w:top w:w="30" w:type="dxa"/>
                    <w:left w:w="150" w:type="dxa"/>
                    <w:bottom w:w="30" w:type="dxa"/>
                    <w:right w:w="150" w:type="dxa"/>
                  </w:tcMar>
                  <w:vAlign w:val="center"/>
                </w:tcPr>
                <w:p w14:paraId="2C671CAE">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1.0%</w:t>
                  </w:r>
                </w:p>
              </w:tc>
            </w:tr>
            <w:tr w14:paraId="30E6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jc w:val="center"/>
              </w:trPr>
              <w:tc>
                <w:tcPr>
                  <w:tcW w:w="2562" w:type="dxa"/>
                  <w:tcMar>
                    <w:top w:w="30" w:type="dxa"/>
                    <w:left w:w="150" w:type="dxa"/>
                    <w:bottom w:w="30" w:type="dxa"/>
                    <w:right w:w="150" w:type="dxa"/>
                  </w:tcMar>
                  <w:vAlign w:val="center"/>
                </w:tcPr>
                <w:p w14:paraId="7F94FC6F">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100-500</w:t>
                  </w:r>
                </w:p>
              </w:tc>
              <w:tc>
                <w:tcPr>
                  <w:tcW w:w="984" w:type="dxa"/>
                  <w:tcMar>
                    <w:top w:w="30" w:type="dxa"/>
                    <w:left w:w="150" w:type="dxa"/>
                    <w:bottom w:w="30" w:type="dxa"/>
                    <w:right w:w="150" w:type="dxa"/>
                  </w:tcMar>
                  <w:vAlign w:val="center"/>
                </w:tcPr>
                <w:p w14:paraId="02F23278">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1.1%</w:t>
                  </w:r>
                </w:p>
              </w:tc>
              <w:tc>
                <w:tcPr>
                  <w:tcW w:w="907" w:type="dxa"/>
                  <w:tcMar>
                    <w:top w:w="30" w:type="dxa"/>
                    <w:left w:w="150" w:type="dxa"/>
                    <w:bottom w:w="30" w:type="dxa"/>
                    <w:right w:w="150" w:type="dxa"/>
                  </w:tcMar>
                  <w:vAlign w:val="center"/>
                </w:tcPr>
                <w:p w14:paraId="7F006EA9">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0.8%</w:t>
                  </w:r>
                </w:p>
              </w:tc>
              <w:tc>
                <w:tcPr>
                  <w:tcW w:w="985" w:type="dxa"/>
                  <w:tcMar>
                    <w:top w:w="30" w:type="dxa"/>
                    <w:left w:w="150" w:type="dxa"/>
                    <w:bottom w:w="30" w:type="dxa"/>
                    <w:right w:w="150" w:type="dxa"/>
                  </w:tcMar>
                  <w:vAlign w:val="center"/>
                </w:tcPr>
                <w:p w14:paraId="2D8AD3D9">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0.7%</w:t>
                  </w:r>
                </w:p>
              </w:tc>
            </w:tr>
            <w:tr w14:paraId="75C7C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jc w:val="center"/>
              </w:trPr>
              <w:tc>
                <w:tcPr>
                  <w:tcW w:w="2562" w:type="dxa"/>
                  <w:tcMar>
                    <w:top w:w="30" w:type="dxa"/>
                    <w:left w:w="150" w:type="dxa"/>
                    <w:bottom w:w="30" w:type="dxa"/>
                    <w:right w:w="150" w:type="dxa"/>
                  </w:tcMar>
                  <w:vAlign w:val="center"/>
                </w:tcPr>
                <w:p w14:paraId="739B3C23">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500-1000</w:t>
                  </w:r>
                </w:p>
              </w:tc>
              <w:tc>
                <w:tcPr>
                  <w:tcW w:w="984" w:type="dxa"/>
                  <w:tcMar>
                    <w:top w:w="30" w:type="dxa"/>
                    <w:left w:w="150" w:type="dxa"/>
                    <w:bottom w:w="30" w:type="dxa"/>
                    <w:right w:w="150" w:type="dxa"/>
                  </w:tcMar>
                  <w:vAlign w:val="center"/>
                </w:tcPr>
                <w:p w14:paraId="7EFDA095">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0.8%</w:t>
                  </w:r>
                </w:p>
              </w:tc>
              <w:tc>
                <w:tcPr>
                  <w:tcW w:w="907" w:type="dxa"/>
                  <w:tcMar>
                    <w:top w:w="30" w:type="dxa"/>
                    <w:left w:w="150" w:type="dxa"/>
                    <w:bottom w:w="30" w:type="dxa"/>
                    <w:right w:w="150" w:type="dxa"/>
                  </w:tcMar>
                  <w:vAlign w:val="center"/>
                </w:tcPr>
                <w:p w14:paraId="3AE5E05E">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0.45%</w:t>
                  </w:r>
                </w:p>
              </w:tc>
              <w:tc>
                <w:tcPr>
                  <w:tcW w:w="985" w:type="dxa"/>
                  <w:tcMar>
                    <w:top w:w="30" w:type="dxa"/>
                    <w:left w:w="150" w:type="dxa"/>
                    <w:bottom w:w="30" w:type="dxa"/>
                    <w:right w:w="150" w:type="dxa"/>
                  </w:tcMar>
                  <w:vAlign w:val="center"/>
                </w:tcPr>
                <w:p w14:paraId="79383FE8">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0.55%</w:t>
                  </w:r>
                </w:p>
              </w:tc>
            </w:tr>
            <w:tr w14:paraId="19A1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jc w:val="center"/>
              </w:trPr>
              <w:tc>
                <w:tcPr>
                  <w:tcW w:w="2562" w:type="dxa"/>
                  <w:tcMar>
                    <w:top w:w="30" w:type="dxa"/>
                    <w:left w:w="150" w:type="dxa"/>
                    <w:bottom w:w="30" w:type="dxa"/>
                    <w:right w:w="150" w:type="dxa"/>
                  </w:tcMar>
                  <w:vAlign w:val="center"/>
                </w:tcPr>
                <w:p w14:paraId="2FF93C8D">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1000-5000</w:t>
                  </w:r>
                </w:p>
              </w:tc>
              <w:tc>
                <w:tcPr>
                  <w:tcW w:w="984" w:type="dxa"/>
                  <w:tcMar>
                    <w:top w:w="30" w:type="dxa"/>
                    <w:left w:w="150" w:type="dxa"/>
                    <w:bottom w:w="30" w:type="dxa"/>
                    <w:right w:w="150" w:type="dxa"/>
                  </w:tcMar>
                  <w:vAlign w:val="center"/>
                </w:tcPr>
                <w:p w14:paraId="4C022563">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0.5%</w:t>
                  </w:r>
                </w:p>
              </w:tc>
              <w:tc>
                <w:tcPr>
                  <w:tcW w:w="907" w:type="dxa"/>
                  <w:tcMar>
                    <w:top w:w="30" w:type="dxa"/>
                    <w:left w:w="150" w:type="dxa"/>
                    <w:bottom w:w="30" w:type="dxa"/>
                    <w:right w:w="150" w:type="dxa"/>
                  </w:tcMar>
                  <w:vAlign w:val="center"/>
                </w:tcPr>
                <w:p w14:paraId="5BDE68AC">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0.25%</w:t>
                  </w:r>
                </w:p>
              </w:tc>
              <w:tc>
                <w:tcPr>
                  <w:tcW w:w="985" w:type="dxa"/>
                  <w:tcMar>
                    <w:top w:w="30" w:type="dxa"/>
                    <w:left w:w="150" w:type="dxa"/>
                    <w:bottom w:w="30" w:type="dxa"/>
                    <w:right w:w="150" w:type="dxa"/>
                  </w:tcMar>
                  <w:vAlign w:val="center"/>
                </w:tcPr>
                <w:p w14:paraId="4F13686B">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0.35%</w:t>
                  </w:r>
                </w:p>
              </w:tc>
            </w:tr>
            <w:tr w14:paraId="036C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jc w:val="center"/>
              </w:trPr>
              <w:tc>
                <w:tcPr>
                  <w:tcW w:w="2562" w:type="dxa"/>
                  <w:tcMar>
                    <w:top w:w="30" w:type="dxa"/>
                    <w:left w:w="150" w:type="dxa"/>
                    <w:bottom w:w="30" w:type="dxa"/>
                    <w:right w:w="150" w:type="dxa"/>
                  </w:tcMar>
                  <w:vAlign w:val="center"/>
                </w:tcPr>
                <w:p w14:paraId="6D28D600">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5000-10000</w:t>
                  </w:r>
                </w:p>
              </w:tc>
              <w:tc>
                <w:tcPr>
                  <w:tcW w:w="984" w:type="dxa"/>
                  <w:tcMar>
                    <w:top w:w="30" w:type="dxa"/>
                    <w:left w:w="150" w:type="dxa"/>
                    <w:bottom w:w="30" w:type="dxa"/>
                    <w:right w:w="150" w:type="dxa"/>
                  </w:tcMar>
                  <w:vAlign w:val="center"/>
                </w:tcPr>
                <w:p w14:paraId="7091DD95">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0.25%</w:t>
                  </w:r>
                </w:p>
              </w:tc>
              <w:tc>
                <w:tcPr>
                  <w:tcW w:w="907" w:type="dxa"/>
                  <w:tcMar>
                    <w:top w:w="30" w:type="dxa"/>
                    <w:left w:w="150" w:type="dxa"/>
                    <w:bottom w:w="30" w:type="dxa"/>
                    <w:right w:w="150" w:type="dxa"/>
                  </w:tcMar>
                  <w:vAlign w:val="center"/>
                </w:tcPr>
                <w:p w14:paraId="204DC11D">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0.1%</w:t>
                  </w:r>
                </w:p>
              </w:tc>
              <w:tc>
                <w:tcPr>
                  <w:tcW w:w="985" w:type="dxa"/>
                  <w:tcMar>
                    <w:top w:w="30" w:type="dxa"/>
                    <w:left w:w="150" w:type="dxa"/>
                    <w:bottom w:w="30" w:type="dxa"/>
                    <w:right w:w="150" w:type="dxa"/>
                  </w:tcMar>
                  <w:vAlign w:val="center"/>
                </w:tcPr>
                <w:p w14:paraId="497CA5CF">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0.2%</w:t>
                  </w:r>
                </w:p>
              </w:tc>
            </w:tr>
            <w:tr w14:paraId="6E51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3" w:hRule="atLeast"/>
                <w:jc w:val="center"/>
              </w:trPr>
              <w:tc>
                <w:tcPr>
                  <w:tcW w:w="2562" w:type="dxa"/>
                  <w:tcMar>
                    <w:top w:w="30" w:type="dxa"/>
                    <w:left w:w="150" w:type="dxa"/>
                    <w:bottom w:w="30" w:type="dxa"/>
                    <w:right w:w="150" w:type="dxa"/>
                  </w:tcMar>
                  <w:vAlign w:val="center"/>
                </w:tcPr>
                <w:p w14:paraId="4483C87C">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1亿～5亿</w:t>
                  </w:r>
                </w:p>
              </w:tc>
              <w:tc>
                <w:tcPr>
                  <w:tcW w:w="984" w:type="dxa"/>
                  <w:tcMar>
                    <w:top w:w="30" w:type="dxa"/>
                    <w:left w:w="150" w:type="dxa"/>
                    <w:bottom w:w="30" w:type="dxa"/>
                    <w:right w:w="150" w:type="dxa"/>
                  </w:tcMar>
                  <w:vAlign w:val="center"/>
                </w:tcPr>
                <w:p w14:paraId="73692275">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0.05%</w:t>
                  </w:r>
                </w:p>
              </w:tc>
              <w:tc>
                <w:tcPr>
                  <w:tcW w:w="907" w:type="dxa"/>
                  <w:tcMar>
                    <w:top w:w="30" w:type="dxa"/>
                    <w:left w:w="150" w:type="dxa"/>
                    <w:bottom w:w="30" w:type="dxa"/>
                    <w:right w:w="150" w:type="dxa"/>
                  </w:tcMar>
                  <w:vAlign w:val="center"/>
                </w:tcPr>
                <w:p w14:paraId="1B83F846">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0.05%</w:t>
                  </w:r>
                </w:p>
              </w:tc>
              <w:tc>
                <w:tcPr>
                  <w:tcW w:w="985" w:type="dxa"/>
                  <w:tcMar>
                    <w:top w:w="30" w:type="dxa"/>
                    <w:left w:w="150" w:type="dxa"/>
                    <w:bottom w:w="30" w:type="dxa"/>
                    <w:right w:w="150" w:type="dxa"/>
                  </w:tcMar>
                  <w:vAlign w:val="center"/>
                </w:tcPr>
                <w:p w14:paraId="171AD125">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0.05%</w:t>
                  </w:r>
                </w:p>
              </w:tc>
            </w:tr>
          </w:tbl>
          <w:p w14:paraId="1012DECB">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备注：（1）中标服务费按差额定率累进法计算；（2）中标服务费只收现金、银行票汇款、电汇款。</w:t>
            </w:r>
          </w:p>
          <w:p w14:paraId="04AD0B44">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备注：中标服务费只收现金、银行票汇款、电汇款。汇入以下账户：</w:t>
            </w:r>
          </w:p>
          <w:p w14:paraId="4595B113">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开户银行：宁波银行股份有限公司鄞州中心区支行</w:t>
            </w:r>
          </w:p>
          <w:p w14:paraId="70C14A48">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账    号：30010122001229488</w:t>
            </w:r>
          </w:p>
          <w:p w14:paraId="7A05FB87">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户    名：浙江中基正采管理咨询有限公司</w:t>
            </w:r>
          </w:p>
        </w:tc>
      </w:tr>
    </w:tbl>
    <w:p w14:paraId="6D3CD66D">
      <w:pPr>
        <w:snapToGrid w:val="0"/>
        <w:spacing w:line="360" w:lineRule="auto"/>
        <w:jc w:val="center"/>
        <w:rPr>
          <w:rFonts w:ascii="宋体" w:hAnsi="宋体" w:cs="宋体"/>
          <w:b/>
          <w:color w:val="auto"/>
          <w:sz w:val="32"/>
          <w:szCs w:val="20"/>
          <w:highlight w:val="none"/>
        </w:rPr>
      </w:pPr>
    </w:p>
    <w:bookmarkEnd w:id="10"/>
    <w:p w14:paraId="5995E0B6">
      <w:pPr>
        <w:adjustRightInd/>
        <w:spacing w:line="360" w:lineRule="auto"/>
        <w:ind w:firstLine="3845" w:firstLineChars="1197"/>
        <w:outlineLvl w:val="0"/>
        <w:rPr>
          <w:rFonts w:ascii="宋体" w:hAnsi="宋体" w:cs="宋体"/>
          <w:b/>
          <w:color w:val="auto"/>
          <w:sz w:val="32"/>
          <w:szCs w:val="20"/>
          <w:highlight w:val="none"/>
        </w:rPr>
      </w:pPr>
      <w:bookmarkStart w:id="20" w:name="第三部分"/>
      <w:bookmarkStart w:id="21" w:name="_Toc164416483"/>
      <w:r>
        <w:rPr>
          <w:rFonts w:hint="eastAsia" w:ascii="宋体" w:hAnsi="宋体" w:cs="宋体"/>
          <w:b/>
          <w:color w:val="auto"/>
          <w:sz w:val="32"/>
          <w:szCs w:val="20"/>
          <w:highlight w:val="none"/>
        </w:rPr>
        <w:t>一、总则</w:t>
      </w:r>
    </w:p>
    <w:p w14:paraId="471B2170">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1C0C533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CD6FB57">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29365B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4FEDBB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33C50F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“供应商”系指是指响应招标、参加投标竞争的法人、其他组织或者自然人。</w:t>
      </w:r>
    </w:p>
    <w:p w14:paraId="410B7F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F3AE6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7486C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3C11AA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BAA5DAA">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87B888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B6850C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08E6101">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w:t>
      </w:r>
      <w:r>
        <w:rPr>
          <w:rFonts w:hint="eastAsia" w:ascii="宋体" w:hAnsi="宋体" w:cs="宋体"/>
          <w:b/>
          <w:color w:val="auto"/>
          <w:sz w:val="24"/>
          <w:highlight w:val="none"/>
        </w:rPr>
        <w:t>▲采购人拟采购的产品属于政府强制采购的节能产品品目清单范围的，供应商相应的投标产品未获得国家确定的认证机构出具的、处于有效期之内的节能产品认证证书的，投标无效。</w:t>
      </w:r>
    </w:p>
    <w:p w14:paraId="1406A2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5F08CF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6AA243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C60400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5D480A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DD439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65F201C">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供应商提供的货物、工程或者服务符合下列情形的，享受中小企业扶持政策：在服务采购项目中，服务由中小企业承接，即提供服务的人员为中小企业依照《中华人民共和国劳动合同法》订立劳动合同的从业人员。</w:t>
      </w:r>
    </w:p>
    <w:p w14:paraId="328AD5A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8984C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294026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D915B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9BEE7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供应商应按照招标文件格式要求提供《中小企业声明函》，供应商提供的《中小企业声明函》与实际情况不符的，不享受中小企业扶持政策。声明内容不实的，属于提供虚假材料谋取中标、成交的，依法承担法律责任。</w:t>
      </w:r>
    </w:p>
    <w:p w14:paraId="41106F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F0C28A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4D834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CF71F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BD4C3E4">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4C1DF57">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3B173E2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DEB5C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C86BE1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E958E4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8396022">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78BF42C">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A6E35A9">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8CA2210">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DBAE23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5C18C1C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2AD56F3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4D1E587">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15D3443B">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28BE6D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733C333">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585E041">
      <w:pPr>
        <w:pStyle w:val="887"/>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BCAA285">
      <w:pPr>
        <w:pStyle w:val="887"/>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7B87E5C7">
      <w:pPr>
        <w:pStyle w:val="887"/>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5744AB1B">
      <w:pPr>
        <w:pStyle w:val="887"/>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highlight w:val="none"/>
        </w:rPr>
        <w:t>根据《浙江省财政厅关于进一步加强政府采购公平竞争打造最优营商环境的通知》（浙财采监〔</w:t>
      </w:r>
      <w:r>
        <w:rPr>
          <w:rFonts w:asciiTheme="minorEastAsia" w:hAnsiTheme="minorEastAsia" w:eastAsiaTheme="minorEastAsia"/>
          <w:color w:val="auto"/>
          <w:highlight w:val="none"/>
        </w:rPr>
        <w:t>2021〕</w:t>
      </w:r>
      <w:r>
        <w:rPr>
          <w:rFonts w:hint="eastAsia" w:asciiTheme="minorEastAsia" w:hAnsiTheme="minorEastAsia" w:eastAsiaTheme="minorEastAsia"/>
          <w:color w:val="auto"/>
          <w:highlight w:val="none"/>
        </w:rPr>
        <w:t>22</w:t>
      </w:r>
      <w:r>
        <w:rPr>
          <w:rFonts w:asciiTheme="minorEastAsia" w:hAnsiTheme="minorEastAsia" w:eastAsiaTheme="minorEastAsia"/>
          <w:color w:val="auto"/>
          <w:highlight w:val="none"/>
        </w:rPr>
        <w:t>号）</w:t>
      </w:r>
      <w:r>
        <w:rPr>
          <w:rFonts w:hint="eastAsia"/>
          <w:color w:val="auto"/>
          <w:highlight w:val="none"/>
        </w:rPr>
        <w:t>,采购人或者采购代理机构在质疑回复后5个工作日内，在浙江政府采购网的“其他公告”栏目公开质疑答复，答复内容应当完整。质疑函作为附件上传。</w:t>
      </w:r>
    </w:p>
    <w:p w14:paraId="4EB54BD6">
      <w:pPr>
        <w:pStyle w:val="887"/>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28DE8C6">
      <w:pPr>
        <w:pStyle w:val="887"/>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613F2B57">
      <w:pPr>
        <w:pStyle w:val="887"/>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54ECA8D">
      <w:pPr>
        <w:pStyle w:val="887"/>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6A304E6">
      <w:pPr>
        <w:pStyle w:val="887"/>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7C075ACD">
      <w:pPr>
        <w:pStyle w:val="887"/>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2B3FEB5">
      <w:pPr>
        <w:pStyle w:val="887"/>
        <w:snapToGrid w:val="0"/>
        <w:spacing w:after="240" w:afterAutospacing="0" w:line="360" w:lineRule="auto"/>
        <w:ind w:firstLine="400"/>
        <w:contextualSpacing/>
        <w:rPr>
          <w:color w:val="auto"/>
          <w:highlight w:val="none"/>
        </w:rPr>
      </w:pPr>
      <w:r>
        <w:rPr>
          <w:rFonts w:hint="eastAsia"/>
          <w:color w:val="auto"/>
          <w:highlight w:val="none"/>
        </w:rPr>
        <w:t>4.4.5投诉材料可寄送至：镇海区政府采购管理办公室，地址：宁波市镇海区骆驼街道民和路569号，收件人：金老师，电话：0574-89389666。</w:t>
      </w:r>
    </w:p>
    <w:p w14:paraId="55F06287">
      <w:pPr>
        <w:pStyle w:val="887"/>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3E0D111D">
      <w:pPr>
        <w:pStyle w:val="130"/>
        <w:snapToGrid w:val="0"/>
        <w:spacing w:before="0"/>
        <w:ind w:firstLine="360"/>
        <w:rPr>
          <w:rFonts w:ascii="宋体" w:hAnsi="宋体" w:cs="宋体"/>
          <w:color w:val="auto"/>
          <w:sz w:val="18"/>
          <w:szCs w:val="18"/>
          <w:highlight w:val="none"/>
        </w:rPr>
      </w:pPr>
    </w:p>
    <w:p w14:paraId="41949949">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6437A7F2">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7A01837">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1BA1C8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A260C0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2710093B">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05FAE4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E4D788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D5EA4C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995AF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872E08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4D275FE2">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6.1已获取招标文件的潜在供应商，若有问题需要澄清，应于投标截止时间前，以书面形式向采购代理机构提出。</w:t>
      </w:r>
    </w:p>
    <w:p w14:paraId="76A08382">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供应商。依法应当公告的，将按规定公告，同时视情况延长投标截止时间和开标时间。该澄清或者修改的内容为招标文件的组成部分。</w:t>
      </w:r>
    </w:p>
    <w:p w14:paraId="7B4BBFDF">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9D4357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842431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DA6C155">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A48B34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2129D0C4">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采购人组织潜在供应商现场考察或者召开开标前答疑会的，潜在供应商按第二部分供应商须知前附表的规定参加现场考察或者开标前答疑会。</w:t>
      </w:r>
    </w:p>
    <w:p w14:paraId="29C401D1">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9CC460E">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69056FB">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139D4F0C">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投标文件及供应商与采购有关的来往通知、函件和文件均应使用中文。</w:t>
      </w:r>
    </w:p>
    <w:p w14:paraId="675E96CA">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222338C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C75AD7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FDA5CE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1A8F039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8CEE00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9E79E6E">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19082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EE7C3A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C4B494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9491B9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CA9B05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7D041C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商务技术偏离表；</w:t>
      </w:r>
    </w:p>
    <w:p w14:paraId="4D6C4503">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7E81780E">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8C3A58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C6E20F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684B394A">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48F9823">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供应商提供虚假材料投标的，投标无效。</w:t>
      </w:r>
    </w:p>
    <w:p w14:paraId="7244C6D9">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85672B">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7DA35DE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12.2供应商进行电子投标应安装客户端软件—“政采云电子交易客户端”，并按照招标文件和电子交易平台的要求编制并加密投标文件。供应商未按规定加密的投标文件，电子交易平台将拒收并提示。</w:t>
      </w:r>
    </w:p>
    <w:p w14:paraId="2A89E47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74B70A5">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7CD9730">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▲供应商的投标文件未按照招标文件要求签署、盖章的，其投标无效</w:t>
      </w:r>
      <w:r>
        <w:rPr>
          <w:rFonts w:hint="eastAsia" w:ascii="宋体" w:hAnsi="宋体" w:cs="宋体"/>
          <w:color w:val="auto"/>
          <w:szCs w:val="24"/>
          <w:highlight w:val="none"/>
        </w:rPr>
        <w:t>。</w:t>
      </w:r>
    </w:p>
    <w:p w14:paraId="58FCB027">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13.2为确保网上操作合法、有效和安全，供应商应当在投标截止时间前完成在“政府采购云平台”的身份认证，确保在电子投标过程中能够对相关数据电文进行加密和使用电子签名。</w:t>
      </w:r>
    </w:p>
    <w:p w14:paraId="7CB459B7">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3524EF7">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63363517">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8BF9ED2">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8B8856E">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14.3采购人、采购代理机构可以视情况延长投标文件提交的截止时间。在上述情况下，采购代理机构与供应商以前在投标截止期方面的全部权利、责任和义务，将适用于延长至新的投标截止期。</w:t>
      </w:r>
    </w:p>
    <w:p w14:paraId="44B060DA">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A46F8">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但采购人、采购代理机构不强制或变相强制供应商提交备份投标文件。</w:t>
      </w:r>
    </w:p>
    <w:p w14:paraId="34264D8E">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U盘</w:t>
      </w:r>
      <w:r>
        <w:rPr>
          <w:rFonts w:hint="eastAsia" w:hAnsi="宋体" w:cs="宋体"/>
          <w:color w:val="auto"/>
          <w:sz w:val="24"/>
          <w:szCs w:val="24"/>
          <w:highlight w:val="none"/>
        </w:rPr>
        <w:t>中。备份投标文件应当密封包装并在包装上加盖公章并注明投标项目名称，供应商名称(联合体投标的，包装物封面需注明联合体投标，并注明联合体成员各方的名称和联合协议中约定的牵头人的名称)。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5F3410ED">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15.3直接提交备份投标文件的，供应商应于投标截止时间前在</w:t>
      </w:r>
      <w:r>
        <w:rPr>
          <w:rFonts w:hint="eastAsia" w:hAnsi="宋体" w:cs="宋体"/>
          <w:snapToGrid/>
          <w:color w:val="auto"/>
          <w:sz w:val="24"/>
          <w:szCs w:val="24"/>
          <w:highlight w:val="none"/>
        </w:rPr>
        <w:t>招标文件第二部分供应商须知前附表规定的备份投标文件送达地点</w:t>
      </w:r>
      <w:r>
        <w:rPr>
          <w:rFonts w:hint="eastAsia" w:hAnsi="宋体" w:cs="宋体"/>
          <w:color w:val="auto"/>
          <w:sz w:val="24"/>
          <w:szCs w:val="24"/>
          <w:highlight w:val="none"/>
        </w:rPr>
        <w:t>将备份投标文件提交给采购代理机构，采购代理机构将拒绝接受逾期送达的备份投标文件。</w:t>
      </w:r>
    </w:p>
    <w:p w14:paraId="6ABC844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15.4以邮政快递方式递交备份投标文件的，供应商应先将备份投标文件按要求密封和标记，再进行邮政快递包装后邮寄。备份投标文件须在</w:t>
      </w:r>
      <w:r>
        <w:rPr>
          <w:rFonts w:hint="eastAsia" w:hAnsi="宋体" w:cs="宋体"/>
          <w:snapToGrid/>
          <w:color w:val="auto"/>
          <w:sz w:val="24"/>
          <w:szCs w:val="24"/>
          <w:highlight w:val="none"/>
        </w:rPr>
        <w:t>第二部分供应商须知前附表规定的备份投标文件送达</w:t>
      </w:r>
      <w:r>
        <w:rPr>
          <w:rFonts w:hint="eastAsia" w:hAnsi="宋体" w:cs="宋体"/>
          <w:color w:val="auto"/>
          <w:sz w:val="24"/>
          <w:szCs w:val="24"/>
          <w:highlight w:val="none"/>
        </w:rPr>
        <w:t>截止时间之前送达</w:t>
      </w:r>
      <w:r>
        <w:rPr>
          <w:rFonts w:hint="eastAsia" w:hAnsi="宋体" w:cs="宋体"/>
          <w:snapToGrid/>
          <w:color w:val="auto"/>
          <w:sz w:val="24"/>
          <w:szCs w:val="24"/>
          <w:highlight w:val="none"/>
        </w:rPr>
        <w:t>招标文件第二部分供应商须知前附表规定的备份投标文件送达地点；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送达时间以签收人签收时间为准。采购代理机构将拒绝接受逾期送达的备份投标文件。邮寄过程中，电子备份投标文件发生泄露、遗失、损坏或延期送达等情况的，由供应商自行负责。</w:t>
      </w:r>
    </w:p>
    <w:p w14:paraId="3F1199A4">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15.5供应商仅提交备份投标文件，未在电子交易平台传输递交投标文件的，投标无效。</w:t>
      </w:r>
    </w:p>
    <w:p w14:paraId="70EA8648">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468C08EC">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9BBFCEF">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31748E3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供应商的投标文件中承</w:t>
      </w:r>
      <w:r>
        <w:rPr>
          <w:rFonts w:hint="eastAsia" w:ascii="宋体" w:hAnsi="宋体" w:cs="宋体"/>
          <w:b/>
          <w:color w:val="auto"/>
          <w:sz w:val="24"/>
          <w:szCs w:val="21"/>
          <w:highlight w:val="none"/>
        </w:rPr>
        <w:t>诺的投标有效期少于招标文件中载明的投标有效期的，投标无效。</w:t>
      </w:r>
    </w:p>
    <w:p w14:paraId="0707858F">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5B66B60">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17.3在原定投标有效期满之前，如果出现特殊情况，采购代理机构可以以书面形式通知供应商延长投标有效期。供应商同意延长的，不得要求或被允许修改其投标文件，供应商拒绝延长的，其投标无效。</w:t>
      </w:r>
    </w:p>
    <w:p w14:paraId="1F476F71">
      <w:pPr>
        <w:pStyle w:val="130"/>
        <w:spacing w:before="0"/>
        <w:ind w:firstLine="643"/>
        <w:rPr>
          <w:rFonts w:ascii="宋体" w:hAnsi="宋体" w:cs="宋体"/>
          <w:b/>
          <w:color w:val="auto"/>
          <w:sz w:val="32"/>
          <w:highlight w:val="none"/>
        </w:rPr>
      </w:pPr>
    </w:p>
    <w:p w14:paraId="3F91391B">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7516FF4">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A408EAD">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18.1采购代理机构按照招标文件规定的时间通过电子交易平台组织开标，所有供应商均应当准时在线参加。供应商不足3家的，不得开标。</w:t>
      </w:r>
    </w:p>
    <w:p w14:paraId="752562AD">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18.2开标时，电子交易平台按开标时间自动提取所有投标文件。采购代理机构依托电子交易平台发起开始解密指令，供应商按照平台提示和招标文件的规定在半小时内完成在线解密。</w:t>
      </w:r>
    </w:p>
    <w:p w14:paraId="1390B816">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18.2.1具体开标程序：</w:t>
      </w:r>
    </w:p>
    <w:p w14:paraId="3ED0EA80">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第一阶段：</w:t>
      </w:r>
    </w:p>
    <w:p w14:paraId="2B837C5D">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投标截止时间后，供应商登录政府采购云平台，用“项目采购-开标评标”功能对电子投标文件进行在线解密，在线解密电子投标文件时间为开标时间后30分钟内。</w:t>
      </w:r>
    </w:p>
    <w:p w14:paraId="413A17D6">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在政府采购云平台开启已解密供应商的“资格文件、商务技术文件”，并做开标记录；</w:t>
      </w:r>
    </w:p>
    <w:p w14:paraId="76608CE4">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第二阶段：</w:t>
      </w:r>
    </w:p>
    <w:p w14:paraId="2352FB58">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（1）在政府采购云平台宣告第一阶段评审无效供应商名单及理由；</w:t>
      </w:r>
    </w:p>
    <w:p w14:paraId="60806199">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（2）公布经第一阶段评审符合招标文件要求的供应商的商务技术得分情况；</w:t>
      </w:r>
    </w:p>
    <w:p w14:paraId="0BF71382">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（3）在政府采购云平台开启除第一阶段无效标外的供应商的“报价文件”，并做开标记录；</w:t>
      </w:r>
    </w:p>
    <w:p w14:paraId="2A570924">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（4）在政府采购云平台公布评审结果。</w:t>
      </w:r>
    </w:p>
    <w:p w14:paraId="4491F476">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（5）开标会议结束。</w:t>
      </w:r>
    </w:p>
    <w:p w14:paraId="0870D8BD">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投标文件未按时解密，供应商提供了备份投标文件的，以备份投标文件作为依据，否则视为投标文件撤回。投标文件已按时解密的，备份投标文件自动失效。</w:t>
      </w:r>
    </w:p>
    <w:p w14:paraId="10D902D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1B6493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采购人或采购代理机构依据法律法规和招标文件的规定，对供应商的资格进行审查。</w:t>
      </w:r>
    </w:p>
    <w:p w14:paraId="5A858A03">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19.2供应商未按照招标文件要求提供与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供应商不具备招标文件中规定的资格要求，其投标无效。</w:t>
      </w:r>
    </w:p>
    <w:p w14:paraId="6737C241">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3对未通过资格审查的供应商，采购人或采购代理机构告知其未通过的原因。</w:t>
      </w:r>
    </w:p>
    <w:p w14:paraId="18E1E8F1">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4合格供应商不足3家的，不再评标。</w:t>
      </w:r>
    </w:p>
    <w:p w14:paraId="0481750A">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B8F5D40">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20.1信用信息查询渠道及截止时间：采购代理机构将在资格审查时通过“信用中国”网站(www.creditchina.gov.cn)、中国政府采购网(www.ccgp.gov.cn)渠道查询供应商接受资格时的信用记录。</w:t>
      </w:r>
    </w:p>
    <w:p w14:paraId="78B6D010">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703FF188">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w:t>
      </w:r>
      <w:r>
        <w:rPr>
          <w:rFonts w:hint="eastAsia" w:ascii="宋体" w:hAnsi="宋体" w:cs="宋体"/>
          <w:color w:val="auto"/>
          <w:highlight w:val="none"/>
        </w:rPr>
        <w:t>重大税收违法失信主体</w:t>
      </w:r>
      <w:r>
        <w:rPr>
          <w:rFonts w:hint="eastAsia" w:ascii="宋体" w:hAnsi="宋体" w:cs="宋体"/>
          <w:color w:val="auto"/>
          <w:kern w:val="0"/>
          <w:szCs w:val="24"/>
          <w:highlight w:val="none"/>
        </w:rPr>
        <w:t>）、政府采购严重违法失信行为记录名单的供应商将被拒绝参与政府采购活动。</w:t>
      </w:r>
    </w:p>
    <w:p w14:paraId="7CE6A5A0">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90BE6A0">
      <w:pPr>
        <w:pStyle w:val="130"/>
        <w:spacing w:before="0"/>
        <w:ind w:firstLine="0" w:firstLineChars="0"/>
        <w:rPr>
          <w:rFonts w:ascii="宋体" w:hAnsi="宋体" w:cs="宋体"/>
          <w:color w:val="auto"/>
          <w:kern w:val="0"/>
          <w:szCs w:val="24"/>
          <w:highlight w:val="none"/>
        </w:rPr>
      </w:pPr>
    </w:p>
    <w:p w14:paraId="2AB992E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D093F3A">
      <w:pPr>
        <w:spacing w:line="360" w:lineRule="auto"/>
        <w:rPr>
          <w:rFonts w:ascii="宋体" w:hAnsi="宋体" w:cs="宋体"/>
          <w:b/>
          <w:color w:val="auto"/>
          <w:sz w:val="24"/>
          <w:highlight w:val="none"/>
        </w:rPr>
      </w:pPr>
      <w:bookmarkStart w:id="22"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供应商对招标文件的响应情况。对实质上响应招标文件的供应商，按照评审因素的量化指标排出推荐中标的供应商的先后顺序，并按顺序提出授标建议。</w:t>
      </w:r>
      <w:r>
        <w:rPr>
          <w:rFonts w:hint="eastAsia" w:ascii="宋体" w:hAnsi="宋体" w:cs="宋体"/>
          <w:b/>
          <w:color w:val="auto"/>
          <w:sz w:val="24"/>
          <w:highlight w:val="none"/>
        </w:rPr>
        <w:t>详见招标文件第四部分评标办法。</w:t>
      </w:r>
    </w:p>
    <w:p w14:paraId="16EDAD78">
      <w:pPr>
        <w:spacing w:line="360" w:lineRule="auto"/>
        <w:rPr>
          <w:rFonts w:ascii="宋体" w:hAnsi="宋体" w:cs="宋体"/>
          <w:b/>
          <w:color w:val="auto"/>
          <w:sz w:val="24"/>
          <w:highlight w:val="none"/>
        </w:rPr>
      </w:pPr>
    </w:p>
    <w:p w14:paraId="7470264C">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3D3F7D6F">
      <w:pPr>
        <w:pStyle w:val="24"/>
        <w:spacing w:line="360" w:lineRule="auto"/>
        <w:ind w:left="479" w:hanging="479" w:hangingChars="199"/>
        <w:rPr>
          <w:rFonts w:hint="eastAsia" w:eastAsia="宋体" w:cs="宋体"/>
          <w:b/>
          <w:color w:val="auto"/>
          <w:highlight w:val="none"/>
          <w:lang w:eastAsia="zh-CN"/>
        </w:rPr>
      </w:pPr>
      <w:r>
        <w:rPr>
          <w:rFonts w:hint="eastAsia" w:cs="宋体"/>
          <w:b/>
          <w:color w:val="auto"/>
          <w:highlight w:val="none"/>
        </w:rPr>
        <w:t>22. 确定</w:t>
      </w:r>
      <w:r>
        <w:rPr>
          <w:rFonts w:hint="eastAsia" w:cs="宋体"/>
          <w:b/>
          <w:color w:val="auto"/>
          <w:highlight w:val="none"/>
          <w:lang w:eastAsia="zh-CN"/>
        </w:rPr>
        <w:t>中标人</w:t>
      </w:r>
    </w:p>
    <w:p w14:paraId="7D72AAF4">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43DFFB1">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E0A8CF6">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w:t>
      </w:r>
    </w:p>
    <w:p w14:paraId="4B6DBC64">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23" w:name="_Hlk101184471"/>
      <w:r>
        <w:rPr>
          <w:rFonts w:hint="eastAsia" w:ascii="宋体" w:hAnsi="宋体" w:cs="宋体"/>
          <w:color w:val="auto"/>
          <w:sz w:val="24"/>
          <w:highlight w:val="none"/>
        </w:rPr>
        <w:t>资格审查情况、评审专家抽取规则、符合性审查情况、</w:t>
      </w:r>
      <w:bookmarkEnd w:id="23"/>
      <w:r>
        <w:rPr>
          <w:rFonts w:hint="eastAsia" w:ascii="宋体" w:hAnsi="宋体" w:cs="宋体"/>
          <w:color w:val="auto"/>
          <w:sz w:val="24"/>
          <w:highlight w:val="none"/>
        </w:rPr>
        <w:t>未中标情况说明、中标公告期限以及评审专家名单、评分汇总及明细。</w:t>
      </w:r>
    </w:p>
    <w:p w14:paraId="74C8D3E9">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54AB1E4F">
      <w:pPr>
        <w:snapToGrid w:val="0"/>
        <w:spacing w:line="360" w:lineRule="auto"/>
        <w:ind w:left="120" w:leftChars="57" w:firstLine="482" w:firstLineChars="150"/>
        <w:jc w:val="center"/>
        <w:rPr>
          <w:rFonts w:ascii="宋体" w:hAnsi="宋体" w:cs="宋体"/>
          <w:b/>
          <w:color w:val="auto"/>
          <w:sz w:val="32"/>
          <w:highlight w:val="none"/>
        </w:rPr>
      </w:pPr>
    </w:p>
    <w:p w14:paraId="50CB9E7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0B5FF4B8">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F878F97">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7E3C93C4">
      <w:pPr>
        <w:widowControl/>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36EE7B6E">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D48D1C9">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8A8B6A8">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w:t>
      </w:r>
      <w:r>
        <w:rPr>
          <w:rFonts w:hint="eastAsia" w:ascii="宋体" w:hAnsi="宋体" w:cs="宋体"/>
          <w:color w:val="auto"/>
          <w:highlight w:val="none"/>
          <w:lang w:eastAsia="zh-CN"/>
        </w:rPr>
        <w:t>中标人</w:t>
      </w:r>
      <w:r>
        <w:rPr>
          <w:rFonts w:hint="eastAsia" w:ascii="宋体" w:hAnsi="宋体" w:cs="宋体"/>
          <w:color w:val="auto"/>
          <w:highlight w:val="none"/>
        </w:rPr>
        <w:t>拒绝与采购人签订合同的，采购人可以按照评审报告推荐的中标或者成交候选人名单排序，确定下一候选人为</w:t>
      </w:r>
      <w:r>
        <w:rPr>
          <w:rFonts w:hint="eastAsia" w:ascii="宋体" w:hAnsi="宋体" w:cs="宋体"/>
          <w:color w:val="auto"/>
          <w:highlight w:val="none"/>
          <w:lang w:eastAsia="zh-CN"/>
        </w:rPr>
        <w:t>中标人</w:t>
      </w:r>
      <w:r>
        <w:rPr>
          <w:rFonts w:hint="eastAsia" w:ascii="宋体" w:hAnsi="宋体" w:cs="宋体"/>
          <w:color w:val="auto"/>
          <w:highlight w:val="none"/>
        </w:rPr>
        <w:t>，也可以重新开展政府采购活动。</w:t>
      </w:r>
    </w:p>
    <w:p w14:paraId="1AE69FB7">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w:t>
      </w:r>
      <w:r>
        <w:rPr>
          <w:rFonts w:hint="eastAsia" w:ascii="宋体" w:hAnsi="宋体" w:cs="宋体"/>
          <w:color w:val="auto"/>
          <w:highlight w:val="none"/>
          <w:lang w:eastAsia="zh-CN"/>
        </w:rPr>
        <w:t>中标人</w:t>
      </w:r>
      <w:r>
        <w:rPr>
          <w:rFonts w:hint="eastAsia" w:ascii="宋体" w:hAnsi="宋体" w:cs="宋体"/>
          <w:color w:val="auto"/>
          <w:highlight w:val="none"/>
        </w:rPr>
        <w:t>根据招标文件、投标文件等内容通过政府采购电子交易平台在线签订，自动备案。（由采购人自行选择线上签订或线下签订）</w:t>
      </w:r>
    </w:p>
    <w:p w14:paraId="67AC9CBB">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0CD54762">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w:t>
      </w:r>
      <w:r>
        <w:rPr>
          <w:rFonts w:hint="eastAsia" w:ascii="宋体" w:hAnsi="宋体" w:cs="宋体"/>
          <w:color w:val="auto"/>
          <w:kern w:val="0"/>
          <w:sz w:val="24"/>
          <w:highlight w:val="none"/>
          <w:lang w:eastAsia="zh-CN"/>
        </w:rPr>
        <w:t>中标人</w:t>
      </w:r>
      <w:r>
        <w:rPr>
          <w:rFonts w:hint="eastAsia" w:ascii="宋体" w:hAnsi="宋体" w:cs="宋体"/>
          <w:color w:val="auto"/>
          <w:kern w:val="0"/>
          <w:sz w:val="24"/>
          <w:highlight w:val="none"/>
        </w:rPr>
        <w:t>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127D5245">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C114073">
      <w:pPr>
        <w:pStyle w:val="2"/>
        <w:rPr>
          <w:color w:val="auto"/>
          <w:highlight w:val="none"/>
        </w:rPr>
      </w:pPr>
      <w:r>
        <w:rPr>
          <w:rFonts w:ascii="宋体" w:hAnsi="宋体" w:eastAsia="宋体"/>
          <w:color w:val="auto"/>
          <w:sz w:val="24"/>
          <w:highlight w:val="none"/>
          <w:lang w:val="en-US"/>
        </w:rPr>
        <w:t>27.预付款</w:t>
      </w:r>
    </w:p>
    <w:p w14:paraId="6D1884CC">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rPr>
        <w:t>7</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6399D46F">
      <w:pPr>
        <w:rPr>
          <w:color w:val="auto"/>
          <w:highlight w:val="none"/>
        </w:rPr>
      </w:pPr>
    </w:p>
    <w:p w14:paraId="085D4D15">
      <w:pPr>
        <w:snapToGrid w:val="0"/>
        <w:spacing w:line="360" w:lineRule="auto"/>
        <w:ind w:firstLine="3357" w:firstLineChars="1045"/>
        <w:rPr>
          <w:rFonts w:ascii="宋体" w:hAnsi="宋体" w:cs="宋体"/>
          <w:b/>
          <w:color w:val="auto"/>
          <w:sz w:val="32"/>
          <w:highlight w:val="none"/>
        </w:rPr>
      </w:pPr>
    </w:p>
    <w:p w14:paraId="0ECCBDCA">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CB9B7AD">
      <w:pPr>
        <w:pStyle w:val="130"/>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7C766950">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4AF1601">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4925870">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6175A18">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A65CD7F">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17A68B7">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29.出现以上情形，不影响采购公平、公正性的，采购组织机构可以待上述情形消除后继续组织电子交易活动；影响或可能影响采购公平、公正性的，应当重新采购。</w:t>
      </w:r>
    </w:p>
    <w:p w14:paraId="17E92BD5">
      <w:pPr>
        <w:tabs>
          <w:tab w:val="left" w:pos="0"/>
        </w:tabs>
        <w:spacing w:line="360" w:lineRule="auto"/>
        <w:ind w:firstLine="480"/>
        <w:rPr>
          <w:rFonts w:ascii="宋体" w:hAnsi="宋体" w:cs="宋体"/>
          <w:color w:val="auto"/>
          <w:sz w:val="24"/>
          <w:highlight w:val="none"/>
        </w:rPr>
      </w:pPr>
    </w:p>
    <w:p w14:paraId="5D3F43B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8AF01C3">
      <w:pPr>
        <w:pStyle w:val="24"/>
        <w:spacing w:line="360" w:lineRule="auto"/>
        <w:ind w:firstLine="0" w:firstLineChars="0"/>
        <w:rPr>
          <w:rFonts w:cs="宋体"/>
          <w:b/>
          <w:color w:val="auto"/>
          <w:highlight w:val="none"/>
        </w:rPr>
      </w:pPr>
      <w:r>
        <w:rPr>
          <w:rFonts w:hint="eastAsia" w:cs="宋体"/>
          <w:b/>
          <w:color w:val="auto"/>
          <w:highlight w:val="none"/>
        </w:rPr>
        <w:t>30.验收</w:t>
      </w:r>
    </w:p>
    <w:p w14:paraId="5BA0ED6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95DFA2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35887CB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6C0460">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2"/>
    <w:p w14:paraId="024AD006">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4" w:name="_Hlt74707468"/>
      <w:bookmarkEnd w:id="24"/>
      <w:bookmarkStart w:id="25" w:name="_Hlt74730295"/>
      <w:bookmarkEnd w:id="25"/>
      <w:bookmarkStart w:id="26" w:name="_Hlt68073093"/>
      <w:bookmarkEnd w:id="26"/>
      <w:bookmarkStart w:id="27" w:name="_Hlt68403820"/>
      <w:bookmarkEnd w:id="27"/>
      <w:bookmarkStart w:id="28" w:name="_Hlt75236011"/>
      <w:bookmarkEnd w:id="28"/>
      <w:bookmarkStart w:id="29" w:name="_Hlt74729768"/>
      <w:bookmarkEnd w:id="29"/>
      <w:bookmarkStart w:id="30" w:name="_Hlt75236290"/>
      <w:bookmarkEnd w:id="30"/>
      <w:bookmarkStart w:id="31" w:name="_Hlt75236101"/>
      <w:bookmarkEnd w:id="31"/>
      <w:bookmarkStart w:id="32" w:name="_Hlt68072990"/>
      <w:bookmarkEnd w:id="32"/>
      <w:bookmarkStart w:id="33" w:name="_Hlt68057669"/>
      <w:bookmarkEnd w:id="33"/>
      <w:bookmarkStart w:id="34" w:name="_Hlt74714665"/>
      <w:bookmarkEnd w:id="34"/>
      <w:bookmarkStart w:id="35" w:name="_Hlt68072998"/>
      <w:bookmarkEnd w:id="35"/>
    </w:p>
    <w:bookmarkEnd w:id="20"/>
    <w:bookmarkEnd w:id="21"/>
    <w:p w14:paraId="50759CE6">
      <w:pPr>
        <w:spacing w:line="360" w:lineRule="auto"/>
        <w:jc w:val="center"/>
        <w:outlineLvl w:val="0"/>
        <w:rPr>
          <w:rFonts w:ascii="宋体" w:hAnsi="宋体" w:cs="宋体"/>
          <w:b/>
          <w:color w:val="auto"/>
          <w:sz w:val="36"/>
          <w:szCs w:val="36"/>
          <w:highlight w:val="none"/>
        </w:rPr>
      </w:pPr>
      <w:bookmarkStart w:id="36" w:name="第四部分"/>
      <w:r>
        <w:rPr>
          <w:rFonts w:hint="eastAsia" w:ascii="宋体" w:hAnsi="宋体" w:cs="宋体"/>
          <w:b/>
          <w:color w:val="auto"/>
          <w:sz w:val="36"/>
          <w:szCs w:val="36"/>
          <w:highlight w:val="none"/>
        </w:rPr>
        <w:t>第三部分   采购需求</w:t>
      </w:r>
    </w:p>
    <w:p w14:paraId="327CE708">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561"/>
        <w:gridCol w:w="5630"/>
      </w:tblGrid>
      <w:tr w14:paraId="3A963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33" w:type="dxa"/>
            <w:vAlign w:val="center"/>
          </w:tcPr>
          <w:p w14:paraId="7E0114C0">
            <w:pPr>
              <w:adjustRightInd/>
              <w:spacing w:line="336"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561" w:type="dxa"/>
            <w:vAlign w:val="center"/>
          </w:tcPr>
          <w:p w14:paraId="6B2C2309">
            <w:pPr>
              <w:adjustRightInd/>
              <w:spacing w:line="336" w:lineRule="auto"/>
              <w:jc w:val="center"/>
              <w:rPr>
                <w:rFonts w:ascii="宋体" w:hAnsi="宋体" w:cs="宋体"/>
                <w:b/>
                <w:color w:val="auto"/>
                <w:sz w:val="24"/>
                <w:highlight w:val="none"/>
              </w:rPr>
            </w:pPr>
            <w:r>
              <w:rPr>
                <w:rFonts w:hint="eastAsia" w:ascii="宋体" w:hAnsi="宋体" w:cs="宋体"/>
                <w:b/>
                <w:color w:val="auto"/>
                <w:sz w:val="24"/>
                <w:highlight w:val="none"/>
              </w:rPr>
              <w:t>项目</w:t>
            </w:r>
          </w:p>
        </w:tc>
        <w:tc>
          <w:tcPr>
            <w:tcW w:w="5630" w:type="dxa"/>
            <w:vAlign w:val="center"/>
          </w:tcPr>
          <w:p w14:paraId="7A54AE11">
            <w:pPr>
              <w:adjustRightInd/>
              <w:spacing w:line="336" w:lineRule="auto"/>
              <w:jc w:val="center"/>
              <w:rPr>
                <w:rFonts w:ascii="宋体" w:hAnsi="宋体" w:cs="宋体"/>
                <w:b/>
                <w:color w:val="auto"/>
                <w:sz w:val="24"/>
                <w:highlight w:val="none"/>
              </w:rPr>
            </w:pPr>
            <w:r>
              <w:rPr>
                <w:rFonts w:hint="eastAsia" w:ascii="宋体" w:hAnsi="宋体" w:cs="宋体"/>
                <w:b/>
                <w:color w:val="auto"/>
                <w:sz w:val="24"/>
                <w:highlight w:val="none"/>
              </w:rPr>
              <w:t>采购需求内容</w:t>
            </w:r>
          </w:p>
        </w:tc>
      </w:tr>
      <w:tr w14:paraId="4DF7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3" w:type="dxa"/>
            <w:vAlign w:val="center"/>
          </w:tcPr>
          <w:p w14:paraId="1B3D4C0B">
            <w:pPr>
              <w:adjustRightInd/>
              <w:spacing w:line="336"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561" w:type="dxa"/>
            <w:vAlign w:val="center"/>
          </w:tcPr>
          <w:p w14:paraId="13ED73DE">
            <w:pPr>
              <w:adjustRightInd/>
              <w:spacing w:line="336" w:lineRule="auto"/>
              <w:jc w:val="left"/>
              <w:rPr>
                <w:rFonts w:ascii="宋体" w:hAnsi="宋体" w:cs="宋体"/>
                <w:color w:val="auto"/>
                <w:sz w:val="24"/>
                <w:highlight w:val="none"/>
              </w:rPr>
            </w:pPr>
            <w:r>
              <w:rPr>
                <w:rFonts w:hint="eastAsia" w:ascii="宋体" w:hAnsi="宋体" w:cs="宋体"/>
                <w:color w:val="auto"/>
                <w:sz w:val="24"/>
                <w:highlight w:val="none"/>
              </w:rPr>
              <w:t>采购内容</w:t>
            </w:r>
          </w:p>
        </w:tc>
        <w:tc>
          <w:tcPr>
            <w:tcW w:w="5630" w:type="dxa"/>
            <w:vAlign w:val="center"/>
          </w:tcPr>
          <w:p w14:paraId="31C325F7">
            <w:pPr>
              <w:adjustRightInd/>
              <w:spacing w:line="336" w:lineRule="auto"/>
              <w:rPr>
                <w:rFonts w:ascii="宋体" w:hAnsi="宋体" w:cs="宋体"/>
                <w:color w:val="auto"/>
                <w:sz w:val="24"/>
                <w:highlight w:val="none"/>
              </w:rPr>
            </w:pPr>
            <w:r>
              <w:rPr>
                <w:rFonts w:hint="eastAsia" w:ascii="宋体" w:hAnsi="宋体" w:cs="宋体"/>
                <w:bCs/>
                <w:color w:val="auto"/>
                <w:sz w:val="24"/>
                <w:highlight w:val="none"/>
              </w:rPr>
              <w:t>详见</w:t>
            </w:r>
            <w:r>
              <w:rPr>
                <w:rFonts w:hint="eastAsia" w:ascii="宋体" w:hAnsi="宋体" w:cs="宋体"/>
                <w:color w:val="auto"/>
                <w:sz w:val="24"/>
                <w:highlight w:val="none"/>
              </w:rPr>
              <w:t>本部分内容</w:t>
            </w:r>
          </w:p>
        </w:tc>
      </w:tr>
      <w:tr w14:paraId="132FA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3" w:type="dxa"/>
            <w:vAlign w:val="center"/>
          </w:tcPr>
          <w:p w14:paraId="3222D18A">
            <w:pPr>
              <w:adjustRightInd/>
              <w:spacing w:line="336"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561" w:type="dxa"/>
            <w:vAlign w:val="center"/>
          </w:tcPr>
          <w:p w14:paraId="5573C72C">
            <w:pPr>
              <w:adjustRightInd/>
              <w:spacing w:line="336" w:lineRule="auto"/>
              <w:jc w:val="left"/>
              <w:rPr>
                <w:rFonts w:ascii="宋体" w:hAnsi="宋体" w:cs="宋体"/>
                <w:color w:val="auto"/>
                <w:sz w:val="24"/>
                <w:highlight w:val="none"/>
              </w:rPr>
            </w:pPr>
            <w:r>
              <w:rPr>
                <w:rFonts w:hint="eastAsia" w:ascii="宋体" w:hAnsi="宋体" w:cs="宋体"/>
                <w:color w:val="auto"/>
                <w:sz w:val="24"/>
                <w:highlight w:val="none"/>
              </w:rPr>
              <w:t>单位及数量</w:t>
            </w:r>
          </w:p>
        </w:tc>
        <w:tc>
          <w:tcPr>
            <w:tcW w:w="5630" w:type="dxa"/>
            <w:vAlign w:val="center"/>
          </w:tcPr>
          <w:p w14:paraId="4E13D0E6">
            <w:pPr>
              <w:adjustRightInd/>
              <w:spacing w:line="336" w:lineRule="auto"/>
              <w:rPr>
                <w:rFonts w:ascii="宋体" w:hAnsi="宋体" w:cs="宋体"/>
                <w:color w:val="auto"/>
                <w:sz w:val="24"/>
                <w:highlight w:val="none"/>
              </w:rPr>
            </w:pPr>
            <w:r>
              <w:rPr>
                <w:rFonts w:hint="eastAsia" w:ascii="宋体" w:hAnsi="宋体" w:cs="宋体"/>
                <w:bCs/>
                <w:color w:val="auto"/>
                <w:sz w:val="24"/>
                <w:highlight w:val="none"/>
              </w:rPr>
              <w:t>详见第一部分 招标公告</w:t>
            </w:r>
          </w:p>
        </w:tc>
      </w:tr>
      <w:tr w14:paraId="731C4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33" w:type="dxa"/>
            <w:vAlign w:val="center"/>
          </w:tcPr>
          <w:p w14:paraId="551DB9B0">
            <w:pPr>
              <w:adjustRightInd/>
              <w:spacing w:line="336"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561" w:type="dxa"/>
            <w:vAlign w:val="center"/>
          </w:tcPr>
          <w:p w14:paraId="239923E3">
            <w:pPr>
              <w:adjustRightInd/>
              <w:spacing w:line="336"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交付或者实施的时间和地点</w:t>
            </w:r>
          </w:p>
        </w:tc>
        <w:tc>
          <w:tcPr>
            <w:tcW w:w="5630" w:type="dxa"/>
            <w:vAlign w:val="center"/>
          </w:tcPr>
          <w:p w14:paraId="7116F19D">
            <w:pPr>
              <w:numPr>
                <w:ilvl w:val="0"/>
                <w:numId w:val="2"/>
              </w:numPr>
              <w:adjustRightInd/>
              <w:spacing w:line="336" w:lineRule="auto"/>
              <w:rPr>
                <w:rFonts w:ascii="宋体" w:hAnsi="宋体" w:cs="宋体"/>
                <w:color w:val="auto"/>
                <w:sz w:val="24"/>
                <w:highlight w:val="none"/>
              </w:rPr>
            </w:pPr>
            <w:r>
              <w:rPr>
                <w:rFonts w:hint="eastAsia" w:ascii="宋体" w:hAnsi="宋体" w:cs="宋体"/>
                <w:color w:val="auto"/>
                <w:sz w:val="24"/>
                <w:highlight w:val="none"/>
              </w:rPr>
              <w:t>合同履行期限：详见第一部分 招标公告</w:t>
            </w:r>
          </w:p>
          <w:p w14:paraId="74B8D28E">
            <w:pPr>
              <w:numPr>
                <w:ilvl w:val="0"/>
                <w:numId w:val="2"/>
              </w:numPr>
              <w:adjustRightInd/>
              <w:spacing w:line="336" w:lineRule="auto"/>
              <w:rPr>
                <w:rFonts w:ascii="宋体" w:hAnsi="宋体" w:cs="宋体"/>
                <w:color w:val="auto"/>
                <w:sz w:val="24"/>
                <w:highlight w:val="none"/>
              </w:rPr>
            </w:pPr>
            <w:r>
              <w:rPr>
                <w:rFonts w:hint="eastAsia" w:ascii="宋体" w:hAnsi="宋体" w:cs="宋体"/>
                <w:color w:val="auto"/>
                <w:sz w:val="24"/>
                <w:highlight w:val="none"/>
              </w:rPr>
              <w:t>实施地点：详见本部分内容</w:t>
            </w:r>
          </w:p>
        </w:tc>
      </w:tr>
      <w:tr w14:paraId="23BA3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33" w:type="dxa"/>
            <w:vAlign w:val="center"/>
          </w:tcPr>
          <w:p w14:paraId="48828041">
            <w:pPr>
              <w:adjustRightInd/>
              <w:spacing w:line="336"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561" w:type="dxa"/>
            <w:vAlign w:val="center"/>
          </w:tcPr>
          <w:p w14:paraId="5FE50607">
            <w:pPr>
              <w:adjustRightInd/>
              <w:spacing w:line="336"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需实现的功能或者目标</w:t>
            </w:r>
          </w:p>
        </w:tc>
        <w:tc>
          <w:tcPr>
            <w:tcW w:w="5630" w:type="dxa"/>
            <w:vAlign w:val="center"/>
          </w:tcPr>
          <w:p w14:paraId="52EBDDDC">
            <w:pPr>
              <w:adjustRightInd/>
              <w:spacing w:line="336" w:lineRule="auto"/>
              <w:jc w:val="left"/>
              <w:rPr>
                <w:rFonts w:ascii="宋体" w:hAnsi="宋体" w:cs="宋体"/>
                <w:color w:val="auto"/>
                <w:sz w:val="24"/>
                <w:highlight w:val="none"/>
              </w:rPr>
            </w:pPr>
            <w:r>
              <w:rPr>
                <w:rFonts w:hint="eastAsia" w:ascii="宋体" w:hAnsi="宋体" w:cs="宋体"/>
                <w:color w:val="auto"/>
                <w:sz w:val="24"/>
                <w:highlight w:val="none"/>
              </w:rPr>
              <w:t>详见本部分内容</w:t>
            </w:r>
          </w:p>
        </w:tc>
      </w:tr>
      <w:tr w14:paraId="033F5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733" w:type="dxa"/>
            <w:vAlign w:val="center"/>
          </w:tcPr>
          <w:p w14:paraId="6890FD52">
            <w:pPr>
              <w:adjustRightInd/>
              <w:spacing w:line="336"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561" w:type="dxa"/>
            <w:vAlign w:val="center"/>
          </w:tcPr>
          <w:p w14:paraId="163C419F">
            <w:pPr>
              <w:adjustRightInd/>
              <w:spacing w:line="336"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执行的国家相关标准、行业标准、地方标准或者其它标准、规范</w:t>
            </w:r>
          </w:p>
        </w:tc>
        <w:tc>
          <w:tcPr>
            <w:tcW w:w="5630" w:type="dxa"/>
            <w:vAlign w:val="center"/>
          </w:tcPr>
          <w:p w14:paraId="7687A928">
            <w:pPr>
              <w:adjustRightInd/>
              <w:spacing w:line="336" w:lineRule="auto"/>
              <w:rPr>
                <w:rFonts w:ascii="宋体" w:hAnsi="宋体" w:cs="宋体"/>
                <w:color w:val="auto"/>
                <w:sz w:val="24"/>
                <w:highlight w:val="none"/>
              </w:rPr>
            </w:pPr>
            <w:r>
              <w:rPr>
                <w:rFonts w:hint="eastAsia" w:ascii="宋体" w:hAnsi="宋体" w:cs="宋体"/>
                <w:color w:val="auto"/>
                <w:sz w:val="24"/>
                <w:highlight w:val="none"/>
              </w:rPr>
              <w:t>详见本部分内容</w:t>
            </w:r>
          </w:p>
        </w:tc>
      </w:tr>
      <w:tr w14:paraId="5224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33" w:type="dxa"/>
            <w:vAlign w:val="center"/>
          </w:tcPr>
          <w:p w14:paraId="715B37AD">
            <w:pPr>
              <w:adjustRightInd/>
              <w:spacing w:line="336"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561" w:type="dxa"/>
            <w:vAlign w:val="center"/>
          </w:tcPr>
          <w:p w14:paraId="36C9CF29">
            <w:pPr>
              <w:adjustRightInd/>
              <w:spacing w:line="336" w:lineRule="auto"/>
              <w:jc w:val="left"/>
              <w:rPr>
                <w:rFonts w:ascii="宋体" w:hAnsi="宋体" w:cs="宋体"/>
                <w:color w:val="auto"/>
                <w:sz w:val="24"/>
                <w:highlight w:val="none"/>
              </w:rPr>
            </w:pPr>
            <w:r>
              <w:rPr>
                <w:rFonts w:hint="eastAsia" w:ascii="宋体" w:hAnsi="宋体" w:cs="宋体"/>
                <w:color w:val="auto"/>
                <w:sz w:val="24"/>
                <w:highlight w:val="none"/>
              </w:rPr>
              <w:t>技术规格要求</w:t>
            </w:r>
          </w:p>
        </w:tc>
        <w:tc>
          <w:tcPr>
            <w:tcW w:w="5630" w:type="dxa"/>
            <w:vAlign w:val="center"/>
          </w:tcPr>
          <w:p w14:paraId="5382C789">
            <w:pPr>
              <w:adjustRightInd/>
              <w:spacing w:line="336" w:lineRule="auto"/>
              <w:jc w:val="left"/>
              <w:rPr>
                <w:rFonts w:ascii="宋体" w:hAnsi="宋体" w:cs="宋体"/>
                <w:color w:val="auto"/>
                <w:sz w:val="24"/>
                <w:highlight w:val="none"/>
              </w:rPr>
            </w:pPr>
            <w:r>
              <w:rPr>
                <w:rFonts w:hint="eastAsia" w:ascii="宋体" w:hAnsi="宋体" w:cs="宋体"/>
                <w:color w:val="auto"/>
                <w:sz w:val="24"/>
                <w:highlight w:val="none"/>
              </w:rPr>
              <w:t>详见本部分内容</w:t>
            </w:r>
          </w:p>
        </w:tc>
      </w:tr>
      <w:tr w14:paraId="16FF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33" w:type="dxa"/>
            <w:vAlign w:val="center"/>
          </w:tcPr>
          <w:p w14:paraId="3465A2E3">
            <w:pPr>
              <w:adjustRightInd/>
              <w:spacing w:line="336"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561" w:type="dxa"/>
            <w:vAlign w:val="center"/>
          </w:tcPr>
          <w:p w14:paraId="06229E34">
            <w:pPr>
              <w:adjustRightInd/>
              <w:spacing w:line="336" w:lineRule="auto"/>
              <w:jc w:val="left"/>
              <w:rPr>
                <w:rFonts w:ascii="宋体" w:hAnsi="宋体" w:cs="宋体"/>
                <w:color w:val="auto"/>
                <w:sz w:val="24"/>
                <w:highlight w:val="none"/>
              </w:rPr>
            </w:pPr>
            <w:r>
              <w:rPr>
                <w:rFonts w:hint="eastAsia" w:ascii="宋体" w:hAnsi="宋体" w:cs="宋体"/>
                <w:color w:val="auto"/>
                <w:sz w:val="24"/>
                <w:highlight w:val="none"/>
              </w:rPr>
              <w:t>物理特性要求</w:t>
            </w:r>
          </w:p>
        </w:tc>
        <w:tc>
          <w:tcPr>
            <w:tcW w:w="5630" w:type="dxa"/>
            <w:vAlign w:val="center"/>
          </w:tcPr>
          <w:p w14:paraId="1118ED72">
            <w:pPr>
              <w:adjustRightInd/>
              <w:spacing w:line="336" w:lineRule="auto"/>
              <w:jc w:val="left"/>
              <w:rPr>
                <w:rFonts w:ascii="宋体" w:hAnsi="宋体" w:cs="宋体"/>
                <w:color w:val="auto"/>
                <w:sz w:val="24"/>
                <w:highlight w:val="none"/>
              </w:rPr>
            </w:pPr>
            <w:r>
              <w:rPr>
                <w:rFonts w:hint="eastAsia" w:ascii="宋体" w:hAnsi="宋体" w:cs="宋体"/>
                <w:color w:val="auto"/>
                <w:sz w:val="24"/>
                <w:highlight w:val="none"/>
              </w:rPr>
              <w:t>无</w:t>
            </w:r>
          </w:p>
        </w:tc>
      </w:tr>
      <w:tr w14:paraId="4C6E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33" w:type="dxa"/>
            <w:vAlign w:val="center"/>
          </w:tcPr>
          <w:p w14:paraId="219D683D">
            <w:pPr>
              <w:adjustRightInd/>
              <w:spacing w:line="336"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561" w:type="dxa"/>
            <w:vAlign w:val="center"/>
          </w:tcPr>
          <w:p w14:paraId="54B1269B">
            <w:pPr>
              <w:adjustRightInd/>
              <w:spacing w:line="336" w:lineRule="auto"/>
              <w:jc w:val="left"/>
              <w:rPr>
                <w:rFonts w:ascii="宋体" w:hAnsi="宋体" w:cs="宋体"/>
                <w:color w:val="auto"/>
                <w:sz w:val="24"/>
                <w:highlight w:val="none"/>
              </w:rPr>
            </w:pPr>
            <w:r>
              <w:rPr>
                <w:rFonts w:hint="eastAsia" w:ascii="宋体" w:hAnsi="宋体" w:cs="宋体"/>
                <w:color w:val="auto"/>
                <w:sz w:val="24"/>
                <w:highlight w:val="none"/>
              </w:rPr>
              <w:t>质量、安全要求</w:t>
            </w:r>
          </w:p>
        </w:tc>
        <w:tc>
          <w:tcPr>
            <w:tcW w:w="5630" w:type="dxa"/>
            <w:vAlign w:val="center"/>
          </w:tcPr>
          <w:p w14:paraId="1389E487">
            <w:pPr>
              <w:adjustRightInd/>
              <w:spacing w:line="336" w:lineRule="auto"/>
              <w:jc w:val="left"/>
              <w:rPr>
                <w:rFonts w:ascii="宋体" w:hAnsi="宋体" w:cs="宋体"/>
                <w:color w:val="auto"/>
                <w:sz w:val="24"/>
                <w:highlight w:val="none"/>
              </w:rPr>
            </w:pPr>
            <w:r>
              <w:rPr>
                <w:rFonts w:hint="eastAsia" w:ascii="宋体" w:hAnsi="宋体" w:cs="宋体"/>
                <w:color w:val="auto"/>
                <w:sz w:val="24"/>
                <w:highlight w:val="none"/>
              </w:rPr>
              <w:t>（1）质量要求：详见本章内容。</w:t>
            </w:r>
          </w:p>
          <w:p w14:paraId="53213F4A">
            <w:pPr>
              <w:adjustRightInd/>
              <w:spacing w:line="336" w:lineRule="auto"/>
              <w:jc w:val="left"/>
              <w:rPr>
                <w:rFonts w:ascii="宋体" w:hAnsi="宋体" w:cs="宋体"/>
                <w:color w:val="auto"/>
                <w:sz w:val="24"/>
                <w:highlight w:val="none"/>
              </w:rPr>
            </w:pPr>
            <w:r>
              <w:rPr>
                <w:rFonts w:hint="eastAsia" w:ascii="宋体" w:hAnsi="宋体" w:cs="宋体"/>
                <w:color w:val="auto"/>
                <w:sz w:val="24"/>
                <w:highlight w:val="none"/>
              </w:rPr>
              <w:t>（2）安全要求：合格。必须重视安全生产工作，确保不出安全生产责任事故。</w:t>
            </w:r>
          </w:p>
        </w:tc>
      </w:tr>
      <w:tr w14:paraId="27568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33" w:type="dxa"/>
            <w:vAlign w:val="center"/>
          </w:tcPr>
          <w:p w14:paraId="2CB806F5">
            <w:pPr>
              <w:adjustRightInd/>
              <w:spacing w:line="336"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561" w:type="dxa"/>
            <w:vAlign w:val="center"/>
          </w:tcPr>
          <w:p w14:paraId="308E7A38">
            <w:pPr>
              <w:adjustRightInd/>
              <w:spacing w:line="336" w:lineRule="auto"/>
              <w:jc w:val="left"/>
              <w:rPr>
                <w:rFonts w:ascii="宋体" w:hAnsi="宋体" w:cs="宋体"/>
                <w:color w:val="auto"/>
                <w:sz w:val="24"/>
                <w:highlight w:val="none"/>
              </w:rPr>
            </w:pPr>
            <w:r>
              <w:rPr>
                <w:rFonts w:hint="eastAsia" w:ascii="宋体" w:hAnsi="宋体" w:cs="宋体"/>
                <w:color w:val="auto"/>
                <w:sz w:val="24"/>
                <w:highlight w:val="none"/>
              </w:rPr>
              <w:t>验收标准</w:t>
            </w:r>
          </w:p>
        </w:tc>
        <w:tc>
          <w:tcPr>
            <w:tcW w:w="5630" w:type="dxa"/>
            <w:vAlign w:val="center"/>
          </w:tcPr>
          <w:p w14:paraId="2828069D">
            <w:pPr>
              <w:adjustRightInd/>
              <w:spacing w:line="336" w:lineRule="auto"/>
              <w:jc w:val="left"/>
              <w:rPr>
                <w:rFonts w:ascii="宋体" w:hAnsi="宋体" w:cs="宋体"/>
                <w:color w:val="auto"/>
                <w:sz w:val="24"/>
                <w:highlight w:val="none"/>
              </w:rPr>
            </w:pPr>
            <w:r>
              <w:rPr>
                <w:rFonts w:hint="eastAsia" w:ascii="宋体" w:hAnsi="宋体" w:cs="宋体"/>
                <w:bCs/>
                <w:color w:val="auto"/>
                <w:sz w:val="24"/>
                <w:highlight w:val="none"/>
              </w:rPr>
              <w:t>按照中标人提供的投标文件及中标人和采购人签订的政府采购合同为标准进行验收。</w:t>
            </w:r>
          </w:p>
        </w:tc>
      </w:tr>
      <w:tr w14:paraId="763F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3" w:type="dxa"/>
            <w:vAlign w:val="center"/>
          </w:tcPr>
          <w:p w14:paraId="0D9415BB">
            <w:pPr>
              <w:adjustRightInd/>
              <w:spacing w:line="336"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561" w:type="dxa"/>
            <w:vAlign w:val="center"/>
          </w:tcPr>
          <w:p w14:paraId="40A61D5E">
            <w:pPr>
              <w:adjustRightInd/>
              <w:spacing w:line="336" w:lineRule="auto"/>
              <w:jc w:val="left"/>
              <w:rPr>
                <w:rFonts w:ascii="宋体" w:hAnsi="宋体" w:cs="宋体"/>
                <w:color w:val="auto"/>
                <w:sz w:val="24"/>
                <w:highlight w:val="none"/>
              </w:rPr>
            </w:pPr>
            <w:r>
              <w:rPr>
                <w:rFonts w:hint="eastAsia" w:ascii="宋体" w:hAnsi="宋体" w:cs="宋体"/>
                <w:color w:val="auto"/>
                <w:sz w:val="24"/>
                <w:highlight w:val="none"/>
              </w:rPr>
              <w:t>现场踏勘</w:t>
            </w:r>
          </w:p>
        </w:tc>
        <w:tc>
          <w:tcPr>
            <w:tcW w:w="5630" w:type="dxa"/>
            <w:vAlign w:val="center"/>
          </w:tcPr>
          <w:p w14:paraId="60EE29E8">
            <w:pPr>
              <w:adjustRightInd/>
              <w:spacing w:line="336" w:lineRule="auto"/>
              <w:rPr>
                <w:rFonts w:ascii="宋体" w:hAnsi="宋体" w:cs="宋体"/>
                <w:color w:val="auto"/>
                <w:sz w:val="24"/>
                <w:highlight w:val="none"/>
              </w:rPr>
            </w:pPr>
            <w:r>
              <w:rPr>
                <w:rFonts w:hint="eastAsia" w:ascii="宋体" w:hAnsi="宋体" w:cs="宋体"/>
                <w:color w:val="auto"/>
                <w:sz w:val="24"/>
                <w:highlight w:val="none"/>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bl>
    <w:p w14:paraId="6DDAC127">
      <w:pPr>
        <w:widowControl/>
        <w:adjustRightInd/>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br w:type="page"/>
      </w:r>
      <w:r>
        <w:rPr>
          <w:rFonts w:hint="eastAsia" w:ascii="宋体" w:hAnsi="宋体" w:cs="宋体"/>
          <w:b/>
          <w:color w:val="auto"/>
          <w:sz w:val="24"/>
          <w:highlight w:val="none"/>
        </w:rPr>
        <w:t>▲</w:t>
      </w:r>
      <w:r>
        <w:rPr>
          <w:rFonts w:hint="eastAsia" w:ascii="宋体" w:hAnsi="宋体" w:cs="宋体"/>
          <w:b/>
          <w:color w:val="auto"/>
          <w:kern w:val="0"/>
          <w:sz w:val="24"/>
          <w:highlight w:val="none"/>
        </w:rPr>
        <w:t>一、重要商务要求一览表</w:t>
      </w:r>
    </w:p>
    <w:tbl>
      <w:tblPr>
        <w:tblStyle w:val="62"/>
        <w:tblW w:w="84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9"/>
        <w:gridCol w:w="6593"/>
      </w:tblGrid>
      <w:tr w14:paraId="3D972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69" w:type="dxa"/>
            <w:tcBorders>
              <w:top w:val="single" w:color="auto" w:sz="4" w:space="0"/>
              <w:left w:val="single" w:color="auto" w:sz="4" w:space="0"/>
              <w:bottom w:val="single" w:color="auto" w:sz="4" w:space="0"/>
              <w:right w:val="single" w:color="auto" w:sz="4" w:space="0"/>
            </w:tcBorders>
            <w:vAlign w:val="center"/>
          </w:tcPr>
          <w:p w14:paraId="3248AB27">
            <w:pPr>
              <w:widowControl/>
              <w:adjustRightInd/>
              <w:spacing w:line="360" w:lineRule="auto"/>
              <w:jc w:val="center"/>
              <w:rPr>
                <w:rFonts w:ascii="宋体" w:hAnsi="宋体" w:cs="宋体"/>
                <w:b/>
                <w:bCs/>
                <w:color w:val="auto"/>
                <w:sz w:val="24"/>
                <w:highlight w:val="none"/>
              </w:rPr>
            </w:pPr>
            <w:r>
              <w:rPr>
                <w:rFonts w:hint="eastAsia" w:ascii="宋体" w:hAnsi="宋体" w:cs="宋体"/>
                <w:b/>
                <w:bCs/>
                <w:color w:val="auto"/>
                <w:kern w:val="0"/>
                <w:sz w:val="24"/>
                <w:highlight w:val="none"/>
              </w:rPr>
              <w:t>项目</w:t>
            </w:r>
          </w:p>
        </w:tc>
        <w:tc>
          <w:tcPr>
            <w:tcW w:w="6593" w:type="dxa"/>
            <w:tcBorders>
              <w:top w:val="single" w:color="auto" w:sz="4" w:space="0"/>
              <w:left w:val="single" w:color="auto" w:sz="4" w:space="0"/>
              <w:bottom w:val="single" w:color="auto" w:sz="4" w:space="0"/>
              <w:right w:val="single" w:color="auto" w:sz="4" w:space="0"/>
            </w:tcBorders>
            <w:vAlign w:val="center"/>
          </w:tcPr>
          <w:p w14:paraId="3A808E4F">
            <w:pPr>
              <w:widowControl/>
              <w:adjustRightInd/>
              <w:spacing w:line="360" w:lineRule="auto"/>
              <w:jc w:val="center"/>
              <w:rPr>
                <w:rFonts w:ascii="宋体" w:hAnsi="宋体" w:cs="宋体"/>
                <w:b/>
                <w:bCs/>
                <w:color w:val="auto"/>
                <w:sz w:val="24"/>
                <w:highlight w:val="none"/>
              </w:rPr>
            </w:pPr>
            <w:r>
              <w:rPr>
                <w:rFonts w:hint="eastAsia" w:ascii="宋体" w:hAnsi="宋体" w:cs="宋体"/>
                <w:b/>
                <w:bCs/>
                <w:color w:val="auto"/>
                <w:kern w:val="0"/>
                <w:sz w:val="24"/>
                <w:highlight w:val="none"/>
              </w:rPr>
              <w:t>要 求</w:t>
            </w:r>
          </w:p>
        </w:tc>
      </w:tr>
      <w:tr w14:paraId="63E7B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69" w:type="dxa"/>
            <w:tcBorders>
              <w:top w:val="single" w:color="auto" w:sz="4" w:space="0"/>
              <w:left w:val="single" w:color="auto" w:sz="4" w:space="0"/>
              <w:bottom w:val="single" w:color="auto" w:sz="4" w:space="0"/>
              <w:right w:val="single" w:color="auto" w:sz="4" w:space="0"/>
            </w:tcBorders>
            <w:vAlign w:val="center"/>
          </w:tcPr>
          <w:p w14:paraId="098BE0A4">
            <w:pPr>
              <w:widowControl/>
              <w:adjustRightInd/>
              <w:spacing w:line="360" w:lineRule="auto"/>
              <w:rPr>
                <w:rFonts w:ascii="宋体" w:hAnsi="宋体" w:cs="宋体"/>
                <w:color w:val="auto"/>
                <w:sz w:val="24"/>
                <w:highlight w:val="none"/>
              </w:rPr>
            </w:pPr>
            <w:r>
              <w:rPr>
                <w:rFonts w:hint="eastAsia" w:ascii="宋体" w:hAnsi="宋体" w:cs="宋体"/>
                <w:color w:val="auto"/>
                <w:kern w:val="0"/>
                <w:sz w:val="24"/>
                <w:highlight w:val="none"/>
              </w:rPr>
              <w:t>1、合同履行期限</w:t>
            </w:r>
          </w:p>
        </w:tc>
        <w:tc>
          <w:tcPr>
            <w:tcW w:w="6593" w:type="dxa"/>
            <w:tcBorders>
              <w:top w:val="single" w:color="auto" w:sz="4" w:space="0"/>
              <w:left w:val="single" w:color="auto" w:sz="4" w:space="0"/>
              <w:bottom w:val="single" w:color="auto" w:sz="4" w:space="0"/>
              <w:right w:val="single" w:color="auto" w:sz="4" w:space="0"/>
            </w:tcBorders>
            <w:vAlign w:val="center"/>
          </w:tcPr>
          <w:p w14:paraId="785456D7">
            <w:pPr>
              <w:adjustRightInd/>
              <w:spacing w:line="360" w:lineRule="auto"/>
              <w:textAlignment w:val="baseline"/>
              <w:rPr>
                <w:rFonts w:ascii="宋体" w:hAnsi="宋体" w:cs="宋体"/>
                <w:color w:val="auto"/>
                <w:sz w:val="24"/>
                <w:highlight w:val="none"/>
              </w:rPr>
            </w:pPr>
            <w:r>
              <w:rPr>
                <w:rFonts w:hint="eastAsia" w:ascii="宋体" w:hAnsi="宋体" w:cs="宋体"/>
                <w:color w:val="auto"/>
                <w:kern w:val="0"/>
                <w:sz w:val="24"/>
                <w:highlight w:val="none"/>
              </w:rPr>
              <w:t>详见“第一部分 招标公告”</w:t>
            </w:r>
          </w:p>
        </w:tc>
      </w:tr>
      <w:tr w14:paraId="1B7A1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69" w:type="dxa"/>
            <w:tcBorders>
              <w:top w:val="single" w:color="auto" w:sz="4" w:space="0"/>
              <w:left w:val="single" w:color="auto" w:sz="4" w:space="0"/>
              <w:bottom w:val="single" w:color="auto" w:sz="4" w:space="0"/>
              <w:right w:val="single" w:color="auto" w:sz="4" w:space="0"/>
            </w:tcBorders>
            <w:vAlign w:val="center"/>
          </w:tcPr>
          <w:p w14:paraId="56069D4A">
            <w:pPr>
              <w:widowControl/>
              <w:adjustRightInd/>
              <w:spacing w:line="360" w:lineRule="auto"/>
              <w:rPr>
                <w:rFonts w:ascii="宋体" w:hAnsi="宋体" w:cs="宋体"/>
                <w:color w:val="auto"/>
                <w:sz w:val="24"/>
                <w:highlight w:val="none"/>
              </w:rPr>
            </w:pPr>
            <w:r>
              <w:rPr>
                <w:rFonts w:hint="eastAsia" w:ascii="宋体" w:hAnsi="宋体" w:cs="宋体"/>
                <w:color w:val="auto"/>
                <w:kern w:val="0"/>
                <w:sz w:val="24"/>
                <w:highlight w:val="none"/>
              </w:rPr>
              <w:t>2、服务地点</w:t>
            </w:r>
          </w:p>
        </w:tc>
        <w:tc>
          <w:tcPr>
            <w:tcW w:w="6593" w:type="dxa"/>
            <w:tcBorders>
              <w:top w:val="single" w:color="auto" w:sz="4" w:space="0"/>
              <w:left w:val="single" w:color="auto" w:sz="4" w:space="0"/>
              <w:bottom w:val="single" w:color="auto" w:sz="4" w:space="0"/>
              <w:right w:val="single" w:color="auto" w:sz="4" w:space="0"/>
            </w:tcBorders>
            <w:vAlign w:val="center"/>
          </w:tcPr>
          <w:p w14:paraId="1C370D00">
            <w:pPr>
              <w:adjustRightInd/>
              <w:spacing w:line="360" w:lineRule="auto"/>
              <w:textAlignment w:val="baseline"/>
              <w:rPr>
                <w:rFonts w:ascii="宋体" w:hAnsi="宋体" w:cs="宋体"/>
                <w:color w:val="auto"/>
                <w:sz w:val="24"/>
                <w:highlight w:val="none"/>
              </w:rPr>
            </w:pPr>
            <w:r>
              <w:rPr>
                <w:rFonts w:hint="eastAsia" w:ascii="宋体" w:hAnsi="宋体" w:cs="宋体"/>
                <w:color w:val="auto"/>
                <w:kern w:val="0"/>
                <w:sz w:val="24"/>
                <w:highlight w:val="none"/>
              </w:rPr>
              <w:t>采购人指定地点（镇海区）</w:t>
            </w:r>
          </w:p>
        </w:tc>
      </w:tr>
      <w:tr w14:paraId="6E76C4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69" w:type="dxa"/>
            <w:tcBorders>
              <w:top w:val="single" w:color="auto" w:sz="4" w:space="0"/>
              <w:left w:val="single" w:color="auto" w:sz="4" w:space="0"/>
              <w:bottom w:val="single" w:color="auto" w:sz="4" w:space="0"/>
              <w:right w:val="single" w:color="auto" w:sz="4" w:space="0"/>
            </w:tcBorders>
            <w:vAlign w:val="center"/>
          </w:tcPr>
          <w:p w14:paraId="4E128124">
            <w:pPr>
              <w:widowControl/>
              <w:adjustRightInd/>
              <w:spacing w:line="360" w:lineRule="auto"/>
              <w:rPr>
                <w:rFonts w:ascii="宋体" w:hAnsi="宋体" w:cs="宋体"/>
                <w:color w:val="auto"/>
                <w:sz w:val="24"/>
                <w:highlight w:val="none"/>
              </w:rPr>
            </w:pPr>
            <w:r>
              <w:rPr>
                <w:rFonts w:hint="eastAsia" w:ascii="宋体" w:hAnsi="宋体" w:cs="宋体"/>
                <w:color w:val="auto"/>
                <w:kern w:val="0"/>
                <w:sz w:val="24"/>
                <w:highlight w:val="none"/>
              </w:rPr>
              <w:t>3、付款方式</w:t>
            </w:r>
          </w:p>
        </w:tc>
        <w:tc>
          <w:tcPr>
            <w:tcW w:w="6593" w:type="dxa"/>
            <w:tcBorders>
              <w:top w:val="single" w:color="auto" w:sz="4" w:space="0"/>
              <w:left w:val="single" w:color="auto" w:sz="4" w:space="0"/>
              <w:bottom w:val="single" w:color="auto" w:sz="4" w:space="0"/>
              <w:right w:val="single" w:color="auto" w:sz="4" w:space="0"/>
            </w:tcBorders>
            <w:vAlign w:val="center"/>
          </w:tcPr>
          <w:p w14:paraId="5BD63848">
            <w:pPr>
              <w:widowControl/>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bCs/>
                <w:color w:val="000000" w:themeColor="text1"/>
                <w:kern w:val="0"/>
                <w:sz w:val="24"/>
                <w:szCs w:val="24"/>
                <w:highlight w:val="none"/>
                <w14:textFill>
                  <w14:solidFill>
                    <w14:schemeClr w14:val="tx1"/>
                  </w14:solidFill>
                </w14:textFill>
              </w:rPr>
              <w:t>合同签订后7个工作日内支付合同价款的</w:t>
            </w:r>
            <w:r>
              <w:rPr>
                <w:rFonts w:hint="eastAsia" w:ascii="宋体" w:hAnsi="宋体" w:cs="宋体"/>
                <w:bCs/>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bCs/>
                <w:color w:val="000000" w:themeColor="text1"/>
                <w:kern w:val="0"/>
                <w:sz w:val="24"/>
                <w:szCs w:val="24"/>
                <w:highlight w:val="none"/>
                <w14:textFill>
                  <w14:solidFill>
                    <w14:schemeClr w14:val="tx1"/>
                  </w14:solidFill>
                </w14:textFill>
              </w:rPr>
              <w:t>0%</w:t>
            </w:r>
            <w:r>
              <w:rPr>
                <w:rFonts w:hint="eastAsia" w:ascii="宋体" w:hAnsi="宋体" w:eastAsia="宋体" w:cs="宋体"/>
                <w:color w:val="auto"/>
                <w:kern w:val="0"/>
                <w:sz w:val="24"/>
                <w:highlight w:val="none"/>
              </w:rPr>
              <w:t>；</w:t>
            </w:r>
          </w:p>
          <w:p w14:paraId="3BD1F380">
            <w:pPr>
              <w:widowControl/>
              <w:adjustRightInd/>
              <w:spacing w:line="360" w:lineRule="auto"/>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auto"/>
                <w:kern w:val="0"/>
                <w:sz w:val="24"/>
                <w:highlight w:val="none"/>
              </w:rPr>
              <w:t>2、</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打针注药工作完成“数字森防”上图后</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支付合同价款的</w:t>
            </w:r>
            <w:r>
              <w:rPr>
                <w:rFonts w:hint="eastAsia" w:ascii="宋体" w:hAnsi="宋体" w:cs="宋体"/>
                <w:bCs/>
                <w:color w:val="000000" w:themeColor="text1"/>
                <w:kern w:val="0"/>
                <w:sz w:val="24"/>
                <w:szCs w:val="24"/>
                <w:highlight w:val="none"/>
                <w:lang w:val="en-US" w:eastAsia="zh-CN"/>
                <w14:textFill>
                  <w14:solidFill>
                    <w14:schemeClr w14:val="tx1"/>
                  </w14:solidFill>
                </w14:textFill>
              </w:rPr>
              <w:t>25</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w:t>
            </w:r>
          </w:p>
          <w:p w14:paraId="4A20B0E0">
            <w:pPr>
              <w:widowControl/>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3、</w:t>
            </w:r>
            <w:r>
              <w:rPr>
                <w:rFonts w:hint="eastAsia" w:ascii="宋体" w:hAnsi="宋体" w:cs="宋体"/>
                <w:bCs/>
                <w:color w:val="000000" w:themeColor="text1"/>
                <w:kern w:val="0"/>
                <w:sz w:val="24"/>
                <w:szCs w:val="24"/>
                <w:highlight w:val="none"/>
                <w:lang w:val="en-US" w:eastAsia="zh-CN"/>
                <w14:textFill>
                  <w14:solidFill>
                    <w14:schemeClr w14:val="tx1"/>
                  </w14:solidFill>
                </w14:textFill>
              </w:rPr>
              <w:t>2026年</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9月底</w:t>
            </w:r>
            <w:r>
              <w:rPr>
                <w:rFonts w:hint="eastAsia" w:ascii="宋体" w:hAnsi="宋体" w:eastAsia="宋体" w:cs="宋体"/>
                <w:bCs/>
                <w:color w:val="000000" w:themeColor="text1"/>
                <w:kern w:val="0"/>
                <w:sz w:val="24"/>
                <w:szCs w:val="24"/>
                <w:highlight w:val="none"/>
                <w14:textFill>
                  <w14:solidFill>
                    <w14:schemeClr w14:val="tx1"/>
                  </w14:solidFill>
                </w14:textFill>
              </w:rPr>
              <w:t>一次性无息付清余款。</w:t>
            </w:r>
          </w:p>
          <w:p w14:paraId="57DCDD34">
            <w:pPr>
              <w:widowControl/>
              <w:adjustRightInd/>
              <w:spacing w:line="360" w:lineRule="auto"/>
              <w:rPr>
                <w:rFonts w:ascii="宋体" w:hAnsi="宋体" w:cs="宋体"/>
                <w:color w:val="auto"/>
                <w:sz w:val="24"/>
                <w:highlight w:val="none"/>
              </w:rPr>
            </w:pPr>
            <w:r>
              <w:rPr>
                <w:rFonts w:hint="eastAsia" w:ascii="宋体" w:hAnsi="宋体" w:eastAsia="宋体" w:cs="宋体"/>
                <w:color w:val="auto"/>
                <w:kern w:val="0"/>
                <w:sz w:val="24"/>
                <w:highlight w:val="none"/>
                <w:lang w:val="en-US" w:eastAsia="zh-CN"/>
              </w:rPr>
              <w:t>备注：</w:t>
            </w:r>
            <w:r>
              <w:rPr>
                <w:rFonts w:hint="eastAsia" w:ascii="宋体" w:hAnsi="宋体" w:cs="宋体"/>
                <w:color w:val="auto"/>
                <w:kern w:val="0"/>
                <w:sz w:val="24"/>
                <w:highlight w:val="none"/>
                <w:lang w:val="en-US" w:eastAsia="zh-CN"/>
              </w:rPr>
              <w:t>中标人</w:t>
            </w:r>
            <w:r>
              <w:rPr>
                <w:rFonts w:hint="eastAsia" w:ascii="宋体" w:hAnsi="宋体" w:eastAsia="宋体" w:cs="宋体"/>
                <w:color w:val="auto"/>
                <w:kern w:val="0"/>
                <w:sz w:val="24"/>
                <w:highlight w:val="none"/>
              </w:rPr>
              <w:t>须提供合法的税务发票及采购人财务结算制度规定的其他资料。</w:t>
            </w:r>
          </w:p>
        </w:tc>
      </w:tr>
      <w:tr w14:paraId="266F6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69" w:type="dxa"/>
            <w:tcBorders>
              <w:top w:val="single" w:color="auto" w:sz="4" w:space="0"/>
              <w:left w:val="single" w:color="auto" w:sz="4" w:space="0"/>
              <w:bottom w:val="single" w:color="auto" w:sz="4" w:space="0"/>
              <w:right w:val="single" w:color="auto" w:sz="4" w:space="0"/>
            </w:tcBorders>
            <w:vAlign w:val="center"/>
          </w:tcPr>
          <w:p w14:paraId="76BB1837">
            <w:pPr>
              <w:widowControl/>
              <w:adjustRightInd/>
              <w:spacing w:line="360" w:lineRule="auto"/>
              <w:rPr>
                <w:rFonts w:ascii="宋体" w:hAnsi="宋体" w:cs="宋体"/>
                <w:color w:val="auto"/>
                <w:sz w:val="24"/>
                <w:highlight w:val="none"/>
              </w:rPr>
            </w:pPr>
            <w:r>
              <w:rPr>
                <w:rFonts w:hint="eastAsia" w:ascii="宋体" w:hAnsi="宋体" w:cs="宋体"/>
                <w:color w:val="auto"/>
                <w:kern w:val="0"/>
                <w:sz w:val="24"/>
                <w:highlight w:val="none"/>
              </w:rPr>
              <w:t>4、履约保证金</w:t>
            </w:r>
          </w:p>
        </w:tc>
        <w:tc>
          <w:tcPr>
            <w:tcW w:w="6593" w:type="dxa"/>
            <w:tcBorders>
              <w:top w:val="single" w:color="auto" w:sz="4" w:space="0"/>
              <w:left w:val="single" w:color="auto" w:sz="4" w:space="0"/>
              <w:bottom w:val="single" w:color="auto" w:sz="4" w:space="0"/>
              <w:right w:val="single" w:color="auto" w:sz="4" w:space="0"/>
            </w:tcBorders>
            <w:vAlign w:val="center"/>
          </w:tcPr>
          <w:p w14:paraId="4335D8F4">
            <w:pPr>
              <w:adjustRightInd/>
              <w:spacing w:line="360" w:lineRule="auto"/>
              <w:textAlignment w:val="baseline"/>
              <w:rPr>
                <w:rFonts w:ascii="宋体" w:hAnsi="宋体" w:cs="宋体"/>
                <w:color w:val="auto"/>
                <w:sz w:val="24"/>
                <w:highlight w:val="none"/>
              </w:rPr>
            </w:pPr>
            <w:r>
              <w:rPr>
                <w:rFonts w:hint="eastAsia" w:ascii="宋体" w:hAnsi="宋体" w:cs="宋体"/>
                <w:color w:val="auto"/>
                <w:kern w:val="0"/>
                <w:sz w:val="24"/>
                <w:highlight w:val="none"/>
              </w:rPr>
              <w:t>本项目不采用。</w:t>
            </w:r>
          </w:p>
        </w:tc>
      </w:tr>
      <w:tr w14:paraId="7B525A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69" w:type="dxa"/>
            <w:tcBorders>
              <w:top w:val="single" w:color="auto" w:sz="4" w:space="0"/>
              <w:left w:val="single" w:color="auto" w:sz="4" w:space="0"/>
              <w:bottom w:val="single" w:color="auto" w:sz="4" w:space="0"/>
              <w:right w:val="single" w:color="auto" w:sz="4" w:space="0"/>
            </w:tcBorders>
            <w:vAlign w:val="center"/>
          </w:tcPr>
          <w:p w14:paraId="1266E5B4">
            <w:pPr>
              <w:widowControl/>
              <w:adjustRightInd/>
              <w:spacing w:line="360" w:lineRule="auto"/>
              <w:rPr>
                <w:rFonts w:ascii="宋体" w:hAnsi="宋体" w:cs="宋体"/>
                <w:color w:val="auto"/>
                <w:sz w:val="24"/>
                <w:highlight w:val="none"/>
              </w:rPr>
            </w:pP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、合同终止</w:t>
            </w:r>
          </w:p>
        </w:tc>
        <w:tc>
          <w:tcPr>
            <w:tcW w:w="6593" w:type="dxa"/>
            <w:tcBorders>
              <w:top w:val="single" w:color="auto" w:sz="4" w:space="0"/>
              <w:left w:val="single" w:color="auto" w:sz="4" w:space="0"/>
              <w:bottom w:val="single" w:color="auto" w:sz="4" w:space="0"/>
              <w:right w:val="single" w:color="auto" w:sz="4" w:space="0"/>
            </w:tcBorders>
            <w:vAlign w:val="center"/>
          </w:tcPr>
          <w:p w14:paraId="2B1318A8">
            <w:pPr>
              <w:adjustRightInd/>
              <w:spacing w:line="360" w:lineRule="auto"/>
              <w:textAlignment w:val="baseline"/>
              <w:rPr>
                <w:rFonts w:ascii="宋体" w:hAnsi="宋体" w:cs="宋体"/>
                <w:color w:val="auto"/>
                <w:sz w:val="24"/>
                <w:highlight w:val="none"/>
              </w:rPr>
            </w:pPr>
            <w:r>
              <w:rPr>
                <w:rFonts w:hint="eastAsia" w:ascii="宋体" w:hAnsi="宋体" w:cs="宋体"/>
                <w:color w:val="auto"/>
                <w:kern w:val="0"/>
                <w:sz w:val="24"/>
                <w:highlight w:val="none"/>
              </w:rPr>
              <w:t>中标人在合同有效期内，不得无理由终止合同，确有特殊情况的，须提前1个月向采购人提出书面申请，经采购人同意后，方可终止合同。因中标人不能保证工作质量，或发生重大差错事故的，采购人可有权终止协议，中标人承担全部责任。</w:t>
            </w:r>
          </w:p>
        </w:tc>
      </w:tr>
    </w:tbl>
    <w:p w14:paraId="2E7F6F91">
      <w:pPr>
        <w:spacing w:before="120" w:beforeLines="50" w:after="120" w:afterLines="50" w:line="500" w:lineRule="exact"/>
        <w:rPr>
          <w:rFonts w:hint="eastAsia"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二</w:t>
      </w:r>
      <w:r>
        <w:rPr>
          <w:rFonts w:hint="eastAsia" w:ascii="宋体" w:hAnsi="宋体" w:eastAsia="宋体" w:cs="宋体"/>
          <w:b/>
          <w:sz w:val="24"/>
          <w:szCs w:val="24"/>
          <w:highlight w:val="none"/>
        </w:rPr>
        <w:t>、项目</w:t>
      </w:r>
      <w:r>
        <w:rPr>
          <w:rFonts w:hint="eastAsia" w:ascii="宋体" w:hAnsi="宋体" w:cs="宋体"/>
          <w:b/>
          <w:sz w:val="24"/>
          <w:szCs w:val="24"/>
          <w:highlight w:val="none"/>
          <w:lang w:val="en-US" w:eastAsia="zh-CN"/>
        </w:rPr>
        <w:t>背景</w:t>
      </w:r>
    </w:p>
    <w:p w14:paraId="40918798">
      <w:pPr>
        <w:tabs>
          <w:tab w:val="left" w:pos="0"/>
        </w:tabs>
        <w:spacing w:line="360" w:lineRule="auto"/>
        <w:ind w:firstLine="480" w:firstLineChars="200"/>
        <w:rPr>
          <w:rFonts w:hint="eastAsia" w:ascii="宋体" w:hAnsi="宋体" w:eastAsia="宋体" w:cs="宋体"/>
          <w:b w:val="0"/>
          <w:bCs/>
          <w:snapToGrid/>
          <w:sz w:val="24"/>
          <w:szCs w:val="24"/>
          <w:highlight w:val="none"/>
          <w:lang w:val="en-US" w:eastAsia="zh-CN"/>
        </w:rPr>
      </w:pPr>
      <w:r>
        <w:rPr>
          <w:rFonts w:hint="eastAsia" w:ascii="宋体" w:hAnsi="宋体" w:eastAsia="宋体" w:cs="宋体"/>
          <w:b w:val="0"/>
          <w:bCs/>
          <w:snapToGrid/>
          <w:sz w:val="24"/>
          <w:szCs w:val="24"/>
          <w:highlight w:val="none"/>
          <w:lang w:val="en-US" w:eastAsia="zh-CN"/>
        </w:rPr>
        <w:t>镇海区九龙湖镇和澥浦镇松材线虫病防治，主要内容包含松林日常监测、枯死木清理和打孔注药。</w:t>
      </w:r>
    </w:p>
    <w:p w14:paraId="4E1AFBA7">
      <w:pPr>
        <w:spacing w:before="0" w:beforeLines="0" w:after="120" w:afterLines="50" w:line="500" w:lineRule="exact"/>
        <w:outlineLvl w:val="1"/>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三</w:t>
      </w:r>
      <w:r>
        <w:rPr>
          <w:rFonts w:hint="eastAsia" w:ascii="宋体" w:hAnsi="宋体" w:eastAsia="宋体" w:cs="宋体"/>
          <w:b/>
          <w:sz w:val="24"/>
          <w:szCs w:val="24"/>
          <w:highlight w:val="none"/>
        </w:rPr>
        <w:t>、服务内容及标准</w:t>
      </w:r>
    </w:p>
    <w:p w14:paraId="0C30504D">
      <w:pPr>
        <w:tabs>
          <w:tab w:val="left" w:pos="0"/>
        </w:tabs>
        <w:spacing w:line="360" w:lineRule="auto"/>
        <w:ind w:firstLine="480"/>
        <w:rPr>
          <w:rFonts w:hint="eastAsia" w:ascii="宋体" w:hAnsi="宋体" w:eastAsia="宋体" w:cs="宋体"/>
          <w:b/>
          <w:bCs w:val="0"/>
          <w:snapToGrid/>
          <w:sz w:val="24"/>
          <w:szCs w:val="24"/>
          <w:highlight w:val="none"/>
          <w:lang w:val="en-US"/>
        </w:rPr>
      </w:pPr>
      <w:r>
        <w:rPr>
          <w:rFonts w:hint="eastAsia" w:ascii="宋体" w:hAnsi="宋体" w:eastAsia="宋体" w:cs="宋体"/>
          <w:b/>
          <w:bCs w:val="0"/>
          <w:snapToGrid/>
          <w:sz w:val="24"/>
          <w:szCs w:val="24"/>
          <w:highlight w:val="none"/>
          <w:lang w:val="en-US"/>
        </w:rPr>
        <w:t>1、日常监测服务</w:t>
      </w:r>
    </w:p>
    <w:p w14:paraId="66F383CC">
      <w:pPr>
        <w:tabs>
          <w:tab w:val="left" w:pos="0"/>
        </w:tabs>
        <w:spacing w:line="360" w:lineRule="auto"/>
        <w:ind w:firstLine="480"/>
        <w:rPr>
          <w:rFonts w:hint="eastAsia" w:ascii="宋体" w:hAnsi="宋体" w:eastAsia="宋体" w:cs="宋体"/>
          <w:b w:val="0"/>
          <w:bCs/>
          <w:snapToGrid/>
          <w:sz w:val="24"/>
          <w:szCs w:val="24"/>
          <w:highlight w:val="none"/>
          <w:lang w:val="en-US" w:eastAsia="zh-CN"/>
        </w:rPr>
      </w:pPr>
      <w:r>
        <w:rPr>
          <w:rFonts w:hint="eastAsia" w:ascii="宋体" w:hAnsi="宋体" w:eastAsia="宋体" w:cs="宋体"/>
          <w:b w:val="0"/>
          <w:bCs/>
          <w:snapToGrid/>
          <w:sz w:val="24"/>
          <w:szCs w:val="24"/>
          <w:highlight w:val="none"/>
          <w:lang w:val="en-US" w:eastAsia="zh-CN"/>
        </w:rPr>
        <w:t>202</w:t>
      </w:r>
      <w:r>
        <w:rPr>
          <w:rFonts w:hint="eastAsia" w:ascii="宋体" w:hAnsi="宋体" w:cs="宋体"/>
          <w:b w:val="0"/>
          <w:bCs/>
          <w:snapToGrid/>
          <w:sz w:val="24"/>
          <w:szCs w:val="24"/>
          <w:highlight w:val="none"/>
          <w:lang w:val="en-US" w:eastAsia="zh-CN"/>
        </w:rPr>
        <w:t>5</w:t>
      </w:r>
      <w:r>
        <w:rPr>
          <w:rFonts w:hint="eastAsia" w:ascii="宋体" w:hAnsi="宋体" w:eastAsia="宋体" w:cs="宋体"/>
          <w:b w:val="0"/>
          <w:bCs/>
          <w:snapToGrid/>
          <w:sz w:val="24"/>
          <w:szCs w:val="24"/>
          <w:highlight w:val="none"/>
          <w:lang w:val="en-US" w:eastAsia="zh-CN"/>
        </w:rPr>
        <w:t>年1</w:t>
      </w:r>
      <w:r>
        <w:rPr>
          <w:rFonts w:hint="eastAsia" w:ascii="宋体" w:hAnsi="宋体" w:cs="宋体"/>
          <w:b w:val="0"/>
          <w:bCs/>
          <w:snapToGrid/>
          <w:sz w:val="24"/>
          <w:szCs w:val="24"/>
          <w:highlight w:val="none"/>
          <w:lang w:val="en-US" w:eastAsia="zh-CN"/>
        </w:rPr>
        <w:t>1</w:t>
      </w:r>
      <w:r>
        <w:rPr>
          <w:rFonts w:hint="eastAsia" w:ascii="宋体" w:hAnsi="宋体" w:eastAsia="宋体" w:cs="宋体"/>
          <w:b w:val="0"/>
          <w:bCs/>
          <w:snapToGrid/>
          <w:sz w:val="24"/>
          <w:szCs w:val="24"/>
          <w:highlight w:val="none"/>
          <w:lang w:val="en-US" w:eastAsia="zh-CN"/>
        </w:rPr>
        <w:t>月-202</w:t>
      </w:r>
      <w:r>
        <w:rPr>
          <w:rFonts w:hint="eastAsia" w:ascii="宋体" w:hAnsi="宋体" w:cs="宋体"/>
          <w:b w:val="0"/>
          <w:bCs/>
          <w:snapToGrid/>
          <w:sz w:val="24"/>
          <w:szCs w:val="24"/>
          <w:highlight w:val="none"/>
          <w:lang w:val="en-US" w:eastAsia="zh-CN"/>
        </w:rPr>
        <w:t>6</w:t>
      </w:r>
      <w:r>
        <w:rPr>
          <w:rFonts w:hint="eastAsia" w:ascii="宋体" w:hAnsi="宋体" w:eastAsia="宋体" w:cs="宋体"/>
          <w:b w:val="0"/>
          <w:bCs/>
          <w:snapToGrid/>
          <w:sz w:val="24"/>
          <w:szCs w:val="24"/>
          <w:highlight w:val="none"/>
          <w:lang w:val="en-US" w:eastAsia="zh-CN"/>
        </w:rPr>
        <w:t>年</w:t>
      </w:r>
      <w:r>
        <w:rPr>
          <w:rFonts w:hint="eastAsia" w:ascii="宋体" w:hAnsi="宋体" w:cs="宋体"/>
          <w:b w:val="0"/>
          <w:bCs/>
          <w:snapToGrid/>
          <w:sz w:val="24"/>
          <w:szCs w:val="24"/>
          <w:highlight w:val="none"/>
          <w:lang w:val="en-US" w:eastAsia="zh-CN"/>
        </w:rPr>
        <w:t>8</w:t>
      </w:r>
      <w:r>
        <w:rPr>
          <w:rFonts w:hint="eastAsia" w:ascii="宋体" w:hAnsi="宋体" w:eastAsia="宋体" w:cs="宋体"/>
          <w:b w:val="0"/>
          <w:bCs/>
          <w:snapToGrid/>
          <w:sz w:val="24"/>
          <w:szCs w:val="24"/>
          <w:highlight w:val="none"/>
          <w:lang w:val="en-US" w:eastAsia="zh-CN"/>
        </w:rPr>
        <w:t>月</w:t>
      </w:r>
      <w:r>
        <w:rPr>
          <w:rFonts w:hint="eastAsia" w:ascii="宋体" w:hAnsi="宋体" w:eastAsia="宋体" w:cs="宋体"/>
          <w:b w:val="0"/>
          <w:bCs/>
          <w:snapToGrid/>
          <w:sz w:val="24"/>
          <w:szCs w:val="24"/>
          <w:highlight w:val="none"/>
          <w:lang w:val="en-US"/>
        </w:rPr>
        <w:t>每</w:t>
      </w:r>
      <w:r>
        <w:rPr>
          <w:rFonts w:hint="eastAsia" w:ascii="宋体" w:hAnsi="宋体" w:eastAsia="宋体" w:cs="宋体"/>
          <w:b w:val="0"/>
          <w:bCs/>
          <w:snapToGrid/>
          <w:sz w:val="24"/>
          <w:szCs w:val="24"/>
          <w:highlight w:val="none"/>
          <w:lang w:val="en-US" w:eastAsia="zh-CN"/>
        </w:rPr>
        <w:t>个月</w:t>
      </w:r>
      <w:r>
        <w:rPr>
          <w:rFonts w:hint="eastAsia" w:ascii="宋体" w:hAnsi="宋体" w:eastAsia="宋体" w:cs="宋体"/>
          <w:b w:val="0"/>
          <w:bCs/>
          <w:snapToGrid/>
          <w:sz w:val="24"/>
          <w:szCs w:val="24"/>
          <w:highlight w:val="none"/>
          <w:lang w:val="en-US"/>
        </w:rPr>
        <w:t>人工</w:t>
      </w:r>
      <w:r>
        <w:rPr>
          <w:rFonts w:hint="eastAsia" w:ascii="宋体" w:hAnsi="宋体" w:eastAsia="宋体" w:cs="宋体"/>
          <w:b w:val="0"/>
          <w:bCs/>
          <w:snapToGrid/>
          <w:sz w:val="24"/>
          <w:szCs w:val="24"/>
          <w:highlight w:val="none"/>
          <w:lang w:val="en-US" w:eastAsia="zh-CN"/>
        </w:rPr>
        <w:t>或使用</w:t>
      </w:r>
      <w:r>
        <w:rPr>
          <w:rFonts w:hint="eastAsia" w:ascii="宋体" w:hAnsi="宋体" w:eastAsia="宋体" w:cs="宋体"/>
          <w:b w:val="0"/>
          <w:bCs/>
          <w:snapToGrid/>
          <w:sz w:val="24"/>
          <w:szCs w:val="24"/>
          <w:highlight w:val="none"/>
          <w:lang w:val="en-US"/>
        </w:rPr>
        <w:t>无人机全面巡查一次</w:t>
      </w:r>
      <w:r>
        <w:rPr>
          <w:rFonts w:hint="eastAsia" w:ascii="宋体" w:hAnsi="宋体" w:eastAsia="宋体" w:cs="宋体"/>
          <w:b w:val="0"/>
          <w:bCs/>
          <w:snapToGrid/>
          <w:sz w:val="24"/>
          <w:szCs w:val="24"/>
          <w:highlight w:val="none"/>
          <w:lang w:val="en-US" w:eastAsia="zh-CN"/>
        </w:rPr>
        <w:t>九龙湖镇和澥浦镇松林</w:t>
      </w:r>
      <w:r>
        <w:rPr>
          <w:rFonts w:hint="eastAsia" w:ascii="宋体" w:hAnsi="宋体" w:eastAsia="宋体" w:cs="宋体"/>
          <w:b w:val="0"/>
          <w:bCs/>
          <w:snapToGrid/>
          <w:sz w:val="24"/>
          <w:szCs w:val="24"/>
          <w:highlight w:val="none"/>
          <w:lang w:val="en-US"/>
        </w:rPr>
        <w:t>区域，并出具监测报告，提交采购人确认</w:t>
      </w:r>
      <w:r>
        <w:rPr>
          <w:rFonts w:hint="eastAsia" w:ascii="宋体" w:hAnsi="宋体" w:eastAsia="宋体" w:cs="宋体"/>
          <w:b w:val="0"/>
          <w:bCs/>
          <w:snapToGrid/>
          <w:sz w:val="24"/>
          <w:szCs w:val="24"/>
          <w:highlight w:val="none"/>
          <w:lang w:val="en-US" w:eastAsia="zh-CN"/>
        </w:rPr>
        <w:t>。</w:t>
      </w:r>
    </w:p>
    <w:p w14:paraId="2636B62B">
      <w:pPr>
        <w:tabs>
          <w:tab w:val="left" w:pos="0"/>
        </w:tabs>
        <w:spacing w:line="360" w:lineRule="auto"/>
        <w:ind w:firstLine="480"/>
        <w:rPr>
          <w:rFonts w:hint="eastAsia" w:ascii="宋体" w:hAnsi="宋体" w:eastAsia="宋体" w:cs="宋体"/>
          <w:b/>
          <w:bCs w:val="0"/>
          <w:snapToGrid/>
          <w:sz w:val="24"/>
          <w:szCs w:val="24"/>
          <w:highlight w:val="none"/>
          <w:lang w:val="en-US" w:eastAsia="zh-CN"/>
        </w:rPr>
      </w:pPr>
      <w:r>
        <w:rPr>
          <w:rFonts w:hint="eastAsia" w:ascii="宋体" w:hAnsi="宋体" w:eastAsia="宋体" w:cs="宋体"/>
          <w:b/>
          <w:bCs w:val="0"/>
          <w:snapToGrid/>
          <w:sz w:val="24"/>
          <w:szCs w:val="24"/>
          <w:highlight w:val="none"/>
          <w:lang w:val="en-US" w:eastAsia="zh-CN"/>
        </w:rPr>
        <w:t>2、枯死木处理</w:t>
      </w:r>
    </w:p>
    <w:p w14:paraId="3C6F61BD">
      <w:pPr>
        <w:tabs>
          <w:tab w:val="left" w:pos="0"/>
        </w:tabs>
        <w:spacing w:line="360" w:lineRule="auto"/>
        <w:ind w:firstLine="480"/>
        <w:rPr>
          <w:rFonts w:hint="eastAsia" w:ascii="宋体" w:hAnsi="宋体" w:eastAsia="宋体" w:cs="宋体"/>
          <w:b w:val="0"/>
          <w:bCs/>
          <w:snapToGrid/>
          <w:sz w:val="24"/>
          <w:szCs w:val="24"/>
          <w:highlight w:val="none"/>
          <w:lang w:val="en-US"/>
        </w:rPr>
      </w:pPr>
      <w:r>
        <w:rPr>
          <w:rFonts w:hint="eastAsia" w:ascii="宋体" w:hAnsi="宋体" w:eastAsia="宋体" w:cs="宋体"/>
          <w:b w:val="0"/>
          <w:bCs/>
          <w:snapToGrid/>
          <w:sz w:val="24"/>
          <w:szCs w:val="24"/>
          <w:highlight w:val="none"/>
          <w:lang w:val="en-US"/>
        </w:rPr>
        <w:t>（1）清理范围及对象</w:t>
      </w:r>
    </w:p>
    <w:p w14:paraId="7D37E7B5">
      <w:pPr>
        <w:tabs>
          <w:tab w:val="left" w:pos="0"/>
        </w:tabs>
        <w:spacing w:line="360" w:lineRule="auto"/>
        <w:ind w:firstLine="480"/>
        <w:rPr>
          <w:rFonts w:hint="eastAsia" w:ascii="宋体" w:hAnsi="宋体" w:eastAsia="宋体" w:cs="宋体"/>
          <w:b w:val="0"/>
          <w:bCs/>
          <w:snapToGrid/>
          <w:sz w:val="24"/>
          <w:szCs w:val="24"/>
          <w:highlight w:val="none"/>
          <w:lang w:val="en-US"/>
        </w:rPr>
      </w:pPr>
      <w:r>
        <w:rPr>
          <w:rFonts w:hint="eastAsia" w:ascii="宋体" w:hAnsi="宋体" w:eastAsia="宋体" w:cs="宋体"/>
          <w:b w:val="0"/>
          <w:bCs/>
          <w:snapToGrid/>
          <w:sz w:val="24"/>
          <w:szCs w:val="24"/>
          <w:highlight w:val="none"/>
          <w:lang w:val="en-US"/>
        </w:rPr>
        <w:t>对</w:t>
      </w:r>
      <w:r>
        <w:rPr>
          <w:rFonts w:hint="eastAsia" w:ascii="宋体" w:hAnsi="宋体" w:eastAsia="宋体" w:cs="宋体"/>
          <w:b w:val="0"/>
          <w:bCs/>
          <w:snapToGrid/>
          <w:sz w:val="24"/>
          <w:szCs w:val="24"/>
          <w:highlight w:val="none"/>
          <w:lang w:val="en-US" w:eastAsia="zh-CN"/>
        </w:rPr>
        <w:t>九龙湖镇和澥浦镇全部</w:t>
      </w:r>
      <w:r>
        <w:rPr>
          <w:rFonts w:hint="eastAsia" w:ascii="宋体" w:hAnsi="宋体" w:eastAsia="宋体" w:cs="宋体"/>
          <w:b w:val="0"/>
          <w:bCs/>
          <w:snapToGrid/>
          <w:sz w:val="24"/>
          <w:szCs w:val="24"/>
          <w:highlight w:val="none"/>
          <w:lang w:val="en-US"/>
        </w:rPr>
        <w:t>松林中的病死（濒死、枯死、因灾致死）松树进行除治，每年11月至次年3月底集中清理，在集中除治期外，对零星死亡松树开展“即现即清”</w:t>
      </w:r>
      <w:r>
        <w:rPr>
          <w:rFonts w:hint="eastAsia" w:ascii="宋体" w:hAnsi="宋体" w:eastAsia="宋体" w:cs="宋体"/>
          <w:b w:val="0"/>
          <w:bCs/>
          <w:snapToGrid/>
          <w:sz w:val="24"/>
          <w:szCs w:val="24"/>
          <w:highlight w:val="none"/>
          <w:lang w:val="en-US" w:eastAsia="zh-CN"/>
        </w:rPr>
        <w:t>，严格要求“510”除治标准</w:t>
      </w:r>
      <w:r>
        <w:rPr>
          <w:rFonts w:hint="eastAsia" w:ascii="宋体" w:hAnsi="宋体" w:eastAsia="宋体" w:cs="宋体"/>
          <w:b w:val="0"/>
          <w:bCs/>
          <w:snapToGrid/>
          <w:sz w:val="24"/>
          <w:szCs w:val="24"/>
          <w:highlight w:val="none"/>
          <w:lang w:val="en-US"/>
        </w:rPr>
        <w:t>。</w:t>
      </w:r>
    </w:p>
    <w:p w14:paraId="1279DA4C">
      <w:pPr>
        <w:tabs>
          <w:tab w:val="left" w:pos="0"/>
        </w:tabs>
        <w:spacing w:line="360" w:lineRule="auto"/>
        <w:ind w:firstLine="480"/>
        <w:rPr>
          <w:rFonts w:hint="eastAsia" w:ascii="宋体" w:hAnsi="宋体" w:eastAsia="宋体" w:cs="宋体"/>
          <w:b w:val="0"/>
          <w:bCs/>
          <w:snapToGrid/>
          <w:sz w:val="24"/>
          <w:szCs w:val="24"/>
          <w:highlight w:val="none"/>
          <w:lang w:val="en-US"/>
        </w:rPr>
      </w:pPr>
      <w:r>
        <w:rPr>
          <w:rFonts w:hint="eastAsia" w:ascii="宋体" w:hAnsi="宋体" w:eastAsia="宋体" w:cs="宋体"/>
          <w:b w:val="0"/>
          <w:bCs/>
          <w:snapToGrid/>
          <w:sz w:val="24"/>
          <w:szCs w:val="24"/>
          <w:highlight w:val="none"/>
          <w:lang w:val="en-US"/>
        </w:rPr>
        <w:t>（2）枯死木</w:t>
      </w:r>
      <w:r>
        <w:rPr>
          <w:rFonts w:hint="eastAsia" w:ascii="宋体" w:hAnsi="宋体" w:eastAsia="宋体" w:cs="宋体"/>
          <w:b w:val="0"/>
          <w:bCs/>
          <w:snapToGrid/>
          <w:sz w:val="24"/>
          <w:szCs w:val="24"/>
          <w:highlight w:val="none"/>
          <w:lang w:val="en-US" w:eastAsia="zh-CN"/>
        </w:rPr>
        <w:t>和枝桠</w:t>
      </w:r>
      <w:r>
        <w:rPr>
          <w:rFonts w:hint="eastAsia" w:ascii="宋体" w:hAnsi="宋体" w:eastAsia="宋体" w:cs="宋体"/>
          <w:b w:val="0"/>
          <w:bCs/>
          <w:snapToGrid/>
          <w:sz w:val="24"/>
          <w:szCs w:val="24"/>
          <w:highlight w:val="none"/>
          <w:lang w:val="en-US"/>
        </w:rPr>
        <w:t>清理技术要求</w:t>
      </w:r>
    </w:p>
    <w:p w14:paraId="4B577808">
      <w:pPr>
        <w:tabs>
          <w:tab w:val="left" w:pos="0"/>
        </w:tabs>
        <w:spacing w:line="360" w:lineRule="auto"/>
        <w:ind w:firstLine="480"/>
        <w:rPr>
          <w:rFonts w:hint="eastAsia" w:ascii="宋体" w:hAnsi="宋体" w:eastAsia="宋体" w:cs="宋体"/>
          <w:b w:val="0"/>
          <w:bCs/>
          <w:snapToGrid/>
          <w:color w:val="auto"/>
          <w:sz w:val="24"/>
          <w:szCs w:val="24"/>
          <w:highlight w:val="none"/>
          <w:lang w:val="en-US"/>
        </w:rPr>
      </w:pPr>
      <w:r>
        <w:rPr>
          <w:rFonts w:hint="eastAsia" w:ascii="宋体" w:hAnsi="宋体" w:eastAsia="宋体" w:cs="宋体"/>
          <w:b w:val="0"/>
          <w:bCs/>
          <w:snapToGrid/>
          <w:color w:val="auto"/>
          <w:sz w:val="24"/>
          <w:szCs w:val="24"/>
          <w:highlight w:val="none"/>
          <w:lang w:val="en-US"/>
        </w:rPr>
        <w:t>当日采伐量根据疫木处理能力和监管能力决定，合理安排疫木采伐进度，确保当日采伐当日除害处理，防止枯死木外流，避免造成疫情扩散。伐桩高度以上坡方向高度为准</w:t>
      </w:r>
      <w:r>
        <w:rPr>
          <w:rFonts w:hint="eastAsia" w:ascii="宋体" w:hAnsi="宋体" w:cs="宋体"/>
          <w:b w:val="0"/>
          <w:bCs/>
          <w:snapToGrid/>
          <w:color w:val="auto"/>
          <w:sz w:val="24"/>
          <w:szCs w:val="24"/>
          <w:highlight w:val="none"/>
          <w:lang w:val="en-US" w:eastAsia="zh-CN"/>
        </w:rPr>
        <w:t>，</w:t>
      </w:r>
      <w:r>
        <w:rPr>
          <w:rFonts w:hint="eastAsia" w:ascii="宋体" w:hAnsi="宋体" w:eastAsia="宋体" w:cs="宋体"/>
          <w:b w:val="0"/>
          <w:bCs/>
          <w:snapToGrid/>
          <w:color w:val="auto"/>
          <w:sz w:val="24"/>
          <w:szCs w:val="24"/>
          <w:highlight w:val="none"/>
          <w:lang w:val="en-US"/>
        </w:rPr>
        <w:t>不得超过5厘米。采伐的枯死木和直径超过1.0厘米的枝桠必须下山于指定处烧毁处置。中标人必须按技术要求无偿进行清理。</w:t>
      </w:r>
    </w:p>
    <w:p w14:paraId="271F4794">
      <w:pPr>
        <w:tabs>
          <w:tab w:val="left" w:pos="0"/>
        </w:tabs>
        <w:spacing w:line="360" w:lineRule="auto"/>
        <w:ind w:firstLine="480"/>
        <w:rPr>
          <w:rFonts w:hint="eastAsia" w:ascii="宋体" w:hAnsi="宋体" w:eastAsia="宋体" w:cs="宋体"/>
          <w:b w:val="0"/>
          <w:bCs/>
          <w:snapToGrid/>
          <w:sz w:val="24"/>
          <w:szCs w:val="24"/>
          <w:highlight w:val="none"/>
          <w:lang w:val="en-US"/>
        </w:rPr>
      </w:pPr>
      <w:r>
        <w:rPr>
          <w:rFonts w:hint="eastAsia" w:ascii="宋体" w:hAnsi="宋体" w:eastAsia="宋体" w:cs="宋体"/>
          <w:b w:val="0"/>
          <w:bCs/>
          <w:snapToGrid/>
          <w:sz w:val="24"/>
          <w:szCs w:val="24"/>
          <w:highlight w:val="none"/>
          <w:lang w:val="en-US"/>
        </w:rPr>
        <w:t>（3）清理操作规范</w:t>
      </w:r>
    </w:p>
    <w:p w14:paraId="3054CE4E">
      <w:pPr>
        <w:tabs>
          <w:tab w:val="left" w:pos="0"/>
        </w:tabs>
        <w:spacing w:line="360" w:lineRule="auto"/>
        <w:ind w:firstLine="480"/>
        <w:rPr>
          <w:rFonts w:hint="eastAsia" w:ascii="宋体" w:hAnsi="宋体" w:eastAsia="宋体" w:cs="宋体"/>
          <w:b w:val="0"/>
          <w:bCs/>
          <w:snapToGrid/>
          <w:sz w:val="24"/>
          <w:szCs w:val="24"/>
          <w:highlight w:val="none"/>
          <w:lang w:val="en-US"/>
        </w:rPr>
      </w:pPr>
      <w:r>
        <w:rPr>
          <w:rFonts w:hint="eastAsia" w:ascii="宋体" w:hAnsi="宋体" w:eastAsia="宋体" w:cs="宋体"/>
          <w:b w:val="0"/>
          <w:bCs/>
          <w:snapToGrid/>
          <w:sz w:val="24"/>
          <w:szCs w:val="24"/>
          <w:highlight w:val="none"/>
          <w:lang w:val="en-US"/>
        </w:rPr>
        <w:t>①封锁现场。任何无关人员及车辆不得随意进入</w:t>
      </w:r>
      <w:r>
        <w:rPr>
          <w:rFonts w:hint="eastAsia" w:ascii="宋体" w:hAnsi="宋体" w:eastAsia="宋体" w:cs="宋体"/>
          <w:b w:val="0"/>
          <w:bCs/>
          <w:snapToGrid/>
          <w:sz w:val="24"/>
          <w:szCs w:val="24"/>
          <w:highlight w:val="none"/>
          <w:lang w:val="en-US" w:eastAsia="zh-CN"/>
        </w:rPr>
        <w:t>枯死木</w:t>
      </w:r>
      <w:r>
        <w:rPr>
          <w:rFonts w:hint="eastAsia" w:ascii="宋体" w:hAnsi="宋体" w:eastAsia="宋体" w:cs="宋体"/>
          <w:b w:val="0"/>
          <w:bCs/>
          <w:snapToGrid/>
          <w:sz w:val="24"/>
          <w:szCs w:val="24"/>
          <w:highlight w:val="none"/>
          <w:lang w:val="en-US"/>
        </w:rPr>
        <w:t>采伐和清理处理区域，由</w:t>
      </w:r>
      <w:r>
        <w:rPr>
          <w:rFonts w:hint="eastAsia" w:ascii="宋体" w:hAnsi="宋体" w:eastAsia="宋体" w:cs="宋体"/>
          <w:b w:val="0"/>
          <w:bCs/>
          <w:snapToGrid/>
          <w:sz w:val="24"/>
          <w:szCs w:val="24"/>
          <w:highlight w:val="none"/>
          <w:lang w:val="en-US" w:eastAsia="zh-CN"/>
        </w:rPr>
        <w:t>中标人</w:t>
      </w:r>
      <w:r>
        <w:rPr>
          <w:rFonts w:hint="eastAsia" w:ascii="宋体" w:hAnsi="宋体" w:eastAsia="宋体" w:cs="宋体"/>
          <w:b w:val="0"/>
          <w:bCs/>
          <w:snapToGrid/>
          <w:sz w:val="24"/>
          <w:szCs w:val="24"/>
          <w:highlight w:val="none"/>
          <w:lang w:val="en-US"/>
        </w:rPr>
        <w:t>设立巡查小组，做好安全警戒工作，杜绝</w:t>
      </w:r>
      <w:r>
        <w:rPr>
          <w:rFonts w:hint="eastAsia" w:ascii="宋体" w:hAnsi="宋体" w:eastAsia="宋体" w:cs="宋体"/>
          <w:b w:val="0"/>
          <w:bCs/>
          <w:snapToGrid/>
          <w:sz w:val="24"/>
          <w:szCs w:val="24"/>
          <w:highlight w:val="none"/>
          <w:lang w:val="en-US" w:eastAsia="zh-CN"/>
        </w:rPr>
        <w:t>枯死木</w:t>
      </w:r>
      <w:r>
        <w:rPr>
          <w:rFonts w:hint="eastAsia" w:ascii="宋体" w:hAnsi="宋体" w:eastAsia="宋体" w:cs="宋体"/>
          <w:b w:val="0"/>
          <w:bCs/>
          <w:snapToGrid/>
          <w:sz w:val="24"/>
          <w:szCs w:val="24"/>
          <w:highlight w:val="none"/>
          <w:lang w:val="en-US"/>
        </w:rPr>
        <w:t>流失。</w:t>
      </w:r>
    </w:p>
    <w:p w14:paraId="4CD8B87A">
      <w:pPr>
        <w:tabs>
          <w:tab w:val="left" w:pos="0"/>
        </w:tabs>
        <w:spacing w:line="360" w:lineRule="auto"/>
        <w:ind w:firstLine="480"/>
        <w:rPr>
          <w:rFonts w:hint="eastAsia" w:ascii="宋体" w:hAnsi="宋体" w:eastAsia="宋体" w:cs="宋体"/>
          <w:b w:val="0"/>
          <w:bCs/>
          <w:snapToGrid/>
          <w:sz w:val="24"/>
          <w:szCs w:val="24"/>
          <w:highlight w:val="none"/>
          <w:lang w:val="en-US"/>
        </w:rPr>
      </w:pPr>
      <w:r>
        <w:rPr>
          <w:rFonts w:hint="eastAsia" w:ascii="宋体" w:hAnsi="宋体" w:eastAsia="宋体" w:cs="宋体"/>
          <w:b w:val="0"/>
          <w:bCs/>
          <w:snapToGrid/>
          <w:sz w:val="24"/>
          <w:szCs w:val="24"/>
          <w:highlight w:val="none"/>
          <w:lang w:val="en-US"/>
        </w:rPr>
        <w:t>②枯死木采伐。枯死木当日采伐当日处理。每天的采伐量须根据当日处理量决定，伐倒的枯死木必须当天进行除害处理，防止</w:t>
      </w:r>
      <w:r>
        <w:rPr>
          <w:rFonts w:hint="eastAsia" w:ascii="宋体" w:hAnsi="宋体" w:eastAsia="宋体" w:cs="宋体"/>
          <w:b w:val="0"/>
          <w:bCs/>
          <w:snapToGrid/>
          <w:sz w:val="24"/>
          <w:szCs w:val="24"/>
          <w:highlight w:val="none"/>
          <w:lang w:val="en-US" w:eastAsia="zh-CN"/>
        </w:rPr>
        <w:t>枯死木</w:t>
      </w:r>
      <w:r>
        <w:rPr>
          <w:rFonts w:hint="eastAsia" w:ascii="宋体" w:hAnsi="宋体" w:eastAsia="宋体" w:cs="宋体"/>
          <w:b w:val="0"/>
          <w:bCs/>
          <w:snapToGrid/>
          <w:sz w:val="24"/>
          <w:szCs w:val="24"/>
          <w:highlight w:val="none"/>
          <w:lang w:val="en-US"/>
        </w:rPr>
        <w:t>流失造成疫情扩散。</w:t>
      </w:r>
    </w:p>
    <w:p w14:paraId="28B347BB">
      <w:pPr>
        <w:tabs>
          <w:tab w:val="left" w:pos="0"/>
        </w:tabs>
        <w:spacing w:line="360" w:lineRule="auto"/>
        <w:ind w:firstLine="480"/>
        <w:rPr>
          <w:rFonts w:hint="eastAsia" w:ascii="宋体" w:hAnsi="宋体" w:eastAsia="宋体" w:cs="宋体"/>
          <w:b w:val="0"/>
          <w:bCs/>
          <w:snapToGrid/>
          <w:sz w:val="24"/>
          <w:szCs w:val="24"/>
          <w:highlight w:val="none"/>
          <w:lang w:val="en-US"/>
        </w:rPr>
      </w:pPr>
      <w:r>
        <w:rPr>
          <w:rFonts w:hint="eastAsia" w:ascii="宋体" w:hAnsi="宋体" w:eastAsia="宋体" w:cs="宋体"/>
          <w:b w:val="0"/>
          <w:bCs/>
          <w:snapToGrid/>
          <w:sz w:val="24"/>
          <w:szCs w:val="24"/>
          <w:highlight w:val="none"/>
          <w:lang w:val="en-US"/>
        </w:rPr>
        <w:t>③清理物归堆集中烧毁要充分考虑到环境及气候条件的实际情况，最大火场不能超过2.5个立方米。焚烧开始时尽可能少放枝条，待碳炙火旺后再适当加大枝条投放量，以防烟雾过大加重空气污染。烧毁的枯死木除治物要符合碳化程度的规定，不能出现有木质部尚且完好的木段遗留火场。燃尽剩下的灰烬可就地堆放，如遇较大的灰烬堆阻碍施工或者通行，可以就地摊开摊薄。</w:t>
      </w:r>
    </w:p>
    <w:p w14:paraId="41D08345">
      <w:pPr>
        <w:tabs>
          <w:tab w:val="left" w:pos="0"/>
        </w:tabs>
        <w:spacing w:line="360" w:lineRule="auto"/>
        <w:ind w:firstLine="480"/>
        <w:rPr>
          <w:rFonts w:hint="eastAsia" w:ascii="宋体" w:hAnsi="宋体" w:eastAsia="宋体" w:cs="宋体"/>
          <w:b w:val="0"/>
          <w:bCs/>
          <w:snapToGrid/>
          <w:sz w:val="24"/>
          <w:szCs w:val="24"/>
          <w:highlight w:val="none"/>
          <w:lang w:val="en-US"/>
        </w:rPr>
      </w:pPr>
      <w:r>
        <w:rPr>
          <w:rFonts w:hint="eastAsia" w:ascii="宋体" w:hAnsi="宋体" w:eastAsia="宋体" w:cs="宋体"/>
          <w:b w:val="0"/>
          <w:bCs/>
          <w:snapToGrid/>
          <w:sz w:val="24"/>
          <w:szCs w:val="24"/>
          <w:highlight w:val="none"/>
          <w:lang w:val="en-US"/>
        </w:rPr>
        <w:t>④做好用火安全工作。</w:t>
      </w:r>
      <w:r>
        <w:rPr>
          <w:rFonts w:hint="eastAsia" w:ascii="宋体" w:hAnsi="宋体" w:eastAsia="宋体" w:cs="宋体"/>
          <w:b w:val="0"/>
          <w:bCs/>
          <w:snapToGrid/>
          <w:sz w:val="24"/>
          <w:szCs w:val="24"/>
          <w:highlight w:val="none"/>
          <w:lang w:val="en-US" w:eastAsia="zh-CN"/>
        </w:rPr>
        <w:t>分局</w:t>
      </w:r>
      <w:r>
        <w:rPr>
          <w:rFonts w:hint="eastAsia" w:ascii="宋体" w:hAnsi="宋体" w:eastAsia="宋体" w:cs="宋体"/>
          <w:b w:val="0"/>
          <w:bCs/>
          <w:snapToGrid/>
          <w:sz w:val="24"/>
          <w:szCs w:val="24"/>
          <w:highlight w:val="none"/>
          <w:lang w:val="en-US"/>
        </w:rPr>
        <w:t>负责枯死木清理过程中的安全生产督查和指导，避免发生安全生产事故。焚烧现场要开辟足够的安全距离区域作为安全隔离带，焚烧区外围边距必须足够的清空区域，在确定无隐患后方可对销毁物进行点火。</w:t>
      </w:r>
      <w:r>
        <w:rPr>
          <w:rFonts w:hint="eastAsia" w:ascii="宋体" w:hAnsi="宋体" w:eastAsia="宋体" w:cs="宋体"/>
          <w:b w:val="0"/>
          <w:bCs/>
          <w:snapToGrid/>
          <w:sz w:val="24"/>
          <w:szCs w:val="24"/>
          <w:highlight w:val="none"/>
          <w:lang w:val="en-US" w:eastAsia="zh-CN"/>
        </w:rPr>
        <w:t>中标人</w:t>
      </w:r>
      <w:r>
        <w:rPr>
          <w:rFonts w:hint="eastAsia" w:ascii="宋体" w:hAnsi="宋体" w:eastAsia="宋体" w:cs="宋体"/>
          <w:b w:val="0"/>
          <w:bCs/>
          <w:snapToGrid/>
          <w:sz w:val="24"/>
          <w:szCs w:val="24"/>
          <w:highlight w:val="none"/>
          <w:lang w:val="en-US"/>
        </w:rPr>
        <w:t>要对焚烧过程中所产生的烟气作妥善处置，降低对环境空气的不利影响（尽可能避开雾霾、阴霾天气焚烧）。焚烧应合理安排时间，并按照当地气象部门有关大气污染预警响应的通知要求执行。加强对</w:t>
      </w:r>
      <w:r>
        <w:rPr>
          <w:rFonts w:hint="eastAsia" w:ascii="宋体" w:hAnsi="宋体" w:eastAsia="宋体" w:cs="宋体"/>
          <w:b w:val="0"/>
          <w:bCs/>
          <w:snapToGrid/>
          <w:sz w:val="24"/>
          <w:szCs w:val="24"/>
          <w:highlight w:val="none"/>
          <w:lang w:val="en-US" w:eastAsia="zh-CN"/>
        </w:rPr>
        <w:t>作业</w:t>
      </w:r>
      <w:r>
        <w:rPr>
          <w:rFonts w:hint="eastAsia" w:ascii="宋体" w:hAnsi="宋体" w:eastAsia="宋体" w:cs="宋体"/>
          <w:b w:val="0"/>
          <w:bCs/>
          <w:snapToGrid/>
          <w:sz w:val="24"/>
          <w:szCs w:val="24"/>
          <w:highlight w:val="none"/>
          <w:lang w:val="en-US"/>
        </w:rPr>
        <w:t>人员的用火安全培训，组建相关的防火队伍，并配备相应的灭火器材。火堆必须保持有人看管，焚烧除治结束后，看管火堆的人员必须等到火苗熄尽，确认现场不再有火星后方可离开现场。在疫木焚烧时必须自觉做到“五不烧”（即∶风力在三级以上不烧；火险天气等级在四级（含四级）以上不烧；扑火工具不到位不烧；用火责任人不在场不烧；上山火不烧，严防走火）。</w:t>
      </w:r>
    </w:p>
    <w:p w14:paraId="0E76C665">
      <w:pPr>
        <w:tabs>
          <w:tab w:val="left" w:pos="0"/>
        </w:tabs>
        <w:spacing w:line="360" w:lineRule="auto"/>
        <w:ind w:firstLine="480"/>
        <w:rPr>
          <w:rFonts w:hint="eastAsia" w:ascii="宋体" w:hAnsi="宋体" w:eastAsia="宋体" w:cs="宋体"/>
          <w:b w:val="0"/>
          <w:bCs/>
          <w:snapToGrid/>
          <w:color w:val="auto"/>
          <w:sz w:val="24"/>
          <w:szCs w:val="24"/>
          <w:highlight w:val="none"/>
          <w:lang w:val="en-US"/>
        </w:rPr>
      </w:pPr>
      <w:r>
        <w:rPr>
          <w:rFonts w:hint="eastAsia" w:ascii="宋体" w:hAnsi="宋体" w:eastAsia="宋体" w:cs="宋体"/>
          <w:b w:val="0"/>
          <w:bCs/>
          <w:snapToGrid/>
          <w:color w:val="auto"/>
          <w:sz w:val="24"/>
          <w:szCs w:val="24"/>
          <w:highlight w:val="none"/>
          <w:lang w:val="en-US"/>
        </w:rPr>
        <w:t>（4）清理</w:t>
      </w:r>
      <w:r>
        <w:rPr>
          <w:rFonts w:hint="eastAsia" w:ascii="宋体" w:hAnsi="宋体" w:eastAsia="宋体" w:cs="宋体"/>
          <w:b w:val="0"/>
          <w:bCs/>
          <w:snapToGrid/>
          <w:color w:val="auto"/>
          <w:sz w:val="24"/>
          <w:szCs w:val="24"/>
          <w:highlight w:val="none"/>
          <w:lang w:val="en-US" w:eastAsia="zh-CN"/>
        </w:rPr>
        <w:t>过程</w:t>
      </w:r>
      <w:r>
        <w:rPr>
          <w:rFonts w:hint="eastAsia" w:ascii="宋体" w:hAnsi="宋体" w:eastAsia="宋体" w:cs="宋体"/>
          <w:b w:val="0"/>
          <w:bCs/>
          <w:snapToGrid/>
          <w:color w:val="auto"/>
          <w:sz w:val="24"/>
          <w:szCs w:val="24"/>
          <w:highlight w:val="none"/>
          <w:lang w:val="en-US"/>
        </w:rPr>
        <w:t>监管</w:t>
      </w:r>
    </w:p>
    <w:p w14:paraId="33CA4D4A">
      <w:pPr>
        <w:tabs>
          <w:tab w:val="left" w:pos="0"/>
        </w:tabs>
        <w:spacing w:line="360" w:lineRule="auto"/>
        <w:ind w:firstLine="480"/>
        <w:rPr>
          <w:rFonts w:hint="eastAsia" w:ascii="宋体" w:hAnsi="宋体" w:eastAsia="宋体" w:cs="宋体"/>
          <w:b w:val="0"/>
          <w:bCs/>
          <w:snapToGrid/>
          <w:color w:val="auto"/>
          <w:sz w:val="24"/>
          <w:szCs w:val="24"/>
          <w:highlight w:val="none"/>
          <w:lang w:val="en-US"/>
        </w:rPr>
      </w:pPr>
      <w:r>
        <w:rPr>
          <w:rFonts w:hint="eastAsia" w:ascii="宋体" w:hAnsi="宋体" w:eastAsia="宋体" w:cs="宋体"/>
          <w:b w:val="0"/>
          <w:bCs/>
          <w:snapToGrid/>
          <w:color w:val="auto"/>
          <w:sz w:val="24"/>
          <w:szCs w:val="24"/>
          <w:highlight w:val="none"/>
          <w:lang w:val="en-US"/>
        </w:rPr>
        <w:t>由</w:t>
      </w:r>
      <w:r>
        <w:rPr>
          <w:rFonts w:hint="eastAsia" w:ascii="宋体" w:hAnsi="宋体" w:eastAsia="宋体" w:cs="宋体"/>
          <w:b w:val="0"/>
          <w:bCs/>
          <w:snapToGrid/>
          <w:color w:val="auto"/>
          <w:sz w:val="24"/>
          <w:szCs w:val="24"/>
          <w:highlight w:val="none"/>
          <w:lang w:val="en-US" w:eastAsia="zh-CN"/>
        </w:rPr>
        <w:t>采购人</w:t>
      </w:r>
      <w:r>
        <w:rPr>
          <w:rFonts w:hint="eastAsia" w:ascii="宋体" w:hAnsi="宋体" w:eastAsia="宋体" w:cs="宋体"/>
          <w:b w:val="0"/>
          <w:bCs/>
          <w:snapToGrid/>
          <w:color w:val="auto"/>
          <w:sz w:val="24"/>
          <w:szCs w:val="24"/>
          <w:highlight w:val="none"/>
          <w:lang w:val="en-US"/>
        </w:rPr>
        <w:t>委托第三方做好</w:t>
      </w:r>
      <w:r>
        <w:rPr>
          <w:rFonts w:hint="eastAsia" w:ascii="宋体" w:hAnsi="宋体" w:eastAsia="宋体" w:cs="宋体"/>
          <w:b w:val="0"/>
          <w:bCs/>
          <w:snapToGrid/>
          <w:color w:val="auto"/>
          <w:sz w:val="24"/>
          <w:szCs w:val="24"/>
          <w:highlight w:val="none"/>
          <w:lang w:val="en-US" w:eastAsia="zh-CN"/>
        </w:rPr>
        <w:t>质量</w:t>
      </w:r>
      <w:r>
        <w:rPr>
          <w:rFonts w:hint="eastAsia" w:ascii="宋体" w:hAnsi="宋体" w:eastAsia="宋体" w:cs="宋体"/>
          <w:b w:val="0"/>
          <w:bCs/>
          <w:snapToGrid/>
          <w:color w:val="auto"/>
          <w:sz w:val="24"/>
          <w:szCs w:val="24"/>
          <w:highlight w:val="none"/>
          <w:lang w:val="en-US"/>
        </w:rPr>
        <w:t>监管，主要负责</w:t>
      </w:r>
      <w:r>
        <w:rPr>
          <w:rFonts w:hint="eastAsia" w:ascii="宋体" w:hAnsi="宋体" w:eastAsia="宋体" w:cs="宋体"/>
          <w:b w:val="0"/>
          <w:bCs/>
          <w:snapToGrid/>
          <w:color w:val="auto"/>
          <w:sz w:val="24"/>
          <w:szCs w:val="24"/>
          <w:highlight w:val="none"/>
          <w:lang w:val="en-US" w:eastAsia="zh-CN"/>
        </w:rPr>
        <w:t>枯死木</w:t>
      </w:r>
      <w:r>
        <w:rPr>
          <w:rFonts w:hint="eastAsia" w:ascii="宋体" w:hAnsi="宋体" w:eastAsia="宋体" w:cs="宋体"/>
          <w:b w:val="0"/>
          <w:bCs/>
          <w:snapToGrid/>
          <w:color w:val="auto"/>
          <w:sz w:val="24"/>
          <w:szCs w:val="24"/>
          <w:highlight w:val="none"/>
          <w:lang w:val="en-US"/>
        </w:rPr>
        <w:t>清理</w:t>
      </w:r>
      <w:r>
        <w:rPr>
          <w:rFonts w:hint="eastAsia" w:ascii="宋体" w:hAnsi="宋体" w:eastAsia="宋体" w:cs="宋体"/>
          <w:b w:val="0"/>
          <w:bCs/>
          <w:snapToGrid/>
          <w:color w:val="auto"/>
          <w:sz w:val="24"/>
          <w:szCs w:val="24"/>
          <w:highlight w:val="none"/>
          <w:lang w:val="en-US" w:eastAsia="zh-CN"/>
        </w:rPr>
        <w:t>和打针注药</w:t>
      </w:r>
      <w:r>
        <w:rPr>
          <w:rFonts w:hint="eastAsia" w:ascii="宋体" w:hAnsi="宋体" w:eastAsia="宋体" w:cs="宋体"/>
          <w:b w:val="0"/>
          <w:bCs/>
          <w:snapToGrid/>
          <w:color w:val="auto"/>
          <w:sz w:val="24"/>
          <w:szCs w:val="24"/>
          <w:highlight w:val="none"/>
          <w:lang w:val="en-US"/>
        </w:rPr>
        <w:t>的</w:t>
      </w:r>
      <w:r>
        <w:rPr>
          <w:rFonts w:hint="eastAsia" w:ascii="宋体" w:hAnsi="宋体" w:eastAsia="宋体" w:cs="宋体"/>
          <w:b w:val="0"/>
          <w:bCs/>
          <w:snapToGrid/>
          <w:color w:val="auto"/>
          <w:sz w:val="24"/>
          <w:szCs w:val="24"/>
          <w:highlight w:val="none"/>
          <w:lang w:val="en-US" w:eastAsia="zh-CN"/>
        </w:rPr>
        <w:t>质量</w:t>
      </w:r>
      <w:r>
        <w:rPr>
          <w:rFonts w:hint="eastAsia" w:ascii="宋体" w:hAnsi="宋体" w:eastAsia="宋体" w:cs="宋体"/>
          <w:b w:val="0"/>
          <w:bCs/>
          <w:snapToGrid/>
          <w:color w:val="auto"/>
          <w:sz w:val="24"/>
          <w:szCs w:val="24"/>
          <w:highlight w:val="none"/>
          <w:lang w:val="en-US"/>
        </w:rPr>
        <w:t>监管工作，</w:t>
      </w:r>
      <w:r>
        <w:rPr>
          <w:rFonts w:hint="eastAsia" w:ascii="宋体" w:hAnsi="宋体" w:eastAsia="宋体" w:cs="宋体"/>
          <w:b w:val="0"/>
          <w:bCs/>
          <w:snapToGrid/>
          <w:color w:val="auto"/>
          <w:sz w:val="24"/>
          <w:szCs w:val="24"/>
          <w:highlight w:val="none"/>
          <w:lang w:val="en-US" w:eastAsia="zh-CN"/>
        </w:rPr>
        <w:t>根据防治方案技术要求标准，检查中标人</w:t>
      </w:r>
      <w:r>
        <w:rPr>
          <w:rFonts w:hint="eastAsia" w:ascii="宋体" w:hAnsi="宋体" w:eastAsia="宋体" w:cs="宋体"/>
          <w:b w:val="0"/>
          <w:bCs/>
          <w:snapToGrid/>
          <w:color w:val="auto"/>
          <w:sz w:val="24"/>
          <w:szCs w:val="24"/>
          <w:highlight w:val="none"/>
          <w:lang w:val="en-US"/>
        </w:rPr>
        <w:t>山场枯死木的砍伐、清理、焚烧</w:t>
      </w:r>
      <w:r>
        <w:rPr>
          <w:rFonts w:hint="eastAsia" w:ascii="宋体" w:hAnsi="宋体" w:eastAsia="宋体" w:cs="宋体"/>
          <w:b w:val="0"/>
          <w:bCs/>
          <w:snapToGrid/>
          <w:color w:val="auto"/>
          <w:sz w:val="24"/>
          <w:szCs w:val="24"/>
          <w:highlight w:val="none"/>
          <w:lang w:val="en-US" w:eastAsia="zh-CN"/>
        </w:rPr>
        <w:t>以及打针注药</w:t>
      </w:r>
      <w:r>
        <w:rPr>
          <w:rFonts w:hint="eastAsia" w:ascii="宋体" w:hAnsi="宋体" w:eastAsia="宋体" w:cs="宋体"/>
          <w:b w:val="0"/>
          <w:bCs/>
          <w:snapToGrid/>
          <w:color w:val="auto"/>
          <w:sz w:val="24"/>
          <w:szCs w:val="24"/>
          <w:highlight w:val="none"/>
          <w:lang w:val="en-US"/>
        </w:rPr>
        <w:t>的工作和效果，录像或拍照保存，做好各类台账，做到严格监管和及时</w:t>
      </w:r>
      <w:r>
        <w:rPr>
          <w:rFonts w:hint="eastAsia" w:ascii="宋体" w:hAnsi="宋体" w:eastAsia="宋体" w:cs="宋体"/>
          <w:b w:val="0"/>
          <w:bCs/>
          <w:snapToGrid/>
          <w:color w:val="auto"/>
          <w:sz w:val="24"/>
          <w:szCs w:val="24"/>
          <w:highlight w:val="none"/>
          <w:lang w:val="en-US" w:eastAsia="zh-CN"/>
        </w:rPr>
        <w:t>报告。</w:t>
      </w:r>
      <w:r>
        <w:rPr>
          <w:rFonts w:hint="eastAsia" w:ascii="宋体" w:hAnsi="宋体" w:cs="宋体"/>
          <w:b w:val="0"/>
          <w:bCs/>
          <w:snapToGrid/>
          <w:color w:val="auto"/>
          <w:sz w:val="24"/>
          <w:szCs w:val="24"/>
          <w:highlight w:val="none"/>
          <w:lang w:val="en-US" w:eastAsia="zh-CN"/>
        </w:rPr>
        <w:t>乡</w:t>
      </w:r>
      <w:r>
        <w:rPr>
          <w:rFonts w:hint="eastAsia" w:ascii="宋体" w:hAnsi="宋体" w:eastAsia="宋体" w:cs="宋体"/>
          <w:b w:val="0"/>
          <w:bCs/>
          <w:snapToGrid/>
          <w:color w:val="auto"/>
          <w:sz w:val="24"/>
          <w:szCs w:val="24"/>
          <w:highlight w:val="none"/>
          <w:lang w:val="en-US" w:eastAsia="zh-CN"/>
        </w:rPr>
        <w:t>镇负责施工现场监管，包括安全生产、疫木管理、森林防火等各方面工作，及时发现并处置不符合规范的行为，</w:t>
      </w:r>
      <w:r>
        <w:rPr>
          <w:rFonts w:hint="eastAsia" w:ascii="宋体" w:hAnsi="宋体" w:eastAsia="宋体" w:cs="宋体"/>
          <w:b w:val="0"/>
          <w:bCs/>
          <w:snapToGrid/>
          <w:color w:val="auto"/>
          <w:sz w:val="24"/>
          <w:szCs w:val="24"/>
          <w:highlight w:val="none"/>
          <w:lang w:val="en-US"/>
        </w:rPr>
        <w:t>严防疫木流失，严防疫情扩散。</w:t>
      </w:r>
      <w:r>
        <w:rPr>
          <w:rFonts w:hint="eastAsia" w:ascii="宋体" w:hAnsi="宋体" w:eastAsia="宋体" w:cs="宋体"/>
          <w:b w:val="0"/>
          <w:bCs/>
          <w:snapToGrid/>
          <w:color w:val="auto"/>
          <w:sz w:val="24"/>
          <w:szCs w:val="24"/>
          <w:highlight w:val="none"/>
          <w:lang w:val="en-US" w:eastAsia="zh-CN"/>
        </w:rPr>
        <w:t>中标人</w:t>
      </w:r>
      <w:r>
        <w:rPr>
          <w:rFonts w:hint="eastAsia" w:ascii="宋体" w:hAnsi="宋体" w:eastAsia="宋体" w:cs="宋体"/>
          <w:b w:val="0"/>
          <w:bCs/>
          <w:snapToGrid/>
          <w:color w:val="auto"/>
          <w:sz w:val="24"/>
          <w:szCs w:val="24"/>
          <w:highlight w:val="none"/>
          <w:lang w:val="en-US"/>
        </w:rPr>
        <w:t>要严格按照清理方案的要求，认真填写除治记录，对枯死木的采伐、清理进行全程录像或拍照保存，整理好各类台账，形成一整套档案资料，随时接受</w:t>
      </w:r>
      <w:r>
        <w:rPr>
          <w:rFonts w:hint="eastAsia" w:ascii="宋体" w:hAnsi="宋体" w:eastAsia="宋体" w:cs="宋体"/>
          <w:b w:val="0"/>
          <w:bCs/>
          <w:snapToGrid/>
          <w:color w:val="auto"/>
          <w:sz w:val="24"/>
          <w:szCs w:val="24"/>
          <w:highlight w:val="none"/>
          <w:lang w:val="en-US" w:eastAsia="zh-CN"/>
        </w:rPr>
        <w:t>分局</w:t>
      </w:r>
      <w:r>
        <w:rPr>
          <w:rFonts w:hint="eastAsia" w:ascii="宋体" w:hAnsi="宋体" w:eastAsia="宋体" w:cs="宋体"/>
          <w:b w:val="0"/>
          <w:bCs/>
          <w:snapToGrid/>
          <w:color w:val="auto"/>
          <w:sz w:val="24"/>
          <w:szCs w:val="24"/>
          <w:highlight w:val="none"/>
          <w:lang w:val="en-US"/>
        </w:rPr>
        <w:t>的检查和监督。</w:t>
      </w:r>
    </w:p>
    <w:p w14:paraId="63BFECA5">
      <w:pPr>
        <w:tabs>
          <w:tab w:val="left" w:pos="0"/>
        </w:tabs>
        <w:spacing w:line="360" w:lineRule="auto"/>
        <w:ind w:firstLine="480"/>
        <w:rPr>
          <w:rFonts w:hint="eastAsia" w:ascii="宋体" w:hAnsi="宋体" w:eastAsia="宋体" w:cs="宋体"/>
          <w:b/>
          <w:bCs w:val="0"/>
          <w:snapToGrid/>
          <w:color w:val="auto"/>
          <w:sz w:val="24"/>
          <w:szCs w:val="24"/>
          <w:highlight w:val="none"/>
          <w:lang w:val="en-US"/>
        </w:rPr>
      </w:pPr>
      <w:r>
        <w:rPr>
          <w:rFonts w:hint="eastAsia" w:ascii="宋体" w:hAnsi="宋体" w:eastAsia="宋体" w:cs="宋体"/>
          <w:b/>
          <w:bCs w:val="0"/>
          <w:snapToGrid/>
          <w:color w:val="auto"/>
          <w:sz w:val="24"/>
          <w:szCs w:val="24"/>
          <w:highlight w:val="none"/>
          <w:lang w:val="en-US" w:eastAsia="zh-CN"/>
        </w:rPr>
        <w:t>3</w:t>
      </w:r>
      <w:r>
        <w:rPr>
          <w:rFonts w:hint="eastAsia" w:ascii="宋体" w:hAnsi="宋体" w:eastAsia="宋体" w:cs="宋体"/>
          <w:b/>
          <w:bCs w:val="0"/>
          <w:snapToGrid/>
          <w:color w:val="auto"/>
          <w:sz w:val="24"/>
          <w:szCs w:val="24"/>
          <w:highlight w:val="none"/>
          <w:lang w:val="en-US"/>
        </w:rPr>
        <w:t>、打孔注药防治</w:t>
      </w:r>
    </w:p>
    <w:p w14:paraId="47E4C748">
      <w:pPr>
        <w:keepNext w:val="0"/>
        <w:keepLines w:val="0"/>
        <w:pageBreakBefore w:val="0"/>
        <w:tabs>
          <w:tab w:val="left" w:pos="0"/>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napToGrid/>
          <w:color w:val="auto"/>
          <w:kern w:val="2"/>
          <w:sz w:val="24"/>
          <w:szCs w:val="24"/>
          <w:highlight w:val="none"/>
          <w:lang w:val="en-US" w:eastAsia="zh-CN" w:bidi="ar-SA"/>
        </w:rPr>
      </w:pPr>
      <w:r>
        <w:rPr>
          <w:rFonts w:hint="eastAsia" w:ascii="宋体" w:hAnsi="宋体" w:eastAsia="宋体" w:cs="宋体"/>
          <w:b w:val="0"/>
          <w:bCs/>
          <w:snapToGrid/>
          <w:color w:val="auto"/>
          <w:kern w:val="2"/>
          <w:sz w:val="24"/>
          <w:szCs w:val="24"/>
          <w:highlight w:val="none"/>
          <w:lang w:val="en-US" w:eastAsia="zh-CN" w:bidi="ar-SA"/>
        </w:rPr>
        <w:t>对重点防治区域、重点保护松树、伐桩周边松树进行打孔注药处理。使用松材线虫病免疫针剂（农药登记、生产、农药标准齐全）进行注药，记录注射情况，定位注射松树，登记建立档案，上传“数字森防”系统，做到过程可追溯。并对注药后一月内的空瓶进行回收。要求免疫防治</w:t>
      </w:r>
      <w:r>
        <w:rPr>
          <w:rFonts w:hint="eastAsia" w:ascii="宋体" w:hAnsi="宋体" w:cs="宋体"/>
          <w:b w:val="0"/>
          <w:bCs/>
          <w:snapToGrid/>
          <w:color w:val="auto"/>
          <w:kern w:val="2"/>
          <w:sz w:val="24"/>
          <w:szCs w:val="24"/>
          <w:highlight w:val="none"/>
          <w:lang w:val="en-US" w:eastAsia="zh-CN" w:bidi="ar-SA"/>
        </w:rPr>
        <w:t>至少5</w:t>
      </w:r>
      <w:r>
        <w:rPr>
          <w:rFonts w:hint="eastAsia" w:ascii="宋体" w:hAnsi="宋体" w:eastAsia="宋体" w:cs="宋体"/>
          <w:b w:val="0"/>
          <w:bCs/>
          <w:snapToGrid/>
          <w:color w:val="auto"/>
          <w:kern w:val="2"/>
          <w:sz w:val="24"/>
          <w:szCs w:val="24"/>
          <w:highlight w:val="none"/>
          <w:lang w:val="en-US" w:eastAsia="zh-CN" w:bidi="ar-SA"/>
        </w:rPr>
        <w:t>0000棵。技术标准需符合《浙江省打孔注药防治松材线虫病实施方案（2022版）》（浙林防指办[2022]5号），并做好台账记录。注药全部完成后，采购人委托第三方</w:t>
      </w:r>
      <w:r>
        <w:rPr>
          <w:rFonts w:hint="eastAsia" w:ascii="宋体" w:hAnsi="宋体" w:cs="宋体"/>
          <w:b w:val="0"/>
          <w:bCs/>
          <w:snapToGrid/>
          <w:color w:val="auto"/>
          <w:kern w:val="2"/>
          <w:sz w:val="24"/>
          <w:szCs w:val="24"/>
          <w:highlight w:val="none"/>
          <w:lang w:val="en-US" w:eastAsia="zh-CN" w:bidi="ar-SA"/>
        </w:rPr>
        <w:t>抽检</w:t>
      </w:r>
      <w:r>
        <w:rPr>
          <w:rFonts w:hint="eastAsia" w:ascii="宋体" w:hAnsi="宋体" w:eastAsia="宋体" w:cs="宋体"/>
          <w:b w:val="0"/>
          <w:bCs/>
          <w:snapToGrid/>
          <w:color w:val="auto"/>
          <w:kern w:val="2"/>
          <w:sz w:val="24"/>
          <w:szCs w:val="24"/>
          <w:highlight w:val="none"/>
          <w:lang w:val="en-US" w:eastAsia="zh-CN" w:bidi="ar-SA"/>
        </w:rPr>
        <w:t>验收打</w:t>
      </w:r>
      <w:r>
        <w:rPr>
          <w:rFonts w:hint="eastAsia" w:ascii="宋体" w:hAnsi="宋体" w:cs="宋体"/>
          <w:b w:val="0"/>
          <w:bCs/>
          <w:snapToGrid/>
          <w:color w:val="auto"/>
          <w:kern w:val="2"/>
          <w:sz w:val="24"/>
          <w:szCs w:val="24"/>
          <w:highlight w:val="none"/>
          <w:lang w:val="en-US" w:eastAsia="zh-CN" w:bidi="ar-SA"/>
        </w:rPr>
        <w:t>孔</w:t>
      </w:r>
      <w:r>
        <w:rPr>
          <w:rFonts w:hint="eastAsia" w:ascii="宋体" w:hAnsi="宋体" w:eastAsia="宋体" w:cs="宋体"/>
          <w:b w:val="0"/>
          <w:bCs/>
          <w:snapToGrid/>
          <w:color w:val="auto"/>
          <w:kern w:val="2"/>
          <w:sz w:val="24"/>
          <w:szCs w:val="24"/>
          <w:highlight w:val="none"/>
          <w:lang w:val="en-US" w:eastAsia="zh-CN" w:bidi="ar-SA"/>
        </w:rPr>
        <w:t>注药工作。</w:t>
      </w:r>
    </w:p>
    <w:p w14:paraId="43372B13">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val="0"/>
          <w:bCs/>
          <w:color w:val="auto"/>
          <w:sz w:val="24"/>
          <w:szCs w:val="24"/>
          <w:highlight w:val="none"/>
          <w:lang w:val="en-US" w:eastAsia="zh-CN"/>
        </w:rPr>
      </w:pPr>
      <w:r>
        <w:rPr>
          <w:rFonts w:hint="eastAsia" w:ascii="宋体" w:hAnsi="宋体" w:cs="宋体"/>
          <w:b/>
          <w:color w:val="auto"/>
          <w:sz w:val="24"/>
          <w:szCs w:val="24"/>
          <w:highlight w:val="none"/>
          <w:lang w:val="en-US" w:eastAsia="zh-CN"/>
        </w:rPr>
        <w:t>四</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其他要求</w:t>
      </w:r>
    </w:p>
    <w:p w14:paraId="72928935">
      <w:pPr>
        <w:pStyle w:val="5"/>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snapToGrid/>
          <w:color w:val="auto"/>
          <w:kern w:val="2"/>
          <w:sz w:val="24"/>
          <w:szCs w:val="24"/>
          <w:highlight w:val="none"/>
          <w:lang w:val="en-US" w:eastAsia="zh-CN" w:bidi="ar-SA"/>
        </w:rPr>
      </w:pPr>
      <w:r>
        <w:rPr>
          <w:rFonts w:hint="eastAsia" w:ascii="宋体" w:hAnsi="宋体" w:eastAsia="宋体" w:cs="宋体"/>
          <w:b w:val="0"/>
          <w:bCs/>
          <w:snapToGrid/>
          <w:color w:val="auto"/>
          <w:kern w:val="2"/>
          <w:sz w:val="24"/>
          <w:szCs w:val="24"/>
          <w:highlight w:val="none"/>
          <w:lang w:val="en-US" w:eastAsia="zh-CN" w:bidi="ar-SA"/>
        </w:rPr>
        <w:t>1、作业场地要求：严禁带火种上山，严禁在山上吸烟、用火，要将作业场地所产生的垃圾及时清理干净，不得留在山上，作业机具必须加装安全帽等防火设备。</w:t>
      </w:r>
    </w:p>
    <w:p w14:paraId="2002EC6F">
      <w:pPr>
        <w:pStyle w:val="5"/>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snapToGrid/>
          <w:color w:val="auto"/>
          <w:kern w:val="2"/>
          <w:sz w:val="24"/>
          <w:szCs w:val="24"/>
          <w:highlight w:val="none"/>
          <w:lang w:val="en-US" w:eastAsia="zh-CN" w:bidi="ar-SA"/>
        </w:rPr>
      </w:pPr>
      <w:r>
        <w:rPr>
          <w:rFonts w:hint="eastAsia" w:ascii="宋体" w:hAnsi="宋体" w:eastAsia="宋体" w:cs="宋体"/>
          <w:b w:val="0"/>
          <w:bCs/>
          <w:snapToGrid/>
          <w:color w:val="auto"/>
          <w:kern w:val="2"/>
          <w:sz w:val="24"/>
          <w:szCs w:val="24"/>
          <w:highlight w:val="none"/>
          <w:lang w:val="en-US" w:eastAsia="zh-CN" w:bidi="ar-SA"/>
        </w:rPr>
        <w:t>2、人员要求：</w:t>
      </w:r>
      <w:r>
        <w:rPr>
          <w:rFonts w:hint="eastAsia" w:ascii="宋体" w:hAnsi="宋体" w:eastAsia="宋体" w:cs="宋体"/>
          <w:b w:val="0"/>
          <w:bCs/>
          <w:snapToGrid/>
          <w:color w:val="auto"/>
          <w:sz w:val="24"/>
          <w:szCs w:val="24"/>
          <w:highlight w:val="none"/>
          <w:lang w:val="en-US" w:eastAsia="zh-CN"/>
        </w:rPr>
        <w:t>中标人</w:t>
      </w:r>
      <w:r>
        <w:rPr>
          <w:rFonts w:hint="eastAsia" w:ascii="宋体" w:hAnsi="宋体" w:eastAsia="宋体" w:cs="宋体"/>
          <w:b w:val="0"/>
          <w:bCs/>
          <w:snapToGrid/>
          <w:color w:val="auto"/>
          <w:kern w:val="2"/>
          <w:sz w:val="24"/>
          <w:szCs w:val="24"/>
          <w:highlight w:val="none"/>
          <w:lang w:val="en-US" w:eastAsia="zh-CN" w:bidi="ar-SA"/>
        </w:rPr>
        <w:t>需配置项目负责人1人，巡查人员、枯死木锯手人员、清运人员数量根据实际需求配置，但必须保证疫木日产日清。</w:t>
      </w:r>
    </w:p>
    <w:p w14:paraId="379FDDAA">
      <w:pPr>
        <w:pStyle w:val="5"/>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snapToGrid/>
          <w:color w:val="auto"/>
          <w:kern w:val="2"/>
          <w:sz w:val="24"/>
          <w:szCs w:val="24"/>
          <w:highlight w:val="none"/>
          <w:lang w:val="en-US" w:eastAsia="zh-CN" w:bidi="ar-SA"/>
        </w:rPr>
      </w:pPr>
      <w:r>
        <w:rPr>
          <w:rFonts w:hint="eastAsia" w:ascii="宋体" w:hAnsi="宋体" w:eastAsia="宋体" w:cs="宋体"/>
          <w:b w:val="0"/>
          <w:bCs/>
          <w:snapToGrid/>
          <w:color w:val="auto"/>
          <w:kern w:val="2"/>
          <w:sz w:val="24"/>
          <w:szCs w:val="24"/>
          <w:highlight w:val="none"/>
          <w:lang w:val="en-US" w:eastAsia="zh-CN" w:bidi="ar-SA"/>
        </w:rPr>
        <w:t>▲根据本项目“即现即清”标准要求人员相对稳定，</w:t>
      </w:r>
      <w:r>
        <w:rPr>
          <w:rFonts w:hint="eastAsia" w:hAnsi="宋体" w:cs="宋体"/>
          <w:b w:val="0"/>
          <w:bCs/>
          <w:snapToGrid/>
          <w:color w:val="auto"/>
          <w:kern w:val="2"/>
          <w:sz w:val="24"/>
          <w:szCs w:val="24"/>
          <w:highlight w:val="none"/>
          <w:lang w:val="en-US" w:eastAsia="zh-CN" w:bidi="ar-SA"/>
        </w:rPr>
        <w:t>中标</w:t>
      </w:r>
      <w:r>
        <w:rPr>
          <w:rFonts w:hint="eastAsia" w:ascii="宋体" w:hAnsi="宋体" w:eastAsia="宋体" w:cs="宋体"/>
          <w:b w:val="0"/>
          <w:bCs/>
          <w:snapToGrid/>
          <w:color w:val="auto"/>
          <w:kern w:val="2"/>
          <w:sz w:val="24"/>
          <w:szCs w:val="24"/>
          <w:highlight w:val="none"/>
          <w:lang w:val="en-US" w:eastAsia="zh-CN" w:bidi="ar-SA"/>
        </w:rPr>
        <w:t>后，不得随意调换项目负责人，未经采购人同意调换项目负责人，一经发现扣款50000元。合同执行过程中若现有人员配置不能满足疫木日产日清需求时，中标人须在5天内增加作业人员，未在规定时间内配置到位的，每延期一天扣2000元。</w:t>
      </w:r>
      <w:r>
        <w:rPr>
          <w:rFonts w:hint="eastAsia" w:ascii="宋体" w:hAnsi="宋体" w:eastAsia="宋体" w:cs="宋体"/>
          <w:b/>
          <w:bCs w:val="0"/>
          <w:snapToGrid/>
          <w:color w:val="auto"/>
          <w:kern w:val="2"/>
          <w:sz w:val="24"/>
          <w:szCs w:val="24"/>
          <w:highlight w:val="none"/>
          <w:lang w:val="en-US" w:eastAsia="zh-CN" w:bidi="ar-SA"/>
        </w:rPr>
        <w:t>（投标文件中须提供承诺书</w:t>
      </w:r>
      <w:r>
        <w:rPr>
          <w:rFonts w:hint="eastAsia" w:hAnsi="宋体" w:cs="宋体"/>
          <w:b/>
          <w:bCs w:val="0"/>
          <w:snapToGrid/>
          <w:color w:val="auto"/>
          <w:kern w:val="2"/>
          <w:sz w:val="24"/>
          <w:szCs w:val="24"/>
          <w:highlight w:val="none"/>
          <w:lang w:val="en-US" w:eastAsia="zh-CN" w:bidi="ar-SA"/>
        </w:rPr>
        <w:t>，格式自拟</w:t>
      </w:r>
      <w:r>
        <w:rPr>
          <w:rFonts w:hint="eastAsia" w:ascii="宋体" w:hAnsi="宋体" w:eastAsia="宋体" w:cs="宋体"/>
          <w:b/>
          <w:bCs w:val="0"/>
          <w:snapToGrid/>
          <w:color w:val="auto"/>
          <w:kern w:val="2"/>
          <w:sz w:val="24"/>
          <w:szCs w:val="24"/>
          <w:highlight w:val="none"/>
          <w:lang w:val="en-US" w:eastAsia="zh-CN" w:bidi="ar-SA"/>
        </w:rPr>
        <w:t>）</w:t>
      </w:r>
    </w:p>
    <w:p w14:paraId="14E653B2">
      <w:pPr>
        <w:pStyle w:val="5"/>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snapToGrid/>
          <w:color w:val="auto"/>
          <w:kern w:val="2"/>
          <w:sz w:val="24"/>
          <w:szCs w:val="24"/>
          <w:highlight w:val="none"/>
          <w:lang w:val="en-US" w:eastAsia="zh-CN" w:bidi="ar-SA"/>
        </w:rPr>
      </w:pPr>
      <w:r>
        <w:rPr>
          <w:rFonts w:hint="eastAsia" w:ascii="宋体" w:hAnsi="宋体" w:eastAsia="宋体" w:cs="宋体"/>
          <w:b w:val="0"/>
          <w:bCs/>
          <w:snapToGrid/>
          <w:color w:val="auto"/>
          <w:kern w:val="2"/>
          <w:sz w:val="24"/>
          <w:szCs w:val="24"/>
          <w:highlight w:val="none"/>
          <w:lang w:val="en-US" w:eastAsia="zh-CN" w:bidi="ar-SA"/>
        </w:rPr>
        <w:t>3、中标人至少配备一名管理人员配合采购人协调做好防治有关工作，1小时内抵达采购人办公点。</w:t>
      </w:r>
    </w:p>
    <w:p w14:paraId="4A2FD7B0">
      <w:pPr>
        <w:pStyle w:val="5"/>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snapToGrid/>
          <w:color w:val="auto"/>
          <w:kern w:val="2"/>
          <w:sz w:val="24"/>
          <w:szCs w:val="24"/>
          <w:highlight w:val="none"/>
          <w:lang w:val="en-US" w:eastAsia="zh-CN" w:bidi="ar-SA"/>
        </w:rPr>
      </w:pPr>
      <w:r>
        <w:rPr>
          <w:rFonts w:hint="eastAsia" w:ascii="宋体" w:hAnsi="宋体" w:eastAsia="宋体" w:cs="宋体"/>
          <w:b w:val="0"/>
          <w:bCs/>
          <w:snapToGrid/>
          <w:color w:val="auto"/>
          <w:kern w:val="2"/>
          <w:sz w:val="24"/>
          <w:szCs w:val="24"/>
          <w:highlight w:val="none"/>
          <w:lang w:val="en-US" w:eastAsia="zh-CN" w:bidi="ar-SA"/>
        </w:rPr>
        <w:t>4、应急响应要求：因采购人要求限期除治病枯死木，</w:t>
      </w:r>
      <w:r>
        <w:rPr>
          <w:rFonts w:hint="eastAsia" w:ascii="宋体" w:hAnsi="宋体" w:eastAsia="宋体" w:cs="宋体"/>
          <w:b w:val="0"/>
          <w:bCs/>
          <w:snapToGrid/>
          <w:sz w:val="24"/>
          <w:szCs w:val="24"/>
          <w:highlight w:val="none"/>
          <w:lang w:val="en-US" w:eastAsia="zh-CN"/>
        </w:rPr>
        <w:t>中标人</w:t>
      </w:r>
      <w:r>
        <w:rPr>
          <w:rFonts w:hint="eastAsia" w:ascii="宋体" w:hAnsi="宋体" w:eastAsia="宋体" w:cs="宋体"/>
          <w:b w:val="0"/>
          <w:bCs/>
          <w:snapToGrid/>
          <w:color w:val="auto"/>
          <w:kern w:val="2"/>
          <w:sz w:val="24"/>
          <w:szCs w:val="24"/>
          <w:highlight w:val="none"/>
          <w:lang w:val="en-US" w:eastAsia="zh-CN" w:bidi="ar-SA"/>
        </w:rPr>
        <w:t>需在3小时内作出响应，24小时内开始除治。中标人无正当理由拒不履行的，第一次采购人给予书面警告，第二次采购人有权解除合同。</w:t>
      </w:r>
    </w:p>
    <w:p w14:paraId="05DB6F95">
      <w:pPr>
        <w:pStyle w:val="5"/>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snapToGrid/>
          <w:color w:val="auto"/>
          <w:kern w:val="2"/>
          <w:sz w:val="24"/>
          <w:szCs w:val="24"/>
          <w:highlight w:val="none"/>
          <w:lang w:val="en-US" w:eastAsia="zh-CN" w:bidi="ar-SA"/>
        </w:rPr>
      </w:pPr>
      <w:r>
        <w:rPr>
          <w:rFonts w:hint="eastAsia" w:ascii="宋体" w:hAnsi="宋体" w:eastAsia="宋体" w:cs="宋体"/>
          <w:b w:val="0"/>
          <w:bCs/>
          <w:snapToGrid/>
          <w:color w:val="auto"/>
          <w:kern w:val="2"/>
          <w:sz w:val="24"/>
          <w:szCs w:val="24"/>
          <w:highlight w:val="none"/>
          <w:lang w:val="en-US" w:eastAsia="zh-CN" w:bidi="ar-SA"/>
        </w:rPr>
        <w:t>5、</w:t>
      </w:r>
      <w:r>
        <w:rPr>
          <w:rFonts w:hint="eastAsia" w:ascii="宋体" w:hAnsi="宋体" w:eastAsia="宋体" w:cs="宋体"/>
          <w:b w:val="0"/>
          <w:bCs/>
          <w:snapToGrid/>
          <w:sz w:val="24"/>
          <w:szCs w:val="24"/>
          <w:highlight w:val="none"/>
          <w:lang w:val="en-US" w:eastAsia="zh-CN"/>
        </w:rPr>
        <w:t>中标人</w:t>
      </w:r>
      <w:r>
        <w:rPr>
          <w:rFonts w:hint="eastAsia" w:ascii="宋体" w:hAnsi="宋体" w:eastAsia="宋体" w:cs="宋体"/>
          <w:b w:val="0"/>
          <w:bCs/>
          <w:snapToGrid/>
          <w:color w:val="auto"/>
          <w:kern w:val="2"/>
          <w:sz w:val="24"/>
          <w:szCs w:val="24"/>
          <w:highlight w:val="none"/>
          <w:lang w:val="en-US" w:eastAsia="zh-CN" w:bidi="ar-SA"/>
        </w:rPr>
        <w:t>须在中标后5日内为从事作业的采伐人员办理意外伤害保险（意外身故+医疗），每人保险额度不低于70 万元，签订合同时提交保险保单原件或电子保单（须有保险公司电子签章），投标报价须包含本项保险费，由</w:t>
      </w:r>
      <w:r>
        <w:rPr>
          <w:rFonts w:hint="eastAsia" w:ascii="宋体" w:hAnsi="宋体" w:eastAsia="宋体" w:cs="宋体"/>
          <w:b w:val="0"/>
          <w:bCs/>
          <w:snapToGrid/>
          <w:sz w:val="24"/>
          <w:szCs w:val="24"/>
          <w:highlight w:val="none"/>
          <w:lang w:val="en-US" w:eastAsia="zh-CN"/>
        </w:rPr>
        <w:t>中标人</w:t>
      </w:r>
      <w:r>
        <w:rPr>
          <w:rFonts w:hint="eastAsia" w:ascii="宋体" w:hAnsi="宋体" w:eastAsia="宋体" w:cs="宋体"/>
          <w:b w:val="0"/>
          <w:bCs/>
          <w:snapToGrid/>
          <w:color w:val="auto"/>
          <w:kern w:val="2"/>
          <w:sz w:val="24"/>
          <w:szCs w:val="24"/>
          <w:highlight w:val="none"/>
          <w:lang w:val="en-US" w:eastAsia="zh-CN" w:bidi="ar-SA"/>
        </w:rPr>
        <w:t>承担。未在规定时间内办理保险的，采购人有权取消其</w:t>
      </w:r>
      <w:r>
        <w:rPr>
          <w:rFonts w:hint="eastAsia" w:hAnsi="宋体" w:cs="宋体"/>
          <w:b w:val="0"/>
          <w:bCs/>
          <w:snapToGrid/>
          <w:color w:val="auto"/>
          <w:kern w:val="2"/>
          <w:sz w:val="24"/>
          <w:szCs w:val="24"/>
          <w:highlight w:val="none"/>
          <w:lang w:val="en-US" w:eastAsia="zh-CN" w:bidi="ar-SA"/>
        </w:rPr>
        <w:t>中标</w:t>
      </w:r>
      <w:r>
        <w:rPr>
          <w:rFonts w:hint="eastAsia" w:ascii="宋体" w:hAnsi="宋体" w:eastAsia="宋体" w:cs="宋体"/>
          <w:b w:val="0"/>
          <w:bCs/>
          <w:snapToGrid/>
          <w:color w:val="auto"/>
          <w:kern w:val="2"/>
          <w:sz w:val="24"/>
          <w:szCs w:val="24"/>
          <w:highlight w:val="none"/>
          <w:lang w:val="en-US" w:eastAsia="zh-CN" w:bidi="ar-SA"/>
        </w:rPr>
        <w:t>资格。</w:t>
      </w:r>
    </w:p>
    <w:p w14:paraId="678F03DA">
      <w:pPr>
        <w:pStyle w:val="5"/>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snapToGrid/>
          <w:color w:val="auto"/>
          <w:kern w:val="2"/>
          <w:sz w:val="24"/>
          <w:szCs w:val="24"/>
          <w:highlight w:val="none"/>
          <w:lang w:val="en-US" w:eastAsia="zh-CN" w:bidi="ar-SA"/>
        </w:rPr>
      </w:pPr>
      <w:r>
        <w:rPr>
          <w:rFonts w:hint="eastAsia" w:ascii="宋体" w:hAnsi="宋体" w:eastAsia="宋体" w:cs="宋体"/>
          <w:b w:val="0"/>
          <w:bCs/>
          <w:snapToGrid/>
          <w:color w:val="auto"/>
          <w:kern w:val="2"/>
          <w:sz w:val="24"/>
          <w:szCs w:val="24"/>
          <w:highlight w:val="none"/>
          <w:lang w:val="en-US" w:eastAsia="zh-CN" w:bidi="ar-SA"/>
        </w:rPr>
        <w:t>6、安全管理要求：</w:t>
      </w:r>
      <w:r>
        <w:rPr>
          <w:rFonts w:hint="eastAsia" w:ascii="宋体" w:hAnsi="宋体" w:eastAsia="宋体" w:cs="宋体"/>
          <w:b w:val="0"/>
          <w:bCs/>
          <w:snapToGrid/>
          <w:sz w:val="24"/>
          <w:szCs w:val="24"/>
          <w:highlight w:val="none"/>
          <w:lang w:val="en-US" w:eastAsia="zh-CN"/>
        </w:rPr>
        <w:t>中标人须</w:t>
      </w:r>
      <w:r>
        <w:rPr>
          <w:rFonts w:hint="eastAsia" w:ascii="宋体" w:hAnsi="宋体" w:eastAsia="宋体" w:cs="宋体"/>
          <w:b w:val="0"/>
          <w:bCs/>
          <w:snapToGrid/>
          <w:color w:val="auto"/>
          <w:kern w:val="2"/>
          <w:sz w:val="24"/>
          <w:szCs w:val="24"/>
          <w:highlight w:val="none"/>
          <w:lang w:val="en-US" w:eastAsia="zh-CN" w:bidi="ar-SA"/>
        </w:rPr>
        <w:t>对服务期间所发生的各类安全事故负全部责任。</w:t>
      </w:r>
      <w:r>
        <w:rPr>
          <w:rFonts w:hint="eastAsia" w:ascii="宋体" w:hAnsi="宋体" w:eastAsia="宋体" w:cs="宋体"/>
          <w:b w:val="0"/>
          <w:bCs/>
          <w:snapToGrid/>
          <w:sz w:val="24"/>
          <w:szCs w:val="24"/>
          <w:highlight w:val="none"/>
          <w:lang w:val="en-US" w:eastAsia="zh-CN"/>
        </w:rPr>
        <w:t>中标人</w:t>
      </w:r>
      <w:r>
        <w:rPr>
          <w:rFonts w:hint="eastAsia" w:ascii="宋体" w:hAnsi="宋体" w:eastAsia="宋体" w:cs="宋体"/>
          <w:b w:val="0"/>
          <w:bCs/>
          <w:snapToGrid/>
          <w:color w:val="auto"/>
          <w:kern w:val="2"/>
          <w:sz w:val="24"/>
          <w:szCs w:val="24"/>
          <w:highlight w:val="none"/>
          <w:lang w:val="en-US" w:eastAsia="zh-CN" w:bidi="ar-SA"/>
        </w:rPr>
        <w:t>应严格按照《浙江省落实生产经营单位安全生产主体责任暂行规定》承担安全生产主体责任。</w:t>
      </w:r>
      <w:r>
        <w:rPr>
          <w:rFonts w:hint="eastAsia" w:ascii="宋体" w:hAnsi="宋体" w:eastAsia="宋体" w:cs="宋体"/>
          <w:b w:val="0"/>
          <w:bCs/>
          <w:snapToGrid/>
          <w:sz w:val="24"/>
          <w:szCs w:val="24"/>
          <w:highlight w:val="none"/>
          <w:lang w:val="en-US" w:eastAsia="zh-CN"/>
        </w:rPr>
        <w:t>中标人</w:t>
      </w:r>
      <w:r>
        <w:rPr>
          <w:rFonts w:hint="eastAsia" w:ascii="宋体" w:hAnsi="宋体" w:eastAsia="宋体" w:cs="宋体"/>
          <w:b w:val="0"/>
          <w:bCs/>
          <w:snapToGrid/>
          <w:color w:val="auto"/>
          <w:kern w:val="2"/>
          <w:sz w:val="24"/>
          <w:szCs w:val="24"/>
          <w:highlight w:val="none"/>
          <w:lang w:val="en-US" w:eastAsia="zh-CN" w:bidi="ar-SA"/>
        </w:rPr>
        <w:t>的法定代表人是本项目安全生产的第一责任人，应对本单位的安全生产负全部责任。对单位所发生的一切安全事故（包括由于作业受伤等引起的全部事故内容），全部责任由</w:t>
      </w:r>
      <w:r>
        <w:rPr>
          <w:rFonts w:hint="eastAsia" w:ascii="宋体" w:hAnsi="宋体" w:eastAsia="宋体" w:cs="宋体"/>
          <w:b w:val="0"/>
          <w:bCs/>
          <w:snapToGrid/>
          <w:sz w:val="24"/>
          <w:szCs w:val="24"/>
          <w:highlight w:val="none"/>
          <w:lang w:val="en-US" w:eastAsia="zh-CN"/>
        </w:rPr>
        <w:t>中标人</w:t>
      </w:r>
      <w:r>
        <w:rPr>
          <w:rFonts w:hint="eastAsia" w:ascii="宋体" w:hAnsi="宋体" w:eastAsia="宋体" w:cs="宋体"/>
          <w:b w:val="0"/>
          <w:bCs/>
          <w:snapToGrid/>
          <w:color w:val="auto"/>
          <w:kern w:val="2"/>
          <w:sz w:val="24"/>
          <w:szCs w:val="24"/>
          <w:highlight w:val="none"/>
          <w:lang w:val="en-US" w:eastAsia="zh-CN" w:bidi="ar-SA"/>
        </w:rPr>
        <w:t>自行承担，自主负责处理解决并承担相关费用。</w:t>
      </w:r>
      <w:r>
        <w:rPr>
          <w:rFonts w:hint="eastAsia" w:ascii="宋体" w:hAnsi="宋体" w:eastAsia="宋体" w:cs="宋体"/>
          <w:b w:val="0"/>
          <w:bCs/>
          <w:snapToGrid/>
          <w:sz w:val="24"/>
          <w:szCs w:val="24"/>
          <w:highlight w:val="none"/>
          <w:lang w:val="en-US" w:eastAsia="zh-CN"/>
        </w:rPr>
        <w:t>中标人</w:t>
      </w:r>
      <w:r>
        <w:rPr>
          <w:rFonts w:hint="eastAsia" w:ascii="宋体" w:hAnsi="宋体" w:eastAsia="宋体" w:cs="宋体"/>
          <w:b w:val="0"/>
          <w:bCs/>
          <w:snapToGrid/>
          <w:color w:val="auto"/>
          <w:kern w:val="2"/>
          <w:sz w:val="24"/>
          <w:szCs w:val="24"/>
          <w:highlight w:val="none"/>
          <w:lang w:val="en-US" w:eastAsia="zh-CN" w:bidi="ar-SA"/>
        </w:rPr>
        <w:t>须为每位参与项目的职工购买人身意外伤害保险，加强施工全过程安全管理，在法律规定的工伤认定范围内发生事故的应按工伤赔偿标准赔偿。</w:t>
      </w:r>
      <w:r>
        <w:rPr>
          <w:rFonts w:hint="eastAsia" w:ascii="宋体" w:hAnsi="宋体" w:eastAsia="宋体" w:cs="宋体"/>
          <w:b w:val="0"/>
          <w:bCs/>
          <w:snapToGrid/>
          <w:sz w:val="24"/>
          <w:szCs w:val="24"/>
          <w:highlight w:val="none"/>
          <w:lang w:val="en-US" w:eastAsia="zh-CN"/>
        </w:rPr>
        <w:t>中标人</w:t>
      </w:r>
      <w:r>
        <w:rPr>
          <w:rFonts w:hint="eastAsia" w:ascii="宋体" w:hAnsi="宋体" w:eastAsia="宋体" w:cs="宋体"/>
          <w:b w:val="0"/>
          <w:bCs/>
          <w:snapToGrid/>
          <w:color w:val="auto"/>
          <w:kern w:val="2"/>
          <w:sz w:val="24"/>
          <w:szCs w:val="24"/>
          <w:highlight w:val="none"/>
          <w:lang w:val="en-US" w:eastAsia="zh-CN" w:bidi="ar-SA"/>
        </w:rPr>
        <w:t>如发生重大安全生产责任事故，采购人有权无条件中止合同。</w:t>
      </w:r>
    </w:p>
    <w:p w14:paraId="5EC50CA6">
      <w:pPr>
        <w:pStyle w:val="5"/>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snapToGrid/>
          <w:color w:val="auto"/>
          <w:kern w:val="2"/>
          <w:sz w:val="24"/>
          <w:szCs w:val="24"/>
          <w:highlight w:val="none"/>
          <w:lang w:val="en-US" w:eastAsia="zh-CN" w:bidi="ar-SA"/>
        </w:rPr>
      </w:pPr>
      <w:r>
        <w:rPr>
          <w:rFonts w:hint="eastAsia" w:ascii="宋体" w:hAnsi="宋体" w:eastAsia="宋体" w:cs="宋体"/>
          <w:b w:val="0"/>
          <w:bCs/>
          <w:snapToGrid/>
          <w:color w:val="auto"/>
          <w:kern w:val="2"/>
          <w:sz w:val="24"/>
          <w:szCs w:val="24"/>
          <w:highlight w:val="none"/>
          <w:lang w:val="en-US" w:eastAsia="zh-CN" w:bidi="ar-SA"/>
        </w:rPr>
        <w:t>7、档案管理要求：提供枯死木位置图、完整的疫木清理档案和</w:t>
      </w:r>
      <w:r>
        <w:rPr>
          <w:rFonts w:hint="eastAsia" w:hAnsi="宋体" w:cs="宋体"/>
          <w:b w:val="0"/>
          <w:bCs/>
          <w:snapToGrid/>
          <w:color w:val="auto"/>
          <w:kern w:val="2"/>
          <w:sz w:val="24"/>
          <w:szCs w:val="24"/>
          <w:highlight w:val="none"/>
          <w:lang w:val="en-US" w:eastAsia="zh-CN" w:bidi="ar-SA"/>
        </w:rPr>
        <w:t>打孔注药</w:t>
      </w:r>
      <w:r>
        <w:rPr>
          <w:rFonts w:hint="eastAsia" w:ascii="宋体" w:hAnsi="宋体" w:eastAsia="宋体" w:cs="宋体"/>
          <w:b w:val="0"/>
          <w:bCs/>
          <w:snapToGrid/>
          <w:color w:val="auto"/>
          <w:kern w:val="2"/>
          <w:sz w:val="24"/>
          <w:szCs w:val="24"/>
          <w:highlight w:val="none"/>
          <w:lang w:val="en-US" w:eastAsia="zh-CN" w:bidi="ar-SA"/>
        </w:rPr>
        <w:t>防治记录，包括</w:t>
      </w:r>
      <w:r>
        <w:rPr>
          <w:rFonts w:hint="eastAsia" w:hAnsi="宋体" w:cs="宋体"/>
          <w:b w:val="0"/>
          <w:bCs/>
          <w:snapToGrid/>
          <w:color w:val="auto"/>
          <w:kern w:val="2"/>
          <w:sz w:val="24"/>
          <w:szCs w:val="24"/>
          <w:highlight w:val="none"/>
          <w:lang w:val="en-US" w:eastAsia="zh-CN" w:bidi="ar-SA"/>
        </w:rPr>
        <w:t>“</w:t>
      </w:r>
      <w:r>
        <w:rPr>
          <w:rFonts w:hint="eastAsia" w:ascii="宋体" w:hAnsi="宋体" w:eastAsia="宋体" w:cs="宋体"/>
          <w:b w:val="0"/>
          <w:bCs/>
          <w:snapToGrid/>
          <w:color w:val="auto"/>
          <w:kern w:val="2"/>
          <w:sz w:val="24"/>
          <w:szCs w:val="24"/>
          <w:highlight w:val="none"/>
          <w:lang w:val="en-US" w:eastAsia="zh-CN" w:bidi="ar-SA"/>
        </w:rPr>
        <w:t>数字森防</w:t>
      </w:r>
      <w:r>
        <w:rPr>
          <w:rFonts w:hint="eastAsia" w:hAnsi="宋体" w:cs="宋体"/>
          <w:b w:val="0"/>
          <w:bCs/>
          <w:snapToGrid/>
          <w:color w:val="auto"/>
          <w:kern w:val="2"/>
          <w:sz w:val="24"/>
          <w:szCs w:val="24"/>
          <w:highlight w:val="none"/>
          <w:lang w:val="en-US" w:eastAsia="zh-CN" w:bidi="ar-SA"/>
        </w:rPr>
        <w:t>”</w:t>
      </w:r>
      <w:r>
        <w:rPr>
          <w:rFonts w:hint="eastAsia" w:ascii="宋体" w:hAnsi="宋体" w:eastAsia="宋体" w:cs="宋体"/>
          <w:b w:val="0"/>
          <w:bCs/>
          <w:snapToGrid/>
          <w:color w:val="auto"/>
          <w:kern w:val="2"/>
          <w:sz w:val="24"/>
          <w:szCs w:val="24"/>
          <w:highlight w:val="none"/>
          <w:lang w:val="en-US" w:eastAsia="zh-CN" w:bidi="ar-SA"/>
        </w:rPr>
        <w:t>平台落地上图等一系列数字化档案，同时建立和完善年度松材线虫病防治档案资料并归档保管，主要包括：日常监测、枯死木清理、药剂防治等工作台账，检查验收，工作总结等，做好相应照片、资料档案的保存和保管。</w:t>
      </w:r>
    </w:p>
    <w:p w14:paraId="502261DC">
      <w:pPr>
        <w:pStyle w:val="5"/>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b w:val="0"/>
          <w:bCs/>
          <w:snapToGrid/>
          <w:color w:val="auto"/>
          <w:kern w:val="2"/>
          <w:sz w:val="24"/>
          <w:szCs w:val="24"/>
          <w:highlight w:val="none"/>
          <w:lang w:val="en-US" w:eastAsia="zh-CN" w:bidi="ar-SA"/>
        </w:rPr>
        <w:t>8、其他：合同履行过程中，如因火灾、政策性</w:t>
      </w:r>
      <w:r>
        <w:rPr>
          <w:rFonts w:hint="eastAsia" w:ascii="宋体" w:hAnsi="宋体" w:eastAsia="宋体" w:cs="宋体"/>
          <w:snapToGrid/>
          <w:color w:val="auto"/>
          <w:kern w:val="0"/>
          <w:sz w:val="24"/>
          <w:szCs w:val="24"/>
          <w:highlight w:val="none"/>
        </w:rPr>
        <w:t>文件规定</w:t>
      </w:r>
      <w:r>
        <w:rPr>
          <w:rFonts w:hint="eastAsia" w:ascii="宋体" w:hAnsi="宋体" w:eastAsia="宋体" w:cs="宋体"/>
          <w:snapToGrid/>
          <w:color w:val="auto"/>
          <w:kern w:val="0"/>
          <w:sz w:val="24"/>
          <w:szCs w:val="24"/>
          <w:highlight w:val="none"/>
          <w:lang w:val="en-US" w:eastAsia="zh-CN"/>
        </w:rPr>
        <w:t>等不可抗力因素引起合同终止，服务费结算由双方协商确认。</w:t>
      </w:r>
    </w:p>
    <w:p w14:paraId="4F82424C">
      <w:pPr>
        <w:pStyle w:val="5"/>
        <w:keepNext w:val="0"/>
        <w:keepLines w:val="0"/>
        <w:pageBreakBefore w:val="0"/>
        <w:widowControl/>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五、验收方法</w:t>
      </w:r>
    </w:p>
    <w:p w14:paraId="17368E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择伐清理枯死松木检查验收由作业过程中监督检查验收（平时监管验收）和竣工检查验收相结合的方式组成</w:t>
      </w:r>
      <w:r>
        <w:rPr>
          <w:rFonts w:hint="eastAsia" w:ascii="宋体" w:hAnsi="宋体" w:eastAsia="宋体" w:cs="宋体"/>
          <w:b w:val="0"/>
          <w:bCs/>
          <w:color w:val="auto"/>
          <w:sz w:val="24"/>
          <w:szCs w:val="24"/>
          <w:highlight w:val="none"/>
          <w:lang w:eastAsia="zh-CN"/>
        </w:rPr>
        <w:t>，我单位将委托第三方单位对枯死木采伐清理进行检查并出具最终除治质量报告，以最终报告为验收依据。</w:t>
      </w:r>
    </w:p>
    <w:p w14:paraId="285FCC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color w:val="auto"/>
          <w:sz w:val="24"/>
          <w:szCs w:val="24"/>
          <w:highlight w:val="none"/>
        </w:rPr>
        <w:t>平时监管验收可以分期分批进行，但总体</w:t>
      </w:r>
      <w:r>
        <w:rPr>
          <w:rFonts w:hint="eastAsia" w:ascii="宋体" w:hAnsi="宋体" w:eastAsia="宋体" w:cs="宋体"/>
          <w:b w:val="0"/>
          <w:bCs/>
          <w:sz w:val="24"/>
          <w:szCs w:val="24"/>
          <w:highlight w:val="none"/>
        </w:rPr>
        <w:t>要求每个</w:t>
      </w:r>
      <w:r>
        <w:rPr>
          <w:rFonts w:hint="eastAsia" w:ascii="宋体" w:hAnsi="宋体" w:eastAsia="宋体" w:cs="宋体"/>
          <w:b w:val="0"/>
          <w:bCs/>
          <w:sz w:val="24"/>
          <w:szCs w:val="24"/>
          <w:highlight w:val="none"/>
          <w:lang w:val="en-US" w:eastAsia="zh-CN"/>
        </w:rPr>
        <w:t>作业</w:t>
      </w:r>
      <w:r>
        <w:rPr>
          <w:rFonts w:hint="eastAsia" w:ascii="宋体" w:hAnsi="宋体" w:eastAsia="宋体" w:cs="宋体"/>
          <w:b w:val="0"/>
          <w:bCs/>
          <w:sz w:val="24"/>
          <w:szCs w:val="24"/>
          <w:highlight w:val="none"/>
        </w:rPr>
        <w:t>小班都要进行随机抽样验收，抽样数量20株以下的全检，超出20株的要随机抽检不少于20株，并且至少要随机抽取1天以上的所有工程量进行核查，平时验收如发现问题能够立即整改合格的不作扣分处理，没有立即整改合格的则按要求扣分。</w:t>
      </w:r>
    </w:p>
    <w:p w14:paraId="3704CA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竣工验收考评主要由随机抽检方式进行，疫情发生小班总数≤5个的，抽取3个（不足3个的全抽），总数＞5个的，按照总数的50%进行抽取，每个</w:t>
      </w:r>
      <w:r>
        <w:rPr>
          <w:rFonts w:hint="eastAsia" w:ascii="宋体" w:hAnsi="宋体" w:eastAsia="宋体" w:cs="宋体"/>
          <w:b w:val="0"/>
          <w:bCs/>
          <w:sz w:val="24"/>
          <w:szCs w:val="24"/>
          <w:highlight w:val="none"/>
          <w:lang w:eastAsia="zh-CN"/>
        </w:rPr>
        <w:t>乡镇</w:t>
      </w:r>
      <w:r>
        <w:rPr>
          <w:rFonts w:hint="eastAsia" w:ascii="宋体" w:hAnsi="宋体" w:eastAsia="宋体" w:cs="宋体"/>
          <w:b w:val="0"/>
          <w:bCs/>
          <w:sz w:val="24"/>
          <w:szCs w:val="24"/>
          <w:highlight w:val="none"/>
        </w:rPr>
        <w:t>最多抽取10个疫情发生小班；伐根处理抽查，每个抽中小班抽查20株，不足20株的全查（如果邀请上级专家进行竣工验收的，以专家组拟定的方案执行）。</w:t>
      </w:r>
    </w:p>
    <w:p w14:paraId="37E290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具体扣分标准如下：</w:t>
      </w:r>
    </w:p>
    <w:p w14:paraId="388481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1、焚烧点和枯死木伐根周围20米范围内残留有1厘米以上的枝桠及树干的，每发现一株扣0.5分。</w:t>
      </w:r>
    </w:p>
    <w:p w14:paraId="39A3AC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xml:space="preserve">2、伐根高不超5厘米，伐根薄膜或罩网为合格。如上述的任何一项不达要求的均视为不合格，每发现一株扣0.5分。                                                       </w:t>
      </w:r>
    </w:p>
    <w:p w14:paraId="511B64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3、枝桠和树干焚烧要求表面彻底碳化。否则，每发现1处扣2分。</w:t>
      </w:r>
    </w:p>
    <w:p w14:paraId="710AC2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4、指定范围内的枯死松树要清理干净。到验收时止，</w:t>
      </w:r>
      <w:r>
        <w:rPr>
          <w:rFonts w:hint="eastAsia" w:ascii="宋体" w:hAnsi="宋体" w:eastAsia="宋体" w:cs="宋体"/>
          <w:b w:val="0"/>
          <w:bCs/>
          <w:sz w:val="24"/>
          <w:szCs w:val="24"/>
          <w:highlight w:val="none"/>
          <w:lang w:val="en-US" w:eastAsia="zh-CN"/>
        </w:rPr>
        <w:t>采购人</w:t>
      </w:r>
      <w:r>
        <w:rPr>
          <w:rFonts w:hint="eastAsia" w:ascii="宋体" w:hAnsi="宋体" w:eastAsia="宋体" w:cs="宋体"/>
          <w:b w:val="0"/>
          <w:bCs/>
          <w:sz w:val="24"/>
          <w:szCs w:val="24"/>
          <w:highlight w:val="none"/>
        </w:rPr>
        <w:t>指定范围内需要清理的枯死松木，但</w:t>
      </w:r>
      <w:r>
        <w:rPr>
          <w:rFonts w:hint="eastAsia" w:ascii="宋体" w:hAnsi="宋体" w:eastAsia="宋体" w:cs="宋体"/>
          <w:b w:val="0"/>
          <w:bCs/>
          <w:sz w:val="24"/>
          <w:szCs w:val="24"/>
          <w:highlight w:val="none"/>
          <w:lang w:eastAsia="zh-CN"/>
        </w:rPr>
        <w:t>中标人</w:t>
      </w:r>
      <w:r>
        <w:rPr>
          <w:rFonts w:hint="eastAsia" w:ascii="宋体" w:hAnsi="宋体" w:eastAsia="宋体" w:cs="宋体"/>
          <w:b w:val="0"/>
          <w:bCs/>
          <w:sz w:val="24"/>
          <w:szCs w:val="24"/>
          <w:highlight w:val="none"/>
        </w:rPr>
        <w:t>没有完成的，每发现1株扣2分。</w:t>
      </w:r>
    </w:p>
    <w:p w14:paraId="11AB1B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5、</w:t>
      </w:r>
      <w:r>
        <w:rPr>
          <w:rFonts w:hint="eastAsia" w:ascii="宋体" w:hAnsi="宋体" w:eastAsia="宋体" w:cs="宋体"/>
          <w:b w:val="0"/>
          <w:bCs/>
          <w:sz w:val="24"/>
          <w:szCs w:val="24"/>
          <w:highlight w:val="none"/>
          <w:lang w:eastAsia="zh-CN"/>
        </w:rPr>
        <w:t>分局</w:t>
      </w:r>
      <w:r>
        <w:rPr>
          <w:rFonts w:hint="eastAsia" w:ascii="宋体" w:hAnsi="宋体" w:eastAsia="宋体" w:cs="宋体"/>
          <w:b w:val="0"/>
          <w:bCs/>
          <w:sz w:val="24"/>
          <w:szCs w:val="24"/>
          <w:highlight w:val="none"/>
        </w:rPr>
        <w:t>派出人员不定期进行监管，如发现</w:t>
      </w:r>
      <w:r>
        <w:rPr>
          <w:rFonts w:hint="eastAsia" w:ascii="宋体" w:hAnsi="宋体" w:eastAsia="宋体" w:cs="宋体"/>
          <w:b w:val="0"/>
          <w:bCs/>
          <w:sz w:val="24"/>
          <w:szCs w:val="24"/>
          <w:highlight w:val="none"/>
          <w:lang w:eastAsia="zh-CN"/>
        </w:rPr>
        <w:t>中标人</w:t>
      </w:r>
      <w:r>
        <w:rPr>
          <w:rFonts w:hint="eastAsia" w:ascii="宋体" w:hAnsi="宋体" w:eastAsia="宋体" w:cs="宋体"/>
          <w:b w:val="0"/>
          <w:bCs/>
          <w:sz w:val="24"/>
          <w:szCs w:val="24"/>
          <w:highlight w:val="none"/>
        </w:rPr>
        <w:t>不服从工作安排和监管，或者发现并指出存在问题要求</w:t>
      </w:r>
      <w:r>
        <w:rPr>
          <w:rFonts w:hint="eastAsia" w:ascii="宋体" w:hAnsi="宋体" w:eastAsia="宋体" w:cs="宋体"/>
          <w:b w:val="0"/>
          <w:bCs/>
          <w:sz w:val="24"/>
          <w:szCs w:val="24"/>
          <w:highlight w:val="none"/>
          <w:lang w:eastAsia="zh-CN"/>
        </w:rPr>
        <w:t>中标人</w:t>
      </w:r>
      <w:r>
        <w:rPr>
          <w:rFonts w:hint="eastAsia" w:ascii="宋体" w:hAnsi="宋体" w:eastAsia="宋体" w:cs="宋体"/>
          <w:b w:val="0"/>
          <w:bCs/>
          <w:sz w:val="24"/>
          <w:szCs w:val="24"/>
          <w:highlight w:val="none"/>
        </w:rPr>
        <w:t>及时整改而</w:t>
      </w:r>
      <w:r>
        <w:rPr>
          <w:rFonts w:hint="eastAsia" w:ascii="宋体" w:hAnsi="宋体" w:eastAsia="宋体" w:cs="宋体"/>
          <w:b w:val="0"/>
          <w:bCs/>
          <w:sz w:val="24"/>
          <w:szCs w:val="24"/>
          <w:highlight w:val="none"/>
          <w:lang w:eastAsia="zh-CN"/>
        </w:rPr>
        <w:t>中标人</w:t>
      </w:r>
      <w:r>
        <w:rPr>
          <w:rFonts w:hint="eastAsia" w:ascii="宋体" w:hAnsi="宋体" w:eastAsia="宋体" w:cs="宋体"/>
          <w:b w:val="0"/>
          <w:bCs/>
          <w:sz w:val="24"/>
          <w:szCs w:val="24"/>
          <w:highlight w:val="none"/>
        </w:rPr>
        <w:t>不及时整改的，每次扣5分。</w:t>
      </w:r>
    </w:p>
    <w:p w14:paraId="5759D7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6、</w:t>
      </w:r>
      <w:r>
        <w:rPr>
          <w:rFonts w:hint="eastAsia" w:ascii="宋体" w:hAnsi="宋体" w:eastAsia="宋体" w:cs="宋体"/>
          <w:b w:val="0"/>
          <w:bCs/>
          <w:sz w:val="24"/>
          <w:szCs w:val="24"/>
          <w:highlight w:val="none"/>
          <w:lang w:eastAsia="zh-CN"/>
        </w:rPr>
        <w:t>中标人</w:t>
      </w:r>
      <w:r>
        <w:rPr>
          <w:rFonts w:hint="eastAsia" w:ascii="宋体" w:hAnsi="宋体" w:eastAsia="宋体" w:cs="宋体"/>
          <w:b w:val="0"/>
          <w:bCs/>
          <w:sz w:val="24"/>
          <w:szCs w:val="24"/>
          <w:highlight w:val="none"/>
        </w:rPr>
        <w:t>有将松木私自带出疫区出卖或利用的，每发现一次扣20分。</w:t>
      </w:r>
    </w:p>
    <w:p w14:paraId="3CBEAB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7、</w:t>
      </w:r>
      <w:r>
        <w:rPr>
          <w:rFonts w:hint="eastAsia" w:ascii="宋体" w:hAnsi="宋体" w:eastAsia="宋体" w:cs="宋体"/>
          <w:b w:val="0"/>
          <w:bCs/>
          <w:sz w:val="24"/>
          <w:szCs w:val="24"/>
          <w:highlight w:val="none"/>
          <w:lang w:eastAsia="zh-CN"/>
        </w:rPr>
        <w:t>中标人</w:t>
      </w:r>
      <w:r>
        <w:rPr>
          <w:rFonts w:hint="eastAsia" w:ascii="宋体" w:hAnsi="宋体" w:eastAsia="宋体" w:cs="宋体"/>
          <w:b w:val="0"/>
          <w:bCs/>
          <w:sz w:val="24"/>
          <w:szCs w:val="24"/>
          <w:highlight w:val="none"/>
        </w:rPr>
        <w:t>承担</w:t>
      </w:r>
      <w:r>
        <w:rPr>
          <w:rFonts w:hint="eastAsia" w:ascii="宋体" w:hAnsi="宋体" w:eastAsia="宋体" w:cs="宋体"/>
          <w:b w:val="0"/>
          <w:bCs/>
          <w:sz w:val="24"/>
          <w:szCs w:val="24"/>
          <w:highlight w:val="none"/>
          <w:lang w:val="en-US" w:eastAsia="zh-CN"/>
        </w:rPr>
        <w:t>本项目</w:t>
      </w:r>
      <w:r>
        <w:rPr>
          <w:rFonts w:hint="eastAsia" w:ascii="宋体" w:hAnsi="宋体" w:eastAsia="宋体" w:cs="宋体"/>
          <w:b w:val="0"/>
          <w:bCs/>
          <w:sz w:val="24"/>
          <w:szCs w:val="24"/>
          <w:highlight w:val="none"/>
        </w:rPr>
        <w:t>作业造成的一切安全事故责任，包括民工的重大人身安全、药品使用安全、森林防火安全及其它安全责任事故等，每出现一次扣2分。发现有不为作业民工购买保险的，每人扣1分。</w:t>
      </w:r>
    </w:p>
    <w:p w14:paraId="1ACE96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8、抽检到的枯死树实际经纬度与清理记录表中记载的经纬度不符的（由于定点设备或系统正常误差除外），每发现1株扣0.5分。</w:t>
      </w:r>
    </w:p>
    <w:p w14:paraId="63B0CC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9、每株清理的枯死树不足4张现场照片的，每发现1株扣0.5分。没有标签的每发现1株扣0.5分。</w:t>
      </w:r>
    </w:p>
    <w:p w14:paraId="1F8130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10、清理记录表中记载砍伐树木的去皮地径与实际不符和出现假伐根的，按比例推算扣减相应的</w:t>
      </w:r>
      <w:r>
        <w:rPr>
          <w:rFonts w:hint="eastAsia" w:ascii="宋体" w:hAnsi="宋体" w:eastAsia="宋体" w:cs="宋体"/>
          <w:b w:val="0"/>
          <w:bCs/>
          <w:sz w:val="24"/>
          <w:szCs w:val="24"/>
          <w:highlight w:val="none"/>
          <w:lang w:val="en-US" w:eastAsia="zh-CN"/>
        </w:rPr>
        <w:t>分数，最高扣10分</w:t>
      </w:r>
      <w:r>
        <w:rPr>
          <w:rFonts w:hint="eastAsia" w:ascii="宋体" w:hAnsi="宋体" w:eastAsia="宋体" w:cs="宋体"/>
          <w:b w:val="0"/>
          <w:bCs/>
          <w:sz w:val="24"/>
          <w:szCs w:val="24"/>
          <w:highlight w:val="none"/>
        </w:rPr>
        <w:t>。</w:t>
      </w:r>
    </w:p>
    <w:p w14:paraId="0CCE2851">
      <w:pPr>
        <w:pStyle w:val="61"/>
        <w:spacing w:line="360" w:lineRule="auto"/>
        <w:ind w:left="0" w:leftChars="0" w:firstLine="480"/>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11、被省市林业主管部门（抽检单位）抽检发现防治质量问题，致使通报、约谈的，酌情扣分。</w:t>
      </w:r>
    </w:p>
    <w:p w14:paraId="463D0D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总分为100分,考评分数达到85分</w:t>
      </w:r>
      <w:r>
        <w:rPr>
          <w:rFonts w:hint="eastAsia" w:ascii="宋体" w:hAnsi="宋体" w:eastAsia="宋体" w:cs="宋体"/>
          <w:b w:val="0"/>
          <w:bCs/>
          <w:sz w:val="24"/>
          <w:szCs w:val="24"/>
          <w:highlight w:val="none"/>
          <w:lang w:val="en-US" w:eastAsia="zh-CN"/>
        </w:rPr>
        <w:t>以上</w:t>
      </w:r>
      <w:r>
        <w:rPr>
          <w:rFonts w:hint="eastAsia" w:ascii="宋体" w:hAnsi="宋体" w:eastAsia="宋体" w:cs="宋体"/>
          <w:b w:val="0"/>
          <w:bCs/>
          <w:sz w:val="24"/>
          <w:szCs w:val="24"/>
          <w:highlight w:val="none"/>
        </w:rPr>
        <w:t>（含85分）为</w:t>
      </w:r>
      <w:r>
        <w:rPr>
          <w:rFonts w:hint="eastAsia" w:ascii="宋体" w:hAnsi="宋体" w:eastAsia="宋体" w:cs="宋体"/>
          <w:b w:val="0"/>
          <w:bCs/>
          <w:sz w:val="24"/>
          <w:szCs w:val="24"/>
          <w:highlight w:val="none"/>
          <w:lang w:val="en-US" w:eastAsia="zh-CN"/>
        </w:rPr>
        <w:t>优秀</w:t>
      </w:r>
      <w:r>
        <w:rPr>
          <w:rFonts w:hint="eastAsia" w:ascii="宋体" w:hAnsi="宋体" w:eastAsia="宋体" w:cs="宋体"/>
          <w:b w:val="0"/>
          <w:bCs/>
          <w:sz w:val="24"/>
          <w:szCs w:val="24"/>
          <w:highlight w:val="none"/>
        </w:rPr>
        <w:t>，80-85分（含80分）为合格，80分以下为不合格。考评达</w:t>
      </w:r>
      <w:r>
        <w:rPr>
          <w:rFonts w:hint="eastAsia" w:ascii="宋体" w:hAnsi="宋体" w:eastAsia="宋体" w:cs="宋体"/>
          <w:b w:val="0"/>
          <w:bCs/>
          <w:sz w:val="24"/>
          <w:szCs w:val="24"/>
          <w:highlight w:val="none"/>
          <w:lang w:val="en-US" w:eastAsia="zh-CN"/>
        </w:rPr>
        <w:t>优秀</w:t>
      </w:r>
      <w:r>
        <w:rPr>
          <w:rFonts w:hint="eastAsia" w:ascii="宋体" w:hAnsi="宋体" w:eastAsia="宋体" w:cs="宋体"/>
          <w:b w:val="0"/>
          <w:bCs/>
          <w:sz w:val="24"/>
          <w:szCs w:val="24"/>
          <w:highlight w:val="none"/>
        </w:rPr>
        <w:t>等级的全额拨付服务费，合格等级的扣减服务费的20%，不合格等级的</w:t>
      </w:r>
      <w:r>
        <w:rPr>
          <w:rFonts w:hint="eastAsia" w:ascii="宋体" w:hAnsi="宋体" w:eastAsia="宋体" w:cs="宋体"/>
          <w:b w:val="0"/>
          <w:bCs/>
          <w:sz w:val="24"/>
          <w:szCs w:val="24"/>
          <w:highlight w:val="none"/>
          <w:lang w:val="en-US" w:eastAsia="zh-CN"/>
        </w:rPr>
        <w:t>必须</w:t>
      </w:r>
      <w:r>
        <w:rPr>
          <w:rFonts w:hint="eastAsia" w:ascii="宋体" w:hAnsi="宋体" w:eastAsia="宋体" w:cs="宋体"/>
          <w:b w:val="0"/>
          <w:bCs/>
          <w:sz w:val="24"/>
          <w:szCs w:val="24"/>
          <w:highlight w:val="none"/>
        </w:rPr>
        <w:t>在</w:t>
      </w:r>
      <w:r>
        <w:rPr>
          <w:rFonts w:hint="eastAsia" w:ascii="宋体" w:hAnsi="宋体" w:eastAsia="宋体" w:cs="宋体"/>
          <w:b w:val="0"/>
          <w:bCs/>
          <w:sz w:val="24"/>
          <w:szCs w:val="24"/>
          <w:highlight w:val="none"/>
          <w:lang w:val="en-US" w:eastAsia="zh-CN"/>
        </w:rPr>
        <w:t>采购人要求的整改时间内</w:t>
      </w:r>
      <w:r>
        <w:rPr>
          <w:rFonts w:hint="eastAsia" w:ascii="宋体" w:hAnsi="宋体" w:eastAsia="宋体" w:cs="宋体"/>
          <w:b w:val="0"/>
          <w:bCs/>
          <w:sz w:val="24"/>
          <w:szCs w:val="24"/>
          <w:highlight w:val="none"/>
        </w:rPr>
        <w:t>返工补做，然后再申请重新验收，重新验收费用由</w:t>
      </w:r>
      <w:r>
        <w:rPr>
          <w:rFonts w:hint="eastAsia" w:ascii="宋体" w:hAnsi="宋体" w:eastAsia="宋体" w:cs="宋体"/>
          <w:b w:val="0"/>
          <w:bCs/>
          <w:sz w:val="24"/>
          <w:szCs w:val="24"/>
          <w:highlight w:val="none"/>
          <w:lang w:val="en-US" w:eastAsia="zh-CN"/>
        </w:rPr>
        <w:t>中标人自行负责</w:t>
      </w:r>
      <w:r>
        <w:rPr>
          <w:rFonts w:hint="eastAsia" w:ascii="宋体" w:hAnsi="宋体" w:eastAsia="宋体" w:cs="宋体"/>
          <w:b w:val="0"/>
          <w:bCs/>
          <w:sz w:val="24"/>
          <w:szCs w:val="24"/>
          <w:highlight w:val="none"/>
        </w:rPr>
        <w:t>，重新验收</w:t>
      </w:r>
      <w:r>
        <w:rPr>
          <w:rFonts w:hint="eastAsia" w:ascii="宋体" w:hAnsi="宋体" w:eastAsia="宋体" w:cs="宋体"/>
          <w:b w:val="0"/>
          <w:bCs/>
          <w:sz w:val="24"/>
          <w:szCs w:val="24"/>
          <w:highlight w:val="none"/>
          <w:lang w:val="en-US" w:eastAsia="zh-CN"/>
        </w:rPr>
        <w:t>合格</w:t>
      </w:r>
      <w:r>
        <w:rPr>
          <w:rFonts w:hint="eastAsia" w:ascii="宋体" w:hAnsi="宋体" w:eastAsia="宋体" w:cs="宋体"/>
          <w:b w:val="0"/>
          <w:bCs/>
          <w:sz w:val="24"/>
          <w:szCs w:val="24"/>
          <w:highlight w:val="none"/>
        </w:rPr>
        <w:t>后</w:t>
      </w:r>
      <w:r>
        <w:rPr>
          <w:rFonts w:hint="eastAsia" w:ascii="宋体" w:hAnsi="宋体" w:eastAsia="宋体" w:cs="宋体"/>
          <w:b w:val="0"/>
          <w:bCs/>
          <w:sz w:val="24"/>
          <w:szCs w:val="24"/>
          <w:highlight w:val="none"/>
          <w:lang w:val="en-US" w:eastAsia="zh-CN"/>
        </w:rPr>
        <w:t>按合格等级拨付服务费</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如因中标人原因（除不可抗力外）未在要求的整改时间内整改完成，除</w:t>
      </w:r>
      <w:r>
        <w:rPr>
          <w:rFonts w:hint="eastAsia" w:ascii="宋体" w:hAnsi="宋体" w:eastAsia="宋体" w:cs="宋体"/>
          <w:b w:val="0"/>
          <w:bCs/>
          <w:sz w:val="24"/>
          <w:szCs w:val="24"/>
          <w:highlight w:val="none"/>
        </w:rPr>
        <w:t>扣减服务费的20%</w:t>
      </w:r>
      <w:r>
        <w:rPr>
          <w:rFonts w:hint="eastAsia" w:ascii="宋体" w:hAnsi="宋体" w:eastAsia="宋体" w:cs="宋体"/>
          <w:b w:val="0"/>
          <w:bCs/>
          <w:sz w:val="24"/>
          <w:szCs w:val="24"/>
          <w:highlight w:val="none"/>
          <w:lang w:val="en-US" w:eastAsia="zh-CN"/>
        </w:rPr>
        <w:t>以外</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另外每超出一天，中标人须按合同总价款的千分之三承担违约金，在合同款项支付时一次性扣除，最多扣除至合同款项的30%。</w:t>
      </w:r>
    </w:p>
    <w:p w14:paraId="52895345">
      <w:pPr>
        <w:adjustRightInd/>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val="en-US" w:eastAsia="zh-CN"/>
        </w:rPr>
        <w:t>六</w:t>
      </w:r>
      <w:r>
        <w:rPr>
          <w:rFonts w:hint="eastAsia" w:asciiTheme="minorEastAsia" w:hAnsiTheme="minorEastAsia" w:eastAsiaTheme="minorEastAsia" w:cstheme="minorEastAsia"/>
          <w:b/>
          <w:color w:val="auto"/>
          <w:sz w:val="24"/>
          <w:highlight w:val="none"/>
        </w:rPr>
        <w:t>、投标要求</w:t>
      </w:r>
    </w:p>
    <w:p w14:paraId="738D79F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1、根据项目相关要求，请各供应商针对本项目提供有效的</w:t>
      </w:r>
      <w:r>
        <w:rPr>
          <w:rFonts w:hint="eastAsia" w:ascii="宋体" w:hAnsi="宋体" w:cs="宋体"/>
          <w:sz w:val="24"/>
          <w:highlight w:val="none"/>
          <w:lang w:val="en-US" w:eastAsia="zh-CN"/>
        </w:rPr>
        <w:t>项目</w:t>
      </w:r>
      <w:r>
        <w:rPr>
          <w:rFonts w:hint="eastAsia" w:ascii="宋体" w:hAnsi="宋体" w:cs="宋体"/>
          <w:sz w:val="24"/>
          <w:highlight w:val="none"/>
        </w:rPr>
        <w:t>实施方案。</w:t>
      </w:r>
    </w:p>
    <w:p w14:paraId="33FA169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2、供应商需根</w:t>
      </w:r>
      <w:r>
        <w:rPr>
          <w:rFonts w:hint="eastAsia" w:ascii="宋体" w:hAnsi="宋体" w:eastAsia="宋体" w:cs="宋体"/>
          <w:sz w:val="24"/>
          <w:highlight w:val="none"/>
        </w:rPr>
        <w:t>据项目具体要求，提供详细的</w:t>
      </w:r>
      <w:r>
        <w:rPr>
          <w:rFonts w:hint="eastAsia" w:ascii="宋体" w:hAnsi="宋体" w:eastAsia="宋体" w:cs="宋体"/>
          <w:sz w:val="24"/>
          <w:highlight w:val="none"/>
          <w:lang w:val="en-US" w:eastAsia="zh-CN"/>
        </w:rPr>
        <w:t>项目了解情况、</w:t>
      </w:r>
      <w:r>
        <w:rPr>
          <w:rFonts w:hint="eastAsia" w:ascii="宋体" w:hAnsi="宋体" w:eastAsia="宋体" w:cs="宋体"/>
          <w:color w:val="auto"/>
          <w:sz w:val="24"/>
          <w:szCs w:val="24"/>
          <w:highlight w:val="none"/>
          <w:lang w:val="en-US" w:eastAsia="zh-Hans"/>
        </w:rPr>
        <w:t>重点、难点分析及</w:t>
      </w:r>
      <w:r>
        <w:rPr>
          <w:rFonts w:hint="eastAsia" w:ascii="宋体" w:hAnsi="宋体" w:cs="宋体"/>
          <w:color w:val="auto"/>
          <w:sz w:val="24"/>
          <w:szCs w:val="24"/>
          <w:highlight w:val="none"/>
          <w:lang w:val="en-US" w:eastAsia="zh-CN"/>
        </w:rPr>
        <w:t>解决、</w:t>
      </w:r>
      <w:r>
        <w:rPr>
          <w:rFonts w:hint="eastAsia" w:ascii="宋体" w:hAnsi="宋体" w:eastAsia="宋体" w:cs="宋体"/>
          <w:sz w:val="24"/>
          <w:highlight w:val="none"/>
          <w:lang w:val="en-US" w:eastAsia="zh-CN"/>
        </w:rPr>
        <w:t>项目进度情况、服务承诺、</w:t>
      </w:r>
      <w:r>
        <w:rPr>
          <w:rFonts w:hint="eastAsia" w:ascii="宋体" w:hAnsi="宋体" w:eastAsia="宋体" w:cs="宋体"/>
          <w:sz w:val="24"/>
          <w:highlight w:val="none"/>
          <w:lang w:val="en-US" w:eastAsia="zh-Hans"/>
        </w:rPr>
        <w:t>人员配置</w:t>
      </w:r>
      <w:r>
        <w:rPr>
          <w:rFonts w:hint="eastAsia" w:ascii="宋体" w:hAnsi="宋体" w:eastAsia="宋体" w:cs="宋体"/>
          <w:sz w:val="24"/>
          <w:highlight w:val="none"/>
          <w:lang w:val="en-US" w:eastAsia="zh-CN"/>
        </w:rPr>
        <w:t>、设备材料药剂、安全文明作业及制度、保险及环境保护措施</w:t>
      </w:r>
      <w:r>
        <w:rPr>
          <w:rFonts w:hint="eastAsia" w:ascii="宋体" w:hAnsi="宋体" w:eastAsia="宋体" w:cs="宋体"/>
          <w:sz w:val="24"/>
          <w:highlight w:val="none"/>
        </w:rPr>
        <w:t>等</w:t>
      </w:r>
      <w:r>
        <w:rPr>
          <w:rFonts w:hint="eastAsia" w:ascii="宋体" w:hAnsi="宋体" w:eastAsia="宋体" w:cs="宋体"/>
          <w:sz w:val="24"/>
          <w:highlight w:val="none"/>
          <w:lang w:val="en-US" w:eastAsia="zh-CN"/>
        </w:rPr>
        <w:t>方案</w:t>
      </w:r>
      <w:r>
        <w:rPr>
          <w:rFonts w:hint="eastAsia" w:ascii="宋体" w:hAnsi="宋体" w:eastAsia="宋体" w:cs="宋体"/>
          <w:sz w:val="24"/>
          <w:highlight w:val="none"/>
        </w:rPr>
        <w:t>。</w:t>
      </w:r>
    </w:p>
    <w:p w14:paraId="6CCE476E">
      <w:pPr>
        <w:spacing w:line="360" w:lineRule="auto"/>
        <w:ind w:firstLine="420"/>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5ADEB615">
      <w:pPr>
        <w:adjustRightInd/>
        <w:spacing w:line="360" w:lineRule="auto"/>
        <w:ind w:firstLine="723" w:firstLineChars="200"/>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7" w:name="_Toc184310342"/>
      <w:bookmarkEnd w:id="37"/>
      <w:bookmarkStart w:id="38" w:name="_Toc184312138"/>
      <w:bookmarkEnd w:id="38"/>
      <w:bookmarkStart w:id="39" w:name="_Toc184312136"/>
      <w:bookmarkEnd w:id="39"/>
      <w:bookmarkStart w:id="40" w:name="_Toc184308092"/>
      <w:bookmarkEnd w:id="40"/>
      <w:bookmarkStart w:id="41" w:name="_Toc184308107"/>
      <w:bookmarkEnd w:id="41"/>
      <w:bookmarkStart w:id="42" w:name="_Toc184310320"/>
      <w:bookmarkEnd w:id="42"/>
      <w:bookmarkStart w:id="43" w:name="_Toc184308053"/>
      <w:bookmarkEnd w:id="43"/>
      <w:bookmarkStart w:id="44" w:name="_Toc184310284"/>
      <w:bookmarkEnd w:id="44"/>
      <w:bookmarkStart w:id="45" w:name="_Toc184310304"/>
      <w:bookmarkEnd w:id="45"/>
      <w:bookmarkStart w:id="46" w:name="_Toc184312082"/>
      <w:bookmarkEnd w:id="46"/>
      <w:bookmarkStart w:id="47" w:name="_Toc184314466"/>
      <w:bookmarkEnd w:id="47"/>
      <w:bookmarkStart w:id="48" w:name="_Toc184308076"/>
      <w:bookmarkEnd w:id="48"/>
      <w:bookmarkStart w:id="49" w:name="_Toc184308072"/>
      <w:bookmarkEnd w:id="49"/>
      <w:bookmarkStart w:id="50" w:name="_Toc184313266"/>
      <w:bookmarkEnd w:id="50"/>
      <w:bookmarkStart w:id="51" w:name="_Toc184313283"/>
      <w:bookmarkEnd w:id="51"/>
      <w:bookmarkStart w:id="52" w:name="_Toc184314455"/>
      <w:bookmarkEnd w:id="52"/>
      <w:bookmarkStart w:id="53" w:name="_Toc184314425"/>
      <w:bookmarkEnd w:id="53"/>
      <w:bookmarkStart w:id="54" w:name="_Toc184314430"/>
      <w:bookmarkEnd w:id="54"/>
      <w:bookmarkStart w:id="55" w:name="_Toc184310310"/>
      <w:bookmarkEnd w:id="55"/>
      <w:bookmarkStart w:id="56" w:name="_Toc184313278"/>
      <w:bookmarkEnd w:id="56"/>
      <w:bookmarkStart w:id="57" w:name="_Toc184310321"/>
      <w:bookmarkEnd w:id="57"/>
      <w:bookmarkStart w:id="58" w:name="_Toc184312133"/>
      <w:bookmarkEnd w:id="58"/>
      <w:bookmarkStart w:id="59" w:name="_Toc184312125"/>
      <w:bookmarkEnd w:id="59"/>
      <w:bookmarkStart w:id="60" w:name="_Toc184314435"/>
      <w:bookmarkEnd w:id="60"/>
      <w:bookmarkStart w:id="61" w:name="_Toc184312117"/>
      <w:bookmarkEnd w:id="61"/>
      <w:bookmarkStart w:id="62" w:name="_Toc184310340"/>
      <w:bookmarkEnd w:id="62"/>
      <w:bookmarkStart w:id="63" w:name="_Toc184312083"/>
      <w:bookmarkEnd w:id="63"/>
      <w:bookmarkStart w:id="64" w:name="_Toc184314475"/>
      <w:bookmarkEnd w:id="64"/>
      <w:bookmarkStart w:id="65" w:name="_Toc184310301"/>
      <w:bookmarkEnd w:id="65"/>
      <w:bookmarkStart w:id="66" w:name="_Toc184308091"/>
      <w:bookmarkEnd w:id="66"/>
      <w:bookmarkStart w:id="67" w:name="_Toc184313260"/>
      <w:bookmarkEnd w:id="67"/>
      <w:bookmarkStart w:id="68" w:name="_Toc184312100"/>
      <w:bookmarkEnd w:id="68"/>
      <w:bookmarkStart w:id="69" w:name="_Toc184310314"/>
      <w:bookmarkEnd w:id="69"/>
      <w:bookmarkStart w:id="70" w:name="_Toc184310279"/>
      <w:bookmarkEnd w:id="70"/>
      <w:bookmarkStart w:id="71" w:name="_Toc184308040"/>
      <w:bookmarkEnd w:id="71"/>
      <w:bookmarkStart w:id="72" w:name="_Toc184308071"/>
      <w:bookmarkEnd w:id="72"/>
      <w:bookmarkStart w:id="73" w:name="_Toc184308086"/>
      <w:bookmarkEnd w:id="73"/>
      <w:bookmarkStart w:id="74" w:name="_Toc184312111"/>
      <w:bookmarkEnd w:id="74"/>
      <w:bookmarkStart w:id="75" w:name="_Toc184313295"/>
      <w:bookmarkEnd w:id="75"/>
      <w:bookmarkStart w:id="76" w:name="_Toc184310325"/>
      <w:bookmarkEnd w:id="76"/>
      <w:bookmarkStart w:id="77" w:name="_Toc184314410"/>
      <w:bookmarkEnd w:id="77"/>
      <w:bookmarkStart w:id="78" w:name="_Toc184308089"/>
      <w:bookmarkEnd w:id="78"/>
      <w:bookmarkStart w:id="79" w:name="_Toc184314467"/>
      <w:bookmarkEnd w:id="79"/>
      <w:bookmarkStart w:id="80" w:name="_Toc184310343"/>
      <w:bookmarkEnd w:id="80"/>
      <w:bookmarkStart w:id="81" w:name="_Toc184312086"/>
      <w:bookmarkEnd w:id="81"/>
      <w:bookmarkStart w:id="82" w:name="_Toc184312106"/>
      <w:bookmarkEnd w:id="82"/>
      <w:bookmarkStart w:id="83" w:name="_Toc184313257"/>
      <w:bookmarkEnd w:id="83"/>
      <w:bookmarkStart w:id="84" w:name="_Toc184308084"/>
      <w:bookmarkEnd w:id="84"/>
      <w:bookmarkStart w:id="85" w:name="_Toc184308045"/>
      <w:bookmarkEnd w:id="85"/>
      <w:bookmarkStart w:id="86" w:name="_Toc184308078"/>
      <w:bookmarkEnd w:id="86"/>
      <w:bookmarkStart w:id="87" w:name="_Toc184313303"/>
      <w:bookmarkEnd w:id="87"/>
      <w:bookmarkStart w:id="88" w:name="_Toc184308039"/>
      <w:bookmarkEnd w:id="88"/>
      <w:bookmarkStart w:id="89" w:name="_Toc184310335"/>
      <w:bookmarkEnd w:id="89"/>
      <w:bookmarkStart w:id="90" w:name="_Toc184312092"/>
      <w:bookmarkEnd w:id="90"/>
      <w:bookmarkStart w:id="91" w:name="_Toc184313261"/>
      <w:bookmarkEnd w:id="91"/>
      <w:bookmarkStart w:id="92" w:name="_Toc184312110"/>
      <w:bookmarkEnd w:id="92"/>
      <w:bookmarkStart w:id="93" w:name="_Toc184308066"/>
      <w:bookmarkEnd w:id="93"/>
      <w:bookmarkStart w:id="94" w:name="_Toc184313288"/>
      <w:bookmarkEnd w:id="94"/>
      <w:bookmarkStart w:id="95" w:name="_Toc184314428"/>
      <w:bookmarkEnd w:id="95"/>
      <w:bookmarkStart w:id="96" w:name="_Toc184308052"/>
      <w:bookmarkEnd w:id="96"/>
      <w:bookmarkStart w:id="97" w:name="_Toc184312122"/>
      <w:bookmarkEnd w:id="97"/>
      <w:bookmarkStart w:id="98" w:name="_Toc184314445"/>
      <w:bookmarkEnd w:id="98"/>
      <w:bookmarkStart w:id="99" w:name="_Toc184310333"/>
      <w:bookmarkEnd w:id="99"/>
      <w:bookmarkStart w:id="100" w:name="_Toc184313286"/>
      <w:bookmarkEnd w:id="100"/>
      <w:bookmarkStart w:id="101" w:name="_Toc184310341"/>
      <w:bookmarkEnd w:id="101"/>
      <w:bookmarkStart w:id="102" w:name="_Toc184312070"/>
      <w:bookmarkEnd w:id="102"/>
      <w:bookmarkStart w:id="103" w:name="_Toc184313256"/>
      <w:bookmarkEnd w:id="103"/>
      <w:bookmarkStart w:id="104" w:name="_Toc184312114"/>
      <w:bookmarkEnd w:id="104"/>
      <w:bookmarkStart w:id="105" w:name="_Toc184314443"/>
      <w:bookmarkEnd w:id="105"/>
      <w:bookmarkStart w:id="106" w:name="_Toc184314439"/>
      <w:bookmarkEnd w:id="106"/>
      <w:bookmarkStart w:id="107" w:name="_Toc184314414"/>
      <w:bookmarkEnd w:id="107"/>
      <w:bookmarkStart w:id="108" w:name="_Toc184313254"/>
      <w:bookmarkEnd w:id="108"/>
      <w:bookmarkStart w:id="109" w:name="_Toc184308096"/>
      <w:bookmarkEnd w:id="109"/>
      <w:bookmarkStart w:id="110" w:name="_Toc184314449"/>
      <w:bookmarkEnd w:id="110"/>
      <w:bookmarkStart w:id="111" w:name="_Toc184308060"/>
      <w:bookmarkEnd w:id="111"/>
      <w:bookmarkStart w:id="112" w:name="_Toc184310273"/>
      <w:bookmarkEnd w:id="112"/>
      <w:bookmarkStart w:id="113" w:name="_Toc184312093"/>
      <w:bookmarkEnd w:id="113"/>
      <w:bookmarkStart w:id="114" w:name="_Toc184310311"/>
      <w:bookmarkEnd w:id="114"/>
      <w:bookmarkStart w:id="115" w:name="_Toc184313291"/>
      <w:bookmarkEnd w:id="115"/>
      <w:bookmarkStart w:id="116" w:name="_Toc184308104"/>
      <w:bookmarkEnd w:id="116"/>
      <w:bookmarkStart w:id="117" w:name="_Toc184312120"/>
      <w:bookmarkEnd w:id="117"/>
      <w:bookmarkStart w:id="118" w:name="_Toc184314460"/>
      <w:bookmarkEnd w:id="118"/>
      <w:bookmarkStart w:id="119" w:name="_Toc184308090"/>
      <w:bookmarkEnd w:id="119"/>
      <w:bookmarkStart w:id="120" w:name="_Toc184312108"/>
      <w:bookmarkEnd w:id="120"/>
      <w:bookmarkStart w:id="121" w:name="_Toc184312069"/>
      <w:bookmarkEnd w:id="121"/>
      <w:bookmarkStart w:id="122" w:name="_Toc184313300"/>
      <w:bookmarkEnd w:id="122"/>
      <w:bookmarkStart w:id="123" w:name="_Toc184312116"/>
      <w:bookmarkEnd w:id="123"/>
      <w:bookmarkStart w:id="124" w:name="_Toc184314417"/>
      <w:bookmarkEnd w:id="124"/>
      <w:bookmarkStart w:id="125" w:name="_Toc184308056"/>
      <w:bookmarkEnd w:id="125"/>
      <w:bookmarkStart w:id="126" w:name="_Toc184314479"/>
      <w:bookmarkEnd w:id="126"/>
      <w:bookmarkStart w:id="127" w:name="_Toc184308094"/>
      <w:bookmarkEnd w:id="127"/>
      <w:bookmarkStart w:id="128" w:name="_Toc184308105"/>
      <w:bookmarkEnd w:id="128"/>
      <w:bookmarkStart w:id="129" w:name="_Toc184312081"/>
      <w:bookmarkEnd w:id="129"/>
      <w:bookmarkStart w:id="130" w:name="_Toc184310339"/>
      <w:bookmarkEnd w:id="130"/>
      <w:bookmarkStart w:id="131" w:name="_Toc184313298"/>
      <w:bookmarkEnd w:id="131"/>
      <w:bookmarkStart w:id="132" w:name="_Toc184312128"/>
      <w:bookmarkEnd w:id="132"/>
      <w:bookmarkStart w:id="133" w:name="_Toc184313292"/>
      <w:bookmarkEnd w:id="133"/>
      <w:bookmarkStart w:id="134" w:name="_Toc184310337"/>
      <w:bookmarkEnd w:id="134"/>
      <w:bookmarkStart w:id="135" w:name="_Toc184310293"/>
      <w:bookmarkEnd w:id="135"/>
      <w:bookmarkStart w:id="136" w:name="_Toc184308101"/>
      <w:bookmarkEnd w:id="136"/>
      <w:bookmarkStart w:id="137" w:name="_Toc184312104"/>
      <w:bookmarkEnd w:id="137"/>
      <w:bookmarkStart w:id="138" w:name="_Toc184312130"/>
      <w:bookmarkEnd w:id="138"/>
      <w:bookmarkStart w:id="139" w:name="_Toc184314461"/>
      <w:bookmarkEnd w:id="139"/>
      <w:bookmarkStart w:id="140" w:name="_Toc184308064"/>
      <w:bookmarkEnd w:id="140"/>
      <w:bookmarkStart w:id="141" w:name="_Toc184313238"/>
      <w:bookmarkEnd w:id="141"/>
      <w:bookmarkStart w:id="142" w:name="_Toc184314412"/>
      <w:bookmarkEnd w:id="142"/>
      <w:bookmarkStart w:id="143" w:name="_Toc184313241"/>
      <w:bookmarkEnd w:id="143"/>
      <w:bookmarkStart w:id="144" w:name="_Toc184310292"/>
      <w:bookmarkEnd w:id="144"/>
      <w:bookmarkStart w:id="145" w:name="_Toc184308082"/>
      <w:bookmarkEnd w:id="145"/>
      <w:bookmarkStart w:id="146" w:name="_Toc184314431"/>
      <w:bookmarkEnd w:id="146"/>
      <w:bookmarkStart w:id="147" w:name="_Toc184308069"/>
      <w:bookmarkEnd w:id="147"/>
      <w:bookmarkStart w:id="148" w:name="_Toc184312107"/>
      <w:bookmarkEnd w:id="148"/>
      <w:bookmarkStart w:id="149" w:name="_Toc184310283"/>
      <w:bookmarkEnd w:id="149"/>
      <w:bookmarkStart w:id="150" w:name="_Toc184312119"/>
      <w:bookmarkEnd w:id="150"/>
      <w:bookmarkStart w:id="151" w:name="_Toc184308043"/>
      <w:bookmarkEnd w:id="151"/>
      <w:bookmarkStart w:id="152" w:name="_Toc184313297"/>
      <w:bookmarkEnd w:id="152"/>
      <w:bookmarkStart w:id="153" w:name="_Toc184308057"/>
      <w:bookmarkEnd w:id="153"/>
      <w:bookmarkStart w:id="154" w:name="_Toc184314440"/>
      <w:bookmarkEnd w:id="154"/>
      <w:bookmarkStart w:id="155" w:name="_Toc184308068"/>
      <w:bookmarkEnd w:id="155"/>
      <w:bookmarkStart w:id="156" w:name="_Toc184312094"/>
      <w:bookmarkEnd w:id="156"/>
      <w:bookmarkStart w:id="157" w:name="_Toc184308037"/>
      <w:bookmarkEnd w:id="157"/>
      <w:bookmarkStart w:id="158" w:name="_Toc184312121"/>
      <w:bookmarkEnd w:id="158"/>
      <w:bookmarkStart w:id="159" w:name="_Toc184313289"/>
      <w:bookmarkEnd w:id="159"/>
      <w:bookmarkStart w:id="160" w:name="_Toc184312072"/>
      <w:bookmarkEnd w:id="160"/>
      <w:bookmarkStart w:id="161" w:name="_Toc184313253"/>
      <w:bookmarkEnd w:id="161"/>
      <w:bookmarkStart w:id="162" w:name="_Toc184310298"/>
      <w:bookmarkEnd w:id="162"/>
      <w:bookmarkStart w:id="163" w:name="_Toc184312096"/>
      <w:bookmarkEnd w:id="163"/>
      <w:bookmarkStart w:id="164" w:name="_Toc184308087"/>
      <w:bookmarkEnd w:id="164"/>
      <w:bookmarkStart w:id="165" w:name="_Toc184314453"/>
      <w:bookmarkEnd w:id="165"/>
      <w:bookmarkStart w:id="166" w:name="_Toc184314451"/>
      <w:bookmarkEnd w:id="166"/>
      <w:bookmarkStart w:id="167" w:name="_Toc184310316"/>
      <w:bookmarkEnd w:id="167"/>
      <w:bookmarkStart w:id="168" w:name="_Toc184313299"/>
      <w:bookmarkEnd w:id="168"/>
      <w:bookmarkStart w:id="169" w:name="_Toc184313307"/>
      <w:bookmarkEnd w:id="169"/>
      <w:bookmarkStart w:id="170" w:name="_Toc184312097"/>
      <w:bookmarkEnd w:id="170"/>
      <w:bookmarkStart w:id="171" w:name="_Toc184313247"/>
      <w:bookmarkEnd w:id="171"/>
      <w:bookmarkStart w:id="172" w:name="_Toc184310287"/>
      <w:bookmarkEnd w:id="172"/>
      <w:bookmarkStart w:id="173" w:name="_Toc184310294"/>
      <w:bookmarkEnd w:id="173"/>
      <w:bookmarkStart w:id="174" w:name="_Toc184310324"/>
      <w:bookmarkEnd w:id="174"/>
      <w:bookmarkStart w:id="175" w:name="_Toc184314465"/>
      <w:bookmarkEnd w:id="175"/>
      <w:bookmarkStart w:id="176" w:name="_Toc184308054"/>
      <w:bookmarkEnd w:id="176"/>
      <w:bookmarkStart w:id="177" w:name="_Toc184313290"/>
      <w:bookmarkEnd w:id="177"/>
      <w:bookmarkStart w:id="178" w:name="_Toc184308106"/>
      <w:bookmarkEnd w:id="178"/>
      <w:bookmarkStart w:id="179" w:name="_Toc184314447"/>
      <w:bookmarkEnd w:id="179"/>
      <w:bookmarkStart w:id="180" w:name="_Toc184312134"/>
      <w:bookmarkEnd w:id="180"/>
      <w:bookmarkStart w:id="181" w:name="_Toc184310312"/>
      <w:bookmarkEnd w:id="181"/>
      <w:bookmarkStart w:id="182" w:name="_Toc184312113"/>
      <w:bookmarkEnd w:id="182"/>
      <w:bookmarkStart w:id="183" w:name="_Toc184314416"/>
      <w:bookmarkEnd w:id="183"/>
      <w:bookmarkStart w:id="184" w:name="_Toc184310334"/>
      <w:bookmarkEnd w:id="184"/>
      <w:bookmarkStart w:id="185" w:name="_Toc184310289"/>
      <w:bookmarkEnd w:id="185"/>
      <w:bookmarkStart w:id="186" w:name="_Toc184308044"/>
      <w:bookmarkEnd w:id="186"/>
      <w:bookmarkStart w:id="187" w:name="_Toc184308102"/>
      <w:bookmarkEnd w:id="187"/>
      <w:bookmarkStart w:id="188" w:name="_Toc184313275"/>
      <w:bookmarkEnd w:id="188"/>
      <w:bookmarkStart w:id="189" w:name="_Toc184310300"/>
      <w:bookmarkEnd w:id="189"/>
      <w:bookmarkStart w:id="190" w:name="_Toc184314462"/>
      <w:bookmarkEnd w:id="190"/>
      <w:bookmarkStart w:id="191" w:name="_Toc184310309"/>
      <w:bookmarkEnd w:id="191"/>
      <w:bookmarkStart w:id="192" w:name="_Toc184312132"/>
      <w:bookmarkEnd w:id="192"/>
      <w:bookmarkStart w:id="193" w:name="_Toc184308095"/>
      <w:bookmarkEnd w:id="193"/>
      <w:bookmarkStart w:id="194" w:name="_Toc184310275"/>
      <w:bookmarkEnd w:id="194"/>
      <w:bookmarkStart w:id="195" w:name="_Toc184314456"/>
      <w:bookmarkEnd w:id="195"/>
      <w:bookmarkStart w:id="196" w:name="_Toc184312095"/>
      <w:bookmarkEnd w:id="196"/>
      <w:bookmarkStart w:id="197" w:name="_Toc184308085"/>
      <w:bookmarkEnd w:id="197"/>
      <w:bookmarkStart w:id="198" w:name="_Toc184312088"/>
      <w:bookmarkEnd w:id="198"/>
      <w:bookmarkStart w:id="199" w:name="_Toc184308048"/>
      <w:bookmarkEnd w:id="199"/>
      <w:bookmarkStart w:id="200" w:name="_Toc184313301"/>
      <w:bookmarkEnd w:id="200"/>
      <w:bookmarkStart w:id="201" w:name="_Toc184314422"/>
      <w:bookmarkEnd w:id="201"/>
      <w:bookmarkStart w:id="202" w:name="_Toc184308077"/>
      <w:bookmarkEnd w:id="202"/>
      <w:bookmarkStart w:id="203" w:name="_Toc184312112"/>
      <w:bookmarkEnd w:id="203"/>
      <w:bookmarkStart w:id="204" w:name="_Toc184313243"/>
      <w:bookmarkEnd w:id="204"/>
      <w:bookmarkStart w:id="205" w:name="_Toc184313284"/>
      <w:bookmarkEnd w:id="205"/>
      <w:bookmarkStart w:id="206" w:name="_Toc184313308"/>
      <w:bookmarkEnd w:id="206"/>
      <w:bookmarkStart w:id="207" w:name="_Toc184314413"/>
      <w:bookmarkEnd w:id="207"/>
      <w:bookmarkStart w:id="208" w:name="_Toc184313271"/>
      <w:bookmarkEnd w:id="208"/>
      <w:bookmarkStart w:id="209" w:name="_Toc184313240"/>
      <w:bookmarkEnd w:id="209"/>
      <w:bookmarkStart w:id="210" w:name="_Toc184313304"/>
      <w:bookmarkEnd w:id="210"/>
      <w:bookmarkStart w:id="211" w:name="_Toc184314448"/>
      <w:bookmarkEnd w:id="211"/>
      <w:bookmarkStart w:id="212" w:name="_Toc184314458"/>
      <w:bookmarkEnd w:id="212"/>
      <w:bookmarkStart w:id="213" w:name="_Toc184312074"/>
      <w:bookmarkEnd w:id="213"/>
      <w:bookmarkStart w:id="214" w:name="_Toc184310322"/>
      <w:bookmarkEnd w:id="214"/>
      <w:bookmarkStart w:id="215" w:name="_Toc184313265"/>
      <w:bookmarkEnd w:id="215"/>
      <w:bookmarkStart w:id="216" w:name="_Toc184312124"/>
      <w:bookmarkEnd w:id="216"/>
      <w:bookmarkStart w:id="217" w:name="_Toc184310338"/>
      <w:bookmarkEnd w:id="217"/>
      <w:bookmarkStart w:id="218" w:name="_Toc184308042"/>
      <w:bookmarkEnd w:id="218"/>
      <w:bookmarkStart w:id="219" w:name="_Toc184312101"/>
      <w:bookmarkEnd w:id="219"/>
      <w:bookmarkStart w:id="220" w:name="_Toc184314471"/>
      <w:bookmarkEnd w:id="220"/>
      <w:bookmarkStart w:id="221" w:name="_Toc184312103"/>
      <w:bookmarkEnd w:id="221"/>
      <w:bookmarkStart w:id="222" w:name="_Toc184310319"/>
      <w:bookmarkEnd w:id="222"/>
      <w:bookmarkStart w:id="223" w:name="_Toc184314472"/>
      <w:bookmarkEnd w:id="223"/>
      <w:bookmarkStart w:id="224" w:name="_Toc184312126"/>
      <w:bookmarkEnd w:id="224"/>
      <w:bookmarkStart w:id="225" w:name="_Toc184308103"/>
      <w:bookmarkEnd w:id="225"/>
      <w:bookmarkStart w:id="226" w:name="_Toc184312091"/>
      <w:bookmarkEnd w:id="226"/>
      <w:bookmarkStart w:id="227" w:name="_Toc184313239"/>
      <w:bookmarkEnd w:id="227"/>
      <w:bookmarkStart w:id="228" w:name="_Toc184314450"/>
      <w:bookmarkEnd w:id="228"/>
      <w:bookmarkStart w:id="229" w:name="_Toc184314463"/>
      <w:bookmarkEnd w:id="229"/>
      <w:bookmarkStart w:id="230" w:name="_Toc184310282"/>
      <w:bookmarkEnd w:id="230"/>
      <w:bookmarkStart w:id="231" w:name="_Toc184308036"/>
      <w:bookmarkEnd w:id="231"/>
      <w:bookmarkStart w:id="232" w:name="_Toc184310302"/>
      <w:bookmarkEnd w:id="232"/>
      <w:bookmarkStart w:id="233" w:name="_Toc184310286"/>
      <w:bookmarkEnd w:id="233"/>
      <w:bookmarkStart w:id="234" w:name="_Toc184312073"/>
      <w:bookmarkEnd w:id="234"/>
      <w:bookmarkStart w:id="235" w:name="_Toc184313293"/>
      <w:bookmarkEnd w:id="235"/>
      <w:bookmarkStart w:id="236" w:name="_Toc184308041"/>
      <w:bookmarkEnd w:id="236"/>
      <w:bookmarkStart w:id="237" w:name="_Toc184310285"/>
      <w:bookmarkEnd w:id="237"/>
      <w:bookmarkStart w:id="238" w:name="_Toc184313310"/>
      <w:bookmarkEnd w:id="238"/>
      <w:bookmarkStart w:id="239" w:name="_Toc184312105"/>
      <w:bookmarkEnd w:id="239"/>
      <w:bookmarkStart w:id="240" w:name="_Toc184308058"/>
      <w:bookmarkEnd w:id="240"/>
      <w:bookmarkStart w:id="241" w:name="_Toc184312085"/>
      <w:bookmarkEnd w:id="241"/>
      <w:bookmarkStart w:id="242" w:name="_Toc184312079"/>
      <w:bookmarkEnd w:id="242"/>
      <w:bookmarkStart w:id="243" w:name="_Toc184312090"/>
      <w:bookmarkEnd w:id="243"/>
      <w:bookmarkStart w:id="244" w:name="_Toc184314478"/>
      <w:bookmarkEnd w:id="244"/>
      <w:bookmarkStart w:id="245" w:name="_Toc184308083"/>
      <w:bookmarkEnd w:id="245"/>
      <w:bookmarkStart w:id="246" w:name="_Toc184312098"/>
      <w:bookmarkEnd w:id="246"/>
      <w:bookmarkStart w:id="247" w:name="_Toc184310315"/>
      <w:bookmarkEnd w:id="247"/>
      <w:bookmarkStart w:id="248" w:name="_Toc184310305"/>
      <w:bookmarkEnd w:id="248"/>
      <w:bookmarkStart w:id="249" w:name="_Toc184314444"/>
      <w:bookmarkEnd w:id="249"/>
      <w:bookmarkStart w:id="250" w:name="_Toc184313249"/>
      <w:bookmarkEnd w:id="250"/>
      <w:bookmarkStart w:id="251" w:name="_Toc184312127"/>
      <w:bookmarkEnd w:id="251"/>
      <w:bookmarkStart w:id="252" w:name="_Toc184313255"/>
      <w:bookmarkEnd w:id="252"/>
      <w:bookmarkStart w:id="253" w:name="_Toc184308061"/>
      <w:bookmarkEnd w:id="253"/>
      <w:bookmarkStart w:id="254" w:name="_Toc184312135"/>
      <w:bookmarkEnd w:id="254"/>
      <w:bookmarkStart w:id="255" w:name="_Toc184310274"/>
      <w:bookmarkEnd w:id="255"/>
      <w:bookmarkStart w:id="256" w:name="_Toc184313252"/>
      <w:bookmarkEnd w:id="256"/>
      <w:bookmarkStart w:id="257" w:name="_Toc184312068"/>
      <w:bookmarkEnd w:id="257"/>
      <w:bookmarkStart w:id="258" w:name="_Toc184310332"/>
      <w:bookmarkEnd w:id="258"/>
      <w:bookmarkStart w:id="259" w:name="_Toc184314429"/>
      <w:bookmarkEnd w:id="259"/>
      <w:bookmarkStart w:id="260" w:name="_Toc184312109"/>
      <w:bookmarkEnd w:id="260"/>
      <w:bookmarkStart w:id="261" w:name="_Toc184310295"/>
      <w:bookmarkEnd w:id="261"/>
      <w:bookmarkStart w:id="262" w:name="_Toc184308079"/>
      <w:bookmarkEnd w:id="262"/>
      <w:bookmarkStart w:id="263" w:name="_Toc184313285"/>
      <w:bookmarkEnd w:id="263"/>
      <w:bookmarkStart w:id="264" w:name="_Toc184313276"/>
      <w:bookmarkEnd w:id="264"/>
      <w:bookmarkStart w:id="265" w:name="_Toc184308047"/>
      <w:bookmarkEnd w:id="265"/>
      <w:bookmarkStart w:id="266" w:name="_Toc184314441"/>
      <w:bookmarkEnd w:id="266"/>
      <w:bookmarkStart w:id="267" w:name="_Toc184314470"/>
      <w:bookmarkEnd w:id="267"/>
      <w:bookmarkStart w:id="268" w:name="_Toc184310317"/>
      <w:bookmarkEnd w:id="268"/>
      <w:bookmarkStart w:id="269" w:name="_Toc184313244"/>
      <w:bookmarkEnd w:id="269"/>
      <w:bookmarkStart w:id="270" w:name="_Toc184310307"/>
      <w:bookmarkEnd w:id="270"/>
      <w:bookmarkStart w:id="271" w:name="_Toc184313306"/>
      <w:bookmarkEnd w:id="271"/>
      <w:bookmarkStart w:id="272" w:name="_Toc184310306"/>
      <w:bookmarkEnd w:id="272"/>
      <w:bookmarkStart w:id="273" w:name="_Toc184312089"/>
      <w:bookmarkEnd w:id="273"/>
      <w:bookmarkStart w:id="274" w:name="_Toc184310313"/>
      <w:bookmarkEnd w:id="274"/>
      <w:bookmarkStart w:id="275" w:name="_Toc184308073"/>
      <w:bookmarkEnd w:id="275"/>
      <w:bookmarkStart w:id="276" w:name="_Toc184313273"/>
      <w:bookmarkEnd w:id="276"/>
      <w:bookmarkStart w:id="277" w:name="_Toc184314468"/>
      <w:bookmarkEnd w:id="277"/>
      <w:bookmarkStart w:id="278" w:name="_Toc184313277"/>
      <w:bookmarkEnd w:id="278"/>
      <w:bookmarkStart w:id="279" w:name="_Toc184308065"/>
      <w:bookmarkEnd w:id="279"/>
      <w:bookmarkStart w:id="280" w:name="_Toc184313279"/>
      <w:bookmarkEnd w:id="280"/>
      <w:bookmarkStart w:id="281" w:name="_Toc184314432"/>
      <w:bookmarkEnd w:id="281"/>
      <w:bookmarkStart w:id="282" w:name="_Toc184313282"/>
      <w:bookmarkEnd w:id="282"/>
      <w:bookmarkStart w:id="283" w:name="_Toc184313287"/>
      <w:bookmarkEnd w:id="283"/>
      <w:bookmarkStart w:id="284" w:name="_Toc184312076"/>
      <w:bookmarkEnd w:id="284"/>
      <w:bookmarkStart w:id="285" w:name="_Toc184312131"/>
      <w:bookmarkEnd w:id="285"/>
      <w:bookmarkStart w:id="286" w:name="_Toc184312129"/>
      <w:bookmarkEnd w:id="286"/>
      <w:bookmarkStart w:id="287" w:name="_Toc184314454"/>
      <w:bookmarkEnd w:id="287"/>
      <w:bookmarkStart w:id="288" w:name="_Toc184308108"/>
      <w:bookmarkEnd w:id="288"/>
      <w:bookmarkStart w:id="289" w:name="_Toc184314474"/>
      <w:bookmarkEnd w:id="289"/>
      <w:bookmarkStart w:id="290" w:name="_Toc184308070"/>
      <w:bookmarkEnd w:id="290"/>
      <w:bookmarkStart w:id="291" w:name="_Toc184313296"/>
      <w:bookmarkEnd w:id="291"/>
      <w:bookmarkStart w:id="292" w:name="_Toc184314457"/>
      <w:bookmarkEnd w:id="292"/>
      <w:bookmarkStart w:id="293" w:name="_Toc184310280"/>
      <w:bookmarkEnd w:id="293"/>
      <w:bookmarkStart w:id="294" w:name="_Toc184314434"/>
      <w:bookmarkEnd w:id="294"/>
      <w:bookmarkStart w:id="295" w:name="_Toc184310344"/>
      <w:bookmarkEnd w:id="295"/>
      <w:bookmarkStart w:id="296" w:name="_Toc184314437"/>
      <w:bookmarkEnd w:id="296"/>
      <w:bookmarkStart w:id="297" w:name="_Toc184313251"/>
      <w:bookmarkEnd w:id="297"/>
      <w:bookmarkStart w:id="298" w:name="_Toc184313262"/>
      <w:bookmarkEnd w:id="298"/>
      <w:bookmarkStart w:id="299" w:name="_Toc184313305"/>
      <w:bookmarkEnd w:id="299"/>
      <w:bookmarkStart w:id="300" w:name="_Toc184314438"/>
      <w:bookmarkEnd w:id="300"/>
      <w:bookmarkStart w:id="301" w:name="_Toc184308059"/>
      <w:bookmarkEnd w:id="301"/>
      <w:bookmarkStart w:id="302" w:name="_Toc184310278"/>
      <w:bookmarkEnd w:id="302"/>
      <w:bookmarkStart w:id="303" w:name="_Toc184314419"/>
      <w:bookmarkEnd w:id="303"/>
      <w:bookmarkStart w:id="304" w:name="_Toc184314459"/>
      <w:bookmarkEnd w:id="304"/>
      <w:bookmarkStart w:id="305" w:name="_Toc184312139"/>
      <w:bookmarkEnd w:id="305"/>
      <w:bookmarkStart w:id="306" w:name="_Toc184314433"/>
      <w:bookmarkEnd w:id="306"/>
      <w:bookmarkStart w:id="307" w:name="_Toc184314446"/>
      <w:bookmarkEnd w:id="307"/>
      <w:bookmarkStart w:id="308" w:name="_Toc184314424"/>
      <w:bookmarkEnd w:id="308"/>
      <w:bookmarkStart w:id="309" w:name="_Toc184314442"/>
      <w:bookmarkEnd w:id="309"/>
      <w:bookmarkStart w:id="310" w:name="_Toc184308080"/>
      <w:bookmarkEnd w:id="310"/>
      <w:bookmarkStart w:id="311" w:name="_Toc184310296"/>
      <w:bookmarkEnd w:id="311"/>
      <w:bookmarkStart w:id="312" w:name="_Toc184310276"/>
      <w:bookmarkEnd w:id="312"/>
      <w:bookmarkStart w:id="313" w:name="_Toc184313302"/>
      <w:bookmarkEnd w:id="313"/>
      <w:bookmarkStart w:id="314" w:name="_Toc184308098"/>
      <w:bookmarkEnd w:id="314"/>
      <w:bookmarkStart w:id="315" w:name="_Toc184314426"/>
      <w:bookmarkEnd w:id="315"/>
      <w:bookmarkStart w:id="316" w:name="_Toc184314452"/>
      <w:bookmarkEnd w:id="316"/>
      <w:bookmarkStart w:id="317" w:name="_Toc184314481"/>
      <w:bookmarkEnd w:id="317"/>
      <w:bookmarkStart w:id="318" w:name="_Toc184312118"/>
      <w:bookmarkEnd w:id="318"/>
      <w:bookmarkStart w:id="319" w:name="_Toc184314476"/>
      <w:bookmarkEnd w:id="319"/>
      <w:bookmarkStart w:id="320" w:name="_Toc184314464"/>
      <w:bookmarkEnd w:id="320"/>
      <w:bookmarkStart w:id="321" w:name="_Toc184310291"/>
      <w:bookmarkEnd w:id="321"/>
      <w:bookmarkStart w:id="322" w:name="_Toc184313246"/>
      <w:bookmarkEnd w:id="322"/>
      <w:bookmarkStart w:id="323" w:name="_Toc184313267"/>
      <w:bookmarkEnd w:id="323"/>
      <w:bookmarkStart w:id="324" w:name="_Toc184313242"/>
      <w:bookmarkEnd w:id="324"/>
      <w:bookmarkStart w:id="325" w:name="_Toc184310328"/>
      <w:bookmarkEnd w:id="325"/>
      <w:bookmarkStart w:id="326" w:name="_Toc184313250"/>
      <w:bookmarkEnd w:id="326"/>
      <w:bookmarkStart w:id="327" w:name="_Toc184314411"/>
      <w:bookmarkEnd w:id="327"/>
      <w:bookmarkStart w:id="328" w:name="_Toc184310281"/>
      <w:bookmarkEnd w:id="328"/>
      <w:bookmarkStart w:id="329" w:name="_Toc184310329"/>
      <w:bookmarkEnd w:id="329"/>
      <w:bookmarkStart w:id="330" w:name="_Toc184313269"/>
      <w:bookmarkEnd w:id="330"/>
      <w:bookmarkStart w:id="331" w:name="_Toc184308081"/>
      <w:bookmarkEnd w:id="331"/>
      <w:bookmarkStart w:id="332" w:name="_Toc184313274"/>
      <w:bookmarkEnd w:id="332"/>
      <w:bookmarkStart w:id="333" w:name="_Toc184308088"/>
      <w:bookmarkEnd w:id="333"/>
      <w:bookmarkStart w:id="334" w:name="_Toc184308038"/>
      <w:bookmarkEnd w:id="334"/>
      <w:bookmarkStart w:id="335" w:name="_Toc184310288"/>
      <w:bookmarkEnd w:id="335"/>
      <w:bookmarkStart w:id="336" w:name="_Toc184310336"/>
      <w:bookmarkEnd w:id="336"/>
      <w:bookmarkStart w:id="337" w:name="_Toc184313294"/>
      <w:bookmarkEnd w:id="337"/>
      <w:bookmarkStart w:id="338" w:name="_Toc184308063"/>
      <w:bookmarkEnd w:id="338"/>
      <w:bookmarkStart w:id="339" w:name="_Toc184308093"/>
      <w:bookmarkEnd w:id="339"/>
      <w:bookmarkStart w:id="340" w:name="_Toc184313248"/>
      <w:bookmarkEnd w:id="340"/>
      <w:bookmarkStart w:id="341" w:name="_Toc184308050"/>
      <w:bookmarkEnd w:id="341"/>
      <w:bookmarkStart w:id="342" w:name="_Toc184308051"/>
      <w:bookmarkEnd w:id="342"/>
      <w:bookmarkStart w:id="343" w:name="_Toc184312099"/>
      <w:bookmarkEnd w:id="343"/>
      <w:bookmarkStart w:id="344" w:name="_Toc184312137"/>
      <w:bookmarkEnd w:id="344"/>
      <w:bookmarkStart w:id="345" w:name="_Toc184310327"/>
      <w:bookmarkEnd w:id="345"/>
      <w:bookmarkStart w:id="346" w:name="_Toc184312123"/>
      <w:bookmarkEnd w:id="346"/>
      <w:bookmarkStart w:id="347" w:name="_Toc184310323"/>
      <w:bookmarkEnd w:id="347"/>
      <w:bookmarkStart w:id="348" w:name="_Toc184314477"/>
      <w:bookmarkEnd w:id="348"/>
      <w:bookmarkStart w:id="349" w:name="_Toc184310331"/>
      <w:bookmarkEnd w:id="349"/>
      <w:bookmarkStart w:id="350" w:name="_Toc184312102"/>
      <w:bookmarkEnd w:id="350"/>
      <w:bookmarkStart w:id="351" w:name="_Toc184308067"/>
      <w:bookmarkEnd w:id="351"/>
      <w:bookmarkStart w:id="352" w:name="_Toc184310330"/>
      <w:bookmarkEnd w:id="352"/>
      <w:bookmarkStart w:id="353" w:name="_Toc184312084"/>
      <w:bookmarkEnd w:id="353"/>
      <w:bookmarkStart w:id="354" w:name="_Toc184312075"/>
      <w:bookmarkEnd w:id="354"/>
      <w:bookmarkStart w:id="355" w:name="_Toc184314421"/>
      <w:bookmarkEnd w:id="355"/>
      <w:bookmarkStart w:id="356" w:name="_Toc184314436"/>
      <w:bookmarkEnd w:id="356"/>
      <w:bookmarkStart w:id="357" w:name="_Toc184312071"/>
      <w:bookmarkEnd w:id="357"/>
      <w:bookmarkStart w:id="358" w:name="_Toc184308075"/>
      <w:bookmarkEnd w:id="358"/>
      <w:bookmarkStart w:id="359" w:name="_Toc184308097"/>
      <w:bookmarkEnd w:id="359"/>
      <w:bookmarkStart w:id="360" w:name="_Toc184312080"/>
      <w:bookmarkEnd w:id="360"/>
      <w:bookmarkStart w:id="361" w:name="_Toc184310272"/>
      <w:bookmarkEnd w:id="361"/>
      <w:bookmarkStart w:id="362" w:name="_Toc184310308"/>
      <w:bookmarkEnd w:id="362"/>
      <w:bookmarkStart w:id="363" w:name="_Toc184310297"/>
      <w:bookmarkEnd w:id="363"/>
      <w:bookmarkStart w:id="364" w:name="_Toc184314482"/>
      <w:bookmarkEnd w:id="364"/>
      <w:bookmarkStart w:id="365" w:name="_Toc184310299"/>
      <w:bookmarkEnd w:id="365"/>
      <w:bookmarkStart w:id="366" w:name="_Toc184314473"/>
      <w:bookmarkEnd w:id="366"/>
      <w:bookmarkStart w:id="367" w:name="_Toc184313309"/>
      <w:bookmarkEnd w:id="367"/>
      <w:bookmarkStart w:id="368" w:name="_Toc184313280"/>
      <w:bookmarkEnd w:id="368"/>
      <w:bookmarkStart w:id="369" w:name="_Toc184310277"/>
      <w:bookmarkEnd w:id="369"/>
      <w:bookmarkStart w:id="370" w:name="_Toc184313264"/>
      <w:bookmarkEnd w:id="370"/>
      <w:bookmarkStart w:id="371" w:name="_Toc184310303"/>
      <w:bookmarkEnd w:id="371"/>
      <w:bookmarkStart w:id="372" w:name="_Toc184313263"/>
      <w:bookmarkEnd w:id="372"/>
      <w:bookmarkStart w:id="373" w:name="_Toc184314427"/>
      <w:bookmarkEnd w:id="373"/>
      <w:bookmarkStart w:id="374" w:name="_Toc184314415"/>
      <w:bookmarkEnd w:id="374"/>
      <w:bookmarkStart w:id="375" w:name="_Toc184310326"/>
      <w:bookmarkEnd w:id="375"/>
      <w:bookmarkStart w:id="376" w:name="_Toc184308100"/>
      <w:bookmarkEnd w:id="376"/>
      <w:bookmarkStart w:id="377" w:name="_Toc184312078"/>
      <w:bookmarkEnd w:id="377"/>
      <w:bookmarkStart w:id="378" w:name="_Toc184313258"/>
      <w:bookmarkEnd w:id="378"/>
      <w:bookmarkStart w:id="379" w:name="_Toc184312087"/>
      <w:bookmarkEnd w:id="379"/>
      <w:bookmarkStart w:id="380" w:name="_Toc184308074"/>
      <w:bookmarkEnd w:id="380"/>
      <w:bookmarkStart w:id="381" w:name="_Toc184310290"/>
      <w:bookmarkEnd w:id="381"/>
      <w:bookmarkStart w:id="382" w:name="_Toc184312077"/>
      <w:bookmarkEnd w:id="382"/>
      <w:bookmarkStart w:id="383" w:name="_Toc184313268"/>
      <w:bookmarkEnd w:id="383"/>
      <w:bookmarkStart w:id="384" w:name="_Toc184314418"/>
      <w:bookmarkEnd w:id="384"/>
      <w:bookmarkStart w:id="385" w:name="_Toc184312067"/>
      <w:bookmarkEnd w:id="385"/>
      <w:bookmarkStart w:id="386" w:name="_Toc184313270"/>
      <w:bookmarkEnd w:id="386"/>
      <w:bookmarkStart w:id="387" w:name="_Toc184308062"/>
      <w:bookmarkEnd w:id="387"/>
      <w:bookmarkStart w:id="388" w:name="_Toc184314420"/>
      <w:bookmarkEnd w:id="388"/>
      <w:bookmarkStart w:id="389" w:name="_Toc184313245"/>
      <w:bookmarkEnd w:id="389"/>
      <w:bookmarkStart w:id="390" w:name="_Toc184312115"/>
      <w:bookmarkEnd w:id="390"/>
      <w:bookmarkStart w:id="391" w:name="_Toc184308055"/>
      <w:bookmarkEnd w:id="391"/>
      <w:bookmarkStart w:id="392" w:name="_Toc184310318"/>
      <w:bookmarkEnd w:id="392"/>
      <w:bookmarkStart w:id="393" w:name="_Toc184314480"/>
      <w:bookmarkEnd w:id="393"/>
      <w:bookmarkStart w:id="394" w:name="_Toc184313259"/>
      <w:bookmarkEnd w:id="394"/>
      <w:bookmarkStart w:id="395" w:name="_Toc184314469"/>
      <w:bookmarkEnd w:id="395"/>
      <w:bookmarkStart w:id="396" w:name="_Toc184308046"/>
      <w:bookmarkEnd w:id="396"/>
      <w:bookmarkStart w:id="397" w:name="_Toc184308049"/>
      <w:bookmarkEnd w:id="397"/>
      <w:bookmarkStart w:id="398" w:name="_Toc184308099"/>
      <w:bookmarkEnd w:id="398"/>
      <w:bookmarkStart w:id="399" w:name="_Toc184314423"/>
      <w:bookmarkEnd w:id="399"/>
      <w:bookmarkStart w:id="400" w:name="_Toc184313281"/>
      <w:bookmarkEnd w:id="400"/>
      <w:bookmarkStart w:id="401" w:name="_Toc184313272"/>
      <w:bookmarkEnd w:id="401"/>
      <w:r>
        <w:rPr>
          <w:rFonts w:hint="eastAsia" w:ascii="宋体" w:hAnsi="宋体" w:cs="宋体"/>
          <w:b/>
          <w:color w:val="auto"/>
          <w:sz w:val="36"/>
          <w:szCs w:val="36"/>
          <w:highlight w:val="none"/>
        </w:rPr>
        <w:t>评标办法</w:t>
      </w:r>
    </w:p>
    <w:p w14:paraId="10A48C17">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8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270"/>
        <w:gridCol w:w="4761"/>
        <w:gridCol w:w="669"/>
        <w:gridCol w:w="737"/>
      </w:tblGrid>
      <w:tr w14:paraId="49BF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blHeader/>
        </w:trPr>
        <w:tc>
          <w:tcPr>
            <w:tcW w:w="6752" w:type="dxa"/>
            <w:gridSpan w:val="3"/>
            <w:noWrap w:val="0"/>
            <w:vAlign w:val="center"/>
          </w:tcPr>
          <w:p w14:paraId="00626EB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b/>
                <w:bCs/>
                <w:color w:val="auto"/>
                <w:kern w:val="0"/>
                <w:sz w:val="24"/>
                <w:szCs w:val="24"/>
                <w:highlight w:val="none"/>
                <w:lang w:val="en-US" w:eastAsia="zh-CN"/>
              </w:rPr>
              <w:t>评分内容和标准</w:t>
            </w:r>
          </w:p>
        </w:tc>
        <w:tc>
          <w:tcPr>
            <w:tcW w:w="669" w:type="dxa"/>
            <w:noWrap w:val="0"/>
            <w:vAlign w:val="center"/>
          </w:tcPr>
          <w:p w14:paraId="40DFCA8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分值</w:t>
            </w:r>
          </w:p>
        </w:tc>
        <w:tc>
          <w:tcPr>
            <w:tcW w:w="737" w:type="dxa"/>
            <w:noWrap w:val="0"/>
            <w:vAlign w:val="center"/>
          </w:tcPr>
          <w:p w14:paraId="6462594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备注</w:t>
            </w:r>
          </w:p>
        </w:tc>
      </w:tr>
      <w:tr w14:paraId="1D8E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21" w:type="dxa"/>
            <w:vMerge w:val="restart"/>
            <w:noWrap w:val="0"/>
            <w:vAlign w:val="center"/>
          </w:tcPr>
          <w:p w14:paraId="34848B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商务技术分</w:t>
            </w:r>
          </w:p>
          <w:p w14:paraId="153722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9</w:t>
            </w:r>
            <w:r>
              <w:rPr>
                <w:rFonts w:hint="eastAsia" w:ascii="宋体" w:hAnsi="宋体" w:eastAsia="宋体" w:cs="宋体"/>
                <w:color w:val="auto"/>
                <w:kern w:val="2"/>
                <w:sz w:val="24"/>
                <w:szCs w:val="24"/>
                <w:highlight w:val="none"/>
                <w:lang w:val="en-US" w:eastAsia="zh-CN"/>
              </w:rPr>
              <w:t>0</w:t>
            </w:r>
            <w:r>
              <w:rPr>
                <w:rFonts w:hint="eastAsia" w:ascii="宋体" w:hAnsi="宋体" w:eastAsia="宋体" w:cs="宋体"/>
                <w:color w:val="auto"/>
                <w:kern w:val="2"/>
                <w:sz w:val="24"/>
                <w:szCs w:val="24"/>
                <w:highlight w:val="none"/>
              </w:rPr>
              <w:t>分</w:t>
            </w:r>
          </w:p>
        </w:tc>
        <w:tc>
          <w:tcPr>
            <w:tcW w:w="1270" w:type="dxa"/>
            <w:vMerge w:val="restart"/>
            <w:noWrap w:val="0"/>
            <w:vAlign w:val="center"/>
          </w:tcPr>
          <w:p w14:paraId="77C332F4">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项目了解情况</w:t>
            </w:r>
          </w:p>
          <w:p w14:paraId="5E5D1A5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trike/>
                <w:color w:val="auto"/>
                <w:kern w:val="2"/>
                <w:sz w:val="24"/>
                <w:szCs w:val="24"/>
                <w:highlight w:val="none"/>
              </w:rPr>
            </w:pPr>
            <w:r>
              <w:rPr>
                <w:rFonts w:hint="eastAsia" w:ascii="宋体" w:hAnsi="宋体" w:eastAsia="宋体" w:cs="宋体"/>
                <w:color w:val="auto"/>
                <w:kern w:val="2"/>
                <w:sz w:val="24"/>
                <w:szCs w:val="24"/>
                <w:highlight w:val="none"/>
              </w:rPr>
              <w:t>（</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Hans"/>
              </w:rPr>
              <w:t>分</w:t>
            </w:r>
            <w:r>
              <w:rPr>
                <w:rFonts w:hint="eastAsia" w:ascii="宋体" w:hAnsi="宋体" w:eastAsia="宋体" w:cs="宋体"/>
                <w:color w:val="auto"/>
                <w:kern w:val="2"/>
                <w:sz w:val="24"/>
                <w:szCs w:val="24"/>
                <w:highlight w:val="none"/>
                <w:lang w:eastAsia="zh-Hans"/>
              </w:rPr>
              <w:t>）</w:t>
            </w:r>
          </w:p>
        </w:tc>
        <w:tc>
          <w:tcPr>
            <w:tcW w:w="4761" w:type="dxa"/>
            <w:noWrap w:val="0"/>
            <w:vAlign w:val="center"/>
          </w:tcPr>
          <w:p w14:paraId="4B78D54A">
            <w:pPr>
              <w:numPr>
                <w:ilvl w:val="0"/>
                <w:numId w:val="0"/>
              </w:numPr>
              <w:ind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根据供应商针对本项目的松材线虫病</w:t>
            </w:r>
            <w:r>
              <w:rPr>
                <w:rFonts w:hint="eastAsia" w:ascii="宋体" w:hAnsi="宋体" w:cs="宋体"/>
                <w:color w:val="auto"/>
                <w:sz w:val="24"/>
                <w:szCs w:val="24"/>
                <w:highlight w:val="none"/>
                <w:lang w:val="en-US" w:eastAsia="zh-CN"/>
              </w:rPr>
              <w:t>除治</w:t>
            </w:r>
            <w:r>
              <w:rPr>
                <w:rFonts w:hint="eastAsia" w:ascii="宋体" w:hAnsi="宋体" w:eastAsia="宋体" w:cs="宋体"/>
                <w:color w:val="auto"/>
                <w:sz w:val="24"/>
                <w:szCs w:val="24"/>
                <w:highlight w:val="none"/>
              </w:rPr>
              <w:t>需求情况了解熟悉程度、</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实际情况进行评审</w:t>
            </w:r>
            <w:r>
              <w:rPr>
                <w:rFonts w:hint="eastAsia" w:ascii="宋体" w:hAnsi="宋体" w:eastAsia="宋体" w:cs="宋体"/>
                <w:color w:val="auto"/>
                <w:sz w:val="24"/>
                <w:szCs w:val="24"/>
                <w:highlight w:val="none"/>
                <w:lang w:eastAsia="zh-CN"/>
              </w:rPr>
              <w:t>：</w:t>
            </w:r>
          </w:p>
          <w:p w14:paraId="6C0C9BA6">
            <w:pPr>
              <w:numPr>
                <w:ilvl w:val="0"/>
                <w:numId w:val="0"/>
              </w:numPr>
              <w:ind w:leftChars="0"/>
              <w:rPr>
                <w:rFonts w:hint="eastAsia" w:ascii="宋体" w:hAnsi="宋体" w:eastAsia="宋体" w:cs="宋体"/>
                <w:color w:val="auto"/>
                <w:sz w:val="24"/>
                <w:szCs w:val="24"/>
                <w:highlight w:val="none"/>
              </w:rPr>
            </w:pPr>
            <w:r>
              <w:rPr>
                <w:rFonts w:hint="eastAsia" w:ascii="宋体" w:hAnsi="宋体" w:cs="宋体"/>
                <w:szCs w:val="21"/>
                <w:highlight w:val="none"/>
              </w:rPr>
              <w:t>①</w:t>
            </w:r>
            <w:r>
              <w:rPr>
                <w:rFonts w:hint="eastAsia" w:ascii="宋体" w:hAnsi="宋体" w:eastAsia="宋体" w:cs="宋体"/>
                <w:color w:val="auto"/>
                <w:sz w:val="24"/>
                <w:szCs w:val="24"/>
                <w:highlight w:val="none"/>
              </w:rPr>
              <w:t>需求情况了解</w:t>
            </w:r>
            <w:r>
              <w:rPr>
                <w:rFonts w:hint="eastAsia" w:ascii="宋体" w:hAnsi="宋体" w:eastAsia="宋体" w:cs="宋体"/>
                <w:color w:val="auto"/>
                <w:sz w:val="24"/>
                <w:szCs w:val="24"/>
                <w:highlight w:val="none"/>
                <w:lang w:val="en-US" w:eastAsia="zh-CN"/>
              </w:rPr>
              <w:t>熟悉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实际情况</w:t>
            </w:r>
            <w:r>
              <w:rPr>
                <w:rFonts w:hint="eastAsia" w:ascii="宋体" w:hAnsi="宋体" w:eastAsia="宋体" w:cs="宋体"/>
                <w:color w:val="auto"/>
                <w:sz w:val="24"/>
                <w:szCs w:val="24"/>
                <w:highlight w:val="none"/>
                <w:lang w:val="en-US" w:eastAsia="zh-CN"/>
              </w:rPr>
              <w:t>合理</w:t>
            </w:r>
            <w:r>
              <w:rPr>
                <w:rFonts w:hint="eastAsia" w:ascii="宋体" w:hAnsi="宋体" w:eastAsia="宋体" w:cs="宋体"/>
                <w:color w:val="auto"/>
                <w:sz w:val="24"/>
                <w:szCs w:val="24"/>
                <w:highlight w:val="none"/>
              </w:rPr>
              <w:t>的得5分；</w:t>
            </w:r>
          </w:p>
          <w:p w14:paraId="271BEBF7">
            <w:pPr>
              <w:numPr>
                <w:ilvl w:val="0"/>
                <w:numId w:val="0"/>
              </w:numPr>
              <w:ind w:leftChars="0"/>
              <w:rPr>
                <w:rFonts w:hint="eastAsia" w:ascii="宋体" w:hAnsi="宋体" w:eastAsia="宋体" w:cs="宋体"/>
                <w:color w:val="auto"/>
                <w:sz w:val="24"/>
                <w:szCs w:val="24"/>
                <w:highlight w:val="none"/>
              </w:rPr>
            </w:pPr>
            <w:r>
              <w:rPr>
                <w:rFonts w:hint="eastAsia" w:ascii="宋体" w:hAnsi="宋体" w:cs="宋体"/>
                <w:szCs w:val="21"/>
                <w:highlight w:val="none"/>
              </w:rPr>
              <w:t>②</w:t>
            </w:r>
            <w:r>
              <w:rPr>
                <w:rFonts w:hint="eastAsia" w:ascii="宋体" w:hAnsi="宋体" w:eastAsia="宋体" w:cs="宋体"/>
                <w:color w:val="auto"/>
                <w:sz w:val="24"/>
                <w:szCs w:val="24"/>
                <w:highlight w:val="none"/>
              </w:rPr>
              <w:t>需求情况了解较</w:t>
            </w:r>
            <w:r>
              <w:rPr>
                <w:rFonts w:hint="eastAsia" w:ascii="宋体" w:hAnsi="宋体" w:eastAsia="宋体" w:cs="宋体"/>
                <w:color w:val="auto"/>
                <w:sz w:val="24"/>
                <w:szCs w:val="24"/>
                <w:highlight w:val="none"/>
                <w:lang w:val="en-US" w:eastAsia="zh-CN"/>
              </w:rPr>
              <w:t>熟悉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实际情况较</w:t>
            </w:r>
            <w:r>
              <w:rPr>
                <w:rFonts w:hint="eastAsia" w:ascii="宋体" w:hAnsi="宋体" w:eastAsia="宋体" w:cs="宋体"/>
                <w:color w:val="auto"/>
                <w:sz w:val="24"/>
                <w:szCs w:val="24"/>
                <w:highlight w:val="none"/>
                <w:lang w:val="en-US" w:eastAsia="zh-CN"/>
              </w:rPr>
              <w:t>合理</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57AECC39">
            <w:pPr>
              <w:numPr>
                <w:ilvl w:val="0"/>
                <w:numId w:val="0"/>
              </w:numPr>
              <w:ind w:leftChars="0"/>
              <w:rPr>
                <w:rFonts w:hint="eastAsia" w:ascii="宋体" w:hAnsi="宋体" w:eastAsia="宋体" w:cs="宋体"/>
                <w:color w:val="auto"/>
                <w:sz w:val="24"/>
                <w:szCs w:val="24"/>
                <w:highlight w:val="none"/>
              </w:rPr>
            </w:pPr>
            <w:r>
              <w:rPr>
                <w:rFonts w:hint="eastAsia" w:ascii="宋体" w:hAnsi="宋体" w:cs="宋体"/>
                <w:bCs/>
                <w:szCs w:val="21"/>
                <w:highlight w:val="none"/>
              </w:rPr>
              <w:t>③</w:t>
            </w:r>
            <w:r>
              <w:rPr>
                <w:rFonts w:hint="eastAsia" w:ascii="宋体" w:hAnsi="宋体" w:eastAsia="宋体" w:cs="宋体"/>
                <w:color w:val="auto"/>
                <w:sz w:val="24"/>
                <w:szCs w:val="24"/>
                <w:highlight w:val="none"/>
              </w:rPr>
              <w:t>需求情况了解不</w:t>
            </w:r>
            <w:r>
              <w:rPr>
                <w:rFonts w:hint="eastAsia" w:ascii="宋体" w:hAnsi="宋体" w:eastAsia="宋体" w:cs="宋体"/>
                <w:color w:val="auto"/>
                <w:sz w:val="24"/>
                <w:szCs w:val="24"/>
                <w:highlight w:val="none"/>
                <w:lang w:val="en-US" w:eastAsia="zh-CN"/>
              </w:rPr>
              <w:t>熟悉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实际情况不</w:t>
            </w:r>
            <w:r>
              <w:rPr>
                <w:rFonts w:hint="eastAsia" w:ascii="宋体" w:hAnsi="宋体" w:eastAsia="宋体" w:cs="宋体"/>
                <w:color w:val="auto"/>
                <w:sz w:val="24"/>
                <w:szCs w:val="24"/>
                <w:highlight w:val="none"/>
                <w:lang w:val="en-US" w:eastAsia="zh-CN"/>
              </w:rPr>
              <w:t>合理</w:t>
            </w:r>
            <w:r>
              <w:rPr>
                <w:rFonts w:hint="eastAsia" w:ascii="宋体" w:hAnsi="宋体" w:eastAsia="宋体" w:cs="宋体"/>
                <w:color w:val="auto"/>
                <w:sz w:val="24"/>
                <w:szCs w:val="24"/>
                <w:highlight w:val="none"/>
              </w:rPr>
              <w:t>的得1分；</w:t>
            </w:r>
          </w:p>
          <w:p w14:paraId="55B1100A">
            <w:pPr>
              <w:numPr>
                <w:ilvl w:val="0"/>
                <w:numId w:val="0"/>
              </w:numPr>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无相关内容不得分。</w:t>
            </w:r>
          </w:p>
        </w:tc>
        <w:tc>
          <w:tcPr>
            <w:tcW w:w="669" w:type="dxa"/>
            <w:noWrap w:val="0"/>
            <w:vAlign w:val="center"/>
          </w:tcPr>
          <w:p w14:paraId="5FA41D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5</w:t>
            </w:r>
          </w:p>
        </w:tc>
        <w:tc>
          <w:tcPr>
            <w:tcW w:w="737" w:type="dxa"/>
            <w:noWrap w:val="0"/>
            <w:vAlign w:val="center"/>
          </w:tcPr>
          <w:p w14:paraId="7320300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trike/>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主观</w:t>
            </w:r>
            <w:r>
              <w:rPr>
                <w:rFonts w:hint="eastAsia" w:ascii="宋体" w:hAnsi="宋体" w:eastAsia="宋体" w:cs="宋体"/>
                <w:color w:val="auto"/>
                <w:kern w:val="0"/>
                <w:sz w:val="24"/>
                <w:szCs w:val="24"/>
                <w:highlight w:val="none"/>
                <w:lang w:eastAsia="zh-CN"/>
              </w:rPr>
              <w:t>评审</w:t>
            </w:r>
          </w:p>
        </w:tc>
      </w:tr>
      <w:tr w14:paraId="430CF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8" w:hRule="atLeast"/>
        </w:trPr>
        <w:tc>
          <w:tcPr>
            <w:tcW w:w="721" w:type="dxa"/>
            <w:vMerge w:val="continue"/>
            <w:noWrap w:val="0"/>
            <w:vAlign w:val="center"/>
          </w:tcPr>
          <w:p w14:paraId="3080FF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rPr>
            </w:pPr>
          </w:p>
        </w:tc>
        <w:tc>
          <w:tcPr>
            <w:tcW w:w="1270" w:type="dxa"/>
            <w:vMerge w:val="restart"/>
            <w:noWrap w:val="0"/>
            <w:vAlign w:val="center"/>
          </w:tcPr>
          <w:p w14:paraId="19C536F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eastAsia="zh-Hans"/>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Hans"/>
              </w:rPr>
              <w:t>.重点、难点分析及</w:t>
            </w:r>
            <w:r>
              <w:rPr>
                <w:rFonts w:hint="eastAsia" w:ascii="宋体" w:hAnsi="宋体" w:cs="宋体"/>
                <w:color w:val="auto"/>
                <w:sz w:val="24"/>
                <w:szCs w:val="24"/>
                <w:highlight w:val="none"/>
                <w:lang w:val="en-US" w:eastAsia="zh-CN"/>
              </w:rPr>
              <w:t>解决方案</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Hans"/>
              </w:rPr>
              <w:t>分</w:t>
            </w:r>
            <w:r>
              <w:rPr>
                <w:rFonts w:hint="eastAsia" w:ascii="宋体" w:hAnsi="宋体" w:eastAsia="宋体" w:cs="宋体"/>
                <w:color w:val="auto"/>
                <w:sz w:val="24"/>
                <w:szCs w:val="24"/>
                <w:highlight w:val="none"/>
                <w:lang w:eastAsia="zh-Hans"/>
              </w:rPr>
              <w:t>）</w:t>
            </w:r>
          </w:p>
        </w:tc>
        <w:tc>
          <w:tcPr>
            <w:tcW w:w="4761" w:type="dxa"/>
            <w:noWrap w:val="0"/>
            <w:vAlign w:val="center"/>
          </w:tcPr>
          <w:p w14:paraId="19AB576A">
            <w:pPr>
              <w:numPr>
                <w:ilvl w:val="0"/>
                <w:numId w:val="0"/>
              </w:numPr>
              <w:ind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）根据供应商针对本项目</w:t>
            </w:r>
            <w:r>
              <w:rPr>
                <w:rFonts w:hint="eastAsia" w:ascii="宋体" w:hAnsi="宋体" w:eastAsia="宋体" w:cs="宋体"/>
                <w:color w:val="auto"/>
                <w:sz w:val="24"/>
                <w:szCs w:val="24"/>
                <w:highlight w:val="none"/>
                <w:lang w:val="en-US" w:eastAsia="zh-CN"/>
              </w:rPr>
              <w:t>的日常监测、枯死木处理、打孔注药防治</w:t>
            </w:r>
            <w:r>
              <w:rPr>
                <w:rFonts w:hint="eastAsia" w:ascii="宋体" w:hAnsi="宋体" w:eastAsia="宋体" w:cs="宋体"/>
                <w:color w:val="auto"/>
                <w:sz w:val="24"/>
                <w:szCs w:val="24"/>
                <w:highlight w:val="none"/>
                <w:lang w:eastAsia="zh-CN"/>
              </w:rPr>
              <w:t>的难点、重点问题的调查剖析、预测以及可能造成的影响</w:t>
            </w:r>
            <w:r>
              <w:rPr>
                <w:rFonts w:hint="eastAsia" w:ascii="宋体" w:hAnsi="宋体" w:eastAsia="宋体" w:cs="宋体"/>
                <w:color w:val="auto"/>
                <w:sz w:val="24"/>
                <w:szCs w:val="24"/>
                <w:highlight w:val="none"/>
                <w:lang w:val="en-US" w:eastAsia="zh-CN"/>
              </w:rPr>
              <w:t>情况分析是否全面</w:t>
            </w:r>
            <w:r>
              <w:rPr>
                <w:rFonts w:hint="eastAsia" w:ascii="宋体" w:hAnsi="宋体" w:eastAsia="宋体" w:cs="宋体"/>
                <w:color w:val="auto"/>
                <w:sz w:val="24"/>
                <w:szCs w:val="24"/>
                <w:highlight w:val="none"/>
                <w:lang w:eastAsia="zh-CN"/>
              </w:rPr>
              <w:t>进行评议：</w:t>
            </w:r>
          </w:p>
          <w:p w14:paraId="34374B2A">
            <w:pPr>
              <w:numPr>
                <w:ilvl w:val="0"/>
                <w:numId w:val="0"/>
              </w:numPr>
              <w:ind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①对项目重难点的剖析精准、全面、详尽的得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w:t>
            </w:r>
          </w:p>
          <w:p w14:paraId="4902CD1F">
            <w:pPr>
              <w:numPr>
                <w:ilvl w:val="0"/>
                <w:numId w:val="0"/>
              </w:numPr>
              <w:ind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②对项目重难点的剖析在细节上略有欠缺的得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p>
          <w:p w14:paraId="60E70AE3">
            <w:pPr>
              <w:numPr>
                <w:ilvl w:val="0"/>
                <w:numId w:val="0"/>
              </w:numPr>
              <w:ind w:leftChars="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③</w:t>
            </w:r>
            <w:r>
              <w:rPr>
                <w:rFonts w:hint="eastAsia" w:ascii="宋体" w:hAnsi="宋体" w:eastAsia="宋体" w:cs="宋体"/>
                <w:color w:val="auto"/>
                <w:sz w:val="24"/>
                <w:szCs w:val="24"/>
                <w:highlight w:val="none"/>
                <w:lang w:val="zh-CN" w:eastAsia="zh-CN"/>
              </w:rPr>
              <w:t>对</w:t>
            </w:r>
            <w:r>
              <w:rPr>
                <w:rFonts w:hint="eastAsia" w:ascii="宋体" w:hAnsi="宋体" w:eastAsia="宋体" w:cs="宋体"/>
                <w:color w:val="auto"/>
                <w:sz w:val="24"/>
                <w:szCs w:val="24"/>
                <w:highlight w:val="none"/>
                <w:lang w:eastAsia="zh-CN"/>
              </w:rPr>
              <w:t>项目重难点的剖析</w:t>
            </w:r>
            <w:r>
              <w:rPr>
                <w:rFonts w:hint="eastAsia" w:ascii="宋体" w:hAnsi="宋体" w:eastAsia="宋体" w:cs="宋体"/>
                <w:color w:val="auto"/>
                <w:sz w:val="24"/>
                <w:szCs w:val="24"/>
                <w:highlight w:val="none"/>
                <w:lang w:val="zh-CN" w:eastAsia="zh-CN"/>
              </w:rPr>
              <w:t>内容不全的得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分；</w:t>
            </w:r>
          </w:p>
          <w:p w14:paraId="3E0F508F">
            <w:pPr>
              <w:numPr>
                <w:ilvl w:val="0"/>
                <w:numId w:val="0"/>
              </w:numPr>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缺项不得分</w:t>
            </w:r>
            <w:r>
              <w:rPr>
                <w:rFonts w:hint="eastAsia" w:ascii="宋体" w:hAnsi="宋体" w:eastAsia="宋体" w:cs="宋体"/>
                <w:color w:val="auto"/>
                <w:sz w:val="24"/>
                <w:szCs w:val="24"/>
                <w:highlight w:val="none"/>
                <w:lang w:val="zh-CN" w:eastAsia="zh-CN"/>
              </w:rPr>
              <w:t>。</w:t>
            </w:r>
          </w:p>
        </w:tc>
        <w:tc>
          <w:tcPr>
            <w:tcW w:w="669" w:type="dxa"/>
            <w:noWrap w:val="0"/>
            <w:vAlign w:val="center"/>
          </w:tcPr>
          <w:p w14:paraId="13213E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5</w:t>
            </w:r>
          </w:p>
        </w:tc>
        <w:tc>
          <w:tcPr>
            <w:tcW w:w="737" w:type="dxa"/>
            <w:noWrap w:val="0"/>
            <w:vAlign w:val="center"/>
          </w:tcPr>
          <w:p w14:paraId="5292D6A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w:t>
            </w:r>
            <w:r>
              <w:rPr>
                <w:rFonts w:hint="eastAsia" w:ascii="宋体" w:hAnsi="宋体" w:eastAsia="宋体" w:cs="宋体"/>
                <w:color w:val="auto"/>
                <w:kern w:val="0"/>
                <w:sz w:val="24"/>
                <w:szCs w:val="24"/>
                <w:highlight w:val="none"/>
                <w:lang w:eastAsia="zh-CN"/>
              </w:rPr>
              <w:t>评审</w:t>
            </w:r>
          </w:p>
        </w:tc>
      </w:tr>
      <w:tr w14:paraId="4008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8" w:hRule="atLeast"/>
        </w:trPr>
        <w:tc>
          <w:tcPr>
            <w:tcW w:w="721" w:type="dxa"/>
            <w:vMerge w:val="continue"/>
            <w:noWrap w:val="0"/>
            <w:vAlign w:val="center"/>
          </w:tcPr>
          <w:p w14:paraId="4950CEBC">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highlight w:val="none"/>
              </w:rPr>
            </w:pPr>
          </w:p>
        </w:tc>
        <w:tc>
          <w:tcPr>
            <w:tcW w:w="1270" w:type="dxa"/>
            <w:vMerge w:val="continue"/>
            <w:noWrap w:val="0"/>
            <w:vAlign w:val="center"/>
          </w:tcPr>
          <w:p w14:paraId="26A75B68">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highlight w:val="none"/>
              </w:rPr>
            </w:pPr>
          </w:p>
        </w:tc>
        <w:tc>
          <w:tcPr>
            <w:tcW w:w="4761" w:type="dxa"/>
            <w:noWrap w:val="0"/>
            <w:vAlign w:val="center"/>
          </w:tcPr>
          <w:p w14:paraId="7243845A">
            <w:pPr>
              <w:numPr>
                <w:ilvl w:val="0"/>
                <w:numId w:val="0"/>
              </w:numPr>
              <w:ind w:leftChars="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根据供应商针对本项目</w:t>
            </w:r>
            <w:r>
              <w:rPr>
                <w:rFonts w:hint="eastAsia" w:ascii="宋体" w:hAnsi="宋体" w:eastAsia="宋体" w:cs="宋体"/>
                <w:color w:val="auto"/>
                <w:sz w:val="24"/>
                <w:szCs w:val="24"/>
                <w:highlight w:val="none"/>
                <w:lang w:val="en-US" w:eastAsia="zh-CN"/>
              </w:rPr>
              <w:t>的日常监测、枯死木处理、打孔注药防治</w:t>
            </w:r>
            <w:r>
              <w:rPr>
                <w:rFonts w:hint="eastAsia" w:ascii="宋体" w:hAnsi="宋体" w:eastAsia="宋体" w:cs="宋体"/>
                <w:color w:val="auto"/>
                <w:sz w:val="24"/>
                <w:szCs w:val="24"/>
                <w:highlight w:val="none"/>
                <w:lang w:eastAsia="zh-CN"/>
              </w:rPr>
              <w:t>的难点、重点问题的调查剖析、预测以及可能造成的影响</w:t>
            </w:r>
            <w:r>
              <w:rPr>
                <w:rFonts w:hint="eastAsia" w:ascii="宋体" w:hAnsi="宋体" w:eastAsia="宋体" w:cs="宋体"/>
                <w:color w:val="auto"/>
                <w:sz w:val="24"/>
                <w:szCs w:val="24"/>
                <w:highlight w:val="none"/>
                <w:lang w:val="en-US" w:eastAsia="zh-CN"/>
              </w:rPr>
              <w:t>情况解决方案是否全面</w:t>
            </w:r>
            <w:r>
              <w:rPr>
                <w:rFonts w:hint="eastAsia" w:ascii="宋体" w:hAnsi="宋体" w:eastAsia="宋体" w:cs="宋体"/>
                <w:color w:val="auto"/>
                <w:sz w:val="24"/>
                <w:szCs w:val="24"/>
                <w:highlight w:val="none"/>
                <w:lang w:eastAsia="zh-CN"/>
              </w:rPr>
              <w:t>进行评议：</w:t>
            </w:r>
          </w:p>
          <w:p w14:paraId="0CEFF876">
            <w:pPr>
              <w:numPr>
                <w:ilvl w:val="0"/>
                <w:numId w:val="0"/>
              </w:numPr>
              <w:ind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①针对重难点提出的解决措施合理、有效可行的得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w:t>
            </w:r>
          </w:p>
          <w:p w14:paraId="7DA641D7">
            <w:pPr>
              <w:numPr>
                <w:ilvl w:val="0"/>
                <w:numId w:val="0"/>
              </w:numPr>
              <w:ind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②针对重难点提出的解决措施在细节上略有欠缺的得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p>
          <w:p w14:paraId="7BB0D2FC">
            <w:pPr>
              <w:numPr>
                <w:ilvl w:val="0"/>
                <w:numId w:val="0"/>
              </w:numPr>
              <w:ind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③针对重难点提出的解决措施</w:t>
            </w:r>
            <w:r>
              <w:rPr>
                <w:rFonts w:hint="eastAsia" w:ascii="宋体" w:hAnsi="宋体" w:eastAsia="宋体" w:cs="宋体"/>
                <w:color w:val="auto"/>
                <w:sz w:val="24"/>
                <w:szCs w:val="24"/>
                <w:highlight w:val="none"/>
                <w:lang w:val="zh-CN" w:eastAsia="zh-CN"/>
              </w:rPr>
              <w:t>内容不全的得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eastAsia="zh-CN"/>
              </w:rPr>
              <w:t>缺项不得分。</w:t>
            </w:r>
          </w:p>
        </w:tc>
        <w:tc>
          <w:tcPr>
            <w:tcW w:w="669" w:type="dxa"/>
            <w:noWrap w:val="0"/>
            <w:vAlign w:val="center"/>
          </w:tcPr>
          <w:p w14:paraId="0F2BB1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2"/>
                <w:sz w:val="24"/>
                <w:szCs w:val="24"/>
                <w:highlight w:val="none"/>
                <w:lang w:eastAsia="zh-CN"/>
              </w:rPr>
              <w:t>5</w:t>
            </w:r>
          </w:p>
        </w:tc>
        <w:tc>
          <w:tcPr>
            <w:tcW w:w="737" w:type="dxa"/>
            <w:noWrap w:val="0"/>
            <w:vAlign w:val="center"/>
          </w:tcPr>
          <w:p w14:paraId="14D5E8F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主观</w:t>
            </w:r>
            <w:r>
              <w:rPr>
                <w:rFonts w:hint="eastAsia" w:ascii="宋体" w:hAnsi="宋体" w:eastAsia="宋体" w:cs="宋体"/>
                <w:color w:val="auto"/>
                <w:kern w:val="0"/>
                <w:sz w:val="24"/>
                <w:szCs w:val="24"/>
                <w:highlight w:val="none"/>
                <w:lang w:eastAsia="zh-CN"/>
              </w:rPr>
              <w:t>评审</w:t>
            </w:r>
          </w:p>
        </w:tc>
      </w:tr>
      <w:tr w14:paraId="6E34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8" w:hRule="atLeast"/>
        </w:trPr>
        <w:tc>
          <w:tcPr>
            <w:tcW w:w="721" w:type="dxa"/>
            <w:vMerge w:val="continue"/>
            <w:noWrap w:val="0"/>
            <w:vAlign w:val="center"/>
          </w:tcPr>
          <w:p w14:paraId="344A0B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rPr>
            </w:pPr>
          </w:p>
        </w:tc>
        <w:tc>
          <w:tcPr>
            <w:tcW w:w="1270" w:type="dxa"/>
            <w:vMerge w:val="restart"/>
            <w:noWrap w:val="0"/>
            <w:vAlign w:val="center"/>
          </w:tcPr>
          <w:p w14:paraId="1D587002">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项目</w:t>
            </w:r>
            <w:r>
              <w:rPr>
                <w:rFonts w:hint="eastAsia" w:ascii="宋体" w:hAnsi="宋体" w:eastAsia="宋体" w:cs="宋体"/>
                <w:color w:val="auto"/>
                <w:kern w:val="2"/>
                <w:sz w:val="24"/>
                <w:szCs w:val="24"/>
                <w:highlight w:val="none"/>
                <w:lang w:eastAsia="zh-CN"/>
              </w:rPr>
              <w:t>实施</w:t>
            </w:r>
            <w:r>
              <w:rPr>
                <w:rFonts w:hint="eastAsia" w:ascii="宋体" w:hAnsi="宋体" w:eastAsia="宋体" w:cs="宋体"/>
                <w:color w:val="auto"/>
                <w:kern w:val="2"/>
                <w:sz w:val="24"/>
                <w:szCs w:val="24"/>
                <w:highlight w:val="none"/>
                <w:lang w:val="en-US" w:eastAsia="zh-CN"/>
              </w:rPr>
              <w:t>方案</w:t>
            </w:r>
          </w:p>
          <w:p w14:paraId="1955506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r>
              <w:rPr>
                <w:rFonts w:hint="eastAsia" w:ascii="宋体" w:hAnsi="宋体" w:cs="宋体"/>
                <w:color w:val="auto"/>
                <w:kern w:val="2"/>
                <w:sz w:val="24"/>
                <w:szCs w:val="24"/>
                <w:highlight w:val="none"/>
                <w:lang w:val="en-US" w:eastAsia="zh-CN"/>
              </w:rPr>
              <w:t>35</w:t>
            </w:r>
            <w:r>
              <w:rPr>
                <w:rFonts w:hint="eastAsia" w:ascii="宋体" w:hAnsi="宋体" w:eastAsia="宋体" w:cs="宋体"/>
                <w:color w:val="auto"/>
                <w:kern w:val="2"/>
                <w:sz w:val="24"/>
                <w:szCs w:val="24"/>
                <w:highlight w:val="none"/>
              </w:rPr>
              <w:t>分）</w:t>
            </w:r>
          </w:p>
        </w:tc>
        <w:tc>
          <w:tcPr>
            <w:tcW w:w="4761" w:type="dxa"/>
            <w:noWrap w:val="0"/>
            <w:vAlign w:val="center"/>
          </w:tcPr>
          <w:p w14:paraId="2FF850E1">
            <w:pPr>
              <w:keepNext w:val="0"/>
              <w:keepLines w:val="0"/>
              <w:pageBreakBefore w:val="0"/>
              <w:widowControl w:val="0"/>
              <w:numPr>
                <w:ilvl w:val="0"/>
                <w:numId w:val="5"/>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根据供应商针对本项目的项目实施方案、工作方案、工作内容安排是否合理进行评议：</w:t>
            </w:r>
          </w:p>
          <w:p w14:paraId="52F4158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①实施方案、工作方案、工作内容详实，逻辑清晰，符合项目实际需求，切实可行的得5分；</w:t>
            </w:r>
          </w:p>
          <w:p w14:paraId="6DF495A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②实施方案、工作方案、工作内容详细，工作思路清楚，基本符合项目实际情况，合理可行的得3分；</w:t>
            </w:r>
          </w:p>
          <w:p w14:paraId="6FB0EBD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③实施方案、工作方案、工作方案内容简单、笼统，存在较多的不足，可行性差的得1分；</w:t>
            </w:r>
          </w:p>
          <w:p w14:paraId="78FA02D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缺项不得分。</w:t>
            </w:r>
          </w:p>
        </w:tc>
        <w:tc>
          <w:tcPr>
            <w:tcW w:w="669" w:type="dxa"/>
            <w:noWrap w:val="0"/>
            <w:vAlign w:val="center"/>
          </w:tcPr>
          <w:p w14:paraId="54FACA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w:t>
            </w:r>
          </w:p>
        </w:tc>
        <w:tc>
          <w:tcPr>
            <w:tcW w:w="737" w:type="dxa"/>
            <w:noWrap w:val="0"/>
            <w:vAlign w:val="center"/>
          </w:tcPr>
          <w:p w14:paraId="3E901D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rPr>
              <w:t>主观</w:t>
            </w:r>
            <w:r>
              <w:rPr>
                <w:rFonts w:hint="eastAsia" w:ascii="宋体" w:hAnsi="宋体" w:eastAsia="宋体" w:cs="宋体"/>
                <w:color w:val="auto"/>
                <w:kern w:val="0"/>
                <w:sz w:val="24"/>
                <w:szCs w:val="24"/>
                <w:highlight w:val="none"/>
                <w:lang w:eastAsia="zh-CN"/>
              </w:rPr>
              <w:t>评审</w:t>
            </w:r>
          </w:p>
        </w:tc>
      </w:tr>
      <w:tr w14:paraId="1BE0B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8" w:hRule="atLeast"/>
        </w:trPr>
        <w:tc>
          <w:tcPr>
            <w:tcW w:w="721" w:type="dxa"/>
            <w:vMerge w:val="continue"/>
            <w:noWrap w:val="0"/>
            <w:vAlign w:val="center"/>
          </w:tcPr>
          <w:p w14:paraId="3353E08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rPr>
            </w:pPr>
          </w:p>
        </w:tc>
        <w:tc>
          <w:tcPr>
            <w:tcW w:w="1270" w:type="dxa"/>
            <w:vMerge w:val="continue"/>
            <w:noWrap w:val="0"/>
            <w:vAlign w:val="center"/>
          </w:tcPr>
          <w:p w14:paraId="0B5314F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p>
        </w:tc>
        <w:tc>
          <w:tcPr>
            <w:tcW w:w="4761" w:type="dxa"/>
            <w:noWrap w:val="0"/>
            <w:vAlign w:val="center"/>
          </w:tcPr>
          <w:p w14:paraId="535FDE37">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根据供应商针对本项目的项目实施</w:t>
            </w:r>
            <w:r>
              <w:rPr>
                <w:rFonts w:hint="eastAsia" w:ascii="宋体" w:hAnsi="宋体" w:eastAsia="宋体" w:cs="宋体"/>
                <w:color w:val="auto"/>
                <w:kern w:val="2"/>
                <w:sz w:val="24"/>
                <w:szCs w:val="24"/>
                <w:highlight w:val="none"/>
                <w:lang w:val="en-US" w:eastAsia="zh-Hans"/>
              </w:rPr>
              <w:t>内容</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sz w:val="24"/>
                <w:szCs w:val="24"/>
                <w:highlight w:val="none"/>
                <w:lang w:val="en-US" w:eastAsia="zh-CN"/>
              </w:rPr>
              <w:t>总体思路</w:t>
            </w:r>
            <w:r>
              <w:rPr>
                <w:rFonts w:hint="eastAsia" w:ascii="宋体" w:hAnsi="宋体" w:eastAsia="宋体" w:cs="宋体"/>
                <w:color w:val="auto"/>
                <w:sz w:val="24"/>
                <w:szCs w:val="24"/>
                <w:highlight w:val="none"/>
                <w:lang w:val="en-US" w:eastAsia="zh-Hans"/>
              </w:rPr>
              <w:t>是否</w:t>
            </w:r>
            <w:r>
              <w:rPr>
                <w:rFonts w:hint="eastAsia" w:ascii="宋体" w:hAnsi="宋体" w:eastAsia="宋体" w:cs="宋体"/>
                <w:color w:val="auto"/>
                <w:sz w:val="24"/>
                <w:szCs w:val="24"/>
                <w:highlight w:val="none"/>
                <w:lang w:val="en-US" w:eastAsia="zh-CN"/>
              </w:rPr>
              <w:t>科学</w:t>
            </w:r>
            <w:r>
              <w:rPr>
                <w:rFonts w:hint="eastAsia" w:ascii="宋体" w:hAnsi="宋体" w:eastAsia="宋体" w:cs="宋体"/>
                <w:color w:val="auto"/>
                <w:kern w:val="2"/>
                <w:sz w:val="24"/>
                <w:szCs w:val="24"/>
                <w:highlight w:val="none"/>
                <w:lang w:val="en-US" w:eastAsia="zh-CN"/>
              </w:rPr>
              <w:t>进行评议</w:t>
            </w:r>
            <w:r>
              <w:rPr>
                <w:rFonts w:hint="eastAsia" w:ascii="宋体" w:hAnsi="宋体" w:cs="宋体"/>
                <w:color w:val="auto"/>
                <w:kern w:val="2"/>
                <w:sz w:val="24"/>
                <w:szCs w:val="24"/>
                <w:highlight w:val="none"/>
                <w:lang w:val="en-US" w:eastAsia="zh-CN"/>
              </w:rPr>
              <w:t>：</w:t>
            </w:r>
          </w:p>
          <w:p w14:paraId="2148ED7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①实施</w:t>
            </w:r>
            <w:r>
              <w:rPr>
                <w:rFonts w:hint="eastAsia" w:ascii="宋体" w:hAnsi="宋体" w:eastAsia="宋体" w:cs="宋体"/>
                <w:color w:val="auto"/>
                <w:kern w:val="2"/>
                <w:sz w:val="24"/>
                <w:szCs w:val="24"/>
                <w:highlight w:val="none"/>
                <w:lang w:val="en-US" w:eastAsia="zh-Hans"/>
              </w:rPr>
              <w:t>内容</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sz w:val="24"/>
                <w:szCs w:val="24"/>
                <w:highlight w:val="none"/>
                <w:lang w:val="en-US" w:eastAsia="zh-CN"/>
              </w:rPr>
              <w:t>总体思路</w:t>
            </w:r>
            <w:r>
              <w:rPr>
                <w:rFonts w:hint="eastAsia" w:ascii="宋体" w:hAnsi="宋体" w:eastAsia="宋体" w:cs="宋体"/>
                <w:color w:val="auto"/>
                <w:kern w:val="2"/>
                <w:sz w:val="24"/>
                <w:szCs w:val="24"/>
                <w:highlight w:val="none"/>
                <w:lang w:val="en-US" w:eastAsia="zh-CN"/>
              </w:rPr>
              <w:t>详实，逻辑清晰，符合项目实际需求，切实可行的得5分；</w:t>
            </w:r>
          </w:p>
          <w:p w14:paraId="3C91C48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②实施</w:t>
            </w:r>
            <w:r>
              <w:rPr>
                <w:rFonts w:hint="eastAsia" w:ascii="宋体" w:hAnsi="宋体" w:eastAsia="宋体" w:cs="宋体"/>
                <w:color w:val="auto"/>
                <w:kern w:val="2"/>
                <w:sz w:val="24"/>
                <w:szCs w:val="24"/>
                <w:highlight w:val="none"/>
                <w:lang w:val="en-US" w:eastAsia="zh-Hans"/>
              </w:rPr>
              <w:t>内容</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sz w:val="24"/>
                <w:szCs w:val="24"/>
                <w:highlight w:val="none"/>
                <w:lang w:val="en-US" w:eastAsia="zh-CN"/>
              </w:rPr>
              <w:t>总体思路</w:t>
            </w:r>
            <w:r>
              <w:rPr>
                <w:rFonts w:hint="eastAsia" w:ascii="宋体" w:hAnsi="宋体" w:eastAsia="宋体" w:cs="宋体"/>
                <w:color w:val="auto"/>
                <w:kern w:val="2"/>
                <w:sz w:val="24"/>
                <w:szCs w:val="24"/>
                <w:highlight w:val="none"/>
                <w:lang w:val="en-US" w:eastAsia="zh-CN"/>
              </w:rPr>
              <w:t>详细，工作思路清楚，基本符合项目实际情况，合理可行的得3分；</w:t>
            </w:r>
          </w:p>
          <w:p w14:paraId="5427485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③实施</w:t>
            </w:r>
            <w:r>
              <w:rPr>
                <w:rFonts w:hint="eastAsia" w:ascii="宋体" w:hAnsi="宋体" w:eastAsia="宋体" w:cs="宋体"/>
                <w:color w:val="auto"/>
                <w:kern w:val="2"/>
                <w:sz w:val="24"/>
                <w:szCs w:val="24"/>
                <w:highlight w:val="none"/>
                <w:lang w:val="en-US" w:eastAsia="zh-Hans"/>
              </w:rPr>
              <w:t>内容</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sz w:val="24"/>
                <w:szCs w:val="24"/>
                <w:highlight w:val="none"/>
                <w:lang w:val="en-US" w:eastAsia="zh-CN"/>
              </w:rPr>
              <w:t>总体思路</w:t>
            </w:r>
            <w:r>
              <w:rPr>
                <w:rFonts w:hint="eastAsia" w:ascii="宋体" w:hAnsi="宋体" w:eastAsia="宋体" w:cs="宋体"/>
                <w:color w:val="auto"/>
                <w:kern w:val="2"/>
                <w:sz w:val="24"/>
                <w:szCs w:val="24"/>
                <w:highlight w:val="none"/>
                <w:lang w:val="en-US" w:eastAsia="zh-CN"/>
              </w:rPr>
              <w:t>简单、笼统，存在较多的不足，可行性差的得1分；</w:t>
            </w:r>
          </w:p>
          <w:p w14:paraId="6C8AAB7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缺项不得分。</w:t>
            </w:r>
          </w:p>
        </w:tc>
        <w:tc>
          <w:tcPr>
            <w:tcW w:w="669" w:type="dxa"/>
            <w:noWrap w:val="0"/>
            <w:vAlign w:val="center"/>
          </w:tcPr>
          <w:p w14:paraId="317FEB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w:t>
            </w:r>
          </w:p>
        </w:tc>
        <w:tc>
          <w:tcPr>
            <w:tcW w:w="737" w:type="dxa"/>
            <w:noWrap w:val="0"/>
            <w:vAlign w:val="center"/>
          </w:tcPr>
          <w:p w14:paraId="40AF04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主观评审</w:t>
            </w:r>
          </w:p>
        </w:tc>
      </w:tr>
      <w:tr w14:paraId="78B2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721" w:type="dxa"/>
            <w:vMerge w:val="continue"/>
            <w:noWrap w:val="0"/>
            <w:vAlign w:val="center"/>
          </w:tcPr>
          <w:p w14:paraId="7612C26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rPr>
            </w:pPr>
          </w:p>
        </w:tc>
        <w:tc>
          <w:tcPr>
            <w:tcW w:w="1270" w:type="dxa"/>
            <w:vMerge w:val="continue"/>
            <w:noWrap w:val="0"/>
            <w:vAlign w:val="center"/>
          </w:tcPr>
          <w:p w14:paraId="68E867E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rPr>
            </w:pPr>
          </w:p>
        </w:tc>
        <w:tc>
          <w:tcPr>
            <w:tcW w:w="4761" w:type="dxa"/>
            <w:noWrap w:val="0"/>
            <w:vAlign w:val="center"/>
          </w:tcPr>
          <w:p w14:paraId="330FE996">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根据供应商针对本项目的技术方案、技术方法、技术实施方案</w:t>
            </w:r>
            <w:r>
              <w:rPr>
                <w:rFonts w:hint="eastAsia" w:ascii="宋体" w:hAnsi="宋体" w:eastAsia="宋体" w:cs="宋体"/>
                <w:color w:val="auto"/>
                <w:kern w:val="2"/>
                <w:sz w:val="24"/>
                <w:szCs w:val="24"/>
                <w:highlight w:val="none"/>
                <w:lang w:val="en-US" w:eastAsia="zh-Hans"/>
              </w:rPr>
              <w:t>是否</w:t>
            </w:r>
            <w:r>
              <w:rPr>
                <w:rFonts w:hint="eastAsia" w:ascii="宋体" w:hAnsi="宋体" w:eastAsia="宋体" w:cs="宋体"/>
                <w:color w:val="auto"/>
                <w:kern w:val="2"/>
                <w:sz w:val="24"/>
                <w:szCs w:val="24"/>
                <w:highlight w:val="none"/>
                <w:lang w:val="en-US" w:eastAsia="zh-CN"/>
              </w:rPr>
              <w:t>合理进行评议</w:t>
            </w:r>
            <w:r>
              <w:rPr>
                <w:rFonts w:hint="eastAsia" w:ascii="宋体" w:hAnsi="宋体" w:cs="宋体"/>
                <w:color w:val="auto"/>
                <w:kern w:val="2"/>
                <w:sz w:val="24"/>
                <w:szCs w:val="24"/>
                <w:highlight w:val="none"/>
                <w:lang w:val="en-US" w:eastAsia="zh-CN"/>
              </w:rPr>
              <w:t>：</w:t>
            </w:r>
          </w:p>
          <w:p w14:paraId="23F494C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①技术方案、技术方法、技术实施方案详实，逻辑清晰，符合项目实际需求，切实可行的得5分；</w:t>
            </w:r>
          </w:p>
          <w:p w14:paraId="6628BBC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②技术方案、技术方法、技术实施方案详细，工作思路清楚，基本符合项目实际情况，合理可行的得3分；</w:t>
            </w:r>
          </w:p>
          <w:p w14:paraId="4EE510D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③技术方案、技术方法、技术实施方案简单、笼统，存在较多的不足，可行性差的得1分；</w:t>
            </w:r>
          </w:p>
          <w:p w14:paraId="66759B8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缺项不得分。</w:t>
            </w:r>
          </w:p>
        </w:tc>
        <w:tc>
          <w:tcPr>
            <w:tcW w:w="669" w:type="dxa"/>
            <w:noWrap w:val="0"/>
            <w:vAlign w:val="center"/>
          </w:tcPr>
          <w:p w14:paraId="614D29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w:t>
            </w:r>
          </w:p>
        </w:tc>
        <w:tc>
          <w:tcPr>
            <w:tcW w:w="737" w:type="dxa"/>
            <w:noWrap w:val="0"/>
            <w:vAlign w:val="center"/>
          </w:tcPr>
          <w:p w14:paraId="4F3E08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主观评审</w:t>
            </w:r>
          </w:p>
        </w:tc>
      </w:tr>
      <w:tr w14:paraId="2D37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8" w:hRule="atLeast"/>
        </w:trPr>
        <w:tc>
          <w:tcPr>
            <w:tcW w:w="721" w:type="dxa"/>
            <w:vMerge w:val="continue"/>
            <w:noWrap w:val="0"/>
            <w:vAlign w:val="center"/>
          </w:tcPr>
          <w:p w14:paraId="1F95F3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rPr>
            </w:pPr>
          </w:p>
        </w:tc>
        <w:tc>
          <w:tcPr>
            <w:tcW w:w="1270" w:type="dxa"/>
            <w:vMerge w:val="continue"/>
            <w:noWrap w:val="0"/>
            <w:vAlign w:val="center"/>
          </w:tcPr>
          <w:p w14:paraId="6A44A1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rPr>
            </w:pPr>
          </w:p>
        </w:tc>
        <w:tc>
          <w:tcPr>
            <w:tcW w:w="4761" w:type="dxa"/>
            <w:noWrap w:val="0"/>
            <w:vAlign w:val="center"/>
          </w:tcPr>
          <w:p w14:paraId="2DB1DCAA">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根据供应商针对本项目的日常监测服务方案</w:t>
            </w:r>
            <w:r>
              <w:rPr>
                <w:rFonts w:hint="eastAsia" w:ascii="宋体" w:hAnsi="宋体" w:eastAsia="宋体" w:cs="宋体"/>
                <w:color w:val="auto"/>
                <w:kern w:val="2"/>
                <w:sz w:val="24"/>
                <w:szCs w:val="24"/>
                <w:highlight w:val="none"/>
                <w:lang w:val="en-US" w:eastAsia="zh-Hans"/>
              </w:rPr>
              <w:t>是否</w:t>
            </w:r>
            <w:r>
              <w:rPr>
                <w:rFonts w:hint="eastAsia" w:ascii="宋体" w:hAnsi="宋体" w:eastAsia="宋体" w:cs="宋体"/>
                <w:color w:val="auto"/>
                <w:kern w:val="2"/>
                <w:sz w:val="24"/>
                <w:szCs w:val="24"/>
                <w:highlight w:val="none"/>
                <w:lang w:val="en-US" w:eastAsia="zh-CN"/>
              </w:rPr>
              <w:t>全面进行评议</w:t>
            </w:r>
            <w:r>
              <w:rPr>
                <w:rFonts w:hint="eastAsia" w:ascii="宋体" w:hAnsi="宋体" w:cs="宋体"/>
                <w:color w:val="auto"/>
                <w:kern w:val="2"/>
                <w:sz w:val="24"/>
                <w:szCs w:val="24"/>
                <w:highlight w:val="none"/>
                <w:lang w:val="en-US" w:eastAsia="zh-CN"/>
              </w:rPr>
              <w:t>：</w:t>
            </w:r>
          </w:p>
          <w:p w14:paraId="48A87B1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①日常监测服务方案详实，逻辑清晰，符合项目实际需求，切实可行的得5分；</w:t>
            </w:r>
          </w:p>
          <w:p w14:paraId="23EEEFF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②日常监测服务方案详细，工作思路清楚，基本符合项目实际情况，合理可行的得3分；</w:t>
            </w:r>
          </w:p>
          <w:p w14:paraId="33BA3D4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③日常监测服务方案简单、笼统，存在较多的不足，可行性差的得1分；</w:t>
            </w:r>
          </w:p>
          <w:p w14:paraId="0966C4C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缺项不得分。</w:t>
            </w:r>
          </w:p>
        </w:tc>
        <w:tc>
          <w:tcPr>
            <w:tcW w:w="669" w:type="dxa"/>
            <w:noWrap w:val="0"/>
            <w:vAlign w:val="center"/>
          </w:tcPr>
          <w:p w14:paraId="6D18D6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w:t>
            </w:r>
          </w:p>
        </w:tc>
        <w:tc>
          <w:tcPr>
            <w:tcW w:w="737" w:type="dxa"/>
            <w:noWrap w:val="0"/>
            <w:vAlign w:val="center"/>
          </w:tcPr>
          <w:p w14:paraId="09523F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主观评审</w:t>
            </w:r>
          </w:p>
        </w:tc>
      </w:tr>
      <w:tr w14:paraId="3E39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721" w:type="dxa"/>
            <w:vMerge w:val="continue"/>
            <w:noWrap w:val="0"/>
            <w:vAlign w:val="center"/>
          </w:tcPr>
          <w:p w14:paraId="792650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rPr>
            </w:pPr>
          </w:p>
        </w:tc>
        <w:tc>
          <w:tcPr>
            <w:tcW w:w="1270" w:type="dxa"/>
            <w:vMerge w:val="continue"/>
            <w:noWrap w:val="0"/>
            <w:vAlign w:val="center"/>
          </w:tcPr>
          <w:p w14:paraId="162975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rPr>
            </w:pPr>
          </w:p>
        </w:tc>
        <w:tc>
          <w:tcPr>
            <w:tcW w:w="4761" w:type="dxa"/>
            <w:noWrap w:val="0"/>
            <w:vAlign w:val="center"/>
          </w:tcPr>
          <w:p w14:paraId="7A05C177">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根据供应商针对本项目的</w:t>
            </w:r>
            <w:r>
              <w:rPr>
                <w:rFonts w:hint="eastAsia" w:ascii="宋体" w:hAnsi="宋体" w:cs="宋体"/>
                <w:color w:val="auto"/>
                <w:kern w:val="2"/>
                <w:sz w:val="24"/>
                <w:szCs w:val="24"/>
                <w:highlight w:val="none"/>
                <w:lang w:val="en-US" w:eastAsia="zh-CN"/>
              </w:rPr>
              <w:t>枯死木清理范围及对象、枯死木和枝桠清理技术要求</w:t>
            </w:r>
            <w:r>
              <w:rPr>
                <w:rFonts w:hint="eastAsia" w:ascii="宋体" w:hAnsi="宋体" w:eastAsia="宋体" w:cs="宋体"/>
                <w:color w:val="auto"/>
                <w:kern w:val="2"/>
                <w:sz w:val="24"/>
                <w:szCs w:val="24"/>
                <w:highlight w:val="none"/>
                <w:lang w:val="en-US" w:eastAsia="zh-CN"/>
              </w:rPr>
              <w:t>方案</w:t>
            </w:r>
            <w:r>
              <w:rPr>
                <w:rFonts w:hint="eastAsia" w:ascii="宋体" w:hAnsi="宋体" w:eastAsia="宋体" w:cs="宋体"/>
                <w:color w:val="auto"/>
                <w:kern w:val="2"/>
                <w:sz w:val="24"/>
                <w:szCs w:val="24"/>
                <w:highlight w:val="none"/>
                <w:lang w:val="en-US" w:eastAsia="zh-Hans"/>
              </w:rPr>
              <w:t>是否</w:t>
            </w:r>
            <w:r>
              <w:rPr>
                <w:rFonts w:hint="eastAsia" w:ascii="宋体" w:hAnsi="宋体" w:eastAsia="宋体" w:cs="宋体"/>
                <w:color w:val="auto"/>
                <w:kern w:val="2"/>
                <w:sz w:val="24"/>
                <w:szCs w:val="24"/>
                <w:highlight w:val="none"/>
                <w:lang w:val="en-US" w:eastAsia="zh-CN"/>
              </w:rPr>
              <w:t>合理进行评议</w:t>
            </w:r>
            <w:r>
              <w:rPr>
                <w:rFonts w:hint="eastAsia" w:ascii="宋体" w:hAnsi="宋体" w:cs="宋体"/>
                <w:color w:val="auto"/>
                <w:kern w:val="2"/>
                <w:sz w:val="24"/>
                <w:szCs w:val="24"/>
                <w:highlight w:val="none"/>
                <w:lang w:val="en-US" w:eastAsia="zh-CN"/>
              </w:rPr>
              <w:t>：</w:t>
            </w:r>
          </w:p>
          <w:p w14:paraId="6B8D372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①</w:t>
            </w:r>
            <w:r>
              <w:rPr>
                <w:rFonts w:hint="eastAsia" w:ascii="宋体" w:hAnsi="宋体" w:cs="宋体"/>
                <w:color w:val="auto"/>
                <w:kern w:val="2"/>
                <w:sz w:val="24"/>
                <w:szCs w:val="24"/>
                <w:highlight w:val="none"/>
                <w:lang w:val="en-US" w:eastAsia="zh-CN"/>
              </w:rPr>
              <w:t>枯死木清理范围及对象、枯死木和枝桠清理技术要求</w:t>
            </w:r>
            <w:r>
              <w:rPr>
                <w:rFonts w:hint="eastAsia" w:ascii="宋体" w:hAnsi="宋体" w:eastAsia="宋体" w:cs="宋体"/>
                <w:color w:val="auto"/>
                <w:kern w:val="2"/>
                <w:sz w:val="24"/>
                <w:szCs w:val="24"/>
                <w:highlight w:val="none"/>
                <w:lang w:val="en-US" w:eastAsia="zh-CN"/>
              </w:rPr>
              <w:t>方案详实，逻辑清晰，符合项目实际需求，切实可行的得5分；</w:t>
            </w:r>
          </w:p>
          <w:p w14:paraId="241F860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②</w:t>
            </w:r>
            <w:r>
              <w:rPr>
                <w:rFonts w:hint="eastAsia" w:ascii="宋体" w:hAnsi="宋体" w:cs="宋体"/>
                <w:color w:val="auto"/>
                <w:kern w:val="2"/>
                <w:sz w:val="24"/>
                <w:szCs w:val="24"/>
                <w:highlight w:val="none"/>
                <w:lang w:val="en-US" w:eastAsia="zh-CN"/>
              </w:rPr>
              <w:t>枯死木清理范围及对象、枯死木和枝桠清理技术要求</w:t>
            </w:r>
            <w:r>
              <w:rPr>
                <w:rFonts w:hint="eastAsia" w:ascii="宋体" w:hAnsi="宋体" w:eastAsia="宋体" w:cs="宋体"/>
                <w:color w:val="auto"/>
                <w:kern w:val="2"/>
                <w:sz w:val="24"/>
                <w:szCs w:val="24"/>
                <w:highlight w:val="none"/>
                <w:lang w:val="en-US" w:eastAsia="zh-CN"/>
              </w:rPr>
              <w:t>方案详细，工作思路清楚，基本符合项目实际情况，合理可行的得3分；</w:t>
            </w:r>
          </w:p>
          <w:p w14:paraId="12A8CA1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③</w:t>
            </w:r>
            <w:r>
              <w:rPr>
                <w:rFonts w:hint="eastAsia" w:ascii="宋体" w:hAnsi="宋体" w:cs="宋体"/>
                <w:color w:val="auto"/>
                <w:kern w:val="2"/>
                <w:sz w:val="24"/>
                <w:szCs w:val="24"/>
                <w:highlight w:val="none"/>
                <w:lang w:val="en-US" w:eastAsia="zh-CN"/>
              </w:rPr>
              <w:t>枯死木清理范围及对象、枯死木和枝桠清理技术要求</w:t>
            </w:r>
            <w:r>
              <w:rPr>
                <w:rFonts w:hint="eastAsia" w:ascii="宋体" w:hAnsi="宋体" w:eastAsia="宋体" w:cs="宋体"/>
                <w:color w:val="auto"/>
                <w:kern w:val="2"/>
                <w:sz w:val="24"/>
                <w:szCs w:val="24"/>
                <w:highlight w:val="none"/>
                <w:lang w:val="en-US" w:eastAsia="zh-CN"/>
              </w:rPr>
              <w:t>方案简单、笼统，存在较多的不足，可行性差的得1分；</w:t>
            </w:r>
          </w:p>
          <w:p w14:paraId="7229F62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缺项不得分。</w:t>
            </w:r>
          </w:p>
        </w:tc>
        <w:tc>
          <w:tcPr>
            <w:tcW w:w="669" w:type="dxa"/>
            <w:noWrap w:val="0"/>
            <w:vAlign w:val="center"/>
          </w:tcPr>
          <w:p w14:paraId="5F382E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w:t>
            </w:r>
          </w:p>
        </w:tc>
        <w:tc>
          <w:tcPr>
            <w:tcW w:w="737" w:type="dxa"/>
            <w:noWrap w:val="0"/>
            <w:vAlign w:val="center"/>
          </w:tcPr>
          <w:p w14:paraId="18AAFA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主观评审</w:t>
            </w:r>
          </w:p>
        </w:tc>
      </w:tr>
      <w:tr w14:paraId="4236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7" w:hRule="atLeast"/>
        </w:trPr>
        <w:tc>
          <w:tcPr>
            <w:tcW w:w="721" w:type="dxa"/>
            <w:vMerge w:val="continue"/>
            <w:noWrap w:val="0"/>
            <w:vAlign w:val="center"/>
          </w:tcPr>
          <w:p w14:paraId="53FD25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rPr>
            </w:pPr>
          </w:p>
        </w:tc>
        <w:tc>
          <w:tcPr>
            <w:tcW w:w="1270" w:type="dxa"/>
            <w:vMerge w:val="continue"/>
            <w:noWrap w:val="0"/>
            <w:vAlign w:val="center"/>
          </w:tcPr>
          <w:p w14:paraId="17B279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rPr>
            </w:pPr>
          </w:p>
        </w:tc>
        <w:tc>
          <w:tcPr>
            <w:tcW w:w="4761" w:type="dxa"/>
            <w:noWrap w:val="0"/>
            <w:vAlign w:val="center"/>
          </w:tcPr>
          <w:p w14:paraId="2BC62E6A">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根据供应商针对本项目的</w:t>
            </w:r>
            <w:r>
              <w:rPr>
                <w:rFonts w:hint="eastAsia" w:ascii="宋体" w:hAnsi="宋体" w:cs="宋体"/>
                <w:color w:val="auto"/>
                <w:kern w:val="2"/>
                <w:sz w:val="24"/>
                <w:szCs w:val="24"/>
                <w:highlight w:val="none"/>
                <w:lang w:val="en-US" w:eastAsia="zh-CN"/>
              </w:rPr>
              <w:t>枯死木</w:t>
            </w:r>
            <w:r>
              <w:rPr>
                <w:rFonts w:hint="eastAsia" w:ascii="宋体" w:hAnsi="宋体" w:eastAsia="宋体" w:cs="宋体"/>
                <w:b w:val="0"/>
                <w:bCs/>
                <w:snapToGrid/>
                <w:sz w:val="24"/>
                <w:szCs w:val="24"/>
                <w:highlight w:val="none"/>
                <w:lang w:val="en-US"/>
              </w:rPr>
              <w:t>清理操作规范</w:t>
            </w:r>
            <w:r>
              <w:rPr>
                <w:rFonts w:hint="eastAsia" w:ascii="宋体" w:hAnsi="宋体" w:eastAsia="宋体" w:cs="宋体"/>
                <w:b w:val="0"/>
                <w:bCs/>
                <w:snapToGrid/>
                <w:sz w:val="24"/>
                <w:szCs w:val="24"/>
                <w:highlight w:val="none"/>
                <w:lang w:val="en-US" w:eastAsia="zh-CN"/>
              </w:rPr>
              <w:t>、</w:t>
            </w:r>
            <w:r>
              <w:rPr>
                <w:rFonts w:hint="eastAsia" w:ascii="宋体" w:hAnsi="宋体" w:eastAsia="宋体" w:cs="宋体"/>
                <w:b w:val="0"/>
                <w:bCs/>
                <w:snapToGrid/>
                <w:sz w:val="24"/>
                <w:szCs w:val="24"/>
                <w:highlight w:val="none"/>
                <w:lang w:val="en-US"/>
              </w:rPr>
              <w:t>清理</w:t>
            </w:r>
            <w:r>
              <w:rPr>
                <w:rFonts w:hint="eastAsia" w:ascii="宋体" w:hAnsi="宋体" w:eastAsia="宋体" w:cs="宋体"/>
                <w:b w:val="0"/>
                <w:bCs/>
                <w:snapToGrid/>
                <w:sz w:val="24"/>
                <w:szCs w:val="24"/>
                <w:highlight w:val="none"/>
                <w:lang w:val="en-US" w:eastAsia="zh-CN"/>
              </w:rPr>
              <w:t>过程</w:t>
            </w:r>
            <w:r>
              <w:rPr>
                <w:rFonts w:hint="eastAsia" w:ascii="宋体" w:hAnsi="宋体" w:eastAsia="宋体" w:cs="宋体"/>
                <w:b w:val="0"/>
                <w:bCs/>
                <w:snapToGrid/>
                <w:sz w:val="24"/>
                <w:szCs w:val="24"/>
                <w:highlight w:val="none"/>
                <w:lang w:val="en-US"/>
              </w:rPr>
              <w:t>监管</w:t>
            </w:r>
            <w:r>
              <w:rPr>
                <w:rFonts w:hint="eastAsia" w:ascii="宋体" w:hAnsi="宋体" w:eastAsia="宋体" w:cs="宋体"/>
                <w:b w:val="0"/>
                <w:bCs/>
                <w:snapToGrid/>
                <w:sz w:val="24"/>
                <w:szCs w:val="24"/>
                <w:highlight w:val="none"/>
                <w:lang w:val="en-US" w:eastAsia="zh-CN"/>
              </w:rPr>
              <w:t>方案</w:t>
            </w:r>
            <w:r>
              <w:rPr>
                <w:rFonts w:hint="eastAsia" w:ascii="宋体" w:hAnsi="宋体" w:eastAsia="宋体" w:cs="宋体"/>
                <w:color w:val="auto"/>
                <w:kern w:val="2"/>
                <w:sz w:val="24"/>
                <w:szCs w:val="24"/>
                <w:highlight w:val="none"/>
                <w:lang w:val="en-US" w:eastAsia="zh-CN" w:bidi="ar-SA"/>
              </w:rPr>
              <w:t>是否</w:t>
            </w:r>
            <w:r>
              <w:rPr>
                <w:rFonts w:hint="eastAsia" w:ascii="宋体" w:hAnsi="宋体" w:cs="宋体"/>
                <w:color w:val="auto"/>
                <w:kern w:val="2"/>
                <w:sz w:val="24"/>
                <w:szCs w:val="24"/>
                <w:highlight w:val="none"/>
                <w:lang w:val="en-US" w:eastAsia="zh-CN" w:bidi="ar-SA"/>
              </w:rPr>
              <w:t>可行</w:t>
            </w:r>
            <w:r>
              <w:rPr>
                <w:rFonts w:hint="eastAsia" w:ascii="宋体" w:hAnsi="宋体" w:eastAsia="宋体" w:cs="宋体"/>
                <w:color w:val="auto"/>
                <w:kern w:val="2"/>
                <w:sz w:val="24"/>
                <w:szCs w:val="24"/>
                <w:highlight w:val="none"/>
                <w:lang w:val="en-US" w:eastAsia="zh-CN" w:bidi="ar-SA"/>
              </w:rPr>
              <w:t>进行评议</w:t>
            </w:r>
            <w:r>
              <w:rPr>
                <w:rFonts w:hint="eastAsia" w:ascii="宋体" w:hAnsi="宋体" w:cs="宋体"/>
                <w:color w:val="auto"/>
                <w:kern w:val="2"/>
                <w:sz w:val="24"/>
                <w:szCs w:val="24"/>
                <w:highlight w:val="none"/>
                <w:lang w:val="en-US" w:eastAsia="zh-CN" w:bidi="ar-SA"/>
              </w:rPr>
              <w:t>：</w:t>
            </w:r>
          </w:p>
          <w:p w14:paraId="7CC9F52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①</w:t>
            </w:r>
            <w:r>
              <w:rPr>
                <w:rFonts w:hint="eastAsia" w:ascii="宋体" w:hAnsi="宋体" w:cs="宋体"/>
                <w:color w:val="auto"/>
                <w:kern w:val="2"/>
                <w:sz w:val="24"/>
                <w:szCs w:val="24"/>
                <w:highlight w:val="none"/>
                <w:lang w:val="en-US" w:eastAsia="zh-CN"/>
              </w:rPr>
              <w:t>枯死木</w:t>
            </w:r>
            <w:r>
              <w:rPr>
                <w:rFonts w:hint="eastAsia" w:ascii="宋体" w:hAnsi="宋体" w:eastAsia="宋体" w:cs="宋体"/>
                <w:b w:val="0"/>
                <w:bCs/>
                <w:snapToGrid/>
                <w:sz w:val="24"/>
                <w:szCs w:val="24"/>
                <w:highlight w:val="none"/>
                <w:lang w:val="en-US"/>
              </w:rPr>
              <w:t>清理操作规范</w:t>
            </w:r>
            <w:r>
              <w:rPr>
                <w:rFonts w:hint="eastAsia" w:ascii="宋体" w:hAnsi="宋体" w:eastAsia="宋体" w:cs="宋体"/>
                <w:b w:val="0"/>
                <w:bCs/>
                <w:snapToGrid/>
                <w:sz w:val="24"/>
                <w:szCs w:val="24"/>
                <w:highlight w:val="none"/>
                <w:lang w:val="en-US" w:eastAsia="zh-CN"/>
              </w:rPr>
              <w:t>、</w:t>
            </w:r>
            <w:r>
              <w:rPr>
                <w:rFonts w:hint="eastAsia" w:ascii="宋体" w:hAnsi="宋体" w:eastAsia="宋体" w:cs="宋体"/>
                <w:b w:val="0"/>
                <w:bCs/>
                <w:snapToGrid/>
                <w:sz w:val="24"/>
                <w:szCs w:val="24"/>
                <w:highlight w:val="none"/>
                <w:lang w:val="en-US"/>
              </w:rPr>
              <w:t>清理</w:t>
            </w:r>
            <w:r>
              <w:rPr>
                <w:rFonts w:hint="eastAsia" w:ascii="宋体" w:hAnsi="宋体" w:eastAsia="宋体" w:cs="宋体"/>
                <w:b w:val="0"/>
                <w:bCs/>
                <w:snapToGrid/>
                <w:sz w:val="24"/>
                <w:szCs w:val="24"/>
                <w:highlight w:val="none"/>
                <w:lang w:val="en-US" w:eastAsia="zh-CN"/>
              </w:rPr>
              <w:t>过程</w:t>
            </w:r>
            <w:r>
              <w:rPr>
                <w:rFonts w:hint="eastAsia" w:ascii="宋体" w:hAnsi="宋体" w:eastAsia="宋体" w:cs="宋体"/>
                <w:b w:val="0"/>
                <w:bCs/>
                <w:snapToGrid/>
                <w:sz w:val="24"/>
                <w:szCs w:val="24"/>
                <w:highlight w:val="none"/>
                <w:lang w:val="en-US"/>
              </w:rPr>
              <w:t>监管</w:t>
            </w:r>
            <w:r>
              <w:rPr>
                <w:rFonts w:hint="eastAsia" w:ascii="宋体" w:hAnsi="宋体" w:eastAsia="宋体" w:cs="宋体"/>
                <w:b w:val="0"/>
                <w:bCs/>
                <w:snapToGrid/>
                <w:sz w:val="24"/>
                <w:szCs w:val="24"/>
                <w:highlight w:val="none"/>
                <w:lang w:val="en-US" w:eastAsia="zh-CN"/>
              </w:rPr>
              <w:t>方案</w:t>
            </w:r>
            <w:r>
              <w:rPr>
                <w:rFonts w:hint="eastAsia" w:ascii="宋体" w:hAnsi="宋体" w:eastAsia="宋体" w:cs="宋体"/>
                <w:color w:val="auto"/>
                <w:kern w:val="2"/>
                <w:sz w:val="24"/>
                <w:szCs w:val="24"/>
                <w:highlight w:val="none"/>
                <w:lang w:val="en-US" w:eastAsia="zh-CN"/>
              </w:rPr>
              <w:t>详实，逻辑清晰，符合项目实际需求，切实可行的得5分；</w:t>
            </w:r>
          </w:p>
          <w:p w14:paraId="0A88F62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②</w:t>
            </w:r>
            <w:r>
              <w:rPr>
                <w:rFonts w:hint="eastAsia" w:ascii="宋体" w:hAnsi="宋体" w:cs="宋体"/>
                <w:color w:val="auto"/>
                <w:kern w:val="2"/>
                <w:sz w:val="24"/>
                <w:szCs w:val="24"/>
                <w:highlight w:val="none"/>
                <w:lang w:val="en-US" w:eastAsia="zh-CN"/>
              </w:rPr>
              <w:t>枯死木</w:t>
            </w:r>
            <w:r>
              <w:rPr>
                <w:rFonts w:hint="eastAsia" w:ascii="宋体" w:hAnsi="宋体" w:eastAsia="宋体" w:cs="宋体"/>
                <w:b w:val="0"/>
                <w:bCs/>
                <w:snapToGrid/>
                <w:sz w:val="24"/>
                <w:szCs w:val="24"/>
                <w:highlight w:val="none"/>
                <w:lang w:val="en-US"/>
              </w:rPr>
              <w:t>清理操作规范</w:t>
            </w:r>
            <w:r>
              <w:rPr>
                <w:rFonts w:hint="eastAsia" w:ascii="宋体" w:hAnsi="宋体" w:eastAsia="宋体" w:cs="宋体"/>
                <w:b w:val="0"/>
                <w:bCs/>
                <w:snapToGrid/>
                <w:sz w:val="24"/>
                <w:szCs w:val="24"/>
                <w:highlight w:val="none"/>
                <w:lang w:val="en-US" w:eastAsia="zh-CN"/>
              </w:rPr>
              <w:t>、</w:t>
            </w:r>
            <w:r>
              <w:rPr>
                <w:rFonts w:hint="eastAsia" w:ascii="宋体" w:hAnsi="宋体" w:eastAsia="宋体" w:cs="宋体"/>
                <w:b w:val="0"/>
                <w:bCs/>
                <w:snapToGrid/>
                <w:sz w:val="24"/>
                <w:szCs w:val="24"/>
                <w:highlight w:val="none"/>
                <w:lang w:val="en-US"/>
              </w:rPr>
              <w:t>清理</w:t>
            </w:r>
            <w:r>
              <w:rPr>
                <w:rFonts w:hint="eastAsia" w:ascii="宋体" w:hAnsi="宋体" w:eastAsia="宋体" w:cs="宋体"/>
                <w:b w:val="0"/>
                <w:bCs/>
                <w:snapToGrid/>
                <w:sz w:val="24"/>
                <w:szCs w:val="24"/>
                <w:highlight w:val="none"/>
                <w:lang w:val="en-US" w:eastAsia="zh-CN"/>
              </w:rPr>
              <w:t>过程</w:t>
            </w:r>
            <w:r>
              <w:rPr>
                <w:rFonts w:hint="eastAsia" w:ascii="宋体" w:hAnsi="宋体" w:eastAsia="宋体" w:cs="宋体"/>
                <w:b w:val="0"/>
                <w:bCs/>
                <w:snapToGrid/>
                <w:sz w:val="24"/>
                <w:szCs w:val="24"/>
                <w:highlight w:val="none"/>
                <w:lang w:val="en-US"/>
              </w:rPr>
              <w:t>监管</w:t>
            </w:r>
            <w:r>
              <w:rPr>
                <w:rFonts w:hint="eastAsia" w:ascii="宋体" w:hAnsi="宋体" w:eastAsia="宋体" w:cs="宋体"/>
                <w:b w:val="0"/>
                <w:bCs/>
                <w:snapToGrid/>
                <w:sz w:val="24"/>
                <w:szCs w:val="24"/>
                <w:highlight w:val="none"/>
                <w:lang w:val="en-US" w:eastAsia="zh-CN"/>
              </w:rPr>
              <w:t>方案</w:t>
            </w:r>
            <w:r>
              <w:rPr>
                <w:rFonts w:hint="eastAsia" w:ascii="宋体" w:hAnsi="宋体" w:eastAsia="宋体" w:cs="宋体"/>
                <w:color w:val="auto"/>
                <w:kern w:val="2"/>
                <w:sz w:val="24"/>
                <w:szCs w:val="24"/>
                <w:highlight w:val="none"/>
                <w:lang w:val="en-US" w:eastAsia="zh-CN"/>
              </w:rPr>
              <w:t>详细，工作思路清楚，基本符合项目实际情况，合理可行的得3分；</w:t>
            </w:r>
          </w:p>
          <w:p w14:paraId="16EB000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③</w:t>
            </w:r>
            <w:r>
              <w:rPr>
                <w:rFonts w:hint="eastAsia" w:ascii="宋体" w:hAnsi="宋体" w:cs="宋体"/>
                <w:color w:val="auto"/>
                <w:kern w:val="2"/>
                <w:sz w:val="24"/>
                <w:szCs w:val="24"/>
                <w:highlight w:val="none"/>
                <w:lang w:val="en-US" w:eastAsia="zh-CN"/>
              </w:rPr>
              <w:t>枯死木</w:t>
            </w:r>
            <w:r>
              <w:rPr>
                <w:rFonts w:hint="eastAsia" w:ascii="宋体" w:hAnsi="宋体" w:eastAsia="宋体" w:cs="宋体"/>
                <w:b w:val="0"/>
                <w:bCs/>
                <w:snapToGrid/>
                <w:sz w:val="24"/>
                <w:szCs w:val="24"/>
                <w:highlight w:val="none"/>
                <w:lang w:val="en-US"/>
              </w:rPr>
              <w:t>清理操作规范</w:t>
            </w:r>
            <w:r>
              <w:rPr>
                <w:rFonts w:hint="eastAsia" w:ascii="宋体" w:hAnsi="宋体" w:eastAsia="宋体" w:cs="宋体"/>
                <w:b w:val="0"/>
                <w:bCs/>
                <w:snapToGrid/>
                <w:sz w:val="24"/>
                <w:szCs w:val="24"/>
                <w:highlight w:val="none"/>
                <w:lang w:val="en-US" w:eastAsia="zh-CN"/>
              </w:rPr>
              <w:t>、</w:t>
            </w:r>
            <w:r>
              <w:rPr>
                <w:rFonts w:hint="eastAsia" w:ascii="宋体" w:hAnsi="宋体" w:eastAsia="宋体" w:cs="宋体"/>
                <w:b w:val="0"/>
                <w:bCs/>
                <w:snapToGrid/>
                <w:sz w:val="24"/>
                <w:szCs w:val="24"/>
                <w:highlight w:val="none"/>
                <w:lang w:val="en-US"/>
              </w:rPr>
              <w:t>清理</w:t>
            </w:r>
            <w:r>
              <w:rPr>
                <w:rFonts w:hint="eastAsia" w:ascii="宋体" w:hAnsi="宋体" w:eastAsia="宋体" w:cs="宋体"/>
                <w:b w:val="0"/>
                <w:bCs/>
                <w:snapToGrid/>
                <w:sz w:val="24"/>
                <w:szCs w:val="24"/>
                <w:highlight w:val="none"/>
                <w:lang w:val="en-US" w:eastAsia="zh-CN"/>
              </w:rPr>
              <w:t>过程</w:t>
            </w:r>
            <w:r>
              <w:rPr>
                <w:rFonts w:hint="eastAsia" w:ascii="宋体" w:hAnsi="宋体" w:eastAsia="宋体" w:cs="宋体"/>
                <w:b w:val="0"/>
                <w:bCs/>
                <w:snapToGrid/>
                <w:sz w:val="24"/>
                <w:szCs w:val="24"/>
                <w:highlight w:val="none"/>
                <w:lang w:val="en-US"/>
              </w:rPr>
              <w:t>监管</w:t>
            </w:r>
            <w:r>
              <w:rPr>
                <w:rFonts w:hint="eastAsia" w:ascii="宋体" w:hAnsi="宋体" w:eastAsia="宋体" w:cs="宋体"/>
                <w:b w:val="0"/>
                <w:bCs/>
                <w:snapToGrid/>
                <w:sz w:val="24"/>
                <w:szCs w:val="24"/>
                <w:highlight w:val="none"/>
                <w:lang w:val="en-US" w:eastAsia="zh-CN"/>
              </w:rPr>
              <w:t>方案</w:t>
            </w:r>
            <w:r>
              <w:rPr>
                <w:rFonts w:hint="eastAsia" w:ascii="宋体" w:hAnsi="宋体" w:eastAsia="宋体" w:cs="宋体"/>
                <w:color w:val="auto"/>
                <w:kern w:val="2"/>
                <w:sz w:val="24"/>
                <w:szCs w:val="24"/>
                <w:highlight w:val="none"/>
                <w:lang w:val="en-US" w:eastAsia="zh-CN"/>
              </w:rPr>
              <w:t>简单、笼统，存在较多的不足，可行性差的得1分；</w:t>
            </w:r>
          </w:p>
          <w:p w14:paraId="24FE8D6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缺项不得分。</w:t>
            </w:r>
          </w:p>
        </w:tc>
        <w:tc>
          <w:tcPr>
            <w:tcW w:w="669" w:type="dxa"/>
            <w:noWrap w:val="0"/>
            <w:vAlign w:val="center"/>
          </w:tcPr>
          <w:p w14:paraId="50A7C4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bidi="ar-SA"/>
              </w:rPr>
              <w:t>5</w:t>
            </w:r>
          </w:p>
        </w:tc>
        <w:tc>
          <w:tcPr>
            <w:tcW w:w="737" w:type="dxa"/>
            <w:noWrap w:val="0"/>
            <w:vAlign w:val="center"/>
          </w:tcPr>
          <w:p w14:paraId="7B4A4F3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0"/>
                <w:sz w:val="24"/>
                <w:szCs w:val="24"/>
                <w:highlight w:val="none"/>
              </w:rPr>
              <w:t>主观</w:t>
            </w:r>
            <w:r>
              <w:rPr>
                <w:rFonts w:hint="eastAsia" w:ascii="宋体" w:hAnsi="宋体" w:eastAsia="宋体" w:cs="宋体"/>
                <w:color w:val="auto"/>
                <w:kern w:val="0"/>
                <w:sz w:val="24"/>
                <w:szCs w:val="24"/>
                <w:highlight w:val="none"/>
                <w:lang w:eastAsia="zh-CN"/>
              </w:rPr>
              <w:t>评审</w:t>
            </w:r>
          </w:p>
        </w:tc>
      </w:tr>
      <w:tr w14:paraId="7921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8" w:hRule="atLeast"/>
        </w:trPr>
        <w:tc>
          <w:tcPr>
            <w:tcW w:w="721" w:type="dxa"/>
            <w:vMerge w:val="continue"/>
            <w:noWrap w:val="0"/>
            <w:vAlign w:val="center"/>
          </w:tcPr>
          <w:p w14:paraId="4C1E7C1D">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highlight w:val="none"/>
              </w:rPr>
            </w:pPr>
          </w:p>
        </w:tc>
        <w:tc>
          <w:tcPr>
            <w:tcW w:w="1270" w:type="dxa"/>
            <w:vMerge w:val="continue"/>
            <w:noWrap w:val="0"/>
            <w:vAlign w:val="center"/>
          </w:tcPr>
          <w:p w14:paraId="1441397E">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highlight w:val="none"/>
              </w:rPr>
            </w:pPr>
          </w:p>
        </w:tc>
        <w:tc>
          <w:tcPr>
            <w:tcW w:w="4761" w:type="dxa"/>
            <w:noWrap w:val="0"/>
            <w:vAlign w:val="center"/>
          </w:tcPr>
          <w:p w14:paraId="14D03539">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根据供应商针对本项目的打孔注药防治</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技术标准服务方案是否</w:t>
            </w:r>
            <w:r>
              <w:rPr>
                <w:rFonts w:hint="eastAsia" w:ascii="宋体" w:hAnsi="宋体" w:cs="宋体"/>
                <w:color w:val="auto"/>
                <w:kern w:val="2"/>
                <w:sz w:val="24"/>
                <w:szCs w:val="24"/>
                <w:highlight w:val="none"/>
                <w:lang w:val="en-US" w:eastAsia="zh-CN" w:bidi="ar-SA"/>
              </w:rPr>
              <w:t>可行</w:t>
            </w:r>
            <w:r>
              <w:rPr>
                <w:rFonts w:hint="eastAsia" w:ascii="宋体" w:hAnsi="宋体" w:eastAsia="宋体" w:cs="宋体"/>
                <w:color w:val="auto"/>
                <w:kern w:val="2"/>
                <w:sz w:val="24"/>
                <w:szCs w:val="24"/>
                <w:highlight w:val="none"/>
                <w:lang w:val="en-US" w:eastAsia="zh-CN" w:bidi="ar-SA"/>
              </w:rPr>
              <w:t>进行评议</w:t>
            </w:r>
            <w:r>
              <w:rPr>
                <w:rFonts w:hint="eastAsia" w:ascii="宋体" w:hAnsi="宋体" w:cs="宋体"/>
                <w:color w:val="auto"/>
                <w:kern w:val="2"/>
                <w:sz w:val="24"/>
                <w:szCs w:val="24"/>
                <w:highlight w:val="none"/>
                <w:lang w:val="en-US" w:eastAsia="zh-CN" w:bidi="ar-SA"/>
              </w:rPr>
              <w:t>：</w:t>
            </w:r>
          </w:p>
          <w:p w14:paraId="191DCA1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①</w:t>
            </w:r>
            <w:r>
              <w:rPr>
                <w:rFonts w:hint="eastAsia" w:ascii="宋体" w:hAnsi="宋体" w:eastAsia="宋体" w:cs="宋体"/>
                <w:color w:val="auto"/>
                <w:kern w:val="2"/>
                <w:sz w:val="24"/>
                <w:szCs w:val="24"/>
                <w:highlight w:val="none"/>
                <w:lang w:val="en-US" w:eastAsia="zh-CN" w:bidi="ar-SA"/>
              </w:rPr>
              <w:t>打孔注药防治</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技术标准服务方案</w:t>
            </w:r>
            <w:r>
              <w:rPr>
                <w:rFonts w:hint="eastAsia" w:ascii="宋体" w:hAnsi="宋体" w:eastAsia="宋体" w:cs="宋体"/>
                <w:color w:val="auto"/>
                <w:kern w:val="2"/>
                <w:sz w:val="24"/>
                <w:szCs w:val="24"/>
                <w:highlight w:val="none"/>
                <w:lang w:val="en-US" w:eastAsia="zh-CN"/>
              </w:rPr>
              <w:t>详实，逻辑清晰，符合项目实际需求，切实可行的得5分；</w:t>
            </w:r>
          </w:p>
          <w:p w14:paraId="7DC9D89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②</w:t>
            </w:r>
            <w:r>
              <w:rPr>
                <w:rFonts w:hint="eastAsia" w:ascii="宋体" w:hAnsi="宋体" w:eastAsia="宋体" w:cs="宋体"/>
                <w:color w:val="auto"/>
                <w:kern w:val="2"/>
                <w:sz w:val="24"/>
                <w:szCs w:val="24"/>
                <w:highlight w:val="none"/>
                <w:lang w:val="en-US" w:eastAsia="zh-CN" w:bidi="ar-SA"/>
              </w:rPr>
              <w:t>打孔注药防治</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技术标准服务方案</w:t>
            </w:r>
            <w:r>
              <w:rPr>
                <w:rFonts w:hint="eastAsia" w:ascii="宋体" w:hAnsi="宋体" w:eastAsia="宋体" w:cs="宋体"/>
                <w:color w:val="auto"/>
                <w:kern w:val="2"/>
                <w:sz w:val="24"/>
                <w:szCs w:val="24"/>
                <w:highlight w:val="none"/>
                <w:lang w:val="en-US" w:eastAsia="zh-CN"/>
              </w:rPr>
              <w:t>详细，工作思路清楚，基本符合项目实际情况，合理可行的得3分；</w:t>
            </w:r>
          </w:p>
          <w:p w14:paraId="1EED95F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③</w:t>
            </w:r>
            <w:r>
              <w:rPr>
                <w:rFonts w:hint="eastAsia" w:ascii="宋体" w:hAnsi="宋体" w:eastAsia="宋体" w:cs="宋体"/>
                <w:color w:val="auto"/>
                <w:kern w:val="2"/>
                <w:sz w:val="24"/>
                <w:szCs w:val="24"/>
                <w:highlight w:val="none"/>
                <w:lang w:val="en-US" w:eastAsia="zh-CN" w:bidi="ar-SA"/>
              </w:rPr>
              <w:t>打孔注药防治</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技术标准服务方案</w:t>
            </w:r>
            <w:r>
              <w:rPr>
                <w:rFonts w:hint="eastAsia" w:ascii="宋体" w:hAnsi="宋体" w:eastAsia="宋体" w:cs="宋体"/>
                <w:color w:val="auto"/>
                <w:kern w:val="2"/>
                <w:sz w:val="24"/>
                <w:szCs w:val="24"/>
                <w:highlight w:val="none"/>
                <w:lang w:val="en-US" w:eastAsia="zh-CN"/>
              </w:rPr>
              <w:t>简单、笼统，存在较多的不足，可行性差的得1分；</w:t>
            </w:r>
          </w:p>
          <w:p w14:paraId="4E4194E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缺项不得分。</w:t>
            </w:r>
          </w:p>
        </w:tc>
        <w:tc>
          <w:tcPr>
            <w:tcW w:w="669" w:type="dxa"/>
            <w:noWrap w:val="0"/>
            <w:vAlign w:val="center"/>
          </w:tcPr>
          <w:p w14:paraId="122788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737" w:type="dxa"/>
            <w:noWrap w:val="0"/>
            <w:vAlign w:val="center"/>
          </w:tcPr>
          <w:p w14:paraId="5B1EBF0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主观</w:t>
            </w:r>
            <w:r>
              <w:rPr>
                <w:rFonts w:hint="eastAsia" w:ascii="宋体" w:hAnsi="宋体" w:eastAsia="宋体" w:cs="宋体"/>
                <w:color w:val="auto"/>
                <w:kern w:val="0"/>
                <w:sz w:val="24"/>
                <w:szCs w:val="24"/>
                <w:highlight w:val="none"/>
                <w:lang w:eastAsia="zh-CN"/>
              </w:rPr>
              <w:t>评审</w:t>
            </w:r>
          </w:p>
        </w:tc>
      </w:tr>
      <w:tr w14:paraId="68F58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8" w:hRule="atLeast"/>
        </w:trPr>
        <w:tc>
          <w:tcPr>
            <w:tcW w:w="721" w:type="dxa"/>
            <w:vMerge w:val="continue"/>
            <w:noWrap w:val="0"/>
            <w:vAlign w:val="center"/>
          </w:tcPr>
          <w:p w14:paraId="43D7E3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rPr>
            </w:pPr>
          </w:p>
        </w:tc>
        <w:tc>
          <w:tcPr>
            <w:tcW w:w="1270" w:type="dxa"/>
            <w:vMerge w:val="restart"/>
            <w:noWrap w:val="0"/>
            <w:vAlign w:val="center"/>
          </w:tcPr>
          <w:p w14:paraId="66701DC8">
            <w:pPr>
              <w:keepNext w:val="0"/>
              <w:keepLines w:val="0"/>
              <w:pageBreakBefore w:val="0"/>
              <w:widowControl w:val="0"/>
              <w:numPr>
                <w:ilvl w:val="0"/>
                <w:numId w:val="6"/>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项目进度情况</w:t>
            </w:r>
          </w:p>
          <w:p w14:paraId="719C9C4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0</w:t>
            </w:r>
            <w:r>
              <w:rPr>
                <w:rFonts w:hint="eastAsia" w:ascii="宋体" w:hAnsi="宋体" w:eastAsia="宋体" w:cs="宋体"/>
                <w:color w:val="auto"/>
                <w:kern w:val="2"/>
                <w:sz w:val="24"/>
                <w:szCs w:val="24"/>
                <w:highlight w:val="none"/>
              </w:rPr>
              <w:t>分）</w:t>
            </w:r>
          </w:p>
        </w:tc>
        <w:tc>
          <w:tcPr>
            <w:tcW w:w="4761" w:type="dxa"/>
            <w:noWrap w:val="0"/>
            <w:vAlign w:val="center"/>
          </w:tcPr>
          <w:p w14:paraId="0BE69247">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eastAsia" w:ascii="宋体" w:hAnsi="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（1）根据供应商针对本项目</w:t>
            </w:r>
            <w:r>
              <w:rPr>
                <w:rFonts w:hint="eastAsia" w:ascii="宋体" w:hAnsi="宋体" w:eastAsia="宋体" w:cs="宋体"/>
                <w:color w:val="auto"/>
                <w:kern w:val="2"/>
                <w:sz w:val="24"/>
                <w:szCs w:val="24"/>
                <w:highlight w:val="none"/>
                <w:lang w:val="en-US" w:eastAsia="zh-Hans"/>
              </w:rPr>
              <w:t>初始</w:t>
            </w:r>
            <w:r>
              <w:rPr>
                <w:rFonts w:hint="eastAsia" w:ascii="宋体" w:hAnsi="宋体" w:eastAsia="宋体" w:cs="宋体"/>
                <w:color w:val="auto"/>
                <w:kern w:val="2"/>
                <w:sz w:val="24"/>
                <w:szCs w:val="24"/>
                <w:highlight w:val="none"/>
                <w:lang w:val="en-US" w:eastAsia="zh-CN"/>
              </w:rPr>
              <w:t>阶段工作任务划分、</w:t>
            </w:r>
            <w:r>
              <w:rPr>
                <w:rFonts w:hint="eastAsia" w:ascii="宋体" w:hAnsi="宋体" w:eastAsia="宋体" w:cs="宋体"/>
                <w:color w:val="auto"/>
                <w:sz w:val="24"/>
                <w:szCs w:val="24"/>
                <w:highlight w:val="none"/>
                <w:lang w:val="en-US" w:eastAsia="zh-CN"/>
              </w:rPr>
              <w:t>关键时间节点把握、</w:t>
            </w:r>
            <w:r>
              <w:rPr>
                <w:rFonts w:hint="eastAsia" w:ascii="宋体" w:hAnsi="宋体" w:eastAsia="宋体" w:cs="宋体"/>
                <w:color w:val="auto"/>
                <w:kern w:val="2"/>
                <w:sz w:val="24"/>
                <w:szCs w:val="24"/>
                <w:highlight w:val="none"/>
                <w:lang w:val="en-US" w:eastAsia="zh-Hans"/>
              </w:rPr>
              <w:t>时间</w:t>
            </w:r>
            <w:r>
              <w:rPr>
                <w:rFonts w:hint="eastAsia" w:ascii="宋体" w:hAnsi="宋体" w:eastAsia="宋体" w:cs="宋体"/>
                <w:color w:val="auto"/>
                <w:kern w:val="2"/>
                <w:sz w:val="24"/>
                <w:szCs w:val="24"/>
                <w:highlight w:val="none"/>
                <w:lang w:val="en-US" w:eastAsia="zh-CN"/>
              </w:rPr>
              <w:t>进度安排是否合理进行评议</w:t>
            </w:r>
            <w:r>
              <w:rPr>
                <w:rFonts w:hint="eastAsia" w:ascii="宋体" w:hAnsi="宋体" w:cs="宋体"/>
                <w:color w:val="auto"/>
                <w:kern w:val="2"/>
                <w:sz w:val="24"/>
                <w:szCs w:val="24"/>
                <w:highlight w:val="none"/>
                <w:lang w:val="en-US" w:eastAsia="zh-CN"/>
              </w:rPr>
              <w:t>：</w:t>
            </w:r>
          </w:p>
          <w:p w14:paraId="70C06DF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①</w:t>
            </w:r>
            <w:r>
              <w:rPr>
                <w:rFonts w:hint="eastAsia" w:ascii="宋体" w:hAnsi="宋体" w:eastAsia="宋体" w:cs="宋体"/>
                <w:color w:val="auto"/>
                <w:kern w:val="2"/>
                <w:sz w:val="24"/>
                <w:szCs w:val="24"/>
                <w:highlight w:val="none"/>
                <w:lang w:val="en-US" w:eastAsia="zh-CN" w:bidi="ar-SA"/>
              </w:rPr>
              <w:t>初始阶段工作任务划分、关键时间节点把握、时间进度安排</w:t>
            </w:r>
            <w:r>
              <w:rPr>
                <w:rFonts w:hint="eastAsia" w:ascii="宋体" w:hAnsi="宋体" w:cs="宋体"/>
                <w:color w:val="auto"/>
                <w:kern w:val="2"/>
                <w:sz w:val="24"/>
                <w:szCs w:val="24"/>
                <w:highlight w:val="none"/>
                <w:lang w:val="en-US" w:eastAsia="zh-CN" w:bidi="ar-SA"/>
              </w:rPr>
              <w:t>合理</w:t>
            </w:r>
            <w:r>
              <w:rPr>
                <w:rFonts w:hint="eastAsia" w:ascii="宋体" w:hAnsi="宋体" w:eastAsia="宋体" w:cs="宋体"/>
                <w:color w:val="auto"/>
                <w:kern w:val="2"/>
                <w:sz w:val="24"/>
                <w:szCs w:val="24"/>
                <w:highlight w:val="none"/>
                <w:lang w:val="en-US" w:eastAsia="zh-CN"/>
              </w:rPr>
              <w:t>，逻辑清晰，符合项目实际需求，切实可行的得5分；</w:t>
            </w:r>
          </w:p>
          <w:p w14:paraId="55E96DA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②</w:t>
            </w:r>
            <w:r>
              <w:rPr>
                <w:rFonts w:hint="eastAsia" w:ascii="宋体" w:hAnsi="宋体" w:eastAsia="宋体" w:cs="宋体"/>
                <w:color w:val="auto"/>
                <w:kern w:val="2"/>
                <w:sz w:val="24"/>
                <w:szCs w:val="24"/>
                <w:highlight w:val="none"/>
                <w:lang w:val="en-US" w:eastAsia="zh-Hans"/>
              </w:rPr>
              <w:t>初始</w:t>
            </w:r>
            <w:r>
              <w:rPr>
                <w:rFonts w:hint="eastAsia" w:ascii="宋体" w:hAnsi="宋体" w:eastAsia="宋体" w:cs="宋体"/>
                <w:color w:val="auto"/>
                <w:kern w:val="2"/>
                <w:sz w:val="24"/>
                <w:szCs w:val="24"/>
                <w:highlight w:val="none"/>
                <w:lang w:val="en-US" w:eastAsia="zh-CN"/>
              </w:rPr>
              <w:t>阶段工作任务划分、</w:t>
            </w:r>
            <w:r>
              <w:rPr>
                <w:rFonts w:hint="eastAsia" w:ascii="宋体" w:hAnsi="宋体" w:eastAsia="宋体" w:cs="宋体"/>
                <w:color w:val="auto"/>
                <w:sz w:val="24"/>
                <w:szCs w:val="24"/>
                <w:highlight w:val="none"/>
                <w:lang w:val="en-US" w:eastAsia="zh-CN"/>
              </w:rPr>
              <w:t>关键时间节点把握、</w:t>
            </w:r>
            <w:r>
              <w:rPr>
                <w:rFonts w:hint="eastAsia" w:ascii="宋体" w:hAnsi="宋体" w:eastAsia="宋体" w:cs="宋体"/>
                <w:color w:val="auto"/>
                <w:kern w:val="2"/>
                <w:sz w:val="24"/>
                <w:szCs w:val="24"/>
                <w:highlight w:val="none"/>
                <w:lang w:val="en-US" w:eastAsia="zh-Hans"/>
              </w:rPr>
              <w:t>时间</w:t>
            </w:r>
            <w:r>
              <w:rPr>
                <w:rFonts w:hint="eastAsia" w:ascii="宋体" w:hAnsi="宋体" w:eastAsia="宋体" w:cs="宋体"/>
                <w:color w:val="auto"/>
                <w:kern w:val="2"/>
                <w:sz w:val="24"/>
                <w:szCs w:val="24"/>
                <w:highlight w:val="none"/>
                <w:lang w:val="en-US" w:eastAsia="zh-CN"/>
              </w:rPr>
              <w:t>进度安排</w:t>
            </w:r>
            <w:r>
              <w:rPr>
                <w:rFonts w:hint="eastAsia" w:ascii="宋体" w:hAnsi="宋体" w:cs="宋体"/>
                <w:color w:val="auto"/>
                <w:kern w:val="2"/>
                <w:sz w:val="24"/>
                <w:szCs w:val="24"/>
                <w:highlight w:val="none"/>
                <w:lang w:val="en-US" w:eastAsia="zh-CN"/>
              </w:rPr>
              <w:t>较合理</w:t>
            </w:r>
            <w:r>
              <w:rPr>
                <w:rFonts w:hint="eastAsia" w:ascii="宋体" w:hAnsi="宋体" w:eastAsia="宋体" w:cs="宋体"/>
                <w:color w:val="auto"/>
                <w:kern w:val="2"/>
                <w:sz w:val="24"/>
                <w:szCs w:val="24"/>
                <w:highlight w:val="none"/>
                <w:lang w:val="en-US" w:eastAsia="zh-CN"/>
              </w:rPr>
              <w:t>，基本符合项目实际情况，合理可行的得3分；</w:t>
            </w:r>
          </w:p>
          <w:p w14:paraId="3A0439E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③</w:t>
            </w:r>
            <w:r>
              <w:rPr>
                <w:rFonts w:hint="eastAsia" w:ascii="宋体" w:hAnsi="宋体" w:eastAsia="宋体" w:cs="宋体"/>
                <w:color w:val="auto"/>
                <w:kern w:val="2"/>
                <w:sz w:val="24"/>
                <w:szCs w:val="24"/>
                <w:highlight w:val="none"/>
                <w:lang w:val="en-US" w:eastAsia="zh-Hans"/>
              </w:rPr>
              <w:t>初始</w:t>
            </w:r>
            <w:r>
              <w:rPr>
                <w:rFonts w:hint="eastAsia" w:ascii="宋体" w:hAnsi="宋体" w:eastAsia="宋体" w:cs="宋体"/>
                <w:color w:val="auto"/>
                <w:kern w:val="2"/>
                <w:sz w:val="24"/>
                <w:szCs w:val="24"/>
                <w:highlight w:val="none"/>
                <w:lang w:val="en-US" w:eastAsia="zh-CN"/>
              </w:rPr>
              <w:t>阶段工作任务划分、</w:t>
            </w:r>
            <w:r>
              <w:rPr>
                <w:rFonts w:hint="eastAsia" w:ascii="宋体" w:hAnsi="宋体" w:eastAsia="宋体" w:cs="宋体"/>
                <w:color w:val="auto"/>
                <w:sz w:val="24"/>
                <w:szCs w:val="24"/>
                <w:highlight w:val="none"/>
                <w:lang w:val="en-US" w:eastAsia="zh-CN"/>
              </w:rPr>
              <w:t>关键时间节点把握、</w:t>
            </w:r>
            <w:r>
              <w:rPr>
                <w:rFonts w:hint="eastAsia" w:ascii="宋体" w:hAnsi="宋体" w:eastAsia="宋体" w:cs="宋体"/>
                <w:color w:val="auto"/>
                <w:kern w:val="2"/>
                <w:sz w:val="24"/>
                <w:szCs w:val="24"/>
                <w:highlight w:val="none"/>
                <w:lang w:val="en-US" w:eastAsia="zh-Hans"/>
              </w:rPr>
              <w:t>时间</w:t>
            </w:r>
            <w:r>
              <w:rPr>
                <w:rFonts w:hint="eastAsia" w:ascii="宋体" w:hAnsi="宋体" w:eastAsia="宋体" w:cs="宋体"/>
                <w:color w:val="auto"/>
                <w:kern w:val="2"/>
                <w:sz w:val="24"/>
                <w:szCs w:val="24"/>
                <w:highlight w:val="none"/>
                <w:lang w:val="en-US" w:eastAsia="zh-CN"/>
              </w:rPr>
              <w:t>进度安排</w:t>
            </w:r>
            <w:r>
              <w:rPr>
                <w:rFonts w:hint="eastAsia" w:ascii="宋体" w:hAnsi="宋体" w:cs="宋体"/>
                <w:color w:val="auto"/>
                <w:kern w:val="2"/>
                <w:sz w:val="24"/>
                <w:szCs w:val="24"/>
                <w:highlight w:val="none"/>
                <w:lang w:val="en-US" w:eastAsia="zh-CN"/>
              </w:rPr>
              <w:t>不合理</w:t>
            </w:r>
            <w:r>
              <w:rPr>
                <w:rFonts w:hint="eastAsia" w:ascii="宋体" w:hAnsi="宋体" w:eastAsia="宋体" w:cs="宋体"/>
                <w:color w:val="auto"/>
                <w:kern w:val="2"/>
                <w:sz w:val="24"/>
                <w:szCs w:val="24"/>
                <w:highlight w:val="none"/>
                <w:lang w:val="en-US" w:eastAsia="zh-CN"/>
              </w:rPr>
              <w:t>、笼统，存在较多的不足，可行性差的得1分；</w:t>
            </w:r>
          </w:p>
          <w:p w14:paraId="3F11A49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缺项不得分。</w:t>
            </w:r>
          </w:p>
        </w:tc>
        <w:tc>
          <w:tcPr>
            <w:tcW w:w="669" w:type="dxa"/>
            <w:noWrap w:val="0"/>
            <w:vAlign w:val="center"/>
          </w:tcPr>
          <w:p w14:paraId="3FBDC7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w:t>
            </w:r>
          </w:p>
        </w:tc>
        <w:tc>
          <w:tcPr>
            <w:tcW w:w="737" w:type="dxa"/>
            <w:noWrap w:val="0"/>
            <w:vAlign w:val="center"/>
          </w:tcPr>
          <w:p w14:paraId="6825466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rPr>
              <w:t>主观</w:t>
            </w:r>
            <w:r>
              <w:rPr>
                <w:rFonts w:hint="eastAsia" w:ascii="宋体" w:hAnsi="宋体" w:eastAsia="宋体" w:cs="宋体"/>
                <w:color w:val="auto"/>
                <w:kern w:val="0"/>
                <w:sz w:val="24"/>
                <w:szCs w:val="24"/>
                <w:highlight w:val="none"/>
                <w:lang w:eastAsia="zh-CN"/>
              </w:rPr>
              <w:t>评审</w:t>
            </w:r>
          </w:p>
        </w:tc>
      </w:tr>
      <w:tr w14:paraId="704F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8" w:hRule="atLeast"/>
        </w:trPr>
        <w:tc>
          <w:tcPr>
            <w:tcW w:w="721" w:type="dxa"/>
            <w:vMerge w:val="continue"/>
            <w:noWrap w:val="0"/>
            <w:vAlign w:val="center"/>
          </w:tcPr>
          <w:p w14:paraId="39EFF64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rPr>
            </w:pPr>
          </w:p>
        </w:tc>
        <w:tc>
          <w:tcPr>
            <w:tcW w:w="1270" w:type="dxa"/>
            <w:vMerge w:val="continue"/>
            <w:noWrap w:val="0"/>
            <w:vAlign w:val="center"/>
          </w:tcPr>
          <w:p w14:paraId="53AB33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4761" w:type="dxa"/>
            <w:noWrap w:val="0"/>
            <w:vAlign w:val="center"/>
          </w:tcPr>
          <w:p w14:paraId="292175C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）根据供应商针对本项目</w:t>
            </w:r>
            <w:r>
              <w:rPr>
                <w:rFonts w:hint="eastAsia" w:ascii="宋体" w:hAnsi="宋体" w:eastAsia="宋体" w:cs="宋体"/>
                <w:color w:val="auto"/>
                <w:kern w:val="2"/>
                <w:sz w:val="24"/>
                <w:szCs w:val="24"/>
                <w:highlight w:val="none"/>
                <w:lang w:val="en-US" w:eastAsia="zh-Hans"/>
              </w:rPr>
              <w:t>完整</w:t>
            </w:r>
            <w:r>
              <w:rPr>
                <w:rFonts w:hint="eastAsia" w:ascii="宋体" w:hAnsi="宋体" w:eastAsia="宋体" w:cs="宋体"/>
                <w:color w:val="auto"/>
                <w:kern w:val="2"/>
                <w:sz w:val="24"/>
                <w:szCs w:val="24"/>
                <w:highlight w:val="none"/>
                <w:lang w:val="en-US" w:eastAsia="zh-CN"/>
              </w:rPr>
              <w:t>阶段工作任务划分、关键时间节点把握、</w:t>
            </w:r>
            <w:r>
              <w:rPr>
                <w:rFonts w:hint="eastAsia" w:ascii="宋体" w:hAnsi="宋体" w:eastAsia="宋体" w:cs="宋体"/>
                <w:color w:val="auto"/>
                <w:kern w:val="2"/>
                <w:sz w:val="24"/>
                <w:szCs w:val="24"/>
                <w:highlight w:val="none"/>
                <w:lang w:val="en-US" w:eastAsia="zh-Hans"/>
              </w:rPr>
              <w:t>时间</w:t>
            </w:r>
            <w:r>
              <w:rPr>
                <w:rFonts w:hint="eastAsia" w:ascii="宋体" w:hAnsi="宋体" w:eastAsia="宋体" w:cs="宋体"/>
                <w:color w:val="auto"/>
                <w:kern w:val="2"/>
                <w:sz w:val="24"/>
                <w:szCs w:val="24"/>
                <w:highlight w:val="none"/>
                <w:lang w:val="en-US" w:eastAsia="zh-CN"/>
              </w:rPr>
              <w:t>进度安排是否合</w:t>
            </w:r>
            <w:r>
              <w:rPr>
                <w:rFonts w:hint="eastAsia" w:ascii="宋体" w:hAnsi="宋体" w:eastAsia="宋体" w:cs="宋体"/>
                <w:color w:val="auto"/>
                <w:kern w:val="2"/>
                <w:sz w:val="24"/>
                <w:szCs w:val="24"/>
                <w:highlight w:val="none"/>
                <w:lang w:val="en-US" w:eastAsia="zh-CN" w:bidi="ar-SA"/>
              </w:rPr>
              <w:t>理进行评议:</w:t>
            </w:r>
          </w:p>
          <w:p w14:paraId="65B583F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①完整阶段工作任务划分、关键时间节点把握、时间进度安排合理，符合项目实际需求，切实可行的得5分；</w:t>
            </w:r>
          </w:p>
          <w:p w14:paraId="083BBED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②完整阶段工作任务划分、关键时间节点把握、时间进度安排较合理，工作思路清楚，基本符合项目实际情况，合理可行的得3分；</w:t>
            </w:r>
          </w:p>
          <w:p w14:paraId="73372B3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③完整阶段工作任务划分、关键时间节点把握、时间进度安排不合理、笼统，存在较多的不足，可行性差的得1分；</w:t>
            </w:r>
          </w:p>
          <w:p w14:paraId="149313F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缺项不得分。</w:t>
            </w:r>
          </w:p>
        </w:tc>
        <w:tc>
          <w:tcPr>
            <w:tcW w:w="669" w:type="dxa"/>
            <w:noWrap w:val="0"/>
            <w:vAlign w:val="center"/>
          </w:tcPr>
          <w:p w14:paraId="29FED5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w:t>
            </w:r>
          </w:p>
        </w:tc>
        <w:tc>
          <w:tcPr>
            <w:tcW w:w="737" w:type="dxa"/>
            <w:noWrap w:val="0"/>
            <w:vAlign w:val="center"/>
          </w:tcPr>
          <w:p w14:paraId="727DDC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主观评审</w:t>
            </w:r>
          </w:p>
        </w:tc>
      </w:tr>
      <w:tr w14:paraId="47BB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8" w:hRule="atLeast"/>
        </w:trPr>
        <w:tc>
          <w:tcPr>
            <w:tcW w:w="721" w:type="dxa"/>
            <w:vMerge w:val="continue"/>
            <w:noWrap w:val="0"/>
            <w:vAlign w:val="center"/>
          </w:tcPr>
          <w:p w14:paraId="4BB400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rPr>
            </w:pPr>
          </w:p>
        </w:tc>
        <w:tc>
          <w:tcPr>
            <w:tcW w:w="1270" w:type="dxa"/>
            <w:noWrap w:val="0"/>
            <w:vAlign w:val="center"/>
          </w:tcPr>
          <w:p w14:paraId="61FD2C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Hans"/>
              </w:rPr>
              <w:t>.</w:t>
            </w:r>
            <w:r>
              <w:rPr>
                <w:rFonts w:hint="eastAsia" w:ascii="宋体" w:hAnsi="宋体" w:cs="宋体"/>
                <w:color w:val="auto"/>
                <w:kern w:val="2"/>
                <w:sz w:val="24"/>
                <w:szCs w:val="24"/>
                <w:highlight w:val="none"/>
                <w:lang w:val="en-US" w:eastAsia="zh-CN"/>
              </w:rPr>
              <w:t>应急能力</w:t>
            </w:r>
            <w:r>
              <w:rPr>
                <w:rFonts w:hint="eastAsia" w:ascii="宋体" w:hAnsi="宋体" w:eastAsia="宋体" w:cs="宋体"/>
                <w:color w:val="auto"/>
                <w:kern w:val="2"/>
                <w:sz w:val="24"/>
                <w:szCs w:val="24"/>
                <w:highlight w:val="none"/>
              </w:rPr>
              <w:t>（</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分）</w:t>
            </w:r>
          </w:p>
        </w:tc>
        <w:tc>
          <w:tcPr>
            <w:tcW w:w="4761" w:type="dxa"/>
            <w:noWrap w:val="0"/>
            <w:vAlign w:val="center"/>
          </w:tcPr>
          <w:p w14:paraId="148703F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根据供应商提供的针对本项目突发应急能力</w:t>
            </w:r>
            <w:r>
              <w:rPr>
                <w:rFonts w:hint="eastAsia" w:ascii="宋体" w:hAnsi="宋体" w:cs="宋体"/>
                <w:color w:val="auto"/>
                <w:kern w:val="2"/>
                <w:sz w:val="24"/>
                <w:szCs w:val="24"/>
                <w:highlight w:val="none"/>
                <w:lang w:val="en-US" w:eastAsia="zh-CN"/>
              </w:rPr>
              <w:t>和</w:t>
            </w:r>
            <w:r>
              <w:rPr>
                <w:rFonts w:hint="eastAsia" w:ascii="宋体" w:hAnsi="宋体" w:eastAsia="宋体" w:cs="宋体"/>
                <w:color w:val="auto"/>
                <w:kern w:val="2"/>
                <w:sz w:val="24"/>
                <w:szCs w:val="24"/>
                <w:highlight w:val="none"/>
                <w:lang w:val="en-US" w:eastAsia="zh-CN"/>
              </w:rPr>
              <w:t>响应措施</w:t>
            </w:r>
            <w:r>
              <w:rPr>
                <w:rFonts w:hint="eastAsia" w:ascii="宋体" w:hAnsi="宋体" w:eastAsia="宋体" w:cs="宋体"/>
                <w:color w:val="auto"/>
                <w:kern w:val="2"/>
                <w:sz w:val="24"/>
                <w:szCs w:val="24"/>
                <w:highlight w:val="none"/>
                <w:lang w:val="en-US" w:eastAsia="zh-Hans"/>
              </w:rPr>
              <w:t>是否合理</w:t>
            </w:r>
            <w:r>
              <w:rPr>
                <w:rFonts w:hint="eastAsia" w:ascii="宋体" w:hAnsi="宋体" w:eastAsia="宋体" w:cs="宋体"/>
                <w:color w:val="auto"/>
                <w:kern w:val="2"/>
                <w:sz w:val="24"/>
                <w:szCs w:val="24"/>
                <w:highlight w:val="none"/>
                <w:lang w:val="en-US" w:eastAsia="zh-CN"/>
              </w:rPr>
              <w:t>等情况进行评议</w:t>
            </w:r>
            <w:r>
              <w:rPr>
                <w:rFonts w:hint="eastAsia" w:ascii="宋体" w:hAnsi="宋体" w:cs="宋体"/>
                <w:color w:val="auto"/>
                <w:kern w:val="2"/>
                <w:sz w:val="24"/>
                <w:szCs w:val="24"/>
                <w:highlight w:val="none"/>
                <w:lang w:val="en-US" w:eastAsia="zh-CN"/>
              </w:rPr>
              <w:t>：</w:t>
            </w:r>
          </w:p>
          <w:p w14:paraId="26AFD7C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w:t>
            </w:r>
            <w:r>
              <w:rPr>
                <w:rFonts w:hint="eastAsia" w:ascii="宋体" w:hAnsi="宋体" w:eastAsia="宋体" w:cs="宋体"/>
                <w:color w:val="auto"/>
                <w:kern w:val="2"/>
                <w:sz w:val="24"/>
                <w:szCs w:val="24"/>
                <w:highlight w:val="none"/>
                <w:lang w:val="en-US" w:eastAsia="zh-CN"/>
              </w:rPr>
              <w:t>突发应急能力</w:t>
            </w:r>
            <w:r>
              <w:rPr>
                <w:rFonts w:hint="eastAsia" w:ascii="宋体" w:hAnsi="宋体" w:cs="宋体"/>
                <w:color w:val="auto"/>
                <w:kern w:val="2"/>
                <w:sz w:val="24"/>
                <w:szCs w:val="24"/>
                <w:highlight w:val="none"/>
                <w:lang w:val="en-US" w:eastAsia="zh-CN"/>
              </w:rPr>
              <w:t>和</w:t>
            </w:r>
            <w:r>
              <w:rPr>
                <w:rFonts w:hint="eastAsia" w:ascii="宋体" w:hAnsi="宋体" w:eastAsia="宋体" w:cs="宋体"/>
                <w:color w:val="auto"/>
                <w:kern w:val="2"/>
                <w:sz w:val="24"/>
                <w:szCs w:val="24"/>
                <w:highlight w:val="none"/>
                <w:lang w:val="en-US" w:eastAsia="zh-CN"/>
              </w:rPr>
              <w:t>响应措施</w:t>
            </w:r>
            <w:r>
              <w:rPr>
                <w:rFonts w:hint="eastAsia" w:ascii="宋体" w:hAnsi="宋体" w:eastAsia="宋体" w:cs="宋体"/>
                <w:color w:val="auto"/>
                <w:kern w:val="2"/>
                <w:sz w:val="24"/>
                <w:szCs w:val="24"/>
                <w:highlight w:val="none"/>
                <w:lang w:val="en-US" w:eastAsia="zh-CN" w:bidi="ar-SA"/>
              </w:rPr>
              <w:t>安排合理，符合项目实际需求，切实可行的得5分；</w:t>
            </w:r>
          </w:p>
          <w:p w14:paraId="1CFC484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w:t>
            </w:r>
            <w:r>
              <w:rPr>
                <w:rFonts w:hint="eastAsia" w:ascii="宋体" w:hAnsi="宋体" w:eastAsia="宋体" w:cs="宋体"/>
                <w:color w:val="auto"/>
                <w:kern w:val="2"/>
                <w:sz w:val="24"/>
                <w:szCs w:val="24"/>
                <w:highlight w:val="none"/>
                <w:lang w:val="en-US" w:eastAsia="zh-CN"/>
              </w:rPr>
              <w:t>突发应急能力</w:t>
            </w:r>
            <w:r>
              <w:rPr>
                <w:rFonts w:hint="eastAsia" w:ascii="宋体" w:hAnsi="宋体" w:cs="宋体"/>
                <w:color w:val="auto"/>
                <w:kern w:val="2"/>
                <w:sz w:val="24"/>
                <w:szCs w:val="24"/>
                <w:highlight w:val="none"/>
                <w:lang w:val="en-US" w:eastAsia="zh-CN"/>
              </w:rPr>
              <w:t>和</w:t>
            </w:r>
            <w:r>
              <w:rPr>
                <w:rFonts w:hint="eastAsia" w:ascii="宋体" w:hAnsi="宋体" w:eastAsia="宋体" w:cs="宋体"/>
                <w:color w:val="auto"/>
                <w:kern w:val="2"/>
                <w:sz w:val="24"/>
                <w:szCs w:val="24"/>
                <w:highlight w:val="none"/>
                <w:lang w:val="en-US" w:eastAsia="zh-CN"/>
              </w:rPr>
              <w:t>响应措施</w:t>
            </w:r>
            <w:r>
              <w:rPr>
                <w:rFonts w:hint="eastAsia" w:ascii="宋体" w:hAnsi="宋体" w:eastAsia="宋体" w:cs="宋体"/>
                <w:color w:val="auto"/>
                <w:kern w:val="2"/>
                <w:sz w:val="24"/>
                <w:szCs w:val="24"/>
                <w:highlight w:val="none"/>
                <w:lang w:val="en-US" w:eastAsia="zh-CN" w:bidi="ar-SA"/>
              </w:rPr>
              <w:t>安排较合理，工作思路清楚，基本符合项目实际情况，合理可行的得3分；</w:t>
            </w:r>
          </w:p>
          <w:p w14:paraId="25F425A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w:t>
            </w:r>
            <w:r>
              <w:rPr>
                <w:rFonts w:hint="eastAsia" w:ascii="宋体" w:hAnsi="宋体" w:eastAsia="宋体" w:cs="宋体"/>
                <w:color w:val="auto"/>
                <w:kern w:val="2"/>
                <w:sz w:val="24"/>
                <w:szCs w:val="24"/>
                <w:highlight w:val="none"/>
                <w:lang w:val="en-US" w:eastAsia="zh-CN"/>
              </w:rPr>
              <w:t>突发应急能力</w:t>
            </w:r>
            <w:r>
              <w:rPr>
                <w:rFonts w:hint="eastAsia" w:ascii="宋体" w:hAnsi="宋体" w:cs="宋体"/>
                <w:color w:val="auto"/>
                <w:kern w:val="2"/>
                <w:sz w:val="24"/>
                <w:szCs w:val="24"/>
                <w:highlight w:val="none"/>
                <w:lang w:val="en-US" w:eastAsia="zh-CN"/>
              </w:rPr>
              <w:t>和</w:t>
            </w:r>
            <w:r>
              <w:rPr>
                <w:rFonts w:hint="eastAsia" w:ascii="宋体" w:hAnsi="宋体" w:eastAsia="宋体" w:cs="宋体"/>
                <w:color w:val="auto"/>
                <w:kern w:val="2"/>
                <w:sz w:val="24"/>
                <w:szCs w:val="24"/>
                <w:highlight w:val="none"/>
                <w:lang w:val="en-US" w:eastAsia="zh-CN"/>
              </w:rPr>
              <w:t>响应措施</w:t>
            </w:r>
            <w:r>
              <w:rPr>
                <w:rFonts w:hint="eastAsia" w:ascii="宋体" w:hAnsi="宋体" w:eastAsia="宋体" w:cs="宋体"/>
                <w:color w:val="auto"/>
                <w:kern w:val="2"/>
                <w:sz w:val="24"/>
                <w:szCs w:val="24"/>
                <w:highlight w:val="none"/>
                <w:lang w:val="en-US" w:eastAsia="zh-CN" w:bidi="ar-SA"/>
              </w:rPr>
              <w:t>安排不合理、笼统，存在较多的不足，可行性差的得1分；</w:t>
            </w:r>
          </w:p>
          <w:p w14:paraId="30B8985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SA"/>
              </w:rPr>
              <w:t>缺项不得分。</w:t>
            </w:r>
          </w:p>
        </w:tc>
        <w:tc>
          <w:tcPr>
            <w:tcW w:w="669" w:type="dxa"/>
            <w:noWrap w:val="0"/>
            <w:vAlign w:val="center"/>
          </w:tcPr>
          <w:p w14:paraId="6522CC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5</w:t>
            </w:r>
          </w:p>
        </w:tc>
        <w:tc>
          <w:tcPr>
            <w:tcW w:w="737" w:type="dxa"/>
            <w:noWrap w:val="0"/>
            <w:vAlign w:val="center"/>
          </w:tcPr>
          <w:p w14:paraId="52BBE0F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rPr>
              <w:t>主观</w:t>
            </w:r>
            <w:r>
              <w:rPr>
                <w:rFonts w:hint="eastAsia" w:ascii="宋体" w:hAnsi="宋体" w:eastAsia="宋体" w:cs="宋体"/>
                <w:color w:val="auto"/>
                <w:kern w:val="0"/>
                <w:sz w:val="24"/>
                <w:szCs w:val="24"/>
                <w:highlight w:val="none"/>
                <w:lang w:eastAsia="zh-CN"/>
              </w:rPr>
              <w:t>评审</w:t>
            </w:r>
          </w:p>
        </w:tc>
      </w:tr>
      <w:tr w14:paraId="571D1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9" w:hRule="atLeast"/>
        </w:trPr>
        <w:tc>
          <w:tcPr>
            <w:tcW w:w="721" w:type="dxa"/>
            <w:vMerge w:val="continue"/>
            <w:noWrap w:val="0"/>
            <w:vAlign w:val="center"/>
          </w:tcPr>
          <w:p w14:paraId="299200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rPr>
            </w:pPr>
          </w:p>
        </w:tc>
        <w:tc>
          <w:tcPr>
            <w:tcW w:w="1270" w:type="dxa"/>
            <w:vMerge w:val="restart"/>
            <w:noWrap w:val="0"/>
            <w:vAlign w:val="center"/>
          </w:tcPr>
          <w:p w14:paraId="4D53394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eastAsia="zh-Hans"/>
              </w:rPr>
              <w:t>人员配置方案</w:t>
            </w:r>
            <w:r>
              <w:rPr>
                <w:rFonts w:hint="eastAsia" w:ascii="宋体" w:hAnsi="宋体" w:eastAsia="宋体" w:cs="宋体"/>
                <w:color w:val="auto"/>
                <w:kern w:val="2"/>
                <w:sz w:val="24"/>
                <w:szCs w:val="24"/>
                <w:highlight w:val="none"/>
                <w:lang w:val="en-US" w:eastAsia="zh-CN"/>
              </w:rPr>
              <w:t>（8分）</w:t>
            </w:r>
          </w:p>
        </w:tc>
        <w:tc>
          <w:tcPr>
            <w:tcW w:w="4761" w:type="dxa"/>
            <w:noWrap w:val="0"/>
            <w:vAlign w:val="center"/>
          </w:tcPr>
          <w:p w14:paraId="4F9BFCD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Hans"/>
              </w:rPr>
            </w:pPr>
            <w:r>
              <w:rPr>
                <w:rFonts w:hint="eastAsia" w:ascii="宋体" w:hAnsi="宋体" w:eastAsia="宋体" w:cs="宋体"/>
                <w:color w:val="auto"/>
                <w:kern w:val="2"/>
                <w:sz w:val="24"/>
                <w:szCs w:val="24"/>
                <w:highlight w:val="none"/>
                <w:lang w:val="en-US" w:eastAsia="zh-CN"/>
              </w:rPr>
              <w:t>（1）拟派本项目</w:t>
            </w:r>
            <w:r>
              <w:rPr>
                <w:rFonts w:hint="eastAsia" w:ascii="宋体" w:hAnsi="宋体" w:eastAsia="宋体" w:cs="宋体"/>
                <w:color w:val="auto"/>
                <w:kern w:val="2"/>
                <w:sz w:val="24"/>
                <w:szCs w:val="24"/>
                <w:highlight w:val="none"/>
                <w:lang w:val="en-US" w:eastAsia="zh-Hans"/>
              </w:rPr>
              <w:t>项目负责人</w:t>
            </w:r>
            <w:r>
              <w:rPr>
                <w:rFonts w:hint="eastAsia" w:ascii="宋体" w:hAnsi="宋体" w:eastAsia="宋体" w:cs="宋体"/>
                <w:color w:val="auto"/>
                <w:kern w:val="2"/>
                <w:sz w:val="24"/>
                <w:szCs w:val="24"/>
                <w:highlight w:val="none"/>
                <w:lang w:val="en-US" w:eastAsia="zh-CN"/>
              </w:rPr>
              <w:t>具</w:t>
            </w:r>
            <w:r>
              <w:rPr>
                <w:rFonts w:hint="eastAsia" w:ascii="宋体" w:hAnsi="宋体" w:eastAsia="宋体" w:cs="宋体"/>
                <w:color w:val="auto"/>
                <w:kern w:val="2"/>
                <w:sz w:val="24"/>
                <w:szCs w:val="24"/>
                <w:highlight w:val="none"/>
                <w:lang w:val="en-US" w:eastAsia="zh-Hans"/>
              </w:rPr>
              <w:t>有林业</w:t>
            </w:r>
            <w:r>
              <w:rPr>
                <w:rFonts w:hint="eastAsia" w:ascii="宋体" w:hAnsi="宋体" w:eastAsia="宋体" w:cs="宋体"/>
                <w:color w:val="auto"/>
                <w:kern w:val="2"/>
                <w:sz w:val="24"/>
                <w:szCs w:val="24"/>
                <w:highlight w:val="none"/>
                <w:lang w:val="en-US" w:eastAsia="zh-CN"/>
              </w:rPr>
              <w:t>中级及以上</w:t>
            </w:r>
            <w:r>
              <w:rPr>
                <w:rFonts w:hint="eastAsia" w:ascii="宋体" w:hAnsi="宋体" w:eastAsia="宋体" w:cs="宋体"/>
                <w:color w:val="auto"/>
                <w:kern w:val="2"/>
                <w:sz w:val="24"/>
                <w:szCs w:val="24"/>
                <w:highlight w:val="none"/>
                <w:lang w:val="en-US" w:eastAsia="zh-Hans"/>
              </w:rPr>
              <w:t>工程师证书的的得</w:t>
            </w: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Hans"/>
              </w:rPr>
              <w:t>分。</w:t>
            </w:r>
          </w:p>
          <w:p w14:paraId="380968B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CN" w:eastAsia="zh-CN"/>
              </w:rPr>
              <w:t>注：投标文件中提供人员证书及开标日前三个月供应商为其缴纳的社保证明材料复印件</w:t>
            </w:r>
            <w:r>
              <w:rPr>
                <w:rFonts w:hint="eastAsia" w:ascii="宋体" w:hAnsi="宋体" w:eastAsia="宋体" w:cs="宋体"/>
                <w:color w:val="auto"/>
                <w:kern w:val="2"/>
                <w:sz w:val="24"/>
                <w:szCs w:val="24"/>
                <w:highlight w:val="none"/>
                <w:lang w:val="en-US" w:eastAsia="zh-CN"/>
              </w:rPr>
              <w:t>加盖单位公章。</w:t>
            </w:r>
          </w:p>
        </w:tc>
        <w:tc>
          <w:tcPr>
            <w:tcW w:w="669" w:type="dxa"/>
            <w:noWrap w:val="0"/>
            <w:vAlign w:val="center"/>
          </w:tcPr>
          <w:p w14:paraId="76058F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3</w:t>
            </w:r>
          </w:p>
        </w:tc>
        <w:tc>
          <w:tcPr>
            <w:tcW w:w="737" w:type="dxa"/>
            <w:noWrap w:val="0"/>
            <w:vAlign w:val="center"/>
          </w:tcPr>
          <w:p w14:paraId="70A9CEE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客观评审</w:t>
            </w:r>
          </w:p>
        </w:tc>
      </w:tr>
      <w:tr w14:paraId="105A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8" w:hRule="atLeast"/>
        </w:trPr>
        <w:tc>
          <w:tcPr>
            <w:tcW w:w="721" w:type="dxa"/>
            <w:vMerge w:val="continue"/>
            <w:noWrap w:val="0"/>
            <w:vAlign w:val="center"/>
          </w:tcPr>
          <w:p w14:paraId="342AE6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rPr>
            </w:pPr>
          </w:p>
        </w:tc>
        <w:tc>
          <w:tcPr>
            <w:tcW w:w="1270" w:type="dxa"/>
            <w:vMerge w:val="continue"/>
            <w:noWrap w:val="0"/>
            <w:vAlign w:val="center"/>
          </w:tcPr>
          <w:p w14:paraId="61154B8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szCs w:val="21"/>
                <w:highlight w:val="none"/>
              </w:rPr>
            </w:pPr>
          </w:p>
        </w:tc>
        <w:tc>
          <w:tcPr>
            <w:tcW w:w="4761" w:type="dxa"/>
            <w:noWrap w:val="0"/>
            <w:vAlign w:val="center"/>
          </w:tcPr>
          <w:p w14:paraId="21AD758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2</w:t>
            </w:r>
            <w:r>
              <w:rPr>
                <w:rFonts w:hint="default"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根据供应商针对本项目提供的其他团队成员的专业素质、技术能力、相关经验进行评议：</w:t>
            </w:r>
          </w:p>
          <w:p w14:paraId="314F339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rPr>
              <w:t>①</w:t>
            </w:r>
            <w:r>
              <w:rPr>
                <w:rFonts w:hint="eastAsia" w:ascii="宋体" w:hAnsi="宋体" w:eastAsia="宋体" w:cs="宋体"/>
                <w:color w:val="auto"/>
                <w:kern w:val="2"/>
                <w:sz w:val="24"/>
                <w:szCs w:val="24"/>
                <w:highlight w:val="none"/>
                <w:lang w:val="en-US" w:eastAsia="zh-CN"/>
              </w:rPr>
              <w:t>团队成员的专业素质、技术能力、相关经验</w:t>
            </w:r>
            <w:r>
              <w:rPr>
                <w:rFonts w:hint="eastAsia" w:ascii="宋体" w:hAnsi="宋体" w:eastAsia="宋体" w:cs="宋体"/>
                <w:color w:val="auto"/>
                <w:kern w:val="2"/>
                <w:sz w:val="24"/>
                <w:szCs w:val="24"/>
                <w:highlight w:val="none"/>
                <w:lang w:val="zh-CN" w:eastAsia="zh-CN"/>
              </w:rPr>
              <w:t>合理可</w:t>
            </w:r>
            <w:r>
              <w:rPr>
                <w:rFonts w:hint="eastAsia" w:ascii="宋体" w:hAnsi="宋体" w:cs="宋体"/>
                <w:color w:val="auto"/>
                <w:sz w:val="24"/>
                <w:highlight w:val="none"/>
              </w:rPr>
              <w:t>行且符合实际的，得5分；</w:t>
            </w:r>
          </w:p>
          <w:p w14:paraId="18BFA88C">
            <w:pPr>
              <w:numPr>
                <w:ilvl w:val="0"/>
                <w:numId w:val="0"/>
              </w:numPr>
              <w:ind w:leftChars="0"/>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②</w:t>
            </w:r>
            <w:r>
              <w:rPr>
                <w:rFonts w:hint="eastAsia" w:ascii="宋体" w:hAnsi="宋体" w:eastAsia="宋体" w:cs="宋体"/>
                <w:color w:val="auto"/>
                <w:kern w:val="2"/>
                <w:sz w:val="24"/>
                <w:szCs w:val="24"/>
                <w:highlight w:val="none"/>
                <w:lang w:val="en-US" w:eastAsia="zh-CN"/>
              </w:rPr>
              <w:t>团队成员的专业素质、技术能力、相关经验</w:t>
            </w:r>
            <w:r>
              <w:rPr>
                <w:rFonts w:hint="eastAsia" w:ascii="宋体" w:hAnsi="宋体" w:cs="宋体"/>
                <w:color w:val="auto"/>
                <w:sz w:val="24"/>
                <w:highlight w:val="none"/>
              </w:rPr>
              <w:t>较合理可行且较符合实际的，得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14:paraId="5CFFF5D6">
            <w:pPr>
              <w:numPr>
                <w:ilvl w:val="0"/>
                <w:numId w:val="0"/>
              </w:numPr>
              <w:ind w:leftChars="0"/>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③</w:t>
            </w:r>
            <w:r>
              <w:rPr>
                <w:rFonts w:hint="eastAsia" w:ascii="宋体" w:hAnsi="宋体" w:eastAsia="宋体" w:cs="宋体"/>
                <w:color w:val="auto"/>
                <w:kern w:val="2"/>
                <w:sz w:val="24"/>
                <w:szCs w:val="24"/>
                <w:highlight w:val="none"/>
                <w:lang w:val="en-US" w:eastAsia="zh-CN"/>
              </w:rPr>
              <w:t>团队成员的专业素质、技术能力、相关经验</w:t>
            </w:r>
            <w:r>
              <w:rPr>
                <w:rFonts w:hint="eastAsia" w:ascii="宋体" w:hAnsi="宋体" w:cs="宋体"/>
                <w:color w:val="auto"/>
                <w:sz w:val="24"/>
                <w:highlight w:val="none"/>
              </w:rPr>
              <w:t>不合理不可行且不符合实际的，得1分；</w:t>
            </w:r>
          </w:p>
          <w:p w14:paraId="732F321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color w:val="auto"/>
                <w:sz w:val="24"/>
                <w:highlight w:val="none"/>
              </w:rPr>
              <w:t>未提供的不得分。</w:t>
            </w:r>
          </w:p>
        </w:tc>
        <w:tc>
          <w:tcPr>
            <w:tcW w:w="669" w:type="dxa"/>
            <w:noWrap w:val="0"/>
            <w:vAlign w:val="center"/>
          </w:tcPr>
          <w:p w14:paraId="117238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5</w:t>
            </w:r>
          </w:p>
        </w:tc>
        <w:tc>
          <w:tcPr>
            <w:tcW w:w="737" w:type="dxa"/>
            <w:noWrap w:val="0"/>
            <w:vAlign w:val="center"/>
          </w:tcPr>
          <w:p w14:paraId="6BFA6FA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w:t>
            </w:r>
            <w:r>
              <w:rPr>
                <w:rFonts w:hint="eastAsia" w:ascii="宋体" w:hAnsi="宋体" w:eastAsia="宋体" w:cs="宋体"/>
                <w:color w:val="auto"/>
                <w:kern w:val="0"/>
                <w:sz w:val="24"/>
                <w:szCs w:val="24"/>
                <w:highlight w:val="none"/>
                <w:lang w:eastAsia="zh-CN"/>
              </w:rPr>
              <w:t>评审</w:t>
            </w:r>
          </w:p>
        </w:tc>
      </w:tr>
      <w:tr w14:paraId="1FE41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721" w:type="dxa"/>
            <w:vMerge w:val="continue"/>
            <w:noWrap w:val="0"/>
            <w:vAlign w:val="center"/>
          </w:tcPr>
          <w:p w14:paraId="0F7631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rPr>
            </w:pPr>
          </w:p>
        </w:tc>
        <w:tc>
          <w:tcPr>
            <w:tcW w:w="1270" w:type="dxa"/>
            <w:vMerge w:val="restart"/>
            <w:noWrap w:val="0"/>
            <w:vAlign w:val="center"/>
          </w:tcPr>
          <w:p w14:paraId="79C9B0C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7.设备材料药剂（</w:t>
            </w:r>
            <w:r>
              <w:rPr>
                <w:rFonts w:hint="eastAsia" w:ascii="宋体" w:hAnsi="宋体" w:cs="宋体"/>
                <w:color w:val="auto"/>
                <w:kern w:val="2"/>
                <w:sz w:val="24"/>
                <w:szCs w:val="24"/>
                <w:highlight w:val="none"/>
                <w:lang w:val="en-US" w:eastAsia="zh-CN"/>
              </w:rPr>
              <w:t>7</w:t>
            </w:r>
            <w:r>
              <w:rPr>
                <w:rFonts w:hint="eastAsia" w:ascii="宋体" w:hAnsi="宋体" w:eastAsia="宋体" w:cs="宋体"/>
                <w:color w:val="auto"/>
                <w:kern w:val="2"/>
                <w:sz w:val="24"/>
                <w:szCs w:val="24"/>
                <w:highlight w:val="none"/>
                <w:lang w:val="en-US" w:eastAsia="zh-CN"/>
              </w:rPr>
              <w:t>分）</w:t>
            </w:r>
          </w:p>
        </w:tc>
        <w:tc>
          <w:tcPr>
            <w:tcW w:w="4761" w:type="dxa"/>
            <w:noWrap w:val="0"/>
            <w:vAlign w:val="center"/>
          </w:tcPr>
          <w:p w14:paraId="24BF8B4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en-US" w:eastAsia="zh-CN"/>
              </w:rPr>
              <w:t>投标人自有监测巡查的航空航天设备（无人飞机）的得2分。</w:t>
            </w:r>
          </w:p>
          <w:p w14:paraId="6247F38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注：提供购买购置发票复印件，发票抬头须与投标单位名称一致。</w:t>
            </w:r>
          </w:p>
        </w:tc>
        <w:tc>
          <w:tcPr>
            <w:tcW w:w="669" w:type="dxa"/>
            <w:noWrap w:val="0"/>
            <w:vAlign w:val="center"/>
          </w:tcPr>
          <w:p w14:paraId="3FE79B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2</w:t>
            </w:r>
          </w:p>
        </w:tc>
        <w:tc>
          <w:tcPr>
            <w:tcW w:w="737" w:type="dxa"/>
            <w:noWrap w:val="0"/>
            <w:vAlign w:val="center"/>
          </w:tcPr>
          <w:p w14:paraId="6DA73C0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客观评审</w:t>
            </w:r>
          </w:p>
        </w:tc>
      </w:tr>
      <w:tr w14:paraId="77E14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8" w:hRule="atLeast"/>
        </w:trPr>
        <w:tc>
          <w:tcPr>
            <w:tcW w:w="721" w:type="dxa"/>
            <w:vMerge w:val="continue"/>
            <w:noWrap w:val="0"/>
            <w:vAlign w:val="center"/>
          </w:tcPr>
          <w:p w14:paraId="6D1397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rPr>
            </w:pPr>
          </w:p>
        </w:tc>
        <w:tc>
          <w:tcPr>
            <w:tcW w:w="1270" w:type="dxa"/>
            <w:vMerge w:val="continue"/>
            <w:noWrap w:val="0"/>
            <w:vAlign w:val="center"/>
          </w:tcPr>
          <w:p w14:paraId="35799C9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szCs w:val="21"/>
                <w:highlight w:val="none"/>
                <w:lang w:val="en-US" w:eastAsia="zh-CN"/>
              </w:rPr>
            </w:pPr>
          </w:p>
        </w:tc>
        <w:tc>
          <w:tcPr>
            <w:tcW w:w="4761" w:type="dxa"/>
            <w:noWrap w:val="0"/>
            <w:vAlign w:val="center"/>
          </w:tcPr>
          <w:p w14:paraId="0752B75E">
            <w:pPr>
              <w:keepNext w:val="0"/>
              <w:keepLines w:val="0"/>
              <w:pageBreakBefore w:val="0"/>
              <w:widowControl w:val="0"/>
              <w:numPr>
                <w:ilvl w:val="0"/>
                <w:numId w:val="0"/>
              </w:numPr>
              <w:kinsoku/>
              <w:wordWrap/>
              <w:overflowPunct/>
              <w:topLinePunct w:val="0"/>
              <w:autoSpaceDE/>
              <w:autoSpaceDN/>
              <w:bidi w:val="0"/>
              <w:snapToGrid/>
              <w:spacing w:line="240" w:lineRule="auto"/>
              <w:ind w:lef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（2）根据供应商针对本项目提供其他设备、材料、药剂情况的齐全性、合理性、适用性等进行综合评分：</w:t>
            </w:r>
          </w:p>
          <w:p w14:paraId="7706591B">
            <w:pPr>
              <w:keepNext w:val="0"/>
              <w:keepLines w:val="0"/>
              <w:pageBreakBefore w:val="0"/>
              <w:widowControl w:val="0"/>
              <w:numPr>
                <w:ilvl w:val="0"/>
                <w:numId w:val="0"/>
              </w:numPr>
              <w:kinsoku/>
              <w:wordWrap/>
              <w:overflowPunct/>
              <w:topLinePunct w:val="0"/>
              <w:autoSpaceDE/>
              <w:autoSpaceDN/>
              <w:bidi w:val="0"/>
              <w:snapToGrid/>
              <w:spacing w:line="240" w:lineRule="auto"/>
              <w:ind w:lef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①其他设备、材料、药剂情况齐全、合理、适用性高的得</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分；</w:t>
            </w:r>
          </w:p>
          <w:p w14:paraId="527DC271">
            <w:pPr>
              <w:keepNext w:val="0"/>
              <w:keepLines w:val="0"/>
              <w:pageBreakBefore w:val="0"/>
              <w:widowControl w:val="0"/>
              <w:numPr>
                <w:ilvl w:val="0"/>
                <w:numId w:val="0"/>
              </w:numPr>
              <w:kinsoku/>
              <w:wordWrap/>
              <w:overflowPunct/>
              <w:topLinePunct w:val="0"/>
              <w:autoSpaceDE/>
              <w:autoSpaceDN/>
              <w:bidi w:val="0"/>
              <w:snapToGrid/>
              <w:spacing w:line="240" w:lineRule="auto"/>
              <w:ind w:lef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②其他设备、材料、药剂情况较齐全、合理、适用性一般的得3分；</w:t>
            </w:r>
          </w:p>
          <w:p w14:paraId="48BC962F">
            <w:pPr>
              <w:keepNext w:val="0"/>
              <w:keepLines w:val="0"/>
              <w:pageBreakBefore w:val="0"/>
              <w:widowControl w:val="0"/>
              <w:numPr>
                <w:ilvl w:val="0"/>
                <w:numId w:val="0"/>
              </w:numPr>
              <w:kinsoku/>
              <w:wordWrap/>
              <w:overflowPunct/>
              <w:topLinePunct w:val="0"/>
              <w:autoSpaceDE/>
              <w:autoSpaceDN/>
              <w:bidi w:val="0"/>
              <w:snapToGrid/>
              <w:spacing w:line="240" w:lineRule="auto"/>
              <w:ind w:lef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③其他设备、材料、药剂情况欠齐全、合理、适用性差的得1分；</w:t>
            </w:r>
          </w:p>
          <w:p w14:paraId="7DF67AE7">
            <w:pPr>
              <w:keepNext w:val="0"/>
              <w:keepLines w:val="0"/>
              <w:pageBreakBefore w:val="0"/>
              <w:widowControl w:val="0"/>
              <w:numPr>
                <w:ilvl w:val="0"/>
                <w:numId w:val="0"/>
              </w:numPr>
              <w:kinsoku/>
              <w:wordWrap/>
              <w:overflowPunct/>
              <w:topLinePunct w:val="0"/>
              <w:autoSpaceDE/>
              <w:autoSpaceDN/>
              <w:bidi w:val="0"/>
              <w:snapToGrid/>
              <w:spacing w:line="240" w:lineRule="auto"/>
              <w:ind w:lef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未提供的不得分。</w:t>
            </w:r>
          </w:p>
        </w:tc>
        <w:tc>
          <w:tcPr>
            <w:tcW w:w="669" w:type="dxa"/>
            <w:noWrap w:val="0"/>
            <w:vAlign w:val="center"/>
          </w:tcPr>
          <w:p w14:paraId="705C44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5</w:t>
            </w:r>
          </w:p>
        </w:tc>
        <w:tc>
          <w:tcPr>
            <w:tcW w:w="737" w:type="dxa"/>
            <w:noWrap w:val="0"/>
            <w:vAlign w:val="center"/>
          </w:tcPr>
          <w:p w14:paraId="34B0BBB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w:t>
            </w:r>
            <w:r>
              <w:rPr>
                <w:rFonts w:hint="eastAsia" w:ascii="宋体" w:hAnsi="宋体" w:eastAsia="宋体" w:cs="宋体"/>
                <w:color w:val="auto"/>
                <w:kern w:val="0"/>
                <w:sz w:val="24"/>
                <w:szCs w:val="24"/>
                <w:highlight w:val="none"/>
                <w:lang w:eastAsia="zh-CN"/>
              </w:rPr>
              <w:t>评审</w:t>
            </w:r>
          </w:p>
        </w:tc>
      </w:tr>
      <w:tr w14:paraId="0F71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8" w:hRule="atLeast"/>
        </w:trPr>
        <w:tc>
          <w:tcPr>
            <w:tcW w:w="721" w:type="dxa"/>
            <w:vMerge w:val="continue"/>
            <w:noWrap w:val="0"/>
            <w:vAlign w:val="center"/>
          </w:tcPr>
          <w:p w14:paraId="7B3E2DB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rPr>
            </w:pPr>
          </w:p>
        </w:tc>
        <w:tc>
          <w:tcPr>
            <w:tcW w:w="1270" w:type="dxa"/>
            <w:noWrap w:val="0"/>
            <w:vAlign w:val="center"/>
          </w:tcPr>
          <w:p w14:paraId="66F24B3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Hans" w:bidi="ar-SA"/>
              </w:rPr>
              <w:t>.</w:t>
            </w:r>
            <w:r>
              <w:rPr>
                <w:rFonts w:hint="eastAsia" w:ascii="宋体" w:hAnsi="宋体" w:eastAsia="宋体" w:cs="宋体"/>
                <w:color w:val="auto"/>
                <w:kern w:val="2"/>
                <w:sz w:val="24"/>
                <w:szCs w:val="24"/>
                <w:highlight w:val="none"/>
                <w:lang w:val="en-US" w:eastAsia="zh-CN" w:bidi="ar-SA"/>
              </w:rPr>
              <w:t>安全文明作业</w:t>
            </w:r>
            <w:r>
              <w:rPr>
                <w:rFonts w:hint="eastAsia" w:ascii="宋体" w:hAnsi="宋体" w:cs="宋体"/>
                <w:color w:val="auto"/>
                <w:kern w:val="2"/>
                <w:sz w:val="24"/>
                <w:szCs w:val="24"/>
                <w:highlight w:val="none"/>
                <w:lang w:val="en-US" w:eastAsia="zh-CN" w:bidi="ar-SA"/>
              </w:rPr>
              <w:t>及制度</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tc>
        <w:tc>
          <w:tcPr>
            <w:tcW w:w="4761" w:type="dxa"/>
            <w:noWrap w:val="0"/>
            <w:vAlign w:val="center"/>
          </w:tcPr>
          <w:p w14:paraId="02DFC879">
            <w:pPr>
              <w:keepNext w:val="0"/>
              <w:keepLines w:val="0"/>
              <w:pageBreakBefore w:val="0"/>
              <w:widowControl w:val="0"/>
              <w:numPr>
                <w:ilvl w:val="0"/>
                <w:numId w:val="0"/>
              </w:numPr>
              <w:kinsoku/>
              <w:wordWrap/>
              <w:overflowPunct/>
              <w:topLinePunct w:val="0"/>
              <w:autoSpaceDE/>
              <w:autoSpaceDN/>
              <w:bidi w:val="0"/>
              <w:snapToGrid/>
              <w:spacing w:line="240" w:lineRule="auto"/>
              <w:ind w:leftChars="0"/>
              <w:rPr>
                <w:rFonts w:hint="eastAsia" w:ascii="宋体" w:hAnsi="宋体" w:cs="宋体"/>
                <w:bCs/>
                <w:color w:val="auto"/>
                <w:kern w:val="0"/>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根据供应商针对本项目制定安全文明作业、</w:t>
            </w:r>
            <w:r>
              <w:rPr>
                <w:rFonts w:hint="eastAsia" w:ascii="宋体" w:hAnsi="宋体" w:cs="宋体"/>
                <w:color w:val="auto"/>
                <w:kern w:val="2"/>
                <w:sz w:val="24"/>
                <w:szCs w:val="24"/>
                <w:highlight w:val="none"/>
                <w:lang w:val="en-US" w:eastAsia="zh-CN" w:bidi="ar-SA"/>
              </w:rPr>
              <w:t>工作</w:t>
            </w:r>
            <w:r>
              <w:rPr>
                <w:rFonts w:hint="eastAsia" w:ascii="宋体" w:hAnsi="宋体" w:eastAsia="宋体" w:cs="宋体"/>
                <w:color w:val="auto"/>
                <w:kern w:val="2"/>
                <w:sz w:val="24"/>
                <w:szCs w:val="24"/>
                <w:highlight w:val="none"/>
                <w:lang w:val="en-US" w:eastAsia="zh-CN" w:bidi="ar-SA"/>
              </w:rPr>
              <w:t>制度安排是否完善进行评议</w:t>
            </w:r>
            <w:r>
              <w:rPr>
                <w:rFonts w:hint="eastAsia" w:ascii="宋体" w:hAnsi="宋体" w:cs="宋体"/>
                <w:bCs/>
                <w:color w:val="auto"/>
                <w:kern w:val="0"/>
                <w:sz w:val="24"/>
                <w:szCs w:val="24"/>
                <w:highlight w:val="none"/>
                <w:lang w:val="en-US" w:eastAsia="zh-CN"/>
              </w:rPr>
              <w:t>:</w:t>
            </w:r>
          </w:p>
          <w:p w14:paraId="165ACD4C">
            <w:pPr>
              <w:keepNext w:val="0"/>
              <w:keepLines w:val="0"/>
              <w:pageBreakBefore w:val="0"/>
              <w:widowControl w:val="0"/>
              <w:numPr>
                <w:ilvl w:val="0"/>
                <w:numId w:val="0"/>
              </w:numPr>
              <w:kinsoku/>
              <w:wordWrap/>
              <w:overflowPunct/>
              <w:topLinePunct w:val="0"/>
              <w:autoSpaceDE/>
              <w:autoSpaceDN/>
              <w:bidi w:val="0"/>
              <w:snapToGrid/>
              <w:spacing w:line="240" w:lineRule="auto"/>
              <w:ind w:lef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①</w:t>
            </w:r>
            <w:r>
              <w:rPr>
                <w:rFonts w:hint="eastAsia" w:ascii="宋体" w:hAnsi="宋体" w:eastAsia="宋体" w:cs="宋体"/>
                <w:color w:val="auto"/>
                <w:kern w:val="2"/>
                <w:sz w:val="24"/>
                <w:szCs w:val="24"/>
                <w:highlight w:val="none"/>
                <w:lang w:val="en-US" w:eastAsia="zh-CN" w:bidi="ar-SA"/>
              </w:rPr>
              <w:t>安全文明作业、</w:t>
            </w:r>
            <w:r>
              <w:rPr>
                <w:rFonts w:hint="eastAsia" w:ascii="宋体" w:hAnsi="宋体" w:cs="宋体"/>
                <w:color w:val="auto"/>
                <w:kern w:val="2"/>
                <w:sz w:val="24"/>
                <w:szCs w:val="24"/>
                <w:highlight w:val="none"/>
                <w:lang w:val="en-US" w:eastAsia="zh-CN" w:bidi="ar-SA"/>
              </w:rPr>
              <w:t>工作</w:t>
            </w:r>
            <w:r>
              <w:rPr>
                <w:rFonts w:hint="eastAsia" w:ascii="宋体" w:hAnsi="宋体" w:eastAsia="宋体" w:cs="宋体"/>
                <w:color w:val="auto"/>
                <w:kern w:val="2"/>
                <w:sz w:val="24"/>
                <w:szCs w:val="24"/>
                <w:highlight w:val="none"/>
                <w:lang w:val="en-US" w:eastAsia="zh-CN" w:bidi="ar-SA"/>
              </w:rPr>
              <w:t>制度安排</w:t>
            </w:r>
            <w:r>
              <w:rPr>
                <w:rFonts w:hint="eastAsia" w:ascii="宋体" w:hAnsi="宋体" w:eastAsia="宋体" w:cs="宋体"/>
                <w:color w:val="auto"/>
                <w:kern w:val="2"/>
                <w:sz w:val="24"/>
                <w:szCs w:val="24"/>
                <w:highlight w:val="none"/>
                <w:lang w:val="en-US" w:eastAsia="zh-CN"/>
              </w:rPr>
              <w:t>完善详尽的得</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分；</w:t>
            </w:r>
          </w:p>
          <w:p w14:paraId="0ADF47D7">
            <w:pPr>
              <w:keepNext w:val="0"/>
              <w:keepLines w:val="0"/>
              <w:pageBreakBefore w:val="0"/>
              <w:widowControl w:val="0"/>
              <w:numPr>
                <w:ilvl w:val="0"/>
                <w:numId w:val="0"/>
              </w:numPr>
              <w:kinsoku/>
              <w:wordWrap/>
              <w:overflowPunct/>
              <w:topLinePunct w:val="0"/>
              <w:autoSpaceDE/>
              <w:autoSpaceDN/>
              <w:bidi w:val="0"/>
              <w:snapToGrid/>
              <w:spacing w:line="240" w:lineRule="auto"/>
              <w:ind w:lef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②</w:t>
            </w:r>
            <w:r>
              <w:rPr>
                <w:rFonts w:hint="eastAsia" w:ascii="宋体" w:hAnsi="宋体" w:eastAsia="宋体" w:cs="宋体"/>
                <w:color w:val="auto"/>
                <w:kern w:val="2"/>
                <w:sz w:val="24"/>
                <w:szCs w:val="24"/>
                <w:highlight w:val="none"/>
                <w:lang w:val="en-US" w:eastAsia="zh-CN" w:bidi="ar-SA"/>
              </w:rPr>
              <w:t>安全文明作业、</w:t>
            </w:r>
            <w:r>
              <w:rPr>
                <w:rFonts w:hint="eastAsia" w:ascii="宋体" w:hAnsi="宋体" w:cs="宋体"/>
                <w:color w:val="auto"/>
                <w:kern w:val="2"/>
                <w:sz w:val="24"/>
                <w:szCs w:val="24"/>
                <w:highlight w:val="none"/>
                <w:lang w:val="en-US" w:eastAsia="zh-CN" w:bidi="ar-SA"/>
              </w:rPr>
              <w:t>工作</w:t>
            </w:r>
            <w:r>
              <w:rPr>
                <w:rFonts w:hint="eastAsia" w:ascii="宋体" w:hAnsi="宋体" w:eastAsia="宋体" w:cs="宋体"/>
                <w:color w:val="auto"/>
                <w:kern w:val="2"/>
                <w:sz w:val="24"/>
                <w:szCs w:val="24"/>
                <w:highlight w:val="none"/>
                <w:lang w:val="en-US" w:eastAsia="zh-CN" w:bidi="ar-SA"/>
              </w:rPr>
              <w:t>制度安排</w:t>
            </w:r>
            <w:r>
              <w:rPr>
                <w:rFonts w:hint="eastAsia" w:ascii="宋体" w:hAnsi="宋体" w:eastAsia="宋体" w:cs="宋体"/>
                <w:color w:val="auto"/>
                <w:kern w:val="2"/>
                <w:sz w:val="24"/>
                <w:szCs w:val="24"/>
                <w:highlight w:val="none"/>
                <w:lang w:val="en-US" w:eastAsia="zh-CN"/>
              </w:rPr>
              <w:t>较完善详尽的得</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分；</w:t>
            </w:r>
          </w:p>
          <w:p w14:paraId="0BC25E46">
            <w:pPr>
              <w:keepNext w:val="0"/>
              <w:keepLines w:val="0"/>
              <w:pageBreakBefore w:val="0"/>
              <w:widowControl w:val="0"/>
              <w:numPr>
                <w:ilvl w:val="0"/>
                <w:numId w:val="0"/>
              </w:numPr>
              <w:kinsoku/>
              <w:wordWrap/>
              <w:overflowPunct/>
              <w:topLinePunct w:val="0"/>
              <w:autoSpaceDE/>
              <w:autoSpaceDN/>
              <w:bidi w:val="0"/>
              <w:snapToGrid/>
              <w:spacing w:line="240" w:lineRule="auto"/>
              <w:ind w:lef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③</w:t>
            </w:r>
            <w:r>
              <w:rPr>
                <w:rFonts w:hint="eastAsia" w:ascii="宋体" w:hAnsi="宋体" w:eastAsia="宋体" w:cs="宋体"/>
                <w:color w:val="auto"/>
                <w:kern w:val="2"/>
                <w:sz w:val="24"/>
                <w:szCs w:val="24"/>
                <w:highlight w:val="none"/>
                <w:lang w:val="en-US" w:eastAsia="zh-CN" w:bidi="ar-SA"/>
              </w:rPr>
              <w:t>安全文明作业、</w:t>
            </w:r>
            <w:r>
              <w:rPr>
                <w:rFonts w:hint="eastAsia" w:ascii="宋体" w:hAnsi="宋体" w:cs="宋体"/>
                <w:color w:val="auto"/>
                <w:kern w:val="2"/>
                <w:sz w:val="24"/>
                <w:szCs w:val="24"/>
                <w:highlight w:val="none"/>
                <w:lang w:val="en-US" w:eastAsia="zh-CN" w:bidi="ar-SA"/>
              </w:rPr>
              <w:t>工作</w:t>
            </w:r>
            <w:r>
              <w:rPr>
                <w:rFonts w:hint="eastAsia" w:ascii="宋体" w:hAnsi="宋体" w:eastAsia="宋体" w:cs="宋体"/>
                <w:color w:val="auto"/>
                <w:kern w:val="2"/>
                <w:sz w:val="24"/>
                <w:szCs w:val="24"/>
                <w:highlight w:val="none"/>
                <w:lang w:val="en-US" w:eastAsia="zh-CN" w:bidi="ar-SA"/>
              </w:rPr>
              <w:t>制度安排</w:t>
            </w:r>
            <w:r>
              <w:rPr>
                <w:rFonts w:hint="eastAsia" w:ascii="宋体" w:hAnsi="宋体" w:eastAsia="宋体" w:cs="宋体"/>
                <w:color w:val="auto"/>
                <w:kern w:val="2"/>
                <w:sz w:val="24"/>
                <w:szCs w:val="24"/>
                <w:highlight w:val="none"/>
                <w:lang w:val="en-US" w:eastAsia="zh-CN"/>
              </w:rPr>
              <w:t>欠完善详尽的得1分；</w:t>
            </w:r>
          </w:p>
          <w:p w14:paraId="07A4E1C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未提供的不得分。</w:t>
            </w:r>
          </w:p>
        </w:tc>
        <w:tc>
          <w:tcPr>
            <w:tcW w:w="669" w:type="dxa"/>
            <w:noWrap w:val="0"/>
            <w:vAlign w:val="center"/>
          </w:tcPr>
          <w:p w14:paraId="1E8F5E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737" w:type="dxa"/>
            <w:noWrap w:val="0"/>
            <w:vAlign w:val="center"/>
          </w:tcPr>
          <w:p w14:paraId="2455AF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主观</w:t>
            </w:r>
            <w:r>
              <w:rPr>
                <w:rFonts w:hint="eastAsia" w:ascii="宋体" w:hAnsi="宋体" w:eastAsia="宋体" w:cs="宋体"/>
                <w:color w:val="auto"/>
                <w:kern w:val="0"/>
                <w:sz w:val="24"/>
                <w:szCs w:val="24"/>
                <w:highlight w:val="none"/>
                <w:lang w:eastAsia="zh-CN"/>
              </w:rPr>
              <w:t>评审</w:t>
            </w:r>
          </w:p>
        </w:tc>
      </w:tr>
      <w:tr w14:paraId="1E071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721" w:type="dxa"/>
            <w:vMerge w:val="continue"/>
            <w:noWrap w:val="0"/>
            <w:vAlign w:val="center"/>
          </w:tcPr>
          <w:p w14:paraId="4CF3F686">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highlight w:val="none"/>
              </w:rPr>
            </w:pPr>
          </w:p>
        </w:tc>
        <w:tc>
          <w:tcPr>
            <w:tcW w:w="1270" w:type="dxa"/>
            <w:noWrap w:val="0"/>
            <w:vAlign w:val="center"/>
          </w:tcPr>
          <w:p w14:paraId="0B8CFA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9.保险及环境保护措施（4分）</w:t>
            </w:r>
          </w:p>
        </w:tc>
        <w:tc>
          <w:tcPr>
            <w:tcW w:w="4761" w:type="dxa"/>
            <w:noWrap w:val="0"/>
            <w:vAlign w:val="center"/>
          </w:tcPr>
          <w:p w14:paraId="4632ABE6">
            <w:pPr>
              <w:keepNext w:val="0"/>
              <w:keepLines w:val="0"/>
              <w:pageBreakBefore w:val="0"/>
              <w:widowControl w:val="0"/>
              <w:numPr>
                <w:ilvl w:val="0"/>
                <w:numId w:val="0"/>
              </w:numPr>
              <w:kinsoku/>
              <w:wordWrap/>
              <w:overflowPunct/>
              <w:topLinePunct w:val="0"/>
              <w:autoSpaceDE/>
              <w:autoSpaceDN/>
              <w:bidi w:val="0"/>
              <w:snapToGrid/>
              <w:spacing w:line="240" w:lineRule="auto"/>
              <w:ind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根据供应商针对本项目服务人员拟投保险情况、环境保护措施是否符合采购需求，且具有全面性、可行性等进行评议：</w:t>
            </w:r>
          </w:p>
          <w:p w14:paraId="7B9B7255">
            <w:pPr>
              <w:keepNext w:val="0"/>
              <w:keepLines w:val="0"/>
              <w:pageBreakBefore w:val="0"/>
              <w:widowControl w:val="0"/>
              <w:numPr>
                <w:ilvl w:val="0"/>
                <w:numId w:val="0"/>
              </w:numPr>
              <w:kinsoku/>
              <w:wordWrap/>
              <w:overflowPunct/>
              <w:topLinePunct w:val="0"/>
              <w:autoSpaceDE/>
              <w:autoSpaceDN/>
              <w:bidi w:val="0"/>
              <w:snapToGrid/>
              <w:spacing w:line="240" w:lineRule="auto"/>
              <w:ind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①服务人员投保险情况、环境保护措施完善详尽的得</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w:t>
            </w:r>
          </w:p>
          <w:p w14:paraId="4AD471EC">
            <w:pPr>
              <w:keepNext w:val="0"/>
              <w:keepLines w:val="0"/>
              <w:pageBreakBefore w:val="0"/>
              <w:widowControl w:val="0"/>
              <w:numPr>
                <w:ilvl w:val="0"/>
                <w:numId w:val="0"/>
              </w:numPr>
              <w:kinsoku/>
              <w:wordWrap/>
              <w:overflowPunct/>
              <w:topLinePunct w:val="0"/>
              <w:autoSpaceDE/>
              <w:autoSpaceDN/>
              <w:bidi w:val="0"/>
              <w:snapToGrid/>
              <w:spacing w:line="240" w:lineRule="auto"/>
              <w:ind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②服务人员投保险情况、环境保护措施较完善详尽的得</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w:t>
            </w:r>
          </w:p>
          <w:p w14:paraId="57325F88">
            <w:pPr>
              <w:keepNext w:val="0"/>
              <w:keepLines w:val="0"/>
              <w:pageBreakBefore w:val="0"/>
              <w:widowControl w:val="0"/>
              <w:numPr>
                <w:ilvl w:val="0"/>
                <w:numId w:val="0"/>
              </w:numPr>
              <w:kinsoku/>
              <w:wordWrap/>
              <w:overflowPunct/>
              <w:topLinePunct w:val="0"/>
              <w:autoSpaceDE/>
              <w:autoSpaceDN/>
              <w:bidi w:val="0"/>
              <w:snapToGrid/>
              <w:spacing w:line="240" w:lineRule="auto"/>
              <w:ind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③服务人员投保险情况、环境保护措施完善不完善详尽的得1分；</w:t>
            </w:r>
          </w:p>
          <w:p w14:paraId="5F644BA7">
            <w:pPr>
              <w:keepNext w:val="0"/>
              <w:keepLines w:val="0"/>
              <w:pageBreakBefore w:val="0"/>
              <w:widowControl w:val="0"/>
              <w:numPr>
                <w:ilvl w:val="0"/>
                <w:numId w:val="0"/>
              </w:numPr>
              <w:kinsoku/>
              <w:wordWrap/>
              <w:overflowPunct/>
              <w:topLinePunct w:val="0"/>
              <w:autoSpaceDE/>
              <w:autoSpaceDN/>
              <w:bidi w:val="0"/>
              <w:snapToGrid/>
              <w:spacing w:line="240" w:lineRule="auto"/>
              <w:ind w:leftChars="0"/>
              <w:rPr>
                <w:rFonts w:hint="default"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未提供的不得分。</w:t>
            </w:r>
          </w:p>
        </w:tc>
        <w:tc>
          <w:tcPr>
            <w:tcW w:w="669" w:type="dxa"/>
            <w:noWrap w:val="0"/>
            <w:vAlign w:val="center"/>
          </w:tcPr>
          <w:p w14:paraId="0CA5B6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c>
          <w:tcPr>
            <w:tcW w:w="737" w:type="dxa"/>
            <w:noWrap w:val="0"/>
            <w:vAlign w:val="center"/>
          </w:tcPr>
          <w:p w14:paraId="104B7A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主观</w:t>
            </w:r>
            <w:r>
              <w:rPr>
                <w:rFonts w:hint="eastAsia" w:ascii="宋体" w:hAnsi="宋体" w:eastAsia="宋体" w:cs="宋体"/>
                <w:color w:val="auto"/>
                <w:kern w:val="0"/>
                <w:sz w:val="24"/>
                <w:szCs w:val="24"/>
                <w:highlight w:val="none"/>
                <w:lang w:eastAsia="zh-CN"/>
              </w:rPr>
              <w:t>评审</w:t>
            </w:r>
          </w:p>
        </w:tc>
      </w:tr>
      <w:tr w14:paraId="13AD5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trPr>
        <w:tc>
          <w:tcPr>
            <w:tcW w:w="721" w:type="dxa"/>
            <w:vMerge w:val="continue"/>
            <w:noWrap w:val="0"/>
            <w:vAlign w:val="center"/>
          </w:tcPr>
          <w:p w14:paraId="54B6864D">
            <w:pPr>
              <w:keepNext w:val="0"/>
              <w:keepLines w:val="0"/>
              <w:pageBreakBefore w:val="0"/>
              <w:widowControl/>
              <w:kinsoku/>
              <w:wordWrap/>
              <w:overflowPunct/>
              <w:topLinePunct w:val="0"/>
              <w:autoSpaceDE/>
              <w:autoSpaceDN/>
              <w:bidi w:val="0"/>
              <w:adjustRightInd/>
              <w:snapToGrid/>
              <w:spacing w:line="240" w:lineRule="auto"/>
              <w:jc w:val="center"/>
              <w:textAlignment w:val="auto"/>
              <w:rPr>
                <w:highlight w:val="none"/>
              </w:rPr>
            </w:pPr>
          </w:p>
        </w:tc>
        <w:tc>
          <w:tcPr>
            <w:tcW w:w="1270" w:type="dxa"/>
            <w:noWrap w:val="0"/>
            <w:vAlign w:val="center"/>
          </w:tcPr>
          <w:p w14:paraId="0BF6A96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10.业绩（1分）</w:t>
            </w:r>
          </w:p>
        </w:tc>
        <w:tc>
          <w:tcPr>
            <w:tcW w:w="4761" w:type="dxa"/>
            <w:noWrap w:val="0"/>
            <w:vAlign w:val="center"/>
          </w:tcPr>
          <w:p w14:paraId="34E7F01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宋体" w:hAnsi="宋体" w:cs="宋体"/>
                <w:color w:val="auto"/>
                <w:kern w:val="2"/>
                <w:sz w:val="24"/>
                <w:szCs w:val="24"/>
                <w:highlight w:val="none"/>
                <w:lang w:val="en-US" w:eastAsia="zh-CN" w:bidi="ar-SA"/>
              </w:rPr>
            </w:pPr>
            <w:bookmarkStart w:id="435" w:name="_GoBack"/>
            <w:r>
              <w:rPr>
                <w:rFonts w:hint="eastAsia" w:ascii="宋体" w:hAnsi="宋体" w:cs="宋体"/>
                <w:color w:val="auto"/>
                <w:kern w:val="2"/>
                <w:sz w:val="24"/>
                <w:szCs w:val="24"/>
                <w:highlight w:val="none"/>
                <w:lang w:val="en-US" w:eastAsia="zh-CN" w:bidi="ar-SA"/>
              </w:rPr>
              <w:t>2022年1月1日以来，</w:t>
            </w:r>
            <w:r>
              <w:rPr>
                <w:rFonts w:hint="eastAsia" w:ascii="宋体" w:hAnsi="宋体" w:eastAsia="宋体" w:cs="宋体"/>
                <w:color w:val="auto"/>
                <w:kern w:val="2"/>
                <w:sz w:val="24"/>
                <w:szCs w:val="24"/>
                <w:highlight w:val="none"/>
                <w:lang w:val="en-US" w:eastAsia="zh-CN" w:bidi="ar-SA"/>
              </w:rPr>
              <w:t>供应商</w:t>
            </w:r>
            <w:r>
              <w:rPr>
                <w:rFonts w:hint="eastAsia" w:ascii="宋体" w:hAnsi="宋体" w:cs="宋体"/>
                <w:color w:val="auto"/>
                <w:kern w:val="2"/>
                <w:sz w:val="24"/>
                <w:szCs w:val="24"/>
                <w:highlight w:val="none"/>
                <w:lang w:val="en-US" w:eastAsia="zh-CN" w:bidi="ar-SA"/>
              </w:rPr>
              <w:t>具有采伐和打孔注药经验业绩的得1分，仅有其中一项或没有的不得分。</w:t>
            </w:r>
            <w:bookmarkEnd w:id="435"/>
            <w:r>
              <w:rPr>
                <w:rFonts w:hint="eastAsia" w:ascii="宋体" w:hAnsi="宋体" w:cs="宋体"/>
                <w:color w:val="auto"/>
                <w:kern w:val="2"/>
                <w:sz w:val="24"/>
                <w:szCs w:val="24"/>
                <w:highlight w:val="none"/>
                <w:lang w:val="en-US" w:eastAsia="zh-CN" w:bidi="ar-SA"/>
              </w:rPr>
              <w:br w:type="textWrapping"/>
            </w:r>
            <w:r>
              <w:rPr>
                <w:rFonts w:hint="eastAsia" w:ascii="宋体" w:hAnsi="宋体" w:cs="宋体"/>
                <w:color w:val="auto"/>
                <w:kern w:val="2"/>
                <w:sz w:val="24"/>
                <w:szCs w:val="24"/>
                <w:highlight w:val="none"/>
                <w:lang w:val="en-US" w:eastAsia="zh-CN" w:bidi="ar-SA"/>
              </w:rPr>
              <w:t>注：需提供合同复印件并加盖公章，未提供不得分。</w:t>
            </w:r>
          </w:p>
        </w:tc>
        <w:tc>
          <w:tcPr>
            <w:tcW w:w="669" w:type="dxa"/>
            <w:noWrap w:val="0"/>
            <w:vAlign w:val="center"/>
          </w:tcPr>
          <w:p w14:paraId="47B1368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p>
        </w:tc>
        <w:tc>
          <w:tcPr>
            <w:tcW w:w="737" w:type="dxa"/>
            <w:noWrap w:val="0"/>
            <w:vAlign w:val="center"/>
          </w:tcPr>
          <w:p w14:paraId="14F729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客观</w:t>
            </w:r>
            <w:r>
              <w:rPr>
                <w:rFonts w:hint="eastAsia" w:ascii="宋体" w:hAnsi="宋体" w:eastAsia="宋体" w:cs="宋体"/>
                <w:color w:val="auto"/>
                <w:kern w:val="2"/>
                <w:sz w:val="24"/>
                <w:szCs w:val="24"/>
                <w:highlight w:val="none"/>
                <w:lang w:eastAsia="zh-CN"/>
              </w:rPr>
              <w:t>评审</w:t>
            </w:r>
          </w:p>
        </w:tc>
      </w:tr>
      <w:tr w14:paraId="5F72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trPr>
        <w:tc>
          <w:tcPr>
            <w:tcW w:w="721" w:type="dxa"/>
            <w:noWrap w:val="0"/>
            <w:vAlign w:val="center"/>
          </w:tcPr>
          <w:p w14:paraId="668A1C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价格分</w:t>
            </w:r>
          </w:p>
          <w:p w14:paraId="53B47F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en-US" w:eastAsia="zh-CN"/>
              </w:rPr>
              <w:t>0</w:t>
            </w:r>
            <w:r>
              <w:rPr>
                <w:rFonts w:hint="eastAsia" w:ascii="宋体" w:hAnsi="宋体" w:eastAsia="宋体" w:cs="宋体"/>
                <w:color w:val="auto"/>
                <w:kern w:val="2"/>
                <w:sz w:val="24"/>
                <w:szCs w:val="24"/>
                <w:highlight w:val="none"/>
              </w:rPr>
              <w:t>分</w:t>
            </w:r>
          </w:p>
        </w:tc>
        <w:tc>
          <w:tcPr>
            <w:tcW w:w="6031" w:type="dxa"/>
            <w:gridSpan w:val="2"/>
            <w:noWrap w:val="0"/>
            <w:vAlign w:val="center"/>
          </w:tcPr>
          <w:p w14:paraId="7E0FB2B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参与评审的价格=评标价</w:t>
            </w:r>
          </w:p>
          <w:p w14:paraId="207A0EB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评标基准价=满足招标文件要求且“参与评审的价格”中最低的价格为评标基准价</w:t>
            </w:r>
          </w:p>
          <w:p w14:paraId="62E40F8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基准价得分为满分10分，其他供应商报价得分计算公式如下：</w:t>
            </w:r>
          </w:p>
          <w:p w14:paraId="5539E38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其余供应商的价格分以下列公式计算：</w:t>
            </w:r>
          </w:p>
          <w:p w14:paraId="1AC1E6A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价格分得分＝（评标基准价/参与评审的价格）×10</w:t>
            </w:r>
          </w:p>
          <w:p w14:paraId="7FA88DD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注：报价得分小数点后保留1位数。</w:t>
            </w:r>
          </w:p>
        </w:tc>
        <w:tc>
          <w:tcPr>
            <w:tcW w:w="669" w:type="dxa"/>
            <w:noWrap w:val="0"/>
            <w:vAlign w:val="center"/>
          </w:tcPr>
          <w:p w14:paraId="1EED20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en-US" w:eastAsia="zh-CN"/>
              </w:rPr>
              <w:t>0</w:t>
            </w:r>
          </w:p>
        </w:tc>
        <w:tc>
          <w:tcPr>
            <w:tcW w:w="737" w:type="dxa"/>
            <w:noWrap w:val="0"/>
            <w:vAlign w:val="center"/>
          </w:tcPr>
          <w:p w14:paraId="15F8AE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客观</w:t>
            </w:r>
            <w:r>
              <w:rPr>
                <w:rFonts w:hint="eastAsia" w:ascii="宋体" w:hAnsi="宋体" w:eastAsia="宋体" w:cs="宋体"/>
                <w:color w:val="auto"/>
                <w:kern w:val="2"/>
                <w:sz w:val="24"/>
                <w:szCs w:val="24"/>
                <w:highlight w:val="none"/>
                <w:lang w:eastAsia="zh-CN"/>
              </w:rPr>
              <w:t>评审</w:t>
            </w:r>
          </w:p>
        </w:tc>
      </w:tr>
    </w:tbl>
    <w:p w14:paraId="5028A2B8">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rPr>
        <w:t>供应商编制投标文件（商务技术文件部分）时，建议按此目录（序号和内容）提供评标标准相应的商务技术资料。小数点后保留一位数。</w:t>
      </w:r>
    </w:p>
    <w:p w14:paraId="5F9770A8">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8998B34">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综合评分法，是指投标文件满足招标文件全部实质性要求，且按照评审因素的量化指标评审得分最高的供应商为中标候选人的评标方法。</w:t>
      </w:r>
    </w:p>
    <w:p w14:paraId="776B2A7B">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22FCC0D7">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9F28FF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40E684E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评标委员会应当对符合资格的供应商的投标文件进行符合性审查，以确定其是否满足招标文件的实质性要求。不满足招标文件的实质性要求的，投标无效。</w:t>
      </w:r>
    </w:p>
    <w:p w14:paraId="12B08EE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B0B45B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评标委员会各成员应当独立对每个供应商的商务和技术文件进行评价，并汇总商务技术得分情况。</w:t>
      </w:r>
    </w:p>
    <w:p w14:paraId="78309CA4">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2B40838">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2D346D0">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39FDF1">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7D7B950">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8F40FD5">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71386FB">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《政府采购货物和服务招标投标管理办法》第五十一条第二款的规定经供应商确认后产生约束力。</w:t>
      </w:r>
    </w:p>
    <w:p w14:paraId="161C7AE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5D3B2AB">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330AE83">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038BD50E">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2F18507">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有效投标供应商数量等于3家时，中标候选人数量为1家；有效投标供应商数量等于4家时，中标候选人数量为2家；有效投标供应商数量大于等于5家时，中标候选人数量为3家。得分相同的，按投标报价由低到高顺序排列。得分且投标报价相同的并列。投标文件满足招标文件全部实质性要求，且按照评审因素的量化指标评审得分最高的供应商为排名第一的中标候选人。</w:t>
      </w:r>
    </w:p>
    <w:p w14:paraId="4D63581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14:paraId="60FE2D4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F35181E">
      <w:pPr>
        <w:widowControl/>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55C3B35">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141FEE1F">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10570D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4.2.1供应商不具备招标文件中规定的资格要求的（供应商未提供有效的资格文件的，视为供应商不具备招标文件中规定的资格要求）；</w:t>
      </w:r>
    </w:p>
    <w:p w14:paraId="42A7010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DBB2B4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4.2.3采购人拟采购的产品属于政府强制采购的节能产品品目清单范围的，供应商相应的投标产品未获得国家确定的认证机构出具的、处于有效期之内的节能产品认证证书的；</w:t>
      </w:r>
    </w:p>
    <w:p w14:paraId="4B6BE9B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5AB955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0F22C51B">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6F2663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4A18054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7AF2532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14:paraId="6560EE5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4.2.10供应商提供虚假材料投标的；</w:t>
      </w:r>
    </w:p>
    <w:p w14:paraId="2389CAB8">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4.2.11供应商有恶意串通、妨碍其他供应商的竞争行为、损害采购人或者其他供应商的合法权益情形的；</w:t>
      </w:r>
    </w:p>
    <w:p w14:paraId="2B5F08F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4.2.12供应商仅提交备份投标文件，未在电子交易平台传输递交投标文件的，投标无效；</w:t>
      </w:r>
    </w:p>
    <w:p w14:paraId="78E0E968">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74549C8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36E7A8A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4.2.15上传投标文件同一网卡地址、同一IP地址的为无效标。</w:t>
      </w:r>
    </w:p>
    <w:p w14:paraId="35378B40">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723C7D5">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51192C61">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1DB41911">
      <w:pPr>
        <w:pStyle w:val="24"/>
        <w:snapToGrid w:val="0"/>
        <w:spacing w:line="360" w:lineRule="auto"/>
        <w:rPr>
          <w:rFonts w:cs="宋体"/>
          <w:color w:val="auto"/>
          <w:highlight w:val="none"/>
        </w:rPr>
      </w:pPr>
      <w:r>
        <w:rPr>
          <w:rFonts w:hint="eastAsia" w:cs="宋体"/>
          <w:color w:val="auto"/>
          <w:highlight w:val="none"/>
        </w:rPr>
        <w:t>5.3供应商的报价均超过了采购预算，采购人不能支付的；</w:t>
      </w:r>
    </w:p>
    <w:p w14:paraId="61F02591">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51EA304A">
      <w:pPr>
        <w:pStyle w:val="24"/>
        <w:snapToGrid w:val="0"/>
        <w:spacing w:line="360" w:lineRule="auto"/>
        <w:rPr>
          <w:rFonts w:cs="宋体"/>
          <w:color w:val="auto"/>
          <w:highlight w:val="none"/>
        </w:rPr>
      </w:pPr>
      <w:r>
        <w:rPr>
          <w:rFonts w:hint="eastAsia" w:cs="宋体"/>
          <w:color w:val="auto"/>
          <w:highlight w:val="none"/>
        </w:rPr>
        <w:t>废标后，采购代理机构应当将废标理由通知所有供应商。</w:t>
      </w:r>
    </w:p>
    <w:p w14:paraId="3FD7951B">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B900869">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2D9D4BA2">
      <w:pPr>
        <w:pStyle w:val="24"/>
        <w:snapToGrid w:val="0"/>
        <w:spacing w:line="360" w:lineRule="auto"/>
        <w:rPr>
          <w:rFonts w:cs="宋体"/>
          <w:color w:val="auto"/>
          <w:highlight w:val="none"/>
        </w:rPr>
      </w:pPr>
      <w:r>
        <w:rPr>
          <w:rFonts w:hint="eastAsia" w:cs="宋体"/>
          <w:color w:val="auto"/>
          <w:highlight w:val="none"/>
        </w:rPr>
        <w:t>7.1未确定</w:t>
      </w:r>
      <w:r>
        <w:rPr>
          <w:rFonts w:hint="eastAsia" w:cs="宋体"/>
          <w:color w:val="auto"/>
          <w:highlight w:val="none"/>
          <w:lang w:eastAsia="zh-CN"/>
        </w:rPr>
        <w:t>中标人</w:t>
      </w:r>
      <w:r>
        <w:rPr>
          <w:rFonts w:hint="eastAsia" w:cs="宋体"/>
          <w:color w:val="auto"/>
          <w:highlight w:val="none"/>
        </w:rPr>
        <w:t>的，终止本次政府采购活动，重新开展政府采购活动。</w:t>
      </w:r>
    </w:p>
    <w:p w14:paraId="7679D04C">
      <w:pPr>
        <w:pStyle w:val="24"/>
        <w:snapToGrid w:val="0"/>
        <w:spacing w:line="360" w:lineRule="auto"/>
        <w:rPr>
          <w:rFonts w:cs="宋体"/>
          <w:color w:val="auto"/>
          <w:highlight w:val="none"/>
        </w:rPr>
      </w:pPr>
      <w:r>
        <w:rPr>
          <w:rFonts w:hint="eastAsia" w:cs="宋体"/>
          <w:color w:val="auto"/>
          <w:highlight w:val="none"/>
        </w:rPr>
        <w:t>7.2已确定</w:t>
      </w:r>
      <w:r>
        <w:rPr>
          <w:rFonts w:hint="eastAsia" w:cs="宋体"/>
          <w:color w:val="auto"/>
          <w:highlight w:val="none"/>
          <w:lang w:eastAsia="zh-CN"/>
        </w:rPr>
        <w:t>中标人</w:t>
      </w:r>
      <w:r>
        <w:rPr>
          <w:rFonts w:hint="eastAsia" w:cs="宋体"/>
          <w:color w:val="auto"/>
          <w:highlight w:val="none"/>
        </w:rPr>
        <w:t>但尚未签订政府采购合同的，中标结果无效，从合格的中标候选人中另行确定</w:t>
      </w:r>
      <w:r>
        <w:rPr>
          <w:rFonts w:hint="eastAsia" w:cs="宋体"/>
          <w:color w:val="auto"/>
          <w:highlight w:val="none"/>
          <w:lang w:eastAsia="zh-CN"/>
        </w:rPr>
        <w:t>中标人</w:t>
      </w:r>
      <w:r>
        <w:rPr>
          <w:rFonts w:hint="eastAsia" w:cs="宋体"/>
          <w:color w:val="auto"/>
          <w:highlight w:val="none"/>
        </w:rPr>
        <w:t>；没有合格的中标候选人的，重新开展政府采购活动。</w:t>
      </w:r>
    </w:p>
    <w:p w14:paraId="56069175">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w:t>
      </w:r>
      <w:r>
        <w:rPr>
          <w:rFonts w:hint="eastAsia" w:cs="宋体"/>
          <w:color w:val="auto"/>
          <w:highlight w:val="none"/>
          <w:lang w:eastAsia="zh-CN"/>
        </w:rPr>
        <w:t>中标人</w:t>
      </w:r>
      <w:r>
        <w:rPr>
          <w:rFonts w:hint="eastAsia" w:cs="宋体"/>
          <w:color w:val="auto"/>
          <w:highlight w:val="none"/>
        </w:rPr>
        <w:t>；没有合格的中标候选人的，重新开展政府采购活动。</w:t>
      </w:r>
    </w:p>
    <w:p w14:paraId="717E7458">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0F83F388">
      <w:pPr>
        <w:pStyle w:val="24"/>
        <w:snapToGrid w:val="0"/>
        <w:spacing w:line="360" w:lineRule="auto"/>
        <w:rPr>
          <w:rFonts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6"/>
      <w:bookmarkStart w:id="402" w:name="第五部分"/>
      <w:bookmarkStart w:id="403" w:name="_Toc86217003"/>
      <w:r>
        <w:rPr>
          <w:rFonts w:hint="eastAsia" w:cs="宋体"/>
          <w:b/>
          <w:color w:val="auto"/>
          <w:sz w:val="36"/>
          <w:szCs w:val="36"/>
          <w:highlight w:val="none"/>
        </w:rPr>
        <w:t xml:space="preserve">    </w:t>
      </w:r>
    </w:p>
    <w:p w14:paraId="5AE13246">
      <w:pPr>
        <w:widowControl/>
        <w:adjustRightInd/>
        <w:ind w:firstLine="2168" w:firstLineChars="600"/>
        <w:jc w:val="left"/>
        <w:rPr>
          <w:rFonts w:ascii="宋体" w:hAnsi="宋体" w:cs="宋体"/>
          <w:b/>
          <w:color w:val="auto"/>
          <w:sz w:val="36"/>
          <w:szCs w:val="36"/>
          <w:highlight w:val="none"/>
        </w:rPr>
        <w:sectPr>
          <w:footerReference r:id="rId8" w:type="default"/>
          <w:pgSz w:w="11907" w:h="16840"/>
          <w:pgMar w:top="1474" w:right="1814" w:bottom="1474" w:left="1814" w:header="851" w:footer="851" w:gutter="0"/>
          <w:cols w:space="720" w:num="1"/>
        </w:sectPr>
      </w:pPr>
    </w:p>
    <w:p w14:paraId="53E6EE74">
      <w:pPr>
        <w:widowControl/>
        <w:adjustRightInd/>
        <w:ind w:firstLine="2168" w:firstLineChars="600"/>
        <w:jc w:val="left"/>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14888D42">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9F6318F">
      <w:pPr>
        <w:widowControl w:val="0"/>
        <w:snapToGrid w:val="0"/>
        <w:spacing w:before="156" w:after="156" w:line="720" w:lineRule="exact"/>
        <w:jc w:val="center"/>
        <w:rPr>
          <w:rFonts w:hint="eastAsia" w:ascii="仿宋" w:hAnsi="仿宋" w:eastAsia="仿宋" w:cs="Times New Roman"/>
          <w:b/>
          <w:snapToGrid w:val="0"/>
          <w:kern w:val="2"/>
          <w:sz w:val="44"/>
          <w:szCs w:val="44"/>
          <w:highlight w:val="none"/>
          <w:lang w:val="en-US" w:eastAsia="zh-CN" w:bidi="ar-SA"/>
        </w:rPr>
      </w:pPr>
      <w:r>
        <w:rPr>
          <w:rFonts w:hint="eastAsia" w:ascii="仿宋" w:hAnsi="仿宋" w:eastAsia="仿宋" w:cs="Times New Roman"/>
          <w:b/>
          <w:snapToGrid w:val="0"/>
          <w:kern w:val="2"/>
          <w:sz w:val="44"/>
          <w:szCs w:val="44"/>
          <w:highlight w:val="none"/>
          <w:lang w:val="en-US" w:eastAsia="zh-CN" w:bidi="ar-SA"/>
        </w:rPr>
        <w:t>镇海区2025-2026年</w:t>
      </w:r>
    </w:p>
    <w:p w14:paraId="61657BB9">
      <w:pPr>
        <w:widowControl w:val="0"/>
        <w:snapToGrid w:val="0"/>
        <w:spacing w:before="156" w:after="156" w:line="720" w:lineRule="exact"/>
        <w:jc w:val="center"/>
        <w:rPr>
          <w:rFonts w:ascii="仿宋" w:hAnsi="仿宋" w:eastAsia="仿宋" w:cs="Times New Roman"/>
          <w:b/>
          <w:snapToGrid w:val="0"/>
          <w:kern w:val="2"/>
          <w:sz w:val="44"/>
          <w:szCs w:val="44"/>
          <w:highlight w:val="none"/>
          <w:lang w:val="en-US" w:eastAsia="zh-CN" w:bidi="ar-SA"/>
        </w:rPr>
      </w:pPr>
      <w:r>
        <w:rPr>
          <w:rFonts w:hint="eastAsia" w:ascii="仿宋" w:hAnsi="仿宋" w:eastAsia="仿宋" w:cs="Times New Roman"/>
          <w:b/>
          <w:snapToGrid w:val="0"/>
          <w:kern w:val="2"/>
          <w:sz w:val="44"/>
          <w:szCs w:val="44"/>
          <w:highlight w:val="none"/>
          <w:lang w:val="en-US" w:eastAsia="zh-CN" w:bidi="ar-SA"/>
        </w:rPr>
        <w:t>松材线虫病防治项目合同</w:t>
      </w:r>
    </w:p>
    <w:p w14:paraId="145A259C">
      <w:pPr>
        <w:widowControl w:val="0"/>
        <w:adjustRightInd/>
        <w:spacing w:before="120" w:line="360" w:lineRule="auto"/>
        <w:jc w:val="both"/>
        <w:rPr>
          <w:rFonts w:hint="eastAsia" w:ascii="仿宋" w:hAnsi="仿宋" w:eastAsia="仿宋" w:cs="仿宋"/>
          <w:kern w:val="2"/>
          <w:sz w:val="28"/>
          <w:szCs w:val="28"/>
          <w:highlight w:val="none"/>
          <w:lang w:val="en-US" w:eastAsia="zh-CN" w:bidi="ar-SA"/>
        </w:rPr>
      </w:pPr>
    </w:p>
    <w:p w14:paraId="78864EF4">
      <w:pPr>
        <w:adjustRightInd/>
        <w:rPr>
          <w:rFonts w:ascii="Times New Roman" w:hAnsi="Times New Roman" w:eastAsia="宋体" w:cs="Times New Roman"/>
          <w:highlight w:val="none"/>
        </w:rPr>
      </w:pPr>
    </w:p>
    <w:p w14:paraId="22E980B0">
      <w:pPr>
        <w:widowControl w:val="0"/>
        <w:spacing w:line="480" w:lineRule="exact"/>
        <w:ind w:firstLine="480" w:firstLineChars="200"/>
        <w:jc w:val="both"/>
        <w:rPr>
          <w:rFonts w:ascii="Times New Roman" w:hAnsi="Times New Roman" w:eastAsia="宋体" w:cs="Times New Roman"/>
          <w:kern w:val="2"/>
          <w:sz w:val="24"/>
          <w:szCs w:val="24"/>
          <w:highlight w:val="none"/>
          <w:lang w:val="zh-CN" w:eastAsia="zh-CN" w:bidi="ar-SA"/>
        </w:rPr>
      </w:pPr>
    </w:p>
    <w:p w14:paraId="3E2356C9">
      <w:pPr>
        <w:adjustRightInd/>
        <w:rPr>
          <w:rFonts w:ascii="Times New Roman" w:hAnsi="Times New Roman" w:eastAsia="宋体" w:cs="Times New Roman"/>
          <w:highlight w:val="none"/>
        </w:rPr>
      </w:pPr>
    </w:p>
    <w:p w14:paraId="2C4A04B1">
      <w:pPr>
        <w:widowControl w:val="0"/>
        <w:spacing w:line="480" w:lineRule="exact"/>
        <w:ind w:firstLine="480" w:firstLineChars="200"/>
        <w:jc w:val="both"/>
        <w:rPr>
          <w:rFonts w:ascii="Times New Roman" w:hAnsi="Times New Roman" w:eastAsia="宋体" w:cs="Times New Roman"/>
          <w:kern w:val="2"/>
          <w:sz w:val="24"/>
          <w:szCs w:val="24"/>
          <w:highlight w:val="none"/>
          <w:lang w:val="zh-CN" w:eastAsia="zh-CN" w:bidi="ar-SA"/>
        </w:rPr>
      </w:pPr>
    </w:p>
    <w:p w14:paraId="380CD091">
      <w:pPr>
        <w:adjustRightInd/>
        <w:rPr>
          <w:rFonts w:ascii="Times New Roman" w:hAnsi="Times New Roman" w:eastAsia="宋体" w:cs="Times New Roman"/>
          <w:highlight w:val="none"/>
        </w:rPr>
      </w:pPr>
    </w:p>
    <w:p w14:paraId="252CDBEA">
      <w:pPr>
        <w:widowControl w:val="0"/>
        <w:spacing w:line="480" w:lineRule="exact"/>
        <w:ind w:firstLine="480" w:firstLineChars="200"/>
        <w:jc w:val="both"/>
        <w:rPr>
          <w:rFonts w:ascii="Times New Roman" w:hAnsi="Times New Roman" w:eastAsia="宋体" w:cs="Times New Roman"/>
          <w:kern w:val="2"/>
          <w:sz w:val="24"/>
          <w:szCs w:val="24"/>
          <w:highlight w:val="none"/>
          <w:lang w:val="zh-CN" w:eastAsia="zh-CN" w:bidi="ar-SA"/>
        </w:rPr>
      </w:pPr>
    </w:p>
    <w:p w14:paraId="7E939D2C">
      <w:pPr>
        <w:adjustRightInd/>
        <w:rPr>
          <w:rFonts w:ascii="Times New Roman" w:hAnsi="Times New Roman" w:eastAsia="宋体" w:cs="Times New Roman"/>
          <w:highlight w:val="none"/>
        </w:rPr>
      </w:pPr>
    </w:p>
    <w:p w14:paraId="6AC4299A">
      <w:pPr>
        <w:widowControl w:val="0"/>
        <w:spacing w:line="480" w:lineRule="exact"/>
        <w:ind w:firstLine="480" w:firstLineChars="200"/>
        <w:jc w:val="both"/>
        <w:rPr>
          <w:rFonts w:ascii="Times New Roman" w:hAnsi="Times New Roman" w:eastAsia="宋体" w:cs="Times New Roman"/>
          <w:kern w:val="2"/>
          <w:sz w:val="24"/>
          <w:szCs w:val="24"/>
          <w:highlight w:val="none"/>
          <w:lang w:val="zh-CN" w:eastAsia="zh-CN" w:bidi="ar-SA"/>
        </w:rPr>
      </w:pPr>
    </w:p>
    <w:p w14:paraId="3E018B32">
      <w:pPr>
        <w:adjustRightInd/>
        <w:rPr>
          <w:rFonts w:ascii="Times New Roman" w:hAnsi="Times New Roman" w:eastAsia="宋体" w:cs="Times New Roman"/>
          <w:highlight w:val="none"/>
        </w:rPr>
      </w:pPr>
    </w:p>
    <w:p w14:paraId="2825643D">
      <w:pPr>
        <w:adjustRightInd/>
        <w:spacing w:line="360" w:lineRule="auto"/>
        <w:rPr>
          <w:rFonts w:ascii="仿宋" w:hAnsi="仿宋" w:eastAsia="仿宋" w:cs="仿宋"/>
          <w:sz w:val="28"/>
          <w:szCs w:val="28"/>
          <w:highlight w:val="none"/>
        </w:rPr>
      </w:pPr>
    </w:p>
    <w:p w14:paraId="3A373573">
      <w:pPr>
        <w:adjustRightInd/>
        <w:spacing w:before="120" w:line="480" w:lineRule="auto"/>
        <w:ind w:leftChars="600"/>
        <w:rPr>
          <w:rFonts w:ascii="仿宋" w:hAnsi="仿宋" w:eastAsia="仿宋" w:cs="仿宋"/>
          <w:sz w:val="28"/>
          <w:szCs w:val="28"/>
          <w:highlight w:val="none"/>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u w:val="single"/>
          <w:lang w:eastAsia="zh-CN"/>
        </w:rPr>
        <w:t>宁波市自然资源和规划局镇海分局</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p>
    <w:p w14:paraId="34664232">
      <w:pPr>
        <w:adjustRightInd/>
        <w:spacing w:before="120" w:line="480" w:lineRule="auto"/>
        <w:ind w:leftChars="600"/>
        <w:rPr>
          <w:rFonts w:ascii="仿宋" w:hAnsi="仿宋" w:eastAsia="仿宋" w:cs="仿宋"/>
          <w:sz w:val="28"/>
          <w:szCs w:val="28"/>
          <w:highlight w:val="none"/>
        </w:rPr>
      </w:pPr>
      <w:r>
        <w:rPr>
          <w:rFonts w:hint="eastAsia" w:ascii="仿宋" w:hAnsi="仿宋" w:eastAsia="仿宋" w:cs="仿宋"/>
          <w:sz w:val="28"/>
          <w:szCs w:val="28"/>
          <w:highlight w:val="none"/>
        </w:rPr>
        <w:t>乙方：</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p>
    <w:p w14:paraId="7F88E02A">
      <w:pPr>
        <w:adjustRightInd/>
        <w:spacing w:before="120" w:line="480" w:lineRule="auto"/>
        <w:ind w:leftChars="600"/>
        <w:rPr>
          <w:rFonts w:ascii="仿宋" w:hAnsi="仿宋" w:eastAsia="仿宋" w:cs="仿宋"/>
          <w:sz w:val="28"/>
          <w:szCs w:val="28"/>
          <w:highlight w:val="none"/>
        </w:rPr>
      </w:pPr>
    </w:p>
    <w:p w14:paraId="08699791">
      <w:pPr>
        <w:adjustRightInd/>
        <w:spacing w:before="120" w:line="480" w:lineRule="auto"/>
        <w:ind w:leftChars="6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签订地：</w:t>
      </w:r>
      <w:r>
        <w:rPr>
          <w:rFonts w:hint="eastAsia" w:ascii="仿宋" w:hAnsi="仿宋" w:eastAsia="仿宋" w:cs="仿宋"/>
          <w:sz w:val="28"/>
          <w:szCs w:val="28"/>
          <w:highlight w:val="none"/>
          <w:u w:val="single"/>
        </w:rPr>
        <w:t>宁波</w:t>
      </w:r>
      <w:r>
        <w:rPr>
          <w:rFonts w:hint="eastAsia" w:ascii="仿宋" w:hAnsi="仿宋" w:eastAsia="仿宋" w:cs="仿宋"/>
          <w:sz w:val="28"/>
          <w:szCs w:val="28"/>
          <w:highlight w:val="none"/>
          <w:u w:val="single"/>
          <w:lang w:eastAsia="zh-CN"/>
        </w:rPr>
        <w:t>镇海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p>
    <w:p w14:paraId="022FC37A">
      <w:pPr>
        <w:adjustRightInd/>
        <w:spacing w:before="120" w:line="480" w:lineRule="auto"/>
        <w:ind w:leftChars="600"/>
        <w:rPr>
          <w:rFonts w:ascii="仿宋" w:hAnsi="仿宋" w:eastAsia="仿宋" w:cs="仿宋"/>
          <w:sz w:val="28"/>
          <w:szCs w:val="28"/>
          <w:highlight w:val="none"/>
        </w:rPr>
      </w:pPr>
      <w:r>
        <w:rPr>
          <w:rFonts w:hint="eastAsia" w:ascii="仿宋" w:hAnsi="仿宋" w:eastAsia="仿宋" w:cs="仿宋"/>
          <w:sz w:val="28"/>
          <w:szCs w:val="28"/>
          <w:highlight w:val="none"/>
        </w:rPr>
        <w:t>签订日期：</w:t>
      </w:r>
      <w:r>
        <w:rPr>
          <w:rFonts w:hint="eastAsia" w:ascii="仿宋" w:hAnsi="仿宋" w:eastAsia="仿宋" w:cs="仿宋"/>
          <w:sz w:val="28"/>
          <w:szCs w:val="28"/>
          <w:highlight w:val="none"/>
          <w:u w:val="singl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日</w:t>
      </w:r>
    </w:p>
    <w:p w14:paraId="6CCCCF7C">
      <w:pPr>
        <w:widowControl w:val="0"/>
        <w:snapToGrid w:val="0"/>
        <w:spacing w:before="156" w:after="156" w:line="420" w:lineRule="exact"/>
        <w:ind w:leftChars="600"/>
        <w:jc w:val="both"/>
        <w:rPr>
          <w:rFonts w:hint="eastAsia" w:ascii="仿宋" w:hAnsi="仿宋" w:eastAsia="仿宋" w:cs="Times New Roman"/>
          <w:b/>
          <w:snapToGrid w:val="0"/>
          <w:kern w:val="2"/>
          <w:sz w:val="28"/>
          <w:szCs w:val="28"/>
          <w:highlight w:val="none"/>
          <w:lang w:val="en-US" w:eastAsia="zh-CN" w:bidi="ar-SA"/>
        </w:rPr>
      </w:pPr>
      <w:r>
        <w:rPr>
          <w:rFonts w:hint="eastAsia" w:ascii="仿宋" w:hAnsi="仿宋" w:eastAsia="仿宋" w:cs="仿宋"/>
          <w:snapToGrid w:val="0"/>
          <w:kern w:val="2"/>
          <w:sz w:val="24"/>
          <w:szCs w:val="21"/>
          <w:highlight w:val="none"/>
          <w:u w:val="single"/>
          <w:lang w:val="zh-CN" w:eastAsia="zh-CN" w:bidi="ar-SA"/>
        </w:rPr>
        <w:br w:type="page"/>
      </w:r>
      <w:r>
        <w:rPr>
          <w:rFonts w:hint="eastAsia" w:ascii="仿宋" w:hAnsi="仿宋" w:eastAsia="仿宋" w:cs="仿宋"/>
          <w:snapToGrid w:val="0"/>
          <w:kern w:val="2"/>
          <w:sz w:val="24"/>
          <w:szCs w:val="21"/>
          <w:highlight w:val="none"/>
          <w:u w:val="none"/>
          <w:lang w:val="en-US" w:eastAsia="zh-CN" w:bidi="ar-SA"/>
        </w:rPr>
        <w:t xml:space="preserve">   </w:t>
      </w:r>
      <w:r>
        <w:rPr>
          <w:rFonts w:hint="eastAsia" w:ascii="仿宋" w:hAnsi="仿宋" w:eastAsia="仿宋" w:cs="Times New Roman"/>
          <w:b/>
          <w:snapToGrid w:val="0"/>
          <w:kern w:val="2"/>
          <w:sz w:val="28"/>
          <w:szCs w:val="28"/>
          <w:highlight w:val="none"/>
          <w:lang w:val="zh-CN" w:eastAsia="zh-CN" w:bidi="ar-SA"/>
        </w:rPr>
        <w:t>镇海区202</w:t>
      </w:r>
      <w:r>
        <w:rPr>
          <w:rFonts w:hint="eastAsia" w:ascii="仿宋" w:hAnsi="仿宋" w:eastAsia="仿宋" w:cs="Times New Roman"/>
          <w:b/>
          <w:snapToGrid w:val="0"/>
          <w:kern w:val="2"/>
          <w:sz w:val="28"/>
          <w:szCs w:val="28"/>
          <w:highlight w:val="none"/>
          <w:lang w:val="en-US" w:eastAsia="zh-CN" w:bidi="ar-SA"/>
        </w:rPr>
        <w:t>5-2026</w:t>
      </w:r>
      <w:r>
        <w:rPr>
          <w:rFonts w:hint="eastAsia" w:ascii="仿宋" w:hAnsi="仿宋" w:eastAsia="仿宋" w:cs="Times New Roman"/>
          <w:b/>
          <w:snapToGrid w:val="0"/>
          <w:kern w:val="2"/>
          <w:sz w:val="28"/>
          <w:szCs w:val="28"/>
          <w:highlight w:val="none"/>
          <w:lang w:val="zh-CN" w:eastAsia="zh-CN" w:bidi="ar-SA"/>
        </w:rPr>
        <w:t>年松材线虫病防治项目</w:t>
      </w:r>
      <w:r>
        <w:rPr>
          <w:rFonts w:hint="eastAsia" w:ascii="仿宋" w:hAnsi="仿宋" w:eastAsia="仿宋" w:cs="Times New Roman"/>
          <w:b/>
          <w:snapToGrid w:val="0"/>
          <w:kern w:val="2"/>
          <w:sz w:val="28"/>
          <w:szCs w:val="28"/>
          <w:highlight w:val="none"/>
          <w:lang w:val="en-US" w:eastAsia="zh-CN" w:bidi="ar-SA"/>
        </w:rPr>
        <w:t>合同</w:t>
      </w:r>
    </w:p>
    <w:p w14:paraId="4057208E">
      <w:pPr>
        <w:widowControl w:val="0"/>
        <w:snapToGrid w:val="0"/>
        <w:spacing w:before="156" w:after="156" w:line="420" w:lineRule="exact"/>
        <w:jc w:val="both"/>
        <w:rPr>
          <w:rFonts w:hint="eastAsia" w:ascii="仿宋" w:hAnsi="仿宋" w:eastAsia="仿宋" w:cs="Times New Roman"/>
          <w:snapToGrid w:val="0"/>
          <w:kern w:val="2"/>
          <w:sz w:val="21"/>
          <w:szCs w:val="21"/>
          <w:highlight w:val="none"/>
          <w:lang w:val="en-US" w:eastAsia="zh-CN" w:bidi="ar-SA"/>
        </w:rPr>
      </w:pPr>
    </w:p>
    <w:p w14:paraId="57C530D7">
      <w:pPr>
        <w:adjustRightInd/>
        <w:spacing w:line="360" w:lineRule="auto"/>
        <w:rPr>
          <w:rFonts w:ascii="仿宋" w:hAnsi="仿宋" w:eastAsia="仿宋" w:cs="Times New Roman"/>
          <w:b/>
          <w:sz w:val="24"/>
          <w:highlight w:val="none"/>
          <w:u w:val="single"/>
        </w:rPr>
      </w:pPr>
      <w:r>
        <w:rPr>
          <w:rFonts w:hint="eastAsia" w:ascii="仿宋" w:hAnsi="仿宋" w:eastAsia="仿宋" w:cs="Times New Roman"/>
          <w:b/>
          <w:sz w:val="24"/>
          <w:highlight w:val="none"/>
        </w:rPr>
        <w:t>甲方（发包人）：</w:t>
      </w:r>
      <w:r>
        <w:rPr>
          <w:rFonts w:hint="eastAsia" w:ascii="仿宋" w:hAnsi="仿宋" w:eastAsia="仿宋" w:cs="Times New Roman"/>
          <w:b/>
          <w:sz w:val="24"/>
          <w:highlight w:val="none"/>
          <w:u w:val="thick"/>
          <w:lang w:eastAsia="zh-CN"/>
        </w:rPr>
        <w:t>宁波市自然资源和规划局镇海分局</w:t>
      </w:r>
      <w:r>
        <w:rPr>
          <w:rFonts w:hint="eastAsia" w:ascii="仿宋" w:hAnsi="仿宋" w:eastAsia="仿宋" w:cs="Times New Roman"/>
          <w:b/>
          <w:sz w:val="24"/>
          <w:highlight w:val="none"/>
          <w:u w:val="thick"/>
        </w:rPr>
        <w:t xml:space="preserve">  </w:t>
      </w:r>
      <w:r>
        <w:rPr>
          <w:rFonts w:hint="eastAsia" w:ascii="仿宋" w:hAnsi="仿宋" w:eastAsia="仿宋" w:cs="Times New Roman"/>
          <w:b/>
          <w:sz w:val="24"/>
          <w:highlight w:val="none"/>
          <w:u w:val="thick"/>
          <w:lang w:val="en-US" w:eastAsia="zh-CN"/>
        </w:rPr>
        <w:t xml:space="preserve">  </w:t>
      </w:r>
      <w:r>
        <w:rPr>
          <w:rFonts w:hint="eastAsia" w:ascii="仿宋" w:hAnsi="仿宋" w:eastAsia="仿宋" w:cs="Times New Roman"/>
          <w:b/>
          <w:sz w:val="24"/>
          <w:highlight w:val="none"/>
          <w:u w:val="thick"/>
        </w:rPr>
        <w:t xml:space="preserve">    </w:t>
      </w:r>
      <w:r>
        <w:rPr>
          <w:rFonts w:hint="eastAsia" w:ascii="仿宋" w:hAnsi="仿宋" w:eastAsia="仿宋" w:cs="宋体"/>
          <w:bCs/>
          <w:szCs w:val="21"/>
          <w:highlight w:val="none"/>
        </w:rPr>
        <w:t>（以下简称甲方）</w:t>
      </w:r>
    </w:p>
    <w:p w14:paraId="1679F88E">
      <w:pPr>
        <w:adjustRightInd/>
        <w:spacing w:line="360" w:lineRule="auto"/>
        <w:rPr>
          <w:rFonts w:ascii="仿宋" w:hAnsi="仿宋" w:eastAsia="仿宋" w:cs="Times New Roman"/>
          <w:b/>
          <w:sz w:val="24"/>
          <w:highlight w:val="none"/>
        </w:rPr>
      </w:pPr>
      <w:r>
        <w:rPr>
          <w:rFonts w:hint="eastAsia" w:ascii="仿宋" w:hAnsi="仿宋" w:eastAsia="仿宋" w:cs="Times New Roman"/>
          <w:b/>
          <w:sz w:val="24"/>
          <w:highlight w:val="none"/>
        </w:rPr>
        <w:t>乙方（承包人）：</w:t>
      </w:r>
      <w:r>
        <w:rPr>
          <w:rFonts w:hint="eastAsia" w:ascii="仿宋" w:hAnsi="仿宋" w:eastAsia="仿宋" w:cs="Times New Roman"/>
          <w:b/>
          <w:sz w:val="24"/>
          <w:highlight w:val="none"/>
          <w:u w:val="single"/>
          <w:lang w:val="en-US" w:eastAsia="zh-CN"/>
        </w:rPr>
        <w:t xml:space="preserve">                           </w:t>
      </w:r>
      <w:r>
        <w:rPr>
          <w:rFonts w:hint="eastAsia" w:ascii="仿宋" w:hAnsi="仿宋" w:eastAsia="仿宋" w:cs="Times New Roman"/>
          <w:b/>
          <w:sz w:val="24"/>
          <w:highlight w:val="none"/>
          <w:u w:val="single"/>
        </w:rPr>
        <w:t xml:space="preserve">           </w:t>
      </w:r>
      <w:r>
        <w:rPr>
          <w:rFonts w:hint="eastAsia" w:ascii="仿宋" w:hAnsi="仿宋" w:eastAsia="仿宋" w:cs="宋体"/>
          <w:bCs/>
          <w:szCs w:val="21"/>
          <w:highlight w:val="none"/>
        </w:rPr>
        <w:t>（以下简称乙方）</w:t>
      </w:r>
    </w:p>
    <w:p w14:paraId="69FD4099">
      <w:pPr>
        <w:adjustRightInd/>
        <w:spacing w:line="360" w:lineRule="auto"/>
        <w:ind w:firstLine="420" w:firstLineChars="200"/>
        <w:rPr>
          <w:rFonts w:hint="eastAsia" w:ascii="仿宋" w:hAnsi="仿宋" w:eastAsia="仿宋" w:cs="Times New Roman"/>
          <w:szCs w:val="21"/>
          <w:highlight w:val="none"/>
        </w:rPr>
      </w:pPr>
    </w:p>
    <w:p w14:paraId="029F7AFF">
      <w:pPr>
        <w:adjustRightInd/>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zh-CN"/>
        </w:rPr>
        <w:t>年</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zh-CN"/>
        </w:rPr>
        <w:t>月</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zh-CN"/>
        </w:rPr>
        <w:t>日，</w:t>
      </w:r>
      <w:r>
        <w:rPr>
          <w:rFonts w:hint="eastAsia" w:ascii="仿宋" w:hAnsi="仿宋" w:eastAsia="仿宋" w:cs="仿宋"/>
          <w:sz w:val="24"/>
          <w:highlight w:val="none"/>
          <w:u w:val="single"/>
          <w:lang w:eastAsia="zh-CN"/>
        </w:rPr>
        <w:t>宁波市自然资源和规划局镇海分局</w:t>
      </w:r>
      <w:r>
        <w:rPr>
          <w:rFonts w:hint="eastAsia" w:ascii="仿宋" w:hAnsi="仿宋" w:eastAsia="仿宋" w:cs="仿宋"/>
          <w:sz w:val="24"/>
          <w:highlight w:val="none"/>
          <w:lang w:val="zh-CN"/>
        </w:rPr>
        <w:t>以</w:t>
      </w:r>
      <w:r>
        <w:rPr>
          <w:rFonts w:hint="eastAsia" w:ascii="仿宋" w:hAnsi="仿宋" w:eastAsia="仿宋" w:cs="仿宋"/>
          <w:sz w:val="24"/>
          <w:highlight w:val="none"/>
          <w:u w:val="single"/>
          <w:lang w:val="zh-CN"/>
        </w:rPr>
        <w:t>公开招标方式</w:t>
      </w:r>
      <w:r>
        <w:rPr>
          <w:rFonts w:hint="eastAsia" w:ascii="仿宋" w:hAnsi="仿宋" w:eastAsia="仿宋" w:cs="仿宋"/>
          <w:sz w:val="24"/>
          <w:highlight w:val="none"/>
          <w:lang w:val="zh-CN"/>
        </w:rPr>
        <w:t>对</w:t>
      </w:r>
      <w:r>
        <w:rPr>
          <w:rFonts w:hint="eastAsia" w:ascii="仿宋" w:hAnsi="仿宋" w:eastAsia="仿宋" w:cs="仿宋"/>
          <w:sz w:val="24"/>
          <w:highlight w:val="none"/>
          <w:u w:val="single"/>
          <w:lang w:val="zh-CN"/>
        </w:rPr>
        <w:t>镇海区</w:t>
      </w:r>
      <w:r>
        <w:rPr>
          <w:rFonts w:hint="eastAsia" w:ascii="仿宋" w:hAnsi="仿宋" w:eastAsia="仿宋" w:cs="仿宋"/>
          <w:sz w:val="24"/>
          <w:highlight w:val="none"/>
          <w:u w:val="single"/>
          <w:lang w:val="en-US" w:eastAsia="zh-CN"/>
        </w:rPr>
        <w:t>2025-2026年松材线虫病防治</w:t>
      </w:r>
      <w:r>
        <w:rPr>
          <w:rFonts w:hint="eastAsia" w:ascii="仿宋" w:hAnsi="仿宋" w:eastAsia="仿宋" w:cs="仿宋"/>
          <w:sz w:val="24"/>
          <w:highlight w:val="none"/>
          <w:u w:val="single"/>
          <w:lang w:val="zh-CN"/>
        </w:rPr>
        <w:t>项目</w:t>
      </w:r>
      <w:r>
        <w:rPr>
          <w:rFonts w:hint="eastAsia" w:ascii="仿宋" w:hAnsi="仿宋" w:eastAsia="仿宋" w:cs="仿宋"/>
          <w:sz w:val="24"/>
          <w:highlight w:val="none"/>
          <w:lang w:val="zh-CN"/>
        </w:rPr>
        <w:t>进行了采购。经评标委员会评审，</w:t>
      </w:r>
      <w:r>
        <w:rPr>
          <w:rFonts w:hint="eastAsia" w:ascii="仿宋" w:hAnsi="仿宋" w:eastAsia="仿宋" w:cs="仿宋"/>
          <w:sz w:val="24"/>
          <w:highlight w:val="none"/>
          <w:u w:val="single"/>
          <w:lang w:eastAsia="zh-CN"/>
        </w:rPr>
        <w:t>宁波市自然资源和规划局镇海分局</w:t>
      </w:r>
      <w:r>
        <w:rPr>
          <w:rFonts w:hint="eastAsia" w:ascii="仿宋" w:hAnsi="仿宋" w:eastAsia="仿宋" w:cs="仿宋"/>
          <w:sz w:val="24"/>
          <w:highlight w:val="none"/>
          <w:lang w:val="zh-CN"/>
        </w:rPr>
        <w:t>确定，</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zh-CN"/>
        </w:rPr>
        <w:t>为该项目中标供应商。现于中标通知书发出之日起三十日内，按照采购文件确定的事项签订本合同。</w:t>
      </w:r>
    </w:p>
    <w:p w14:paraId="7BE01F1B">
      <w:pPr>
        <w:adjustRightInd/>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highlight w:val="none"/>
          <w:u w:val="single"/>
          <w:lang w:val="zh-CN"/>
        </w:rPr>
        <w:t>宁波市</w:t>
      </w:r>
      <w:r>
        <w:rPr>
          <w:rFonts w:hint="eastAsia" w:ascii="仿宋" w:hAnsi="仿宋" w:eastAsia="仿宋" w:cs="仿宋"/>
          <w:sz w:val="24"/>
          <w:highlight w:val="none"/>
          <w:u w:val="single"/>
          <w:lang w:eastAsia="zh-CN"/>
        </w:rPr>
        <w:t>自然资源和规划局镇海分局</w:t>
      </w:r>
      <w:r>
        <w:rPr>
          <w:rFonts w:hint="eastAsia" w:ascii="仿宋" w:hAnsi="仿宋" w:eastAsia="仿宋" w:cs="仿宋"/>
          <w:sz w:val="24"/>
          <w:highlight w:val="none"/>
          <w:lang w:val="zh-CN"/>
        </w:rPr>
        <w:t>(以下简称：甲方)和</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zh-CN"/>
        </w:rPr>
        <w:t>(以下简称：乙方)协商一致，约定以下合同</w:t>
      </w:r>
      <w:r>
        <w:rPr>
          <w:rFonts w:hint="eastAsia" w:ascii="仿宋" w:hAnsi="仿宋" w:eastAsia="仿宋" w:cs="仿宋"/>
          <w:sz w:val="24"/>
          <w:highlight w:val="none"/>
        </w:rPr>
        <w:t>条款，以兹共同遵守、全面履行。</w:t>
      </w:r>
    </w:p>
    <w:p w14:paraId="065568C8">
      <w:pPr>
        <w:adjustRightInd w:val="0"/>
        <w:spacing w:line="360" w:lineRule="auto"/>
        <w:ind w:firstLine="482" w:firstLineChars="200"/>
        <w:outlineLvl w:val="0"/>
        <w:rPr>
          <w:rFonts w:ascii="仿宋" w:hAnsi="仿宋" w:eastAsia="仿宋" w:cs="仿宋"/>
          <w:b/>
          <w:sz w:val="24"/>
          <w:highlight w:val="none"/>
        </w:rPr>
      </w:pPr>
      <w:bookmarkStart w:id="404" w:name="_Toc24059"/>
      <w:bookmarkStart w:id="405" w:name="_Toc3029"/>
      <w:bookmarkStart w:id="406" w:name="_Toc2232"/>
      <w:r>
        <w:rPr>
          <w:rFonts w:hint="eastAsia" w:ascii="仿宋" w:hAnsi="仿宋" w:eastAsia="仿宋" w:cs="仿宋"/>
          <w:b/>
          <w:sz w:val="24"/>
          <w:highlight w:val="none"/>
        </w:rPr>
        <w:t>1、定义</w:t>
      </w:r>
    </w:p>
    <w:p w14:paraId="1BD105F3">
      <w:pPr>
        <w:adjustRightInd/>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本合同中的下列词语应按以下内容进行解释：</w:t>
      </w:r>
    </w:p>
    <w:p w14:paraId="66DD0217">
      <w:pPr>
        <w:adjustRightInd/>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1.1“合同”系指采购人和中标供应商签订的载明双方当事人所达成的协议，并包括所有的附件、附录和构成合同的其他文件。</w:t>
      </w:r>
    </w:p>
    <w:p w14:paraId="58F9A098">
      <w:pPr>
        <w:adjustRightInd/>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1.2“合同价”系指根据合同约定，中标供应商在完全履行合同义务后，采购人应支付给中标供应商的价格。</w:t>
      </w:r>
    </w:p>
    <w:p w14:paraId="7576D059">
      <w:pPr>
        <w:adjustRightInd/>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1.3“服务”系指中标供应商根据合同约定应为采购人提供的一切服务。</w:t>
      </w:r>
    </w:p>
    <w:p w14:paraId="4FBB35C3">
      <w:pPr>
        <w:adjustRightInd/>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1.4“甲方”系指与中标供应商签署合同的采购人；采购人委托采购代理机构代表其与乙方签订合同的，采购人的授权委托书作为合同附件。</w:t>
      </w:r>
    </w:p>
    <w:p w14:paraId="00606D77">
      <w:pPr>
        <w:adjustRightInd/>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1.5“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FFE64CD">
      <w:pPr>
        <w:adjustRightInd/>
        <w:spacing w:line="360" w:lineRule="auto"/>
        <w:ind w:firstLine="480" w:firstLineChars="200"/>
        <w:rPr>
          <w:rFonts w:ascii="仿宋" w:hAnsi="仿宋" w:eastAsia="仿宋" w:cs="仿宋"/>
          <w:b/>
          <w:sz w:val="24"/>
          <w:highlight w:val="none"/>
        </w:rPr>
      </w:pPr>
      <w:r>
        <w:rPr>
          <w:rFonts w:hint="eastAsia" w:ascii="仿宋" w:hAnsi="仿宋" w:eastAsia="仿宋" w:cs="仿宋"/>
          <w:sz w:val="24"/>
          <w:highlight w:val="none"/>
        </w:rPr>
        <w:t>1.6“现场”系指合同约定中标供应商为采购人提供服务的地点。</w:t>
      </w:r>
    </w:p>
    <w:p w14:paraId="6B226959">
      <w:pPr>
        <w:adjustRightInd w:val="0"/>
        <w:spacing w:line="360" w:lineRule="auto"/>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2、合同组成部分</w:t>
      </w:r>
      <w:bookmarkEnd w:id="404"/>
      <w:bookmarkEnd w:id="405"/>
      <w:bookmarkEnd w:id="406"/>
    </w:p>
    <w:p w14:paraId="58237A37">
      <w:pPr>
        <w:adjustRightInd/>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23B11A24">
      <w:pPr>
        <w:adjustRightInd/>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2.1本合同及其补充合同、变更协议；</w:t>
      </w:r>
    </w:p>
    <w:p w14:paraId="051901F5">
      <w:pPr>
        <w:adjustRightInd/>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2.2中标通知书；</w:t>
      </w:r>
    </w:p>
    <w:p w14:paraId="3841D53F">
      <w:pPr>
        <w:adjustRightInd/>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2.3投标文件（含澄清或者说明文件）；</w:t>
      </w:r>
    </w:p>
    <w:p w14:paraId="475DD172">
      <w:pPr>
        <w:adjustRightInd/>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2.4招标文件（含澄清或者修改文件）；</w:t>
      </w:r>
    </w:p>
    <w:p w14:paraId="2621A4E7">
      <w:pPr>
        <w:adjustRightInd/>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2.5其他相关采购文件。</w:t>
      </w:r>
    </w:p>
    <w:p w14:paraId="36534B85">
      <w:pPr>
        <w:adjustRightInd w:val="0"/>
        <w:spacing w:line="360" w:lineRule="auto"/>
        <w:ind w:firstLine="482" w:firstLineChars="200"/>
        <w:outlineLvl w:val="0"/>
        <w:rPr>
          <w:rFonts w:ascii="仿宋" w:hAnsi="仿宋" w:eastAsia="仿宋" w:cs="仿宋"/>
          <w:b/>
          <w:sz w:val="24"/>
          <w:highlight w:val="none"/>
        </w:rPr>
      </w:pPr>
      <w:bookmarkStart w:id="407" w:name="_Toc24300"/>
      <w:bookmarkStart w:id="408" w:name="_Toc27126"/>
      <w:bookmarkStart w:id="409" w:name="_Toc21295"/>
      <w:r>
        <w:rPr>
          <w:rFonts w:hint="eastAsia" w:ascii="仿宋" w:hAnsi="仿宋" w:eastAsia="仿宋" w:cs="仿宋"/>
          <w:b/>
          <w:sz w:val="24"/>
          <w:highlight w:val="none"/>
        </w:rPr>
        <w:t>3、</w:t>
      </w:r>
      <w:bookmarkEnd w:id="407"/>
      <w:bookmarkEnd w:id="408"/>
      <w:bookmarkEnd w:id="409"/>
      <w:r>
        <w:rPr>
          <w:rFonts w:hint="eastAsia" w:ascii="仿宋" w:hAnsi="仿宋" w:eastAsia="仿宋" w:cs="仿宋"/>
          <w:b/>
          <w:sz w:val="24"/>
          <w:highlight w:val="none"/>
        </w:rPr>
        <w:t>服务内容</w:t>
      </w:r>
    </w:p>
    <w:p w14:paraId="7CA0DB9D">
      <w:pPr>
        <w:adjustRightInd/>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3.1日常监测服务</w:t>
      </w:r>
    </w:p>
    <w:p w14:paraId="09695E98">
      <w:pPr>
        <w:adjustRightInd/>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2025年11月-2026年8月每个月人工或使用无人机全面巡查一次九龙湖镇和澥浦镇松林区域，并出具监测报告，提交采购人确认。</w:t>
      </w:r>
    </w:p>
    <w:p w14:paraId="48A52F4F">
      <w:pPr>
        <w:adjustRightInd/>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3.2枯死木处理</w:t>
      </w:r>
    </w:p>
    <w:p w14:paraId="7FCCD857">
      <w:pPr>
        <w:adjustRightInd/>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（1）清理范围及对象</w:t>
      </w:r>
    </w:p>
    <w:p w14:paraId="12AF79C5">
      <w:pPr>
        <w:adjustRightInd/>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对九龙湖镇和澥浦镇全部松林中的病死（濒死、枯死、因灾致死）松树择伐除治，每年11月至次年3月底集中清理，在集中除治期外，对零星死亡松树开展“即现即清”，严格要求“510”除治标准。</w:t>
      </w:r>
    </w:p>
    <w:p w14:paraId="01B1CA28">
      <w:pPr>
        <w:adjustRightInd/>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（2）枯死木和枝桠清理技术要求</w:t>
      </w:r>
    </w:p>
    <w:p w14:paraId="5621148C">
      <w:pPr>
        <w:adjustRightInd/>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当日采伐量根据疫木处理能力和监管能力决定，合理安排疫木采伐进度，确保当日采伐当日除害处理，防止枯死木外流，避免造成疫情扩散。伐桩高度以上坡方向高度为准，不得超过5厘米。采伐的枯死木和直径超过1.0厘米的枝桠必须下山于指定处烧毁处置。中标人必须按技术要求无偿进行清理。</w:t>
      </w:r>
    </w:p>
    <w:p w14:paraId="3A6AE915">
      <w:pPr>
        <w:adjustRightInd/>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（3）清理操作规范</w:t>
      </w:r>
    </w:p>
    <w:p w14:paraId="25F6BCE2">
      <w:pPr>
        <w:adjustRightInd/>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①封锁现场。任何无关人员及车辆不得随意进入枯死木采伐和清理处理区域，由中标人设立巡查小组，做好安全警戒工作，杜绝枯死木流失。</w:t>
      </w:r>
    </w:p>
    <w:p w14:paraId="73CD48C7">
      <w:pPr>
        <w:adjustRightInd/>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②枯死木采伐。枯死木当日采伐当日处理。每天的采伐量须根据当日处理量决定，伐倒的枯死木必须当天进行除害处理，防止枯死木流失造成疫情扩散。</w:t>
      </w:r>
    </w:p>
    <w:p w14:paraId="6453694A">
      <w:pPr>
        <w:adjustRightInd/>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③清理物归堆集中烧毁要充分考虑到环境及气候条件的实际情况，最大火场不能超过2.5个立方米。焚烧开始时尽可能少放枝条，待碳炙火旺后再适当加大枝条投放量，以防烟雾过大加重空气污染。烧毁的枯死木除治物要符合碳化程度的规定，不能出现有木质部尚且完好的木段遗留火场。燃尽剩下的灰烬可就地堆放，如遇较大的灰烬堆阻碍施工或者通行，可以就地摊开摊薄。</w:t>
      </w:r>
    </w:p>
    <w:p w14:paraId="7BF917D1">
      <w:pPr>
        <w:adjustRightInd/>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④做好用火安全工作。分局负责枯死木清理过程中的安全生产督查和指导，避免发生安全生产事故。焚烧现场要开辟足够的安全距离区域作为安全隔离带，焚烧区外围边距必须足够的清空区域，在确定无隐患后方可对销毁物进行点火。中标人要对焚烧过程中所产生的烟气作妥善处置，降低对环境空气的不利影响（尽可能避开雾霾、阴霾天气焚烧）。焚烧应合理安排时间，并按照当地气象部门有关大气污染预警响应的通知要求执行。加强对作业人员的用火安全培训，组建相关的防火队伍，并配备相应的灭火器材。火堆必须保持有人看管，焚烧除治结束后，看管火堆的人员必须等到火苗熄尽，确认现场不再有火星后方可离开现场。在疫木焚烧时必须自觉做到“五不烧”（即∶风力在三级以上不烧；火险天气等级在四级（含四级）以上不烧；扑火工具不到位不烧；用火责任人不在场不烧；上山火不烧，严防走火）。</w:t>
      </w:r>
    </w:p>
    <w:p w14:paraId="68202194">
      <w:pPr>
        <w:adjustRightInd/>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（4）清理过程监管</w:t>
      </w:r>
    </w:p>
    <w:p w14:paraId="771BFB2C">
      <w:pPr>
        <w:adjustRightInd/>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由采购人委托第三方做好质量监管，主要负责枯死木清理和打针注药的质量监管工作，根据防治方案技术要求标准，检查中标人山场枯死木的砍伐、清理、焚烧以及打针注药的工作和效果，录像或拍照保存，做好各类台账，做到严格监管和及时报告。乡镇负责施工现场监管，包括安全生产、疫木管理、森林防火等各方面工作，及时发现并处置不符合规范的行为，严防疫木流失，严防疫情扩散。中标人要严格按照清理方案的要求，认真填写除治记录，对枯死木的采伐、清理进行全程录像或拍照保存，整理好各类台账，形成一整套档案资料，随时接受分局的检查和监督。</w:t>
      </w:r>
    </w:p>
    <w:p w14:paraId="068EAA94">
      <w:pPr>
        <w:adjustRightInd/>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3.3打孔注药防治</w:t>
      </w:r>
    </w:p>
    <w:p w14:paraId="1E64DC4A">
      <w:pPr>
        <w:adjustRightInd/>
        <w:spacing w:line="360" w:lineRule="auto"/>
        <w:ind w:firstLine="480" w:firstLineChars="200"/>
        <w:rPr>
          <w:rFonts w:hint="eastAsia" w:ascii="仿宋" w:hAnsi="仿宋" w:eastAsia="仿宋" w:cs="仿宋"/>
          <w:sz w:val="24"/>
          <w:highlight w:val="none"/>
          <w:lang w:val="en-US" w:eastAsia="zh-CN"/>
        </w:rPr>
      </w:pPr>
      <w:bookmarkStart w:id="410" w:name="_Toc23292"/>
      <w:bookmarkStart w:id="411" w:name="_Toc21551"/>
      <w:bookmarkStart w:id="412" w:name="_Toc21631"/>
      <w:r>
        <w:rPr>
          <w:rFonts w:hint="eastAsia" w:ascii="仿宋" w:hAnsi="仿宋" w:eastAsia="仿宋" w:cs="仿宋"/>
          <w:sz w:val="24"/>
          <w:highlight w:val="none"/>
          <w:lang w:val="en-US" w:eastAsia="zh-CN"/>
        </w:rPr>
        <w:t>对重点防治区域、重点保护松树、伐桩周边松树进行打孔注药处理。使用松材线虫病免疫针剂（农药登记、生产、农药标准齐全）进行注药，记录注射情况，定位注射松树，登记建立档案，上传“数字森防”系统，做到过程可追溯。并对注药后一月内的空瓶进行回收。要求免疫防治至少50000棵。技术标准需符合《浙江省打孔注药防治松材线虫病实施方案（2022版）》（浙林防指办[2022]5号），并做好台账记录。注药全部完成后，采购人委托第三方抽检验收打孔注药工作质量。</w:t>
      </w:r>
    </w:p>
    <w:p w14:paraId="4158CEC1">
      <w:pPr>
        <w:adjustRightInd w:val="0"/>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4、价款</w:t>
      </w:r>
      <w:bookmarkEnd w:id="410"/>
      <w:bookmarkEnd w:id="411"/>
      <w:bookmarkEnd w:id="412"/>
    </w:p>
    <w:p w14:paraId="06A11F4A">
      <w:pPr>
        <w:adjustRightInd/>
        <w:spacing w:line="360" w:lineRule="auto"/>
        <w:ind w:firstLine="480" w:firstLineChars="200"/>
        <w:rPr>
          <w:rFonts w:hint="eastAsia" w:ascii="仿宋" w:hAnsi="仿宋" w:eastAsia="仿宋" w:cs="Times New Roman"/>
          <w:sz w:val="24"/>
          <w:highlight w:val="none"/>
        </w:rPr>
      </w:pPr>
      <w:r>
        <w:rPr>
          <w:rFonts w:hint="eastAsia" w:ascii="仿宋" w:hAnsi="仿宋" w:eastAsia="仿宋" w:cs="仿宋"/>
          <w:sz w:val="24"/>
          <w:highlight w:val="none"/>
        </w:rPr>
        <w:t>4.1</w:t>
      </w:r>
      <w:r>
        <w:rPr>
          <w:rFonts w:hint="eastAsia" w:ascii="仿宋" w:hAnsi="仿宋" w:eastAsia="仿宋" w:cs="Times New Roman"/>
          <w:sz w:val="24"/>
          <w:highlight w:val="none"/>
        </w:rPr>
        <w:t>本合同总价（大写）：</w:t>
      </w:r>
      <w:r>
        <w:rPr>
          <w:rFonts w:hint="eastAsia" w:ascii="仿宋" w:hAnsi="仿宋" w:eastAsia="仿宋" w:cs="Times New Roman"/>
          <w:sz w:val="24"/>
          <w:highlight w:val="none"/>
          <w:u w:val="single"/>
          <w:lang w:val="en-US" w:eastAsia="zh-CN"/>
        </w:rPr>
        <w:t xml:space="preserve">         </w:t>
      </w:r>
      <w:r>
        <w:rPr>
          <w:rFonts w:hint="eastAsia" w:ascii="仿宋" w:hAnsi="仿宋" w:eastAsia="仿宋" w:cs="Times New Roman"/>
          <w:sz w:val="24"/>
          <w:highlight w:val="none"/>
          <w:u w:val="single"/>
          <w:lang w:eastAsia="zh-CN"/>
        </w:rPr>
        <w:t>元</w:t>
      </w:r>
      <w:r>
        <w:rPr>
          <w:rFonts w:hint="eastAsia" w:ascii="仿宋" w:hAnsi="仿宋" w:eastAsia="仿宋" w:cs="Times New Roman"/>
          <w:sz w:val="24"/>
          <w:highlight w:val="none"/>
        </w:rPr>
        <w:t>；（小写）：</w:t>
      </w:r>
      <w:r>
        <w:rPr>
          <w:rFonts w:hint="eastAsia" w:ascii="仿宋" w:hAnsi="仿宋" w:eastAsia="仿宋" w:cs="Times New Roman"/>
          <w:sz w:val="24"/>
          <w:highlight w:val="none"/>
          <w:u w:val="single"/>
          <w:lang w:val="en-US" w:eastAsia="zh-CN"/>
        </w:rPr>
        <w:t xml:space="preserve">       元</w:t>
      </w:r>
      <w:r>
        <w:rPr>
          <w:rFonts w:hint="eastAsia" w:ascii="仿宋" w:hAnsi="仿宋" w:eastAsia="仿宋" w:cs="Times New Roman"/>
          <w:sz w:val="24"/>
          <w:highlight w:val="none"/>
        </w:rPr>
        <w:t>。</w:t>
      </w:r>
    </w:p>
    <w:p w14:paraId="1ABBDD80">
      <w:pPr>
        <w:adjustRightInd w:val="0"/>
        <w:spacing w:line="360" w:lineRule="auto"/>
        <w:ind w:firstLine="482" w:firstLineChars="200"/>
        <w:outlineLvl w:val="0"/>
        <w:rPr>
          <w:rFonts w:ascii="仿宋" w:hAnsi="仿宋" w:eastAsia="仿宋" w:cs="仿宋"/>
          <w:b/>
          <w:sz w:val="24"/>
          <w:highlight w:val="none"/>
        </w:rPr>
      </w:pPr>
      <w:bookmarkStart w:id="413" w:name="_Toc10340"/>
      <w:bookmarkStart w:id="414" w:name="_Toc1814"/>
      <w:bookmarkStart w:id="415" w:name="_Toc22618"/>
      <w:r>
        <w:rPr>
          <w:rFonts w:hint="eastAsia" w:ascii="仿宋" w:hAnsi="仿宋" w:eastAsia="仿宋" w:cs="仿宋"/>
          <w:b/>
          <w:sz w:val="24"/>
          <w:highlight w:val="none"/>
        </w:rPr>
        <w:t>5、付款</w:t>
      </w:r>
      <w:bookmarkEnd w:id="413"/>
      <w:bookmarkEnd w:id="414"/>
      <w:bookmarkEnd w:id="415"/>
      <w:r>
        <w:rPr>
          <w:rFonts w:hint="eastAsia" w:ascii="仿宋" w:hAnsi="仿宋" w:eastAsia="仿宋" w:cs="仿宋"/>
          <w:b/>
          <w:sz w:val="24"/>
          <w:highlight w:val="none"/>
        </w:rPr>
        <w:t>方式、时间和条件</w:t>
      </w:r>
    </w:p>
    <w:p w14:paraId="3D93F61F">
      <w:pPr>
        <w:widowControl/>
        <w:adjustRightInd/>
        <w:spacing w:before="0" w:beforeAutospacing="0" w:after="0" w:afterAutospacing="0" w:line="360" w:lineRule="auto"/>
        <w:ind w:firstLine="480"/>
        <w:jc w:val="left"/>
        <w:rPr>
          <w:rFonts w:hint="eastAsia" w:ascii="仿宋" w:hAnsi="仿宋" w:eastAsia="仿宋" w:cs="仿宋"/>
          <w:kern w:val="2"/>
          <w:sz w:val="24"/>
          <w:szCs w:val="24"/>
          <w:highlight w:val="none"/>
          <w:u w:val="single"/>
          <w:lang w:val="en-US" w:eastAsia="zh-CN" w:bidi="ar-SA"/>
        </w:rPr>
      </w:pPr>
      <w:bookmarkStart w:id="416" w:name="_Toc32071"/>
      <w:bookmarkStart w:id="417" w:name="_Toc2846"/>
      <w:bookmarkStart w:id="418" w:name="_Toc19304"/>
      <w:r>
        <w:rPr>
          <w:rFonts w:hint="eastAsia" w:ascii="仿宋" w:hAnsi="仿宋" w:eastAsia="仿宋" w:cs="仿宋"/>
          <w:kern w:val="2"/>
          <w:sz w:val="24"/>
          <w:szCs w:val="24"/>
          <w:highlight w:val="none"/>
          <w:lang w:val="en-US" w:eastAsia="zh-CN" w:bidi="ar-SA"/>
        </w:rPr>
        <w:t>5.1资金支付的方式、时间和条件：</w:t>
      </w:r>
    </w:p>
    <w:p w14:paraId="590E8C2B">
      <w:pPr>
        <w:widowControl/>
        <w:adjustRightInd/>
        <w:spacing w:before="0" w:beforeAutospacing="0" w:after="0" w:afterAutospacing="0" w:line="360" w:lineRule="auto"/>
        <w:ind w:firstLine="480"/>
        <w:jc w:val="left"/>
        <w:rPr>
          <w:rFonts w:hint="eastAsia" w:ascii="仿宋" w:hAnsi="仿宋" w:eastAsia="仿宋" w:cs="仿宋"/>
          <w:b/>
          <w:i/>
          <w:kern w:val="0"/>
          <w:sz w:val="24"/>
          <w:szCs w:val="24"/>
          <w:highlight w:val="none"/>
          <w:u w:val="single"/>
          <w:lang w:val="en-US" w:eastAsia="zh-CN" w:bidi="ar-SA"/>
        </w:rPr>
      </w:pPr>
      <w:r>
        <w:rPr>
          <w:rFonts w:hint="eastAsia" w:ascii="仿宋" w:hAnsi="仿宋" w:eastAsia="仿宋" w:cs="仿宋"/>
          <w:b/>
          <w:i/>
          <w:kern w:val="0"/>
          <w:sz w:val="24"/>
          <w:szCs w:val="24"/>
          <w:highlight w:val="none"/>
          <w:u w:val="single"/>
          <w:lang w:val="en-US" w:eastAsia="zh-CN" w:bidi="ar-SA"/>
        </w:rPr>
        <w:t>合同签订后7个工作日内支付合同价款的70%，即         元；打孔注药工作完成“数字森防”上图后支付合同价款的25%，即        元；2026年9月底一次性无息付清余款，即       元。</w:t>
      </w:r>
    </w:p>
    <w:p w14:paraId="4AF925CB">
      <w:pPr>
        <w:widowControl/>
        <w:adjustRightInd/>
        <w:spacing w:before="0" w:beforeAutospacing="0" w:after="0" w:afterAutospacing="0" w:line="360" w:lineRule="auto"/>
        <w:ind w:firstLine="480"/>
        <w:jc w:val="left"/>
        <w:rPr>
          <w:rFonts w:ascii="仿宋" w:hAnsi="仿宋" w:eastAsia="仿宋" w:cs="仿宋"/>
          <w:kern w:val="2"/>
          <w:sz w:val="24"/>
          <w:szCs w:val="24"/>
          <w:highlight w:val="none"/>
          <w:u w:val="single"/>
          <w:lang w:val="en-US" w:eastAsia="zh-CN" w:bidi="ar-SA"/>
        </w:rPr>
      </w:pPr>
      <w:r>
        <w:rPr>
          <w:rFonts w:hint="eastAsia" w:ascii="仿宋" w:hAnsi="仿宋" w:eastAsia="仿宋" w:cs="仿宋"/>
          <w:b/>
          <w:i/>
          <w:kern w:val="0"/>
          <w:sz w:val="24"/>
          <w:szCs w:val="24"/>
          <w:highlight w:val="none"/>
          <w:u w:val="single"/>
          <w:lang w:val="en-US" w:eastAsia="zh-CN" w:bidi="ar-SA"/>
        </w:rPr>
        <w:t>在签订合同时，乙方明确表示无需预付款或者主动要求降低预付款比例的，以乙方意愿为准。</w:t>
      </w:r>
    </w:p>
    <w:p w14:paraId="535F5D82">
      <w:pPr>
        <w:widowControl/>
        <w:adjustRightInd/>
        <w:spacing w:before="0" w:beforeAutospacing="0" w:after="0" w:afterAutospacing="0" w:line="360" w:lineRule="auto"/>
        <w:ind w:firstLine="480"/>
        <w:jc w:val="left"/>
        <w:rPr>
          <w:rFonts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5.2乙方收款账户：</w:t>
      </w:r>
    </w:p>
    <w:p w14:paraId="6E0043D7">
      <w:pPr>
        <w:autoSpaceDE w:val="0"/>
        <w:autoSpaceDN w:val="0"/>
        <w:adjustRightInd/>
        <w:spacing w:line="360" w:lineRule="auto"/>
        <w:ind w:left="1470" w:leftChars="700"/>
        <w:rPr>
          <w:rFonts w:ascii="仿宋" w:hAnsi="仿宋" w:eastAsia="仿宋" w:cs="仿宋"/>
          <w:sz w:val="24"/>
          <w:highlight w:val="none"/>
        </w:rPr>
      </w:pPr>
      <w:r>
        <w:rPr>
          <w:rFonts w:hint="eastAsia" w:ascii="仿宋" w:hAnsi="仿宋" w:eastAsia="仿宋" w:cs="仿宋"/>
          <w:sz w:val="24"/>
          <w:highlight w:val="none"/>
        </w:rPr>
        <w:t>开户银行：</w:t>
      </w:r>
      <w:r>
        <w:rPr>
          <w:rFonts w:hint="eastAsia" w:ascii="仿宋" w:hAnsi="仿宋" w:eastAsia="仿宋" w:cs="仿宋"/>
          <w:b/>
          <w:bCs/>
          <w:i/>
          <w:iCs/>
          <w:sz w:val="24"/>
          <w:highlight w:val="none"/>
          <w:u w:val="single"/>
        </w:rPr>
        <w:t xml:space="preserve">                          </w:t>
      </w:r>
    </w:p>
    <w:p w14:paraId="5AB7B3F2">
      <w:pPr>
        <w:autoSpaceDE w:val="0"/>
        <w:autoSpaceDN w:val="0"/>
        <w:adjustRightInd/>
        <w:spacing w:line="360" w:lineRule="auto"/>
        <w:ind w:left="1470" w:leftChars="700"/>
        <w:rPr>
          <w:rFonts w:ascii="仿宋" w:hAnsi="仿宋" w:eastAsia="仿宋" w:cs="仿宋"/>
          <w:sz w:val="24"/>
          <w:highlight w:val="none"/>
        </w:rPr>
      </w:pPr>
      <w:r>
        <w:rPr>
          <w:rFonts w:hint="eastAsia" w:ascii="仿宋" w:hAnsi="仿宋" w:eastAsia="仿宋" w:cs="仿宋"/>
          <w:sz w:val="24"/>
          <w:highlight w:val="none"/>
        </w:rPr>
        <w:t>开户名称：</w:t>
      </w:r>
      <w:r>
        <w:rPr>
          <w:rFonts w:hint="eastAsia" w:ascii="仿宋" w:hAnsi="仿宋" w:eastAsia="仿宋" w:cs="仿宋"/>
          <w:b/>
          <w:bCs/>
          <w:i/>
          <w:iCs/>
          <w:sz w:val="24"/>
          <w:highlight w:val="none"/>
          <w:u w:val="single"/>
        </w:rPr>
        <w:t xml:space="preserve">                          </w:t>
      </w:r>
    </w:p>
    <w:p w14:paraId="2763F27D">
      <w:pPr>
        <w:autoSpaceDE w:val="0"/>
        <w:autoSpaceDN w:val="0"/>
        <w:adjustRightInd/>
        <w:spacing w:line="360" w:lineRule="auto"/>
        <w:ind w:left="1470" w:leftChars="700"/>
        <w:rPr>
          <w:rFonts w:ascii="仿宋" w:hAnsi="仿宋" w:eastAsia="仿宋" w:cs="仿宋"/>
          <w:sz w:val="24"/>
          <w:highlight w:val="none"/>
          <w:lang w:val="zh-CN"/>
        </w:rPr>
      </w:pPr>
      <w:r>
        <w:rPr>
          <w:rFonts w:hint="eastAsia" w:ascii="仿宋" w:hAnsi="仿宋" w:eastAsia="仿宋" w:cs="仿宋"/>
          <w:sz w:val="24"/>
          <w:highlight w:val="none"/>
        </w:rPr>
        <w:t>开户账号：</w:t>
      </w:r>
      <w:r>
        <w:rPr>
          <w:rFonts w:hint="eastAsia" w:ascii="仿宋" w:hAnsi="仿宋" w:eastAsia="仿宋" w:cs="仿宋"/>
          <w:b/>
          <w:bCs/>
          <w:i/>
          <w:iCs/>
          <w:sz w:val="24"/>
          <w:highlight w:val="none"/>
          <w:u w:val="single"/>
        </w:rPr>
        <w:t xml:space="preserve">                          </w:t>
      </w:r>
    </w:p>
    <w:p w14:paraId="4C5988BE">
      <w:pPr>
        <w:adjustRightInd w:val="0"/>
        <w:spacing w:line="360" w:lineRule="auto"/>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6、</w:t>
      </w:r>
      <w:bookmarkEnd w:id="416"/>
      <w:bookmarkEnd w:id="417"/>
      <w:bookmarkEnd w:id="418"/>
      <w:r>
        <w:rPr>
          <w:rFonts w:hint="eastAsia" w:ascii="仿宋" w:hAnsi="仿宋" w:eastAsia="仿宋" w:cs="仿宋"/>
          <w:b/>
          <w:sz w:val="24"/>
          <w:highlight w:val="none"/>
        </w:rPr>
        <w:t>服务期限</w:t>
      </w:r>
      <w:r>
        <w:rPr>
          <w:rFonts w:hint="eastAsia" w:ascii="仿宋" w:hAnsi="仿宋" w:eastAsia="仿宋" w:cs="仿宋"/>
          <w:b/>
          <w:sz w:val="24"/>
          <w:highlight w:val="none"/>
          <w:lang w:val="en-US" w:eastAsia="zh-CN"/>
        </w:rPr>
        <w:t>和</w:t>
      </w:r>
      <w:r>
        <w:rPr>
          <w:rFonts w:hint="eastAsia" w:ascii="仿宋" w:hAnsi="仿宋" w:eastAsia="仿宋" w:cs="仿宋"/>
          <w:b/>
          <w:sz w:val="24"/>
          <w:highlight w:val="none"/>
        </w:rPr>
        <w:t>地点</w:t>
      </w:r>
    </w:p>
    <w:p w14:paraId="44AC0478">
      <w:pPr>
        <w:widowControl/>
        <w:adjustRightInd/>
        <w:spacing w:before="0" w:beforeAutospacing="0" w:after="0" w:afterAutospacing="0" w:line="360" w:lineRule="auto"/>
        <w:ind w:firstLine="48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6.1服务期限：2025年11月1日至2026年9月30日。</w:t>
      </w:r>
    </w:p>
    <w:p w14:paraId="36222619">
      <w:pPr>
        <w:widowControl/>
        <w:adjustRightInd/>
        <w:spacing w:before="0" w:beforeAutospacing="0" w:after="0" w:afterAutospacing="0" w:line="360" w:lineRule="auto"/>
        <w:ind w:firstLine="480"/>
        <w:jc w:val="left"/>
        <w:rPr>
          <w:rFonts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6.2服务地点：</w:t>
      </w:r>
      <w:r>
        <w:rPr>
          <w:rFonts w:hint="eastAsia" w:ascii="仿宋" w:hAnsi="仿宋" w:eastAsia="仿宋" w:cs="仿宋"/>
          <w:kern w:val="0"/>
          <w:sz w:val="24"/>
          <w:szCs w:val="24"/>
          <w:highlight w:val="none"/>
          <w:u w:val="single"/>
          <w:lang w:val="en-US" w:eastAsia="zh-CN" w:bidi="ar-SA"/>
        </w:rPr>
        <w:t>九龙湖镇、澥浦镇</w:t>
      </w:r>
      <w:r>
        <w:rPr>
          <w:rFonts w:hint="eastAsia" w:ascii="仿宋" w:hAnsi="仿宋" w:eastAsia="仿宋" w:cs="仿宋"/>
          <w:kern w:val="2"/>
          <w:sz w:val="24"/>
          <w:szCs w:val="24"/>
          <w:highlight w:val="none"/>
          <w:lang w:val="en-US" w:eastAsia="zh-CN" w:bidi="ar-SA"/>
        </w:rPr>
        <w:t>。</w:t>
      </w:r>
    </w:p>
    <w:p w14:paraId="3836D47C">
      <w:pPr>
        <w:adjustRightInd w:val="0"/>
        <w:spacing w:line="360" w:lineRule="auto"/>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7、技术规范</w:t>
      </w:r>
    </w:p>
    <w:p w14:paraId="701B86E2">
      <w:pPr>
        <w:adjustRightInd/>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3C255A08">
      <w:pPr>
        <w:adjustRightInd w:val="0"/>
        <w:spacing w:line="360" w:lineRule="auto"/>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8、知识产权</w:t>
      </w:r>
    </w:p>
    <w:p w14:paraId="7659F1B9">
      <w:pPr>
        <w:adjustRightInd/>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51DF1961">
      <w:pPr>
        <w:adjustRightInd w:val="0"/>
        <w:spacing w:line="360" w:lineRule="auto"/>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9、包装和装运</w:t>
      </w:r>
    </w:p>
    <w:p w14:paraId="0DC465C7">
      <w:pPr>
        <w:adjustRightInd/>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9.1乙方为履行服务合同提供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399CBEF">
      <w:pPr>
        <w:adjustRightInd/>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乙方提供产品及相关快递服务的具体包装要求应符合《商品包装政府采购需求标准（试行）》《快递包装政府采购需求标准（试行）》，并作为履约验收的内容，必要时甲方可以要求乙方在履约验收环节出具检测报告。（如有）</w:t>
      </w:r>
    </w:p>
    <w:p w14:paraId="05DA5027">
      <w:pPr>
        <w:adjustRightInd w:val="0"/>
        <w:spacing w:line="360" w:lineRule="auto"/>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1</w:t>
      </w:r>
      <w:r>
        <w:rPr>
          <w:rFonts w:hint="eastAsia" w:ascii="仿宋" w:hAnsi="仿宋" w:eastAsia="仿宋" w:cs="仿宋"/>
          <w:b/>
          <w:sz w:val="24"/>
          <w:highlight w:val="none"/>
          <w:lang w:val="en-US" w:eastAsia="zh-CN"/>
        </w:rPr>
        <w:t>0</w:t>
      </w:r>
      <w:r>
        <w:rPr>
          <w:rFonts w:hint="eastAsia" w:ascii="仿宋" w:hAnsi="仿宋" w:eastAsia="仿宋" w:cs="仿宋"/>
          <w:b/>
          <w:sz w:val="24"/>
          <w:highlight w:val="none"/>
        </w:rPr>
        <w:t>、定期检查和问题反馈</w:t>
      </w:r>
    </w:p>
    <w:p w14:paraId="25F94AAB">
      <w:pPr>
        <w:adjustRightInd/>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.1甲方有权定期对乙方提供的服务履约情况进行检查，以确保乙方所提供的服务能够依约满足甲方之项目需求，但不得因履约检查妨碍乙方的正常工作，乙方应予积极配合；</w:t>
      </w:r>
    </w:p>
    <w:p w14:paraId="74C2847B">
      <w:pPr>
        <w:adjustRightInd/>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.2合同履行期间，甲方有权将履行过程中出现的问题反馈给乙方，双方当事人应以书面形式约定需要完善和改进的内容。</w:t>
      </w:r>
    </w:p>
    <w:p w14:paraId="67346B4A">
      <w:pPr>
        <w:adjustRightInd w:val="0"/>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1</w:t>
      </w:r>
      <w:r>
        <w:rPr>
          <w:rFonts w:hint="eastAsia" w:ascii="仿宋" w:hAnsi="仿宋" w:eastAsia="仿宋" w:cs="仿宋"/>
          <w:b/>
          <w:sz w:val="24"/>
          <w:highlight w:val="none"/>
          <w:lang w:val="en-US" w:eastAsia="zh-CN"/>
        </w:rPr>
        <w:t>1</w:t>
      </w:r>
      <w:r>
        <w:rPr>
          <w:rFonts w:hint="eastAsia" w:ascii="仿宋" w:hAnsi="仿宋" w:eastAsia="仿宋" w:cs="仿宋"/>
          <w:b/>
          <w:sz w:val="24"/>
          <w:highlight w:val="none"/>
        </w:rPr>
        <w:t>、项目验收</w:t>
      </w:r>
    </w:p>
    <w:p w14:paraId="04736C4E">
      <w:pPr>
        <w:adjustRightInd/>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11.1</w:t>
      </w:r>
      <w:r>
        <w:rPr>
          <w:rFonts w:hint="eastAsia" w:ascii="仿宋" w:hAnsi="仿宋" w:eastAsia="仿宋" w:cs="仿宋"/>
          <w:color w:val="000000"/>
          <w:sz w:val="24"/>
          <w:highlight w:val="none"/>
        </w:rPr>
        <w:t>择伐清理枯死松木检查验收由作业过程中监督检查验收（平时</w:t>
      </w:r>
      <w:r>
        <w:rPr>
          <w:rFonts w:hint="eastAsia" w:ascii="仿宋" w:hAnsi="仿宋" w:eastAsia="仿宋" w:cs="仿宋"/>
          <w:color w:val="000000"/>
          <w:sz w:val="24"/>
          <w:highlight w:val="none"/>
          <w:lang w:eastAsia="zh-CN"/>
        </w:rPr>
        <w:t>质量监理</w:t>
      </w:r>
      <w:r>
        <w:rPr>
          <w:rFonts w:hint="eastAsia" w:ascii="仿宋" w:hAnsi="仿宋" w:eastAsia="仿宋" w:cs="仿宋"/>
          <w:color w:val="000000"/>
          <w:sz w:val="24"/>
          <w:highlight w:val="none"/>
        </w:rPr>
        <w:t>）和竣工检查验收相结合的方式组成，我单位将委托第三方单位对枯死木采伐清理进行检查并出具最终除治质量报告，以最终报告为验收依据。</w:t>
      </w:r>
    </w:p>
    <w:p w14:paraId="792259D1">
      <w:pPr>
        <w:adjustRightInd/>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11.2</w:t>
      </w:r>
      <w:r>
        <w:rPr>
          <w:rFonts w:hint="eastAsia" w:ascii="仿宋" w:hAnsi="仿宋" w:eastAsia="仿宋" w:cs="仿宋"/>
          <w:color w:val="000000"/>
          <w:sz w:val="24"/>
          <w:highlight w:val="none"/>
        </w:rPr>
        <w:t>平时监管验收可以分期分批进行，但总体要求每个作业小班都要进行随机抽样验收，抽样数量20株以下的全检，超出20株的要随机抽检不少于20株，并且至少要随机抽取1天以上的所有工程量进行核查，平时验收如发现问题能够立即整改合格的不作扣分处理，没有立即整改合格的则按要求扣分。</w:t>
      </w:r>
    </w:p>
    <w:p w14:paraId="4EB5B5B2">
      <w:pPr>
        <w:adjustRightInd/>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竣工验收考评主要由随机抽检方式进行，疫情发生小班总数≤5个的，抽取3个（不足3个的全抽），总数＞5个的，按照总数的50%进行抽取，每个乡镇最多抽取10个疫情发生小班；伐根处理抽查，每个抽中小班抽查20株，不足20株的全查（如果邀请上级专家进行竣工验收的，以专家组拟定的方案执行）。</w:t>
      </w:r>
    </w:p>
    <w:p w14:paraId="79DE56DF">
      <w:pPr>
        <w:adjustRightInd/>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具体扣分标准如下：</w:t>
      </w:r>
    </w:p>
    <w:p w14:paraId="3D2FCF0D">
      <w:pPr>
        <w:adjustRightInd/>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①</w:t>
      </w:r>
      <w:r>
        <w:rPr>
          <w:rFonts w:hint="eastAsia" w:ascii="仿宋" w:hAnsi="仿宋" w:eastAsia="仿宋" w:cs="仿宋"/>
          <w:color w:val="000000"/>
          <w:sz w:val="24"/>
          <w:highlight w:val="none"/>
        </w:rPr>
        <w:t>焚烧点和枯死木伐根周围20米范围内残留有1厘米以上的枝桠及树干的，每发现一株扣0.5分。</w:t>
      </w:r>
    </w:p>
    <w:p w14:paraId="25527F4E">
      <w:pPr>
        <w:adjustRightInd/>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②</w:t>
      </w:r>
      <w:r>
        <w:rPr>
          <w:rFonts w:hint="eastAsia" w:ascii="仿宋" w:hAnsi="仿宋" w:eastAsia="仿宋" w:cs="仿宋"/>
          <w:color w:val="000000"/>
          <w:sz w:val="24"/>
          <w:highlight w:val="none"/>
        </w:rPr>
        <w:t xml:space="preserve">伐根高不超5厘米，伐根薄膜或罩网为合格。如上述的任何一项不达要求的均视为不合格，每发现一株扣0.5分。                                                       </w:t>
      </w:r>
    </w:p>
    <w:p w14:paraId="7634CDE6">
      <w:pPr>
        <w:adjustRightInd/>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③</w:t>
      </w:r>
      <w:r>
        <w:rPr>
          <w:rFonts w:hint="eastAsia" w:ascii="仿宋" w:hAnsi="仿宋" w:eastAsia="仿宋" w:cs="仿宋"/>
          <w:color w:val="000000"/>
          <w:sz w:val="24"/>
          <w:highlight w:val="none"/>
        </w:rPr>
        <w:t>枝桠和树干焚烧要求表面彻底碳化。否则，每发现1处扣2分。</w:t>
      </w:r>
    </w:p>
    <w:p w14:paraId="1462C746">
      <w:pPr>
        <w:adjustRightInd/>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④</w:t>
      </w:r>
      <w:r>
        <w:rPr>
          <w:rFonts w:hint="eastAsia" w:ascii="仿宋" w:hAnsi="仿宋" w:eastAsia="仿宋" w:cs="仿宋"/>
          <w:color w:val="000000"/>
          <w:sz w:val="24"/>
          <w:highlight w:val="none"/>
        </w:rPr>
        <w:t>指定范围内的枯死松树要清理干净。到验收时止，采购人指定范围内需要清理的枯死松木，但中标人没有完成的，每发现1株扣2分。</w:t>
      </w:r>
    </w:p>
    <w:p w14:paraId="6E857499">
      <w:pPr>
        <w:adjustRightInd/>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⑤</w:t>
      </w:r>
      <w:r>
        <w:rPr>
          <w:rFonts w:hint="eastAsia" w:ascii="仿宋" w:hAnsi="仿宋" w:eastAsia="仿宋" w:cs="仿宋"/>
          <w:color w:val="000000"/>
          <w:sz w:val="24"/>
          <w:highlight w:val="none"/>
        </w:rPr>
        <w:t>分局派出人员不定期进行监管，如发现中标人不服从工作安排和监管，或者发现并指出存在问题要求中标人及时整改而中标人不及时整改的，每次扣5分。</w:t>
      </w:r>
    </w:p>
    <w:p w14:paraId="201CA183">
      <w:pPr>
        <w:adjustRightInd/>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⑥</w:t>
      </w:r>
      <w:r>
        <w:rPr>
          <w:rFonts w:hint="eastAsia" w:ascii="仿宋" w:hAnsi="仿宋" w:eastAsia="仿宋" w:cs="仿宋"/>
          <w:color w:val="000000"/>
          <w:sz w:val="24"/>
          <w:highlight w:val="none"/>
        </w:rPr>
        <w:t>中标人有将松木私自带出疫区出卖或利用的，每发现一次扣20分。</w:t>
      </w:r>
    </w:p>
    <w:p w14:paraId="4E90FFF3">
      <w:pPr>
        <w:adjustRightInd/>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⑦</w:t>
      </w:r>
      <w:r>
        <w:rPr>
          <w:rFonts w:hint="eastAsia" w:ascii="仿宋" w:hAnsi="仿宋" w:eastAsia="仿宋" w:cs="仿宋"/>
          <w:color w:val="000000"/>
          <w:sz w:val="24"/>
          <w:highlight w:val="none"/>
        </w:rPr>
        <w:t>中标人承担本项目作业造成的一切安全事故责任，包括民工的重大人身安全、药品使用安全、森林防火安全及其它安全责任事故等，每出现一次扣2分。发现有不为作业民工购买保险的，每人扣1分。</w:t>
      </w:r>
    </w:p>
    <w:p w14:paraId="3F25AE22">
      <w:pPr>
        <w:adjustRightInd/>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⑧</w:t>
      </w:r>
      <w:r>
        <w:rPr>
          <w:rFonts w:hint="eastAsia" w:ascii="仿宋" w:hAnsi="仿宋" w:eastAsia="仿宋" w:cs="仿宋"/>
          <w:color w:val="000000"/>
          <w:sz w:val="24"/>
          <w:highlight w:val="none"/>
        </w:rPr>
        <w:t>抽检到的枯死树实际经纬度与清理记录表中记载的经纬度不符的（由于定点设备或系统正常误差除外），每发现1株扣0.5分。</w:t>
      </w:r>
    </w:p>
    <w:p w14:paraId="3F8B8D03">
      <w:pPr>
        <w:adjustRightInd/>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⑨</w:t>
      </w:r>
      <w:r>
        <w:rPr>
          <w:rFonts w:hint="eastAsia" w:ascii="仿宋" w:hAnsi="仿宋" w:eastAsia="仿宋" w:cs="仿宋"/>
          <w:color w:val="000000"/>
          <w:sz w:val="24"/>
          <w:highlight w:val="none"/>
        </w:rPr>
        <w:t>每株清理的枯死树不足</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张现场照片的，每发现1株扣0.5分。没有标签的每发现1株扣0.5分。</w:t>
      </w:r>
    </w:p>
    <w:p w14:paraId="462876DB">
      <w:pPr>
        <w:adjustRightInd/>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⑩</w:t>
      </w:r>
      <w:r>
        <w:rPr>
          <w:rFonts w:hint="eastAsia" w:ascii="仿宋" w:hAnsi="仿宋" w:eastAsia="仿宋" w:cs="仿宋"/>
          <w:color w:val="000000"/>
          <w:sz w:val="24"/>
          <w:highlight w:val="none"/>
        </w:rPr>
        <w:t>清理记录表中记载砍伐树木的去皮地径与实际不符和出现假伐根的，按比例推算扣减相应的分数，最高扣10分。</w:t>
      </w:r>
    </w:p>
    <w:p w14:paraId="4D2B23F7">
      <w:pPr>
        <w:adjustRightInd/>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⑪被省市林业主管部门（抽检单位）抽检发现防治质量问题，致使通报、约谈的，酌情扣分。</w:t>
      </w:r>
    </w:p>
    <w:p w14:paraId="5D0F75CF">
      <w:pPr>
        <w:adjustRightInd/>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总分为100分,考评分数达到85分以上（含85分）为优秀，80-85分（含80分）为合格，80分以下为不合格。考评达优秀等级的全额拨付服务费，合格等级的扣减服务费的20%，不合格等级的必须在采购人要求的整改时间内返工补做，然后再申请重新验收，重新验收费用由中标人自行负责，重新验收合格后按合格等级拨付服务费。如因中标人原因（除不可抗力外）未在要求的整改时间内整改完成，除扣减服务费的20%以外，另外每超出一天，中标人须按合同总价款的千分之三承担违约金，在合同款项支付时一次性扣除，最多扣除至合同款项的30%。</w:t>
      </w:r>
    </w:p>
    <w:p w14:paraId="229299AE">
      <w:pPr>
        <w:adjustRightInd/>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1</w:t>
      </w:r>
      <w:r>
        <w:rPr>
          <w:rFonts w:hint="eastAsia" w:ascii="仿宋" w:hAnsi="仿宋" w:eastAsia="仿宋" w:cs="仿宋"/>
          <w:b/>
          <w:sz w:val="24"/>
          <w:highlight w:val="none"/>
          <w:lang w:val="en-US" w:eastAsia="zh-CN"/>
        </w:rPr>
        <w:t>2</w:t>
      </w:r>
      <w:r>
        <w:rPr>
          <w:rFonts w:hint="eastAsia" w:ascii="仿宋" w:hAnsi="仿宋" w:eastAsia="仿宋" w:cs="仿宋"/>
          <w:b/>
          <w:sz w:val="24"/>
          <w:highlight w:val="none"/>
        </w:rPr>
        <w:t>、技术资料和保密义务</w:t>
      </w:r>
    </w:p>
    <w:p w14:paraId="2D34B764">
      <w:pPr>
        <w:adjustRightInd/>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.1乙方有权依据合同约定和项目需要，向甲方了解有关情况，调阅有关资料等，甲方应予积极配合；</w:t>
      </w:r>
    </w:p>
    <w:p w14:paraId="2F719B32">
      <w:pPr>
        <w:adjustRightInd/>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.2乙方有义务妥善保管和保护由甲方提供的信息和资料等；</w:t>
      </w:r>
    </w:p>
    <w:p w14:paraId="376247BF">
      <w:pPr>
        <w:adjustRightInd/>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056241E">
      <w:pPr>
        <w:adjustRightInd/>
        <w:spacing w:line="360" w:lineRule="auto"/>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1</w:t>
      </w:r>
      <w:r>
        <w:rPr>
          <w:rFonts w:hint="eastAsia" w:ascii="仿宋" w:hAnsi="仿宋" w:eastAsia="仿宋" w:cs="仿宋"/>
          <w:b/>
          <w:sz w:val="24"/>
          <w:highlight w:val="none"/>
          <w:lang w:val="en-US" w:eastAsia="zh-CN"/>
        </w:rPr>
        <w:t>3</w:t>
      </w:r>
      <w:r>
        <w:rPr>
          <w:rFonts w:hint="eastAsia" w:ascii="仿宋" w:hAnsi="仿宋" w:eastAsia="仿宋" w:cs="仿宋"/>
          <w:b/>
          <w:sz w:val="24"/>
          <w:highlight w:val="none"/>
        </w:rPr>
        <w:t>、质量保证</w:t>
      </w:r>
    </w:p>
    <w:p w14:paraId="43924461">
      <w:pPr>
        <w:adjustRightInd/>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.1乙方应建立和完善履行合同的内部质量保证体系，并提供相关内部规章制度给甲方，以便甲方进行监督检查；</w:t>
      </w:r>
    </w:p>
    <w:p w14:paraId="70B19888">
      <w:pPr>
        <w:adjustRightInd/>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.2乙方应保证履行合同的人员数量和素质、软件和硬件设备的配置、场地、环境和设施等满足全面履行合同的要求，并应接受甲方的监督检查。</w:t>
      </w:r>
    </w:p>
    <w:p w14:paraId="2826F0AD">
      <w:pPr>
        <w:adjustRightInd/>
        <w:spacing w:line="360" w:lineRule="auto"/>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1</w:t>
      </w:r>
      <w:r>
        <w:rPr>
          <w:rFonts w:hint="eastAsia" w:ascii="仿宋" w:hAnsi="仿宋" w:eastAsia="仿宋" w:cs="仿宋"/>
          <w:b/>
          <w:sz w:val="24"/>
          <w:highlight w:val="none"/>
          <w:lang w:val="en-US" w:eastAsia="zh-CN"/>
        </w:rPr>
        <w:t>4</w:t>
      </w:r>
      <w:r>
        <w:rPr>
          <w:rFonts w:hint="eastAsia" w:ascii="仿宋" w:hAnsi="仿宋" w:eastAsia="仿宋" w:cs="仿宋"/>
          <w:b/>
          <w:sz w:val="24"/>
          <w:highlight w:val="none"/>
        </w:rPr>
        <w:t>、履约的风险负担</w:t>
      </w:r>
    </w:p>
    <w:p w14:paraId="166EB9E6">
      <w:pPr>
        <w:adjustRightInd/>
        <w:spacing w:line="360" w:lineRule="auto"/>
        <w:ind w:firstLine="480" w:firstLineChars="200"/>
        <w:rPr>
          <w:rFonts w:ascii="仿宋" w:hAnsi="仿宋" w:eastAsia="仿宋" w:cs="仿宋"/>
          <w:b/>
          <w:sz w:val="24"/>
          <w:highlight w:val="none"/>
        </w:rPr>
      </w:pPr>
      <w:r>
        <w:rPr>
          <w:rFonts w:hint="eastAsia" w:ascii="仿宋" w:hAnsi="仿宋" w:eastAsia="仿宋" w:cs="仿宋"/>
          <w:sz w:val="24"/>
          <w:highlight w:val="none"/>
        </w:rPr>
        <w:t>在履行合同时，乙方服务人员及设备的相关风险均由乙方自行承担。</w:t>
      </w:r>
    </w:p>
    <w:p w14:paraId="7F0BD470">
      <w:pPr>
        <w:adjustRightInd/>
        <w:spacing w:line="360" w:lineRule="auto"/>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1</w:t>
      </w:r>
      <w:r>
        <w:rPr>
          <w:rFonts w:hint="eastAsia" w:ascii="仿宋" w:hAnsi="仿宋" w:eastAsia="仿宋" w:cs="仿宋"/>
          <w:b/>
          <w:sz w:val="24"/>
          <w:highlight w:val="none"/>
          <w:lang w:val="en-US" w:eastAsia="zh-CN"/>
        </w:rPr>
        <w:t>5</w:t>
      </w:r>
      <w:r>
        <w:rPr>
          <w:rFonts w:hint="eastAsia" w:ascii="仿宋" w:hAnsi="仿宋" w:eastAsia="仿宋" w:cs="仿宋"/>
          <w:b/>
          <w:sz w:val="24"/>
          <w:highlight w:val="none"/>
        </w:rPr>
        <w:t>、延迟服务</w:t>
      </w:r>
    </w:p>
    <w:p w14:paraId="3B598329">
      <w:pPr>
        <w:adjustRightInd/>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在合同履行过程中，如果乙方遇到不能按时完成服务的情况，应及时以书面形式将不能按时完成的理由、预期延误时间通知甲方；甲方收到乙方通知后，认为其理由正当的，可以书面形式酌情同意乙方可以延长服务的具体时间。</w:t>
      </w:r>
    </w:p>
    <w:p w14:paraId="204D2E78">
      <w:pPr>
        <w:adjustRightInd/>
        <w:spacing w:line="360" w:lineRule="auto"/>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1</w:t>
      </w:r>
      <w:r>
        <w:rPr>
          <w:rFonts w:hint="eastAsia" w:ascii="仿宋" w:hAnsi="仿宋" w:eastAsia="仿宋" w:cs="仿宋"/>
          <w:b/>
          <w:sz w:val="24"/>
          <w:highlight w:val="none"/>
          <w:lang w:val="en-US" w:eastAsia="zh-CN"/>
        </w:rPr>
        <w:t>6</w:t>
      </w:r>
      <w:r>
        <w:rPr>
          <w:rFonts w:hint="eastAsia" w:ascii="仿宋" w:hAnsi="仿宋" w:eastAsia="仿宋" w:cs="仿宋"/>
          <w:b/>
          <w:sz w:val="24"/>
          <w:highlight w:val="none"/>
        </w:rPr>
        <w:t>、合同变更</w:t>
      </w:r>
    </w:p>
    <w:p w14:paraId="2BB6A588">
      <w:pPr>
        <w:adjustRightInd/>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合同继续履行将损害国家利益和社会公共利益的，双方当事人应当以书面形式变更合同。有过错的一方应当承担赔偿责任，双方当事人都有过错的，各自承担相应的责任。</w:t>
      </w:r>
    </w:p>
    <w:p w14:paraId="0A889053">
      <w:pPr>
        <w:adjustRightInd/>
        <w:spacing w:line="360" w:lineRule="auto"/>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18、合同转让和分包</w:t>
      </w:r>
    </w:p>
    <w:p w14:paraId="125CA28A">
      <w:pPr>
        <w:adjustRightInd/>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18.1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42CB28D">
      <w:pPr>
        <w:adjustRightInd/>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18.2乙方采取分包方式履行合同的，由乙方向分包供应商支付款项，但不得因分包影响履行合同义务。</w:t>
      </w:r>
    </w:p>
    <w:p w14:paraId="18126B95">
      <w:pPr>
        <w:adjustRightInd/>
        <w:spacing w:line="360" w:lineRule="auto"/>
        <w:ind w:firstLine="482" w:firstLineChars="200"/>
        <w:outlineLvl w:val="0"/>
        <w:rPr>
          <w:rFonts w:ascii="仿宋" w:hAnsi="仿宋" w:eastAsia="仿宋" w:cs="仿宋"/>
          <w:b/>
          <w:sz w:val="24"/>
          <w:highlight w:val="none"/>
        </w:rPr>
      </w:pPr>
      <w:bookmarkStart w:id="419" w:name="_Toc19554"/>
      <w:bookmarkStart w:id="420" w:name="_Toc21423"/>
      <w:bookmarkStart w:id="421" w:name="_Toc27250"/>
      <w:r>
        <w:rPr>
          <w:rFonts w:hint="eastAsia" w:ascii="仿宋" w:hAnsi="仿宋" w:eastAsia="仿宋" w:cs="仿宋"/>
          <w:b/>
          <w:sz w:val="24"/>
          <w:highlight w:val="none"/>
        </w:rPr>
        <w:t>19、违约责任</w:t>
      </w:r>
      <w:bookmarkEnd w:id="419"/>
      <w:bookmarkEnd w:id="420"/>
      <w:bookmarkEnd w:id="421"/>
    </w:p>
    <w:p w14:paraId="0E1CC8B5">
      <w:pPr>
        <w:adjustRightInd/>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19.1除不可抗力外，如果乙方拒绝履行合同，或没有按照本合同约定的期限、标准和成果展现方式完成服务，那么甲方可要求乙方支付违约金，违约金按每日计合同总价的</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，最高限额为本合同总价的</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rPr>
        <w:t>0</w:t>
      </w:r>
      <w:r>
        <w:rPr>
          <w:rFonts w:hint="eastAsia" w:ascii="仿宋" w:hAnsi="仿宋" w:eastAsia="仿宋" w:cs="仿宋"/>
          <w:sz w:val="24"/>
          <w:highlight w:val="none"/>
        </w:rPr>
        <w:t>%；迟延完成服务的违约金计算数额达到前述最高限额之日起，甲方有权在要求乙方支付违约金的同时，书面通知乙方解除本合同；</w:t>
      </w:r>
    </w:p>
    <w:p w14:paraId="7A1A4E35">
      <w:pPr>
        <w:adjustRightInd/>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19.2除不可抗力外，如果甲方没有按照本合同约定的付款方式付款，那么乙方可要求甲方支付违约金，违约金按每迟延付款一日的应付而未付款的</w:t>
      </w:r>
      <w:r>
        <w:rPr>
          <w:rFonts w:hint="eastAsia" w:ascii="仿宋" w:hAnsi="仿宋" w:eastAsia="仿宋" w:cs="仿宋"/>
          <w:sz w:val="24"/>
          <w:highlight w:val="none"/>
          <w:u w:val="single"/>
        </w:rPr>
        <w:t>0.05</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10</w:t>
      </w:r>
      <w:r>
        <w:rPr>
          <w:rFonts w:hint="eastAsia" w:ascii="仿宋" w:hAnsi="仿宋" w:eastAsia="仿宋" w:cs="仿宋"/>
          <w:sz w:val="24"/>
          <w:highlight w:val="none"/>
        </w:rPr>
        <w:t>%；迟延付款的违约金计算数额达到前述最高限额之日起，乙方有权在要求甲方支付违约金的同时，书面通知甲方解除本合同；</w:t>
      </w:r>
    </w:p>
    <w:p w14:paraId="284A4B19">
      <w:pPr>
        <w:adjustRightInd/>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19.3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AC0CF31">
      <w:pPr>
        <w:adjustRightInd/>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19.4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A3BF559">
      <w:pPr>
        <w:adjustRightInd/>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19.5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13BF7E6">
      <w:pPr>
        <w:adjustRightInd/>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19.6如果出现政府采购监督管理部门在处理投诉事项期间，书面通知甲方暂停采购活动的情形，或者询问或质疑事项可能影响中标结果的，导致甲方中止履行合同的情形，均不视为甲方违约。</w:t>
      </w:r>
    </w:p>
    <w:p w14:paraId="08919463">
      <w:pPr>
        <w:adjustRightInd/>
        <w:spacing w:line="360" w:lineRule="auto"/>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20、不可抗力</w:t>
      </w:r>
    </w:p>
    <w:p w14:paraId="77A98F47">
      <w:pPr>
        <w:adjustRightInd/>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20.1如果任何一方遭遇法律规定的不可抗力，致使合同履行受阻时，履行合同的期限应予延长，延长的期限应相当于不可抗力所影响的时间；</w:t>
      </w:r>
    </w:p>
    <w:p w14:paraId="66D09B21">
      <w:pPr>
        <w:adjustRightInd/>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20.2因不可抗力致使不能实现合同目的的，当事人可以解除合同；</w:t>
      </w:r>
    </w:p>
    <w:p w14:paraId="59DE2C14">
      <w:pPr>
        <w:adjustRightInd/>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20.3因不可抗力致使合同有变更必要的，双方当事人应在不可抗力发生后</w:t>
      </w:r>
      <w:r>
        <w:rPr>
          <w:rFonts w:hint="eastAsia" w:ascii="仿宋" w:hAnsi="仿宋" w:eastAsia="仿宋" w:cs="仿宋"/>
          <w:sz w:val="24"/>
          <w:highlight w:val="none"/>
          <w:u w:val="single"/>
        </w:rPr>
        <w:t>10</w:t>
      </w:r>
      <w:r>
        <w:rPr>
          <w:rFonts w:hint="eastAsia" w:ascii="仿宋" w:hAnsi="仿宋" w:eastAsia="仿宋" w:cs="仿宋"/>
          <w:sz w:val="24"/>
          <w:highlight w:val="none"/>
        </w:rPr>
        <w:t>日内以书面形式变更合同；</w:t>
      </w:r>
    </w:p>
    <w:p w14:paraId="3BE2DE07">
      <w:pPr>
        <w:adjustRightInd/>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20.4受不可抗力影响的一方在不可抗力发生后，应在</w:t>
      </w:r>
      <w:r>
        <w:rPr>
          <w:rFonts w:hint="eastAsia" w:ascii="仿宋" w:hAnsi="仿宋" w:eastAsia="仿宋" w:cs="仿宋"/>
          <w:sz w:val="24"/>
          <w:highlight w:val="none"/>
          <w:u w:val="single"/>
        </w:rPr>
        <w:t>5</w:t>
      </w:r>
      <w:r>
        <w:rPr>
          <w:rFonts w:hint="eastAsia" w:ascii="仿宋" w:hAnsi="仿宋" w:eastAsia="仿宋" w:cs="仿宋"/>
          <w:sz w:val="24"/>
          <w:highlight w:val="none"/>
        </w:rPr>
        <w:t>日内以书面形式通知对方当事人，并在</w:t>
      </w:r>
      <w:r>
        <w:rPr>
          <w:rFonts w:hint="eastAsia" w:ascii="仿宋" w:hAnsi="仿宋" w:eastAsia="仿宋" w:cs="仿宋"/>
          <w:sz w:val="24"/>
          <w:highlight w:val="none"/>
          <w:u w:val="single"/>
        </w:rPr>
        <w:t>15</w:t>
      </w:r>
      <w:r>
        <w:rPr>
          <w:rFonts w:hint="eastAsia" w:ascii="仿宋" w:hAnsi="仿宋" w:eastAsia="仿宋" w:cs="仿宋"/>
          <w:sz w:val="24"/>
          <w:highlight w:val="none"/>
        </w:rPr>
        <w:t>日内，将有关部门出具的证明文件送达对方当事人。</w:t>
      </w:r>
    </w:p>
    <w:p w14:paraId="00B4BDCA">
      <w:pPr>
        <w:adjustRightInd/>
        <w:spacing w:line="360" w:lineRule="auto"/>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21、税费</w:t>
      </w:r>
    </w:p>
    <w:p w14:paraId="56634E46">
      <w:pPr>
        <w:adjustRightInd/>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与合同有关的一切税费，均按照中华人民共和国法律的相关规定。</w:t>
      </w:r>
    </w:p>
    <w:p w14:paraId="3833F23D">
      <w:pPr>
        <w:adjustRightInd/>
        <w:spacing w:line="360" w:lineRule="auto"/>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22、乙方破产</w:t>
      </w:r>
    </w:p>
    <w:p w14:paraId="7206993D">
      <w:pPr>
        <w:adjustRightInd/>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1D63838">
      <w:pPr>
        <w:adjustRightInd/>
        <w:spacing w:line="360" w:lineRule="auto"/>
        <w:ind w:firstLine="482" w:firstLineChars="200"/>
        <w:outlineLvl w:val="0"/>
        <w:rPr>
          <w:rFonts w:ascii="仿宋" w:hAnsi="仿宋" w:eastAsia="仿宋" w:cs="仿宋"/>
          <w:b/>
          <w:sz w:val="24"/>
          <w:highlight w:val="none"/>
        </w:rPr>
      </w:pPr>
      <w:bookmarkStart w:id="422" w:name="_Toc16021"/>
      <w:bookmarkStart w:id="423" w:name="_Toc28375"/>
      <w:bookmarkStart w:id="424" w:name="_Toc15583"/>
      <w:r>
        <w:rPr>
          <w:rFonts w:hint="eastAsia" w:ascii="仿宋" w:hAnsi="仿宋" w:eastAsia="仿宋" w:cs="仿宋"/>
          <w:b/>
          <w:sz w:val="24"/>
          <w:highlight w:val="none"/>
        </w:rPr>
        <w:t>23、合同争议的解决</w:t>
      </w:r>
      <w:bookmarkEnd w:id="422"/>
      <w:bookmarkEnd w:id="423"/>
      <w:bookmarkEnd w:id="424"/>
    </w:p>
    <w:p w14:paraId="6C153D89">
      <w:pPr>
        <w:adjustRightIn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本合同履行过程中发生的任何争议，双方当事人均可通过和解或者调解解决；不愿和解、调解或者和解、调解不成的，可以向宁波市</w:t>
      </w:r>
      <w:r>
        <w:rPr>
          <w:rFonts w:hint="eastAsia" w:ascii="仿宋" w:hAnsi="仿宋" w:eastAsia="仿宋" w:cs="仿宋"/>
          <w:sz w:val="24"/>
          <w:highlight w:val="none"/>
          <w:lang w:eastAsia="zh-CN"/>
        </w:rPr>
        <w:t>镇海</w:t>
      </w:r>
      <w:r>
        <w:rPr>
          <w:rFonts w:hint="eastAsia" w:ascii="仿宋" w:hAnsi="仿宋" w:eastAsia="仿宋" w:cs="仿宋"/>
          <w:sz w:val="24"/>
          <w:highlight w:val="none"/>
        </w:rPr>
        <w:t>区人民法院提起诉讼。</w:t>
      </w:r>
    </w:p>
    <w:p w14:paraId="3E70E846">
      <w:pPr>
        <w:adjustRightInd/>
        <w:spacing w:line="360" w:lineRule="auto"/>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24、合同中止、终止</w:t>
      </w:r>
    </w:p>
    <w:p w14:paraId="00A03167">
      <w:pPr>
        <w:adjustRightInd/>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24.1双方当事人不得擅自中止或者终止合同；</w:t>
      </w:r>
    </w:p>
    <w:p w14:paraId="64223C1F">
      <w:pPr>
        <w:adjustRightInd/>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24.2合同继续履行将损害国家利益和社会公共利益的，双方当事人应当中止或者终止合同。有过错的一方应当承担赔偿责任，双方当事人都有过错的，各自承担相应的责任。</w:t>
      </w:r>
    </w:p>
    <w:p w14:paraId="36D89DC4">
      <w:pPr>
        <w:adjustRightInd/>
        <w:spacing w:line="360" w:lineRule="auto"/>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25、通知和送达</w:t>
      </w:r>
    </w:p>
    <w:p w14:paraId="00471E63">
      <w:pPr>
        <w:adjustRightInd/>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25.1任何一方因履行合同而以合同第一部分尾部所列明的传真或电子邮件发出的所有通知、文件、材料，均视为已向对方当事人送达；任何一方变更上述送达方式或者地址的，应于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sz w:val="24"/>
          <w:highlight w:val="none"/>
          <w:u w:val="single"/>
        </w:rPr>
        <w:t>3</w:t>
      </w:r>
      <w:r>
        <w:rPr>
          <w:rFonts w:hint="eastAsia" w:ascii="仿宋" w:hAnsi="仿宋" w:eastAsia="仿宋" w:cs="仿宋"/>
          <w:sz w:val="24"/>
          <w:highlight w:val="none"/>
        </w:rPr>
        <w:t>个工作日内书面通知对方当事人，在对方当事人收到有关变更通知之前，变更前的约定送达方式或者地址仍视为有效。</w:t>
      </w:r>
    </w:p>
    <w:p w14:paraId="0E87874A">
      <w:pPr>
        <w:adjustRightInd/>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25.2以当面交付方式送达的，交付之时视为送达；以电子邮件方式送达的，发出电子邮件之时视为送达；以传真方式送达的，发出传真之时视为送达；以邮寄方式送达的，邮件挂号寄出或者交邮之日之次日视为送达。</w:t>
      </w:r>
    </w:p>
    <w:p w14:paraId="21CDD795">
      <w:pPr>
        <w:adjustRightInd/>
        <w:spacing w:line="360" w:lineRule="auto"/>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26、计量单位</w:t>
      </w:r>
    </w:p>
    <w:p w14:paraId="176859FA">
      <w:pPr>
        <w:adjustRightInd/>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除技术规范中另有规定外，合同的计量单位均使用国家法定计量单位。</w:t>
      </w:r>
    </w:p>
    <w:p w14:paraId="2DF9EF12">
      <w:pPr>
        <w:adjustRightInd/>
        <w:spacing w:line="360" w:lineRule="auto"/>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27、合同使用的文字和适用的法律</w:t>
      </w:r>
    </w:p>
    <w:p w14:paraId="7D1EE44B">
      <w:pPr>
        <w:adjustRightInd/>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27.1合同使用汉语书就、变更和解释；</w:t>
      </w:r>
    </w:p>
    <w:p w14:paraId="3B6F81D3">
      <w:pPr>
        <w:adjustRightInd/>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27.2合同适用中华人民共和国法律。</w:t>
      </w:r>
    </w:p>
    <w:p w14:paraId="3A1E9688">
      <w:pPr>
        <w:adjustRightInd/>
        <w:spacing w:line="360" w:lineRule="auto"/>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28、合同效力</w:t>
      </w:r>
    </w:p>
    <w:p w14:paraId="0C696D7B">
      <w:pPr>
        <w:adjustRightInd/>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本合同一式</w:t>
      </w:r>
      <w:r>
        <w:rPr>
          <w:rFonts w:hint="eastAsia" w:ascii="仿宋" w:hAnsi="仿宋" w:eastAsia="仿宋" w:cs="仿宋"/>
          <w:sz w:val="24"/>
          <w:highlight w:val="none"/>
          <w:lang w:eastAsia="zh-CN"/>
        </w:rPr>
        <w:t>六</w:t>
      </w:r>
      <w:r>
        <w:rPr>
          <w:rFonts w:hint="eastAsia" w:ascii="仿宋" w:hAnsi="仿宋" w:eastAsia="仿宋" w:cs="仿宋"/>
          <w:sz w:val="24"/>
          <w:highlight w:val="none"/>
        </w:rPr>
        <w:t>份，甲乙双方各</w:t>
      </w:r>
      <w:r>
        <w:rPr>
          <w:rFonts w:hint="eastAsia" w:ascii="仿宋" w:hAnsi="仿宋" w:eastAsia="仿宋" w:cs="仿宋"/>
          <w:sz w:val="24"/>
          <w:highlight w:val="none"/>
          <w:lang w:eastAsia="zh-CN"/>
        </w:rPr>
        <w:t>三</w:t>
      </w:r>
      <w:r>
        <w:rPr>
          <w:rFonts w:hint="eastAsia" w:ascii="仿宋" w:hAnsi="仿宋" w:eastAsia="仿宋" w:cs="仿宋"/>
          <w:sz w:val="24"/>
          <w:highlight w:val="none"/>
        </w:rPr>
        <w:t>份，每份均具有同等法律效力。本合同自双方当事人盖章或者签字时生效。</w:t>
      </w:r>
    </w:p>
    <w:p w14:paraId="29267EE5">
      <w:pPr>
        <w:widowControl w:val="0"/>
        <w:adjustRightInd/>
        <w:ind w:firstLine="560" w:firstLineChars="200"/>
        <w:jc w:val="both"/>
        <w:rPr>
          <w:rFonts w:ascii="Times New Roman" w:hAnsi="Times New Roman" w:eastAsia="仿宋_GB2312" w:cs="Times New Roman"/>
          <w:kern w:val="2"/>
          <w:sz w:val="28"/>
          <w:szCs w:val="24"/>
          <w:highlight w:val="none"/>
          <w:lang w:val="zh-CN" w:eastAsia="zh-CN" w:bidi="ar-SA"/>
        </w:rPr>
      </w:pPr>
    </w:p>
    <w:p w14:paraId="53A1C5E7">
      <w:pPr>
        <w:autoSpaceDE w:val="0"/>
        <w:autoSpaceDN w:val="0"/>
        <w:adjustRightInd/>
        <w:spacing w:line="360" w:lineRule="auto"/>
        <w:rPr>
          <w:rFonts w:ascii="仿宋" w:hAnsi="仿宋" w:eastAsia="仿宋" w:cs="仿宋"/>
          <w:sz w:val="24"/>
          <w:highlight w:val="none"/>
          <w:lang w:val="zh-CN"/>
        </w:rPr>
      </w:pPr>
      <w:r>
        <w:rPr>
          <w:rFonts w:hint="eastAsia" w:ascii="仿宋" w:hAnsi="仿宋" w:eastAsia="仿宋" w:cs="仿宋"/>
          <w:b/>
          <w:sz w:val="24"/>
          <w:highlight w:val="none"/>
          <w:lang w:val="zh-CN"/>
        </w:rPr>
        <w:t>甲方名称（公章）</w:t>
      </w:r>
      <w:r>
        <w:rPr>
          <w:rFonts w:hint="eastAsia" w:ascii="仿宋" w:hAnsi="仿宋" w:eastAsia="仿宋" w:cs="仿宋"/>
          <w:sz w:val="24"/>
          <w:highlight w:val="none"/>
          <w:lang w:val="zh-CN"/>
        </w:rPr>
        <w:t xml:space="preserve">：                       </w:t>
      </w:r>
      <w:r>
        <w:rPr>
          <w:rFonts w:hint="eastAsia" w:ascii="仿宋" w:hAnsi="仿宋" w:eastAsia="仿宋" w:cs="仿宋"/>
          <w:b/>
          <w:sz w:val="24"/>
          <w:highlight w:val="none"/>
          <w:lang w:val="zh-CN"/>
        </w:rPr>
        <w:t>乙方名称（公章）</w:t>
      </w:r>
      <w:r>
        <w:rPr>
          <w:rFonts w:hint="eastAsia" w:ascii="仿宋" w:hAnsi="仿宋" w:eastAsia="仿宋" w:cs="仿宋"/>
          <w:sz w:val="24"/>
          <w:highlight w:val="none"/>
          <w:lang w:val="zh-CN"/>
        </w:rPr>
        <w:t>：</w:t>
      </w:r>
    </w:p>
    <w:p w14:paraId="2F86657B">
      <w:pPr>
        <w:autoSpaceDE w:val="0"/>
        <w:autoSpaceDN w:val="0"/>
        <w:adjustRightInd/>
        <w:spacing w:line="360" w:lineRule="auto"/>
        <w:rPr>
          <w:rFonts w:ascii="仿宋" w:hAnsi="仿宋" w:eastAsia="仿宋" w:cs="仿宋"/>
          <w:sz w:val="24"/>
          <w:highlight w:val="none"/>
          <w:lang w:val="zh-CN"/>
        </w:rPr>
      </w:pPr>
      <w:r>
        <w:rPr>
          <w:rFonts w:hint="eastAsia" w:ascii="仿宋" w:hAnsi="仿宋" w:eastAsia="仿宋" w:cs="仿宋"/>
          <w:sz w:val="24"/>
          <w:highlight w:val="none"/>
          <w:lang w:val="zh-CN"/>
        </w:rPr>
        <w:t>统一社会信用代码：                       统一社会信用代码或身份证号码：</w:t>
      </w:r>
    </w:p>
    <w:p w14:paraId="12F07ACF">
      <w:pPr>
        <w:autoSpaceDE w:val="0"/>
        <w:autoSpaceDN w:val="0"/>
        <w:adjustRightInd/>
        <w:spacing w:line="360" w:lineRule="auto"/>
        <w:rPr>
          <w:rFonts w:ascii="仿宋" w:hAnsi="仿宋" w:eastAsia="仿宋" w:cs="仿宋"/>
          <w:sz w:val="24"/>
          <w:highlight w:val="none"/>
          <w:lang w:val="zh-CN"/>
        </w:rPr>
      </w:pPr>
      <w:r>
        <w:rPr>
          <w:rFonts w:hint="eastAsia" w:ascii="仿宋" w:hAnsi="仿宋" w:eastAsia="仿宋" w:cs="仿宋"/>
          <w:sz w:val="24"/>
          <w:highlight w:val="none"/>
          <w:lang w:val="zh-CN"/>
        </w:rPr>
        <w:t>住所：                                  住所：</w:t>
      </w:r>
    </w:p>
    <w:p w14:paraId="11481B0F">
      <w:pPr>
        <w:autoSpaceDE w:val="0"/>
        <w:autoSpaceDN w:val="0"/>
        <w:adjustRightInd/>
        <w:spacing w:line="360" w:lineRule="auto"/>
        <w:rPr>
          <w:rFonts w:ascii="仿宋" w:hAnsi="仿宋" w:eastAsia="仿宋" w:cs="仿宋"/>
          <w:sz w:val="24"/>
          <w:highlight w:val="none"/>
          <w:lang w:val="zh-CN"/>
        </w:rPr>
      </w:pPr>
      <w:r>
        <w:rPr>
          <w:rFonts w:hint="eastAsia" w:ascii="仿宋" w:hAnsi="仿宋" w:eastAsia="仿宋" w:cs="仿宋"/>
          <w:sz w:val="24"/>
          <w:highlight w:val="none"/>
          <w:lang w:val="zh-CN"/>
        </w:rPr>
        <w:t xml:space="preserve">法定代表人或授权代表（签字）：       </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 xml:space="preserve"> 法定代表人或授权代表（签字）: </w:t>
      </w:r>
    </w:p>
    <w:p w14:paraId="4D6A760F">
      <w:pPr>
        <w:autoSpaceDE w:val="0"/>
        <w:autoSpaceDN w:val="0"/>
        <w:adjustRightInd/>
        <w:spacing w:line="360" w:lineRule="auto"/>
        <w:rPr>
          <w:rFonts w:ascii="仿宋" w:hAnsi="仿宋" w:eastAsia="仿宋" w:cs="仿宋"/>
          <w:sz w:val="24"/>
          <w:highlight w:val="none"/>
          <w:lang w:val="zh-CN"/>
        </w:rPr>
      </w:pPr>
      <w:r>
        <w:rPr>
          <w:rFonts w:hint="eastAsia" w:ascii="仿宋" w:hAnsi="仿宋" w:eastAsia="仿宋" w:cs="仿宋"/>
          <w:sz w:val="24"/>
          <w:highlight w:val="none"/>
          <w:lang w:val="zh-CN"/>
        </w:rPr>
        <w:t>联系人：                                联系人：</w:t>
      </w:r>
    </w:p>
    <w:p w14:paraId="50270CF9">
      <w:pPr>
        <w:autoSpaceDE w:val="0"/>
        <w:autoSpaceDN w:val="0"/>
        <w:adjustRightInd/>
        <w:spacing w:line="360" w:lineRule="auto"/>
        <w:rPr>
          <w:rFonts w:ascii="仿宋" w:hAnsi="仿宋" w:eastAsia="仿宋" w:cs="仿宋"/>
          <w:sz w:val="24"/>
          <w:highlight w:val="none"/>
          <w:lang w:val="zh-CN"/>
        </w:rPr>
      </w:pPr>
      <w:r>
        <w:rPr>
          <w:rFonts w:hint="eastAsia" w:ascii="仿宋" w:hAnsi="仿宋" w:eastAsia="仿宋" w:cs="仿宋"/>
          <w:sz w:val="24"/>
          <w:highlight w:val="none"/>
          <w:lang w:val="zh-CN"/>
        </w:rPr>
        <w:t>约定送达地址：                          约定送达地址：</w:t>
      </w:r>
    </w:p>
    <w:p w14:paraId="168EC245">
      <w:pPr>
        <w:autoSpaceDE w:val="0"/>
        <w:autoSpaceDN w:val="0"/>
        <w:adjustRightInd/>
        <w:spacing w:line="360" w:lineRule="auto"/>
        <w:rPr>
          <w:rFonts w:ascii="仿宋" w:hAnsi="仿宋" w:eastAsia="仿宋" w:cs="仿宋"/>
          <w:sz w:val="24"/>
          <w:highlight w:val="none"/>
          <w:lang w:val="zh-CN"/>
        </w:rPr>
      </w:pPr>
      <w:r>
        <w:rPr>
          <w:rFonts w:hint="eastAsia" w:ascii="仿宋" w:hAnsi="仿宋" w:eastAsia="仿宋" w:cs="仿宋"/>
          <w:sz w:val="24"/>
          <w:highlight w:val="none"/>
          <w:lang w:val="zh-CN"/>
        </w:rPr>
        <w:t>邮政编码：                              邮政编码：</w:t>
      </w:r>
    </w:p>
    <w:p w14:paraId="7E16BBFC">
      <w:pPr>
        <w:autoSpaceDE w:val="0"/>
        <w:autoSpaceDN w:val="0"/>
        <w:adjustRightInd/>
        <w:spacing w:line="360" w:lineRule="auto"/>
        <w:rPr>
          <w:rFonts w:ascii="仿宋" w:hAnsi="仿宋" w:eastAsia="仿宋" w:cs="仿宋"/>
          <w:sz w:val="24"/>
          <w:highlight w:val="none"/>
          <w:lang w:val="zh-CN"/>
        </w:rPr>
      </w:pPr>
      <w:r>
        <w:rPr>
          <w:rFonts w:hint="eastAsia" w:ascii="仿宋" w:hAnsi="仿宋" w:eastAsia="仿宋" w:cs="仿宋"/>
          <w:sz w:val="24"/>
          <w:highlight w:val="none"/>
          <w:lang w:val="zh-CN"/>
        </w:rPr>
        <w:t xml:space="preserve">电话:                                   电话: </w:t>
      </w:r>
    </w:p>
    <w:p w14:paraId="32D47A94">
      <w:pPr>
        <w:autoSpaceDE w:val="0"/>
        <w:autoSpaceDN w:val="0"/>
        <w:adjustRightInd/>
        <w:spacing w:line="360" w:lineRule="auto"/>
        <w:rPr>
          <w:rFonts w:ascii="仿宋" w:hAnsi="仿宋" w:eastAsia="仿宋" w:cs="仿宋"/>
          <w:sz w:val="24"/>
          <w:highlight w:val="none"/>
          <w:lang w:val="zh-CN"/>
        </w:rPr>
      </w:pPr>
      <w:r>
        <w:rPr>
          <w:rFonts w:hint="eastAsia" w:ascii="仿宋" w:hAnsi="仿宋" w:eastAsia="仿宋" w:cs="仿宋"/>
          <w:sz w:val="24"/>
          <w:highlight w:val="none"/>
          <w:lang w:val="zh-CN"/>
        </w:rPr>
        <w:t>传真:                                   传真:</w:t>
      </w:r>
    </w:p>
    <w:p w14:paraId="45D82F48">
      <w:pPr>
        <w:widowControl/>
        <w:adjustRightInd/>
        <w:jc w:val="center"/>
        <w:rPr>
          <w:rFonts w:ascii="宋体" w:hAnsi="宋体" w:cs="宋体"/>
          <w:b/>
          <w:color w:val="auto"/>
          <w:sz w:val="36"/>
          <w:szCs w:val="20"/>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6CA90B31">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2"/>
      <w:r>
        <w:rPr>
          <w:rFonts w:hint="eastAsia" w:ascii="宋体" w:hAnsi="宋体" w:cs="宋体"/>
          <w:b/>
          <w:color w:val="auto"/>
          <w:sz w:val="36"/>
          <w:szCs w:val="20"/>
          <w:highlight w:val="none"/>
        </w:rPr>
        <w:t xml:space="preserve"> </w:t>
      </w:r>
      <w:bookmarkEnd w:id="403"/>
      <w:r>
        <w:rPr>
          <w:rFonts w:hint="eastAsia" w:ascii="宋体" w:hAnsi="宋体" w:cs="宋体"/>
          <w:b/>
          <w:color w:val="auto"/>
          <w:sz w:val="36"/>
          <w:szCs w:val="20"/>
          <w:highlight w:val="none"/>
        </w:rPr>
        <w:t>应提交的有关格式范例</w:t>
      </w:r>
    </w:p>
    <w:p w14:paraId="6B06CC97">
      <w:pPr>
        <w:spacing w:line="360" w:lineRule="auto"/>
        <w:jc w:val="center"/>
        <w:outlineLvl w:val="0"/>
        <w:rPr>
          <w:rFonts w:ascii="宋体" w:hAnsi="宋体" w:cs="宋体"/>
          <w:b/>
          <w:color w:val="auto"/>
          <w:kern w:val="0"/>
          <w:sz w:val="36"/>
          <w:szCs w:val="36"/>
          <w:highlight w:val="none"/>
        </w:rPr>
      </w:pPr>
    </w:p>
    <w:p w14:paraId="3B10126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68A56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E94F67D">
      <w:pPr>
        <w:spacing w:line="360" w:lineRule="auto"/>
        <w:jc w:val="center"/>
        <w:outlineLvl w:val="0"/>
        <w:rPr>
          <w:rFonts w:ascii="宋体" w:hAnsi="宋体" w:cs="宋体"/>
          <w:b/>
          <w:color w:val="auto"/>
          <w:kern w:val="0"/>
          <w:sz w:val="36"/>
          <w:szCs w:val="36"/>
          <w:highlight w:val="none"/>
        </w:rPr>
      </w:pPr>
    </w:p>
    <w:p w14:paraId="10BC747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B2598B5">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6188715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245FE4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03D6765">
      <w:pPr>
        <w:snapToGrid w:val="0"/>
        <w:spacing w:line="360" w:lineRule="auto"/>
        <w:ind w:firstLine="480" w:firstLineChars="200"/>
        <w:rPr>
          <w:rFonts w:ascii="宋体" w:hAnsi="宋体" w:cs="宋体"/>
          <w:color w:val="auto"/>
          <w:sz w:val="24"/>
          <w:highlight w:val="none"/>
        </w:rPr>
      </w:pPr>
    </w:p>
    <w:p w14:paraId="1902DB1E">
      <w:pPr>
        <w:spacing w:line="360" w:lineRule="auto"/>
        <w:ind w:firstLine="480" w:firstLineChars="200"/>
        <w:rPr>
          <w:rFonts w:ascii="宋体" w:hAnsi="宋体" w:cs="宋体"/>
          <w:color w:val="auto"/>
          <w:sz w:val="24"/>
          <w:highlight w:val="none"/>
        </w:rPr>
      </w:pPr>
    </w:p>
    <w:p w14:paraId="545E605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5C4E92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宁波市自然资源和规划局镇海分局、浙江中基正采管理咨询有限公司：</w:t>
      </w:r>
    </w:p>
    <w:p w14:paraId="7794DE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镇海区2025-2026年松材线虫病防治项目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CBZJ-20256140G</w:t>
      </w:r>
      <w:r>
        <w:rPr>
          <w:rFonts w:hint="eastAsia" w:ascii="宋体" w:hAnsi="宋体" w:cs="宋体"/>
          <w:color w:val="auto"/>
          <w:sz w:val="24"/>
          <w:highlight w:val="none"/>
        </w:rPr>
        <w:t>】政府采购活动，郑重承诺：</w:t>
      </w:r>
    </w:p>
    <w:p w14:paraId="18987C14">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852AA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A2860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8CCD34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CE2AA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2368B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7BE84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D9886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（二）未被信用中国（www.creditchina.gov.cn)、中国政府采购网（www.ccgp.gov.cn）列入失信被执行人、重大税收违法案件当事人名单（重大税收违法失信主体）、政府采购严重违法失信行为记录名单。</w:t>
      </w:r>
    </w:p>
    <w:p w14:paraId="28B9C6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5840A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8F36E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3BF791F">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3D4C777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5AFE88C">
      <w:pPr>
        <w:snapToGrid w:val="0"/>
        <w:spacing w:line="360" w:lineRule="auto"/>
        <w:ind w:right="480"/>
        <w:jc w:val="center"/>
        <w:rPr>
          <w:rFonts w:ascii="宋体" w:hAnsi="宋体" w:cs="宋体"/>
          <w:b/>
          <w:color w:val="auto"/>
          <w:kern w:val="0"/>
          <w:sz w:val="32"/>
          <w:szCs w:val="32"/>
          <w:highlight w:val="none"/>
        </w:rPr>
      </w:pPr>
    </w:p>
    <w:p w14:paraId="6007B9E8">
      <w:pPr>
        <w:snapToGrid w:val="0"/>
        <w:spacing w:line="360" w:lineRule="auto"/>
        <w:ind w:right="480"/>
        <w:jc w:val="center"/>
        <w:rPr>
          <w:rFonts w:ascii="宋体" w:hAnsi="宋体" w:cs="宋体"/>
          <w:b/>
          <w:color w:val="auto"/>
          <w:kern w:val="0"/>
          <w:sz w:val="32"/>
          <w:szCs w:val="32"/>
          <w:highlight w:val="none"/>
        </w:rPr>
      </w:pPr>
    </w:p>
    <w:p w14:paraId="4B01C339">
      <w:pPr>
        <w:snapToGrid w:val="0"/>
        <w:spacing w:line="360" w:lineRule="auto"/>
        <w:ind w:right="480"/>
        <w:jc w:val="center"/>
        <w:rPr>
          <w:rFonts w:ascii="宋体" w:hAnsi="宋体" w:cs="宋体"/>
          <w:b/>
          <w:color w:val="auto"/>
          <w:kern w:val="0"/>
          <w:sz w:val="32"/>
          <w:szCs w:val="32"/>
          <w:highlight w:val="none"/>
        </w:rPr>
      </w:pPr>
    </w:p>
    <w:p w14:paraId="6A777DEB">
      <w:pPr>
        <w:rPr>
          <w:rFonts w:ascii="宋体" w:hAnsi="宋体" w:cs="宋体"/>
          <w:color w:val="auto"/>
          <w:highlight w:val="none"/>
        </w:rPr>
      </w:pPr>
    </w:p>
    <w:p w14:paraId="4676DC84">
      <w:pPr>
        <w:snapToGrid w:val="0"/>
        <w:spacing w:line="360" w:lineRule="auto"/>
        <w:ind w:right="480"/>
        <w:jc w:val="center"/>
        <w:rPr>
          <w:rFonts w:ascii="宋体" w:hAnsi="宋体" w:cs="宋体"/>
          <w:b/>
          <w:color w:val="auto"/>
          <w:kern w:val="0"/>
          <w:sz w:val="32"/>
          <w:szCs w:val="32"/>
          <w:highlight w:val="none"/>
        </w:rPr>
      </w:pPr>
    </w:p>
    <w:p w14:paraId="0605C28A">
      <w:pPr>
        <w:snapToGrid w:val="0"/>
        <w:spacing w:line="360" w:lineRule="auto"/>
        <w:ind w:right="480"/>
        <w:jc w:val="center"/>
        <w:rPr>
          <w:rFonts w:ascii="宋体" w:hAnsi="宋体" w:cs="宋体"/>
          <w:b/>
          <w:color w:val="auto"/>
          <w:kern w:val="0"/>
          <w:sz w:val="32"/>
          <w:szCs w:val="32"/>
          <w:highlight w:val="none"/>
        </w:rPr>
      </w:pPr>
    </w:p>
    <w:p w14:paraId="19282EE0">
      <w:pPr>
        <w:snapToGrid w:val="0"/>
        <w:spacing w:line="360" w:lineRule="auto"/>
        <w:ind w:right="480"/>
        <w:jc w:val="center"/>
        <w:rPr>
          <w:rFonts w:ascii="宋体" w:hAnsi="宋体" w:cs="宋体"/>
          <w:b/>
          <w:color w:val="auto"/>
          <w:kern w:val="0"/>
          <w:sz w:val="32"/>
          <w:szCs w:val="32"/>
          <w:highlight w:val="none"/>
        </w:rPr>
      </w:pPr>
    </w:p>
    <w:p w14:paraId="28732A8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8A22FB8">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AEC668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[以联合体形式投标的，提供联合协议（附件5）；本项目不接受联合体投标或者供应商不以联合体形式投标的，则不需要提供）]</w:t>
      </w:r>
    </w:p>
    <w:p w14:paraId="2091BC04">
      <w:pPr>
        <w:snapToGrid w:val="0"/>
        <w:spacing w:line="360" w:lineRule="auto"/>
        <w:ind w:right="480"/>
        <w:jc w:val="center"/>
        <w:rPr>
          <w:rFonts w:ascii="宋体" w:hAnsi="宋体" w:cs="宋体"/>
          <w:b/>
          <w:color w:val="auto"/>
          <w:kern w:val="0"/>
          <w:sz w:val="32"/>
          <w:szCs w:val="32"/>
          <w:highlight w:val="none"/>
        </w:rPr>
      </w:pPr>
    </w:p>
    <w:p w14:paraId="61252092">
      <w:pPr>
        <w:snapToGrid w:val="0"/>
        <w:spacing w:line="360" w:lineRule="auto"/>
        <w:ind w:right="480"/>
        <w:jc w:val="center"/>
        <w:rPr>
          <w:rFonts w:ascii="宋体" w:hAnsi="宋体" w:cs="宋体"/>
          <w:b/>
          <w:color w:val="auto"/>
          <w:kern w:val="0"/>
          <w:sz w:val="32"/>
          <w:szCs w:val="32"/>
          <w:highlight w:val="none"/>
        </w:rPr>
      </w:pPr>
    </w:p>
    <w:p w14:paraId="0F14599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DC94508">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AD9E9C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33E1E2">
      <w:pPr>
        <w:widowControl/>
        <w:spacing w:line="360" w:lineRule="auto"/>
        <w:ind w:firstLine="480"/>
        <w:jc w:val="left"/>
        <w:rPr>
          <w:rFonts w:ascii="宋体" w:hAnsi="宋体" w:cs="宋体"/>
          <w:color w:val="auto"/>
          <w:sz w:val="24"/>
          <w:highlight w:val="none"/>
        </w:rPr>
      </w:pPr>
    </w:p>
    <w:p w14:paraId="2E24D785">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F1968A">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3D1DB2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B589621">
      <w:pPr>
        <w:widowControl/>
        <w:spacing w:line="360" w:lineRule="auto"/>
        <w:ind w:left="150"/>
        <w:jc w:val="center"/>
        <w:rPr>
          <w:rFonts w:ascii="宋体" w:hAnsi="宋体" w:cs="宋体"/>
          <w:b/>
          <w:color w:val="auto"/>
          <w:kern w:val="0"/>
          <w:sz w:val="32"/>
          <w:szCs w:val="32"/>
          <w:highlight w:val="none"/>
        </w:rPr>
      </w:pPr>
    </w:p>
    <w:p w14:paraId="28E5D311">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01C74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FAE756C">
      <w:pPr>
        <w:rPr>
          <w:rFonts w:ascii="宋体" w:hAnsi="宋体" w:cs="宋体"/>
          <w:color w:val="auto"/>
          <w:highlight w:val="none"/>
        </w:rPr>
      </w:pPr>
    </w:p>
    <w:p w14:paraId="17DA35AE">
      <w:pPr>
        <w:snapToGrid w:val="0"/>
        <w:spacing w:line="360" w:lineRule="auto"/>
        <w:ind w:right="480"/>
        <w:jc w:val="center"/>
        <w:rPr>
          <w:rFonts w:ascii="宋体" w:hAnsi="宋体" w:cs="宋体"/>
          <w:b/>
          <w:color w:val="auto"/>
          <w:kern w:val="0"/>
          <w:sz w:val="32"/>
          <w:szCs w:val="32"/>
          <w:highlight w:val="none"/>
        </w:rPr>
      </w:pPr>
    </w:p>
    <w:p w14:paraId="5243AA3A">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3DB2BCE">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E268F52">
      <w:pPr>
        <w:spacing w:line="360" w:lineRule="auto"/>
        <w:jc w:val="center"/>
        <w:outlineLvl w:val="0"/>
        <w:rPr>
          <w:rFonts w:ascii="宋体" w:hAnsi="宋体" w:cs="宋体"/>
          <w:b/>
          <w:color w:val="auto"/>
          <w:kern w:val="0"/>
          <w:sz w:val="24"/>
          <w:highlight w:val="none"/>
        </w:rPr>
      </w:pPr>
    </w:p>
    <w:p w14:paraId="542A54A9">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24F39E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1E908F5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E3B4BC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3822F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4B3570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04F6160">
      <w:pPr>
        <w:snapToGrid w:val="0"/>
        <w:spacing w:line="360" w:lineRule="auto"/>
        <w:jc w:val="center"/>
        <w:rPr>
          <w:rFonts w:ascii="宋体" w:hAnsi="宋体" w:cs="宋体"/>
          <w:b/>
          <w:color w:val="auto"/>
          <w:kern w:val="0"/>
          <w:sz w:val="32"/>
          <w:szCs w:val="32"/>
          <w:highlight w:val="none"/>
          <w:lang w:val="zh-CN"/>
        </w:rPr>
      </w:pPr>
    </w:p>
    <w:p w14:paraId="4F6421FA">
      <w:pPr>
        <w:snapToGrid w:val="0"/>
        <w:spacing w:line="360" w:lineRule="auto"/>
        <w:jc w:val="center"/>
        <w:rPr>
          <w:rFonts w:ascii="宋体" w:hAnsi="宋体" w:cs="宋体"/>
          <w:b/>
          <w:color w:val="auto"/>
          <w:kern w:val="0"/>
          <w:sz w:val="32"/>
          <w:szCs w:val="32"/>
          <w:highlight w:val="none"/>
          <w:lang w:val="zh-CN"/>
        </w:rPr>
      </w:pPr>
    </w:p>
    <w:p w14:paraId="6FCF76D1">
      <w:pPr>
        <w:snapToGrid w:val="0"/>
        <w:spacing w:line="360" w:lineRule="auto"/>
        <w:jc w:val="center"/>
        <w:rPr>
          <w:rFonts w:ascii="宋体" w:hAnsi="宋体" w:cs="宋体"/>
          <w:b/>
          <w:color w:val="auto"/>
          <w:kern w:val="0"/>
          <w:sz w:val="32"/>
          <w:szCs w:val="32"/>
          <w:highlight w:val="none"/>
          <w:lang w:val="zh-CN"/>
        </w:rPr>
      </w:pPr>
    </w:p>
    <w:p w14:paraId="2185ABB0">
      <w:pPr>
        <w:snapToGrid w:val="0"/>
        <w:spacing w:line="360" w:lineRule="auto"/>
        <w:jc w:val="center"/>
        <w:rPr>
          <w:rFonts w:ascii="宋体" w:hAnsi="宋体" w:cs="宋体"/>
          <w:b/>
          <w:color w:val="auto"/>
          <w:kern w:val="0"/>
          <w:sz w:val="32"/>
          <w:szCs w:val="32"/>
          <w:highlight w:val="none"/>
          <w:lang w:val="zh-CN"/>
        </w:rPr>
      </w:pPr>
    </w:p>
    <w:p w14:paraId="7BC33AD2">
      <w:pPr>
        <w:snapToGrid w:val="0"/>
        <w:spacing w:line="360" w:lineRule="auto"/>
        <w:jc w:val="center"/>
        <w:rPr>
          <w:rFonts w:ascii="宋体" w:hAnsi="宋体" w:cs="宋体"/>
          <w:b/>
          <w:color w:val="auto"/>
          <w:kern w:val="0"/>
          <w:sz w:val="32"/>
          <w:szCs w:val="32"/>
          <w:highlight w:val="none"/>
          <w:lang w:val="zh-CN"/>
        </w:rPr>
      </w:pPr>
    </w:p>
    <w:p w14:paraId="745231E5">
      <w:pPr>
        <w:snapToGrid w:val="0"/>
        <w:spacing w:line="360" w:lineRule="auto"/>
        <w:jc w:val="center"/>
        <w:rPr>
          <w:rFonts w:ascii="宋体" w:hAnsi="宋体" w:cs="宋体"/>
          <w:b/>
          <w:color w:val="auto"/>
          <w:kern w:val="0"/>
          <w:sz w:val="32"/>
          <w:szCs w:val="32"/>
          <w:highlight w:val="none"/>
          <w:lang w:val="zh-CN"/>
        </w:rPr>
      </w:pPr>
    </w:p>
    <w:p w14:paraId="0111EA9F">
      <w:pPr>
        <w:snapToGrid w:val="0"/>
        <w:spacing w:line="360" w:lineRule="auto"/>
        <w:jc w:val="center"/>
        <w:rPr>
          <w:rFonts w:ascii="宋体" w:hAnsi="宋体" w:cs="宋体"/>
          <w:b/>
          <w:color w:val="auto"/>
          <w:kern w:val="0"/>
          <w:sz w:val="32"/>
          <w:szCs w:val="32"/>
          <w:highlight w:val="none"/>
          <w:lang w:val="zh-CN"/>
        </w:rPr>
      </w:pPr>
    </w:p>
    <w:p w14:paraId="194BA6AC">
      <w:pPr>
        <w:snapToGrid w:val="0"/>
        <w:spacing w:line="360" w:lineRule="auto"/>
        <w:jc w:val="center"/>
        <w:rPr>
          <w:rFonts w:ascii="宋体" w:hAnsi="宋体" w:cs="宋体"/>
          <w:b/>
          <w:color w:val="auto"/>
          <w:kern w:val="0"/>
          <w:sz w:val="32"/>
          <w:szCs w:val="32"/>
          <w:highlight w:val="none"/>
          <w:lang w:val="zh-CN"/>
        </w:rPr>
      </w:pPr>
    </w:p>
    <w:p w14:paraId="3B79E404">
      <w:pPr>
        <w:snapToGrid w:val="0"/>
        <w:spacing w:line="360" w:lineRule="auto"/>
        <w:jc w:val="center"/>
        <w:rPr>
          <w:rFonts w:ascii="宋体" w:hAnsi="宋体" w:cs="宋体"/>
          <w:b/>
          <w:color w:val="auto"/>
          <w:kern w:val="0"/>
          <w:sz w:val="32"/>
          <w:szCs w:val="32"/>
          <w:highlight w:val="none"/>
          <w:lang w:val="zh-CN"/>
        </w:rPr>
      </w:pPr>
    </w:p>
    <w:p w14:paraId="6FC9849E">
      <w:pPr>
        <w:snapToGrid w:val="0"/>
        <w:spacing w:line="360" w:lineRule="auto"/>
        <w:jc w:val="center"/>
        <w:rPr>
          <w:rFonts w:ascii="宋体" w:hAnsi="宋体" w:cs="宋体"/>
          <w:b/>
          <w:color w:val="auto"/>
          <w:kern w:val="0"/>
          <w:sz w:val="32"/>
          <w:szCs w:val="32"/>
          <w:highlight w:val="none"/>
          <w:lang w:val="zh-CN"/>
        </w:rPr>
      </w:pPr>
    </w:p>
    <w:p w14:paraId="71F3FC44">
      <w:pPr>
        <w:snapToGrid w:val="0"/>
        <w:spacing w:line="360" w:lineRule="auto"/>
        <w:jc w:val="center"/>
        <w:rPr>
          <w:rFonts w:ascii="宋体" w:hAnsi="宋体" w:cs="宋体"/>
          <w:b/>
          <w:color w:val="auto"/>
          <w:kern w:val="0"/>
          <w:sz w:val="32"/>
          <w:szCs w:val="32"/>
          <w:highlight w:val="none"/>
          <w:lang w:val="zh-CN"/>
        </w:rPr>
      </w:pPr>
    </w:p>
    <w:p w14:paraId="475DBA5E">
      <w:pPr>
        <w:snapToGrid w:val="0"/>
        <w:spacing w:line="360" w:lineRule="auto"/>
        <w:jc w:val="center"/>
        <w:rPr>
          <w:rFonts w:ascii="宋体" w:hAnsi="宋体" w:cs="宋体"/>
          <w:b/>
          <w:color w:val="auto"/>
          <w:kern w:val="0"/>
          <w:sz w:val="32"/>
          <w:szCs w:val="32"/>
          <w:highlight w:val="none"/>
          <w:lang w:val="zh-CN"/>
        </w:rPr>
      </w:pPr>
    </w:p>
    <w:p w14:paraId="2CC90CE7">
      <w:pPr>
        <w:rPr>
          <w:rFonts w:ascii="宋体" w:hAnsi="宋体" w:cs="宋体"/>
          <w:b/>
          <w:color w:val="auto"/>
          <w:kern w:val="0"/>
          <w:sz w:val="32"/>
          <w:szCs w:val="32"/>
          <w:highlight w:val="none"/>
          <w:lang w:val="zh-CN"/>
        </w:rPr>
      </w:pPr>
    </w:p>
    <w:p w14:paraId="2BEE7091">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D030A7A">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C470AB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宁波市自然资源和规划局镇海分局、浙江中基正采管理咨询有限公司：</w:t>
      </w:r>
    </w:p>
    <w:p w14:paraId="6653EE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镇海区2025-2026年松材线虫病防治项目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CBZJ-20256140G</w:t>
      </w:r>
      <w:r>
        <w:rPr>
          <w:rFonts w:hint="eastAsia" w:ascii="宋体" w:hAnsi="宋体" w:cs="宋体"/>
          <w:color w:val="auto"/>
          <w:sz w:val="24"/>
          <w:highlight w:val="none"/>
        </w:rPr>
        <w:t>】招标的有关活动，并对此项目进行投标。为此：</w:t>
      </w:r>
    </w:p>
    <w:p w14:paraId="1759B08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6863B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812C44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A9A73B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2.1.1符合参加政府采购活动应当具备的一般条件的承诺函；</w:t>
      </w:r>
    </w:p>
    <w:p w14:paraId="68017DB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25" w:name="_Hlk101257010"/>
      <w:r>
        <w:rPr>
          <w:rFonts w:hint="eastAsia" w:ascii="宋体" w:hAnsi="宋体" w:cs="宋体"/>
          <w:color w:val="auto"/>
          <w:sz w:val="24"/>
          <w:highlight w:val="none"/>
        </w:rPr>
        <w:t>（如果有)</w:t>
      </w:r>
      <w:bookmarkEnd w:id="425"/>
      <w:r>
        <w:rPr>
          <w:rFonts w:hint="eastAsia" w:ascii="宋体" w:hAnsi="宋体" w:cs="宋体"/>
          <w:snapToGrid w:val="0"/>
          <w:color w:val="auto"/>
          <w:kern w:val="28"/>
          <w:sz w:val="24"/>
          <w:szCs w:val="20"/>
          <w:highlight w:val="none"/>
        </w:rPr>
        <w:t>；</w:t>
      </w:r>
    </w:p>
    <w:p w14:paraId="4FAF96F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DE25E5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2D125703">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70EF2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400B152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w:t>
      </w:r>
      <w:r>
        <w:rPr>
          <w:rFonts w:hint="eastAsia" w:ascii="宋体" w:hAnsi="宋体" w:cs="宋体"/>
          <w:color w:val="auto"/>
          <w:sz w:val="24"/>
          <w:highlight w:val="none"/>
          <w:lang w:val="zh-CN"/>
        </w:rPr>
        <w:t>、自然人本人</w:t>
      </w:r>
      <w:r>
        <w:rPr>
          <w:rFonts w:hint="eastAsia" w:ascii="宋体" w:hAnsi="宋体" w:cs="宋体"/>
          <w:color w:val="auto"/>
          <w:sz w:val="24"/>
          <w:highlight w:val="none"/>
        </w:rPr>
        <w:t>）身份证明；</w:t>
      </w:r>
    </w:p>
    <w:p w14:paraId="4986731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75B673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247301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F4EF81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187756FC">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48025A3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DAB3D1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F2E8AC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.3.2中小企业声明函。</w:t>
      </w:r>
    </w:p>
    <w:p w14:paraId="303CE34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1B8F9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619046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DC3C5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F3345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DB0318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F14B4D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0AEF80">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1D8B103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FC484F5">
      <w:pPr>
        <w:snapToGrid w:val="0"/>
        <w:spacing w:line="360" w:lineRule="auto"/>
        <w:ind w:left="420" w:leftChars="200" w:firstLine="4200" w:firstLineChars="1750"/>
        <w:rPr>
          <w:rFonts w:ascii="宋体" w:hAnsi="宋体" w:cs="宋体"/>
          <w:color w:val="auto"/>
          <w:kern w:val="0"/>
          <w:sz w:val="24"/>
          <w:highlight w:val="none"/>
          <w:u w:val="single"/>
        </w:rPr>
      </w:pPr>
    </w:p>
    <w:p w14:paraId="3CAE067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ABD7B7F">
      <w:pPr>
        <w:snapToGrid w:val="0"/>
        <w:spacing w:line="360" w:lineRule="auto"/>
        <w:jc w:val="center"/>
        <w:rPr>
          <w:rFonts w:ascii="宋体" w:hAnsi="宋体" w:cs="宋体"/>
          <w:b/>
          <w:color w:val="auto"/>
          <w:kern w:val="0"/>
          <w:sz w:val="32"/>
          <w:szCs w:val="32"/>
          <w:highlight w:val="none"/>
        </w:rPr>
      </w:pPr>
    </w:p>
    <w:p w14:paraId="26DC3831">
      <w:pPr>
        <w:snapToGrid w:val="0"/>
        <w:spacing w:line="360" w:lineRule="auto"/>
        <w:rPr>
          <w:rFonts w:ascii="宋体" w:hAnsi="宋体" w:cs="宋体"/>
          <w:color w:val="auto"/>
          <w:sz w:val="24"/>
          <w:highlight w:val="none"/>
        </w:rPr>
      </w:pPr>
    </w:p>
    <w:p w14:paraId="12E4D59C">
      <w:pPr>
        <w:jc w:val="center"/>
        <w:rPr>
          <w:rFonts w:ascii="宋体" w:hAnsi="宋体" w:cs="宋体"/>
          <w:b/>
          <w:color w:val="auto"/>
          <w:kern w:val="0"/>
          <w:sz w:val="32"/>
          <w:szCs w:val="32"/>
          <w:highlight w:val="none"/>
        </w:rPr>
      </w:pPr>
    </w:p>
    <w:p w14:paraId="174C1654">
      <w:pPr>
        <w:jc w:val="center"/>
        <w:rPr>
          <w:rFonts w:ascii="宋体" w:hAnsi="宋体" w:cs="宋体"/>
          <w:b/>
          <w:color w:val="auto"/>
          <w:kern w:val="0"/>
          <w:sz w:val="32"/>
          <w:szCs w:val="32"/>
          <w:highlight w:val="none"/>
        </w:rPr>
      </w:pPr>
    </w:p>
    <w:p w14:paraId="31CA5495">
      <w:pPr>
        <w:jc w:val="center"/>
        <w:rPr>
          <w:rFonts w:ascii="宋体" w:hAnsi="宋体" w:cs="宋体"/>
          <w:b/>
          <w:color w:val="auto"/>
          <w:kern w:val="0"/>
          <w:sz w:val="32"/>
          <w:szCs w:val="32"/>
          <w:highlight w:val="none"/>
        </w:rPr>
      </w:pPr>
    </w:p>
    <w:p w14:paraId="19C74CF0">
      <w:pPr>
        <w:jc w:val="center"/>
        <w:rPr>
          <w:rFonts w:ascii="宋体" w:hAnsi="宋体" w:cs="宋体"/>
          <w:b/>
          <w:color w:val="auto"/>
          <w:kern w:val="0"/>
          <w:sz w:val="32"/>
          <w:szCs w:val="32"/>
          <w:highlight w:val="none"/>
        </w:rPr>
      </w:pPr>
    </w:p>
    <w:p w14:paraId="44B17890">
      <w:pPr>
        <w:jc w:val="center"/>
        <w:rPr>
          <w:rFonts w:ascii="宋体" w:hAnsi="宋体" w:cs="宋体"/>
          <w:b/>
          <w:color w:val="auto"/>
          <w:kern w:val="0"/>
          <w:sz w:val="32"/>
          <w:szCs w:val="32"/>
          <w:highlight w:val="none"/>
        </w:rPr>
      </w:pPr>
    </w:p>
    <w:p w14:paraId="247853F2">
      <w:pPr>
        <w:jc w:val="center"/>
        <w:rPr>
          <w:rFonts w:ascii="宋体" w:hAnsi="宋体" w:cs="宋体"/>
          <w:b/>
          <w:color w:val="auto"/>
          <w:kern w:val="0"/>
          <w:sz w:val="32"/>
          <w:szCs w:val="32"/>
          <w:highlight w:val="none"/>
        </w:rPr>
      </w:pPr>
    </w:p>
    <w:p w14:paraId="62EC0E9C">
      <w:pPr>
        <w:jc w:val="center"/>
        <w:rPr>
          <w:rFonts w:ascii="宋体" w:hAnsi="宋体" w:cs="宋体"/>
          <w:b/>
          <w:color w:val="auto"/>
          <w:kern w:val="0"/>
          <w:sz w:val="32"/>
          <w:szCs w:val="32"/>
          <w:highlight w:val="none"/>
        </w:rPr>
      </w:pPr>
    </w:p>
    <w:p w14:paraId="75BA7523">
      <w:pPr>
        <w:jc w:val="center"/>
        <w:rPr>
          <w:rFonts w:ascii="宋体" w:hAnsi="宋体" w:cs="宋体"/>
          <w:b/>
          <w:color w:val="auto"/>
          <w:kern w:val="0"/>
          <w:sz w:val="32"/>
          <w:szCs w:val="32"/>
          <w:highlight w:val="none"/>
        </w:rPr>
      </w:pPr>
    </w:p>
    <w:p w14:paraId="4352E298">
      <w:pPr>
        <w:jc w:val="center"/>
        <w:rPr>
          <w:rFonts w:ascii="宋体" w:hAnsi="宋体" w:cs="宋体"/>
          <w:b/>
          <w:color w:val="auto"/>
          <w:kern w:val="0"/>
          <w:sz w:val="32"/>
          <w:szCs w:val="32"/>
          <w:highlight w:val="none"/>
        </w:rPr>
      </w:pPr>
    </w:p>
    <w:p w14:paraId="6DD436A5">
      <w:pPr>
        <w:jc w:val="center"/>
        <w:rPr>
          <w:rFonts w:ascii="宋体" w:hAnsi="宋体" w:cs="宋体"/>
          <w:b/>
          <w:color w:val="auto"/>
          <w:kern w:val="0"/>
          <w:sz w:val="32"/>
          <w:szCs w:val="32"/>
          <w:highlight w:val="none"/>
        </w:rPr>
      </w:pPr>
    </w:p>
    <w:p w14:paraId="12C693B1">
      <w:pPr>
        <w:jc w:val="center"/>
        <w:rPr>
          <w:rFonts w:ascii="宋体" w:hAnsi="宋体" w:cs="宋体"/>
          <w:b/>
          <w:color w:val="auto"/>
          <w:kern w:val="0"/>
          <w:sz w:val="32"/>
          <w:szCs w:val="32"/>
          <w:highlight w:val="none"/>
        </w:rPr>
      </w:pPr>
    </w:p>
    <w:p w14:paraId="356F5D06">
      <w:pPr>
        <w:jc w:val="center"/>
        <w:rPr>
          <w:rFonts w:ascii="宋体" w:hAnsi="宋体" w:cs="宋体"/>
          <w:b/>
          <w:color w:val="auto"/>
          <w:kern w:val="0"/>
          <w:sz w:val="32"/>
          <w:szCs w:val="32"/>
          <w:highlight w:val="none"/>
        </w:rPr>
      </w:pPr>
    </w:p>
    <w:p w14:paraId="02036F70">
      <w:pPr>
        <w:jc w:val="center"/>
        <w:rPr>
          <w:rFonts w:ascii="宋体" w:hAnsi="宋体" w:cs="宋体"/>
          <w:b/>
          <w:color w:val="auto"/>
          <w:kern w:val="0"/>
          <w:sz w:val="32"/>
          <w:szCs w:val="32"/>
          <w:highlight w:val="none"/>
        </w:rPr>
      </w:pPr>
    </w:p>
    <w:p w14:paraId="2DA5B104">
      <w:pPr>
        <w:jc w:val="center"/>
        <w:rPr>
          <w:rFonts w:ascii="宋体" w:hAnsi="宋体" w:cs="宋体"/>
          <w:b/>
          <w:color w:val="auto"/>
          <w:kern w:val="0"/>
          <w:sz w:val="32"/>
          <w:szCs w:val="32"/>
          <w:highlight w:val="none"/>
        </w:rPr>
      </w:pPr>
    </w:p>
    <w:p w14:paraId="10981E62">
      <w:pPr>
        <w:jc w:val="center"/>
        <w:rPr>
          <w:rFonts w:ascii="宋体" w:hAnsi="宋体" w:cs="宋体"/>
          <w:b/>
          <w:color w:val="auto"/>
          <w:kern w:val="0"/>
          <w:sz w:val="32"/>
          <w:szCs w:val="32"/>
          <w:highlight w:val="none"/>
        </w:rPr>
      </w:pPr>
    </w:p>
    <w:p w14:paraId="1407DC83">
      <w:pPr>
        <w:jc w:val="center"/>
        <w:rPr>
          <w:rFonts w:ascii="宋体" w:hAnsi="宋体" w:cs="宋体"/>
          <w:b/>
          <w:color w:val="auto"/>
          <w:kern w:val="0"/>
          <w:sz w:val="32"/>
          <w:szCs w:val="32"/>
          <w:highlight w:val="none"/>
        </w:rPr>
      </w:pPr>
    </w:p>
    <w:p w14:paraId="5E739CD7">
      <w:pPr>
        <w:jc w:val="center"/>
        <w:rPr>
          <w:rFonts w:ascii="宋体" w:hAnsi="宋体" w:cs="宋体"/>
          <w:b/>
          <w:color w:val="auto"/>
          <w:kern w:val="0"/>
          <w:sz w:val="32"/>
          <w:szCs w:val="32"/>
          <w:highlight w:val="none"/>
        </w:rPr>
      </w:pPr>
    </w:p>
    <w:p w14:paraId="69C0CEDE">
      <w:pPr>
        <w:jc w:val="center"/>
        <w:rPr>
          <w:rFonts w:ascii="宋体" w:hAnsi="宋体" w:cs="宋体"/>
          <w:b/>
          <w:color w:val="auto"/>
          <w:kern w:val="0"/>
          <w:sz w:val="32"/>
          <w:szCs w:val="32"/>
          <w:highlight w:val="none"/>
        </w:rPr>
      </w:pPr>
    </w:p>
    <w:p w14:paraId="5359BC91">
      <w:pPr>
        <w:jc w:val="center"/>
        <w:rPr>
          <w:rFonts w:ascii="宋体" w:hAnsi="宋体" w:cs="宋体"/>
          <w:b/>
          <w:color w:val="auto"/>
          <w:kern w:val="0"/>
          <w:sz w:val="32"/>
          <w:szCs w:val="32"/>
          <w:highlight w:val="none"/>
        </w:rPr>
      </w:pPr>
    </w:p>
    <w:p w14:paraId="0CDBC280">
      <w:pPr>
        <w:jc w:val="center"/>
        <w:rPr>
          <w:rFonts w:ascii="宋体" w:hAnsi="宋体" w:cs="宋体"/>
          <w:b/>
          <w:color w:val="auto"/>
          <w:kern w:val="0"/>
          <w:sz w:val="32"/>
          <w:szCs w:val="32"/>
          <w:highlight w:val="none"/>
        </w:rPr>
      </w:pPr>
    </w:p>
    <w:p w14:paraId="792F1F5C">
      <w:pPr>
        <w:pStyle w:val="2"/>
        <w:rPr>
          <w:color w:val="auto"/>
          <w:highlight w:val="none"/>
          <w:lang w:val="en-US"/>
        </w:rPr>
      </w:pPr>
    </w:p>
    <w:p w14:paraId="0400FA43">
      <w:pPr>
        <w:jc w:val="center"/>
        <w:rPr>
          <w:rFonts w:ascii="宋体" w:hAnsi="宋体" w:cs="宋体"/>
          <w:b/>
          <w:color w:val="auto"/>
          <w:kern w:val="0"/>
          <w:sz w:val="32"/>
          <w:szCs w:val="32"/>
          <w:highlight w:val="none"/>
        </w:rPr>
      </w:pPr>
    </w:p>
    <w:p w14:paraId="71CF9E74">
      <w:pPr>
        <w:jc w:val="center"/>
        <w:rPr>
          <w:rFonts w:ascii="宋体" w:hAnsi="宋体" w:cs="宋体"/>
          <w:b/>
          <w:color w:val="auto"/>
          <w:kern w:val="0"/>
          <w:sz w:val="32"/>
          <w:szCs w:val="32"/>
          <w:highlight w:val="none"/>
        </w:rPr>
      </w:pPr>
    </w:p>
    <w:p w14:paraId="192F36C2">
      <w:pPr>
        <w:jc w:val="center"/>
        <w:rPr>
          <w:rFonts w:ascii="宋体" w:hAnsi="宋体" w:cs="宋体"/>
          <w:b/>
          <w:color w:val="auto"/>
          <w:kern w:val="0"/>
          <w:sz w:val="32"/>
          <w:szCs w:val="32"/>
          <w:highlight w:val="none"/>
        </w:rPr>
      </w:pPr>
    </w:p>
    <w:p w14:paraId="5CF535D8">
      <w:pPr>
        <w:jc w:val="center"/>
        <w:rPr>
          <w:rFonts w:hint="eastAsia" w:ascii="宋体" w:hAnsi="宋体" w:cs="宋体"/>
          <w:b/>
          <w:color w:val="auto"/>
          <w:kern w:val="0"/>
          <w:sz w:val="32"/>
          <w:szCs w:val="32"/>
          <w:highlight w:val="none"/>
          <w:lang w:val="zh-CN"/>
        </w:rPr>
      </w:pPr>
    </w:p>
    <w:p w14:paraId="1941644F">
      <w:pPr>
        <w:jc w:val="center"/>
        <w:rPr>
          <w:rFonts w:hint="eastAsia" w:ascii="宋体" w:hAnsi="宋体" w:cs="宋体"/>
          <w:b/>
          <w:color w:val="auto"/>
          <w:kern w:val="0"/>
          <w:sz w:val="32"/>
          <w:szCs w:val="32"/>
          <w:highlight w:val="none"/>
          <w:lang w:val="zh-CN"/>
        </w:rPr>
      </w:pPr>
    </w:p>
    <w:p w14:paraId="7C57C529">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C92666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9F946BE">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525F35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宁波市自然资源和规划局镇海分局、浙江中基正采管理咨询有限公司</w:t>
      </w:r>
      <w:r>
        <w:rPr>
          <w:rFonts w:hint="eastAsia" w:ascii="宋体" w:hAnsi="宋体" w:cs="宋体"/>
          <w:color w:val="auto"/>
          <w:kern w:val="0"/>
          <w:sz w:val="24"/>
          <w:highlight w:val="none"/>
          <w:lang w:val="zh-CN"/>
        </w:rPr>
        <w:t>：</w:t>
      </w:r>
    </w:p>
    <w:p w14:paraId="279329D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镇海区2025-2026年松材线虫病防治项目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CBZJ-20256140G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F9D5C5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DFFF9A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342E6D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6495026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868AC40">
      <w:pPr>
        <w:snapToGrid w:val="0"/>
        <w:spacing w:line="360" w:lineRule="auto"/>
        <w:rPr>
          <w:rFonts w:ascii="宋体" w:hAnsi="宋体" w:cs="宋体"/>
          <w:color w:val="auto"/>
          <w:sz w:val="24"/>
          <w:highlight w:val="none"/>
        </w:rPr>
      </w:pPr>
    </w:p>
    <w:p w14:paraId="353F6CE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F6FEC8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宁波市自然资源和规划局镇海分局、浙江中基正采管理咨询有限公司</w:t>
      </w:r>
      <w:r>
        <w:rPr>
          <w:rFonts w:hint="eastAsia" w:ascii="宋体" w:hAnsi="宋体" w:cs="宋体"/>
          <w:color w:val="auto"/>
          <w:kern w:val="0"/>
          <w:sz w:val="24"/>
          <w:highlight w:val="none"/>
          <w:lang w:val="zh-CN"/>
        </w:rPr>
        <w:t>：</w:t>
      </w:r>
    </w:p>
    <w:p w14:paraId="28E025B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镇海区2025-2026年松材线虫病防治项目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CBZJ-20256140G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DBAF30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3B1BA7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F5CF66D">
      <w:pPr>
        <w:jc w:val="center"/>
        <w:rPr>
          <w:rFonts w:ascii="宋体" w:hAnsi="宋体" w:cs="宋体"/>
          <w:b/>
          <w:color w:val="auto"/>
          <w:kern w:val="0"/>
          <w:sz w:val="32"/>
          <w:szCs w:val="32"/>
          <w:highlight w:val="none"/>
        </w:rPr>
      </w:pPr>
    </w:p>
    <w:p w14:paraId="67BAED9E">
      <w:pPr>
        <w:rPr>
          <w:rFonts w:ascii="宋体" w:hAnsi="宋体" w:cs="宋体"/>
          <w:color w:val="auto"/>
          <w:highlight w:val="none"/>
        </w:rPr>
      </w:pPr>
    </w:p>
    <w:p w14:paraId="1BF5C3C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062E10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41484F">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A88E56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093F9A1">
      <w:pPr>
        <w:autoSpaceDE w:val="0"/>
        <w:autoSpaceDN w:val="0"/>
        <w:spacing w:line="360" w:lineRule="auto"/>
        <w:jc w:val="center"/>
        <w:rPr>
          <w:rFonts w:ascii="宋体" w:hAnsi="宋体" w:cs="宋体"/>
          <w:b/>
          <w:color w:val="auto"/>
          <w:kern w:val="0"/>
          <w:sz w:val="32"/>
          <w:szCs w:val="32"/>
          <w:highlight w:val="none"/>
          <w:lang w:val="zh-CN"/>
        </w:rPr>
      </w:pPr>
    </w:p>
    <w:p w14:paraId="48D70C31">
      <w:pPr>
        <w:autoSpaceDE w:val="0"/>
        <w:autoSpaceDN w:val="0"/>
        <w:spacing w:line="360" w:lineRule="auto"/>
        <w:jc w:val="center"/>
        <w:rPr>
          <w:rFonts w:ascii="宋体" w:hAnsi="宋体" w:cs="宋体"/>
          <w:b/>
          <w:color w:val="auto"/>
          <w:kern w:val="0"/>
          <w:sz w:val="32"/>
          <w:szCs w:val="32"/>
          <w:highlight w:val="none"/>
          <w:lang w:val="zh-CN"/>
        </w:rPr>
      </w:pPr>
    </w:p>
    <w:p w14:paraId="38942179">
      <w:pPr>
        <w:autoSpaceDE w:val="0"/>
        <w:autoSpaceDN w:val="0"/>
        <w:spacing w:line="360" w:lineRule="auto"/>
        <w:jc w:val="center"/>
        <w:rPr>
          <w:rFonts w:ascii="宋体" w:hAnsi="宋体" w:cs="宋体"/>
          <w:b/>
          <w:color w:val="auto"/>
          <w:kern w:val="0"/>
          <w:sz w:val="32"/>
          <w:szCs w:val="32"/>
          <w:highlight w:val="none"/>
          <w:lang w:val="zh-CN"/>
        </w:rPr>
      </w:pPr>
    </w:p>
    <w:p w14:paraId="3402C120">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的身份证明（适用于法定代表人、单位负责人或者自然人本人代表供应商参加投标）</w:t>
      </w:r>
    </w:p>
    <w:p w14:paraId="316F7274">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015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5EB4B10">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85ABAD9">
            <w:pPr>
              <w:pStyle w:val="148"/>
              <w:adjustRightInd w:val="0"/>
              <w:spacing w:line="360" w:lineRule="auto"/>
              <w:rPr>
                <w:rFonts w:hAnsi="宋体" w:cs="宋体"/>
                <w:bCs/>
                <w:color w:val="auto"/>
                <w:sz w:val="24"/>
                <w:highlight w:val="none"/>
              </w:rPr>
            </w:pPr>
          </w:p>
        </w:tc>
      </w:tr>
    </w:tbl>
    <w:p w14:paraId="2A6CFA9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90F289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6F07B5B4">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7EBB3AB">
      <w:pPr>
        <w:jc w:val="center"/>
        <w:rPr>
          <w:rFonts w:ascii="宋体" w:hAnsi="宋体" w:cs="宋体"/>
          <w:b/>
          <w:color w:val="auto"/>
          <w:kern w:val="0"/>
          <w:sz w:val="32"/>
          <w:szCs w:val="32"/>
          <w:highlight w:val="none"/>
        </w:rPr>
      </w:pPr>
    </w:p>
    <w:p w14:paraId="4D535C9F">
      <w:pPr>
        <w:jc w:val="center"/>
        <w:rPr>
          <w:rFonts w:ascii="宋体" w:hAnsi="宋体" w:cs="宋体"/>
          <w:b/>
          <w:color w:val="auto"/>
          <w:kern w:val="0"/>
          <w:sz w:val="32"/>
          <w:szCs w:val="32"/>
          <w:highlight w:val="none"/>
        </w:rPr>
      </w:pPr>
    </w:p>
    <w:p w14:paraId="595545BF">
      <w:pPr>
        <w:jc w:val="center"/>
        <w:rPr>
          <w:rFonts w:ascii="宋体" w:hAnsi="宋体" w:cs="宋体"/>
          <w:b/>
          <w:color w:val="auto"/>
          <w:kern w:val="0"/>
          <w:sz w:val="32"/>
          <w:szCs w:val="32"/>
          <w:highlight w:val="none"/>
        </w:rPr>
      </w:pPr>
    </w:p>
    <w:p w14:paraId="4DFA906C">
      <w:pPr>
        <w:jc w:val="center"/>
        <w:rPr>
          <w:rFonts w:ascii="宋体" w:hAnsi="宋体" w:cs="宋体"/>
          <w:b/>
          <w:color w:val="auto"/>
          <w:kern w:val="0"/>
          <w:sz w:val="32"/>
          <w:szCs w:val="32"/>
          <w:highlight w:val="none"/>
        </w:rPr>
      </w:pPr>
    </w:p>
    <w:p w14:paraId="63CBD1A0">
      <w:pPr>
        <w:jc w:val="center"/>
        <w:rPr>
          <w:rFonts w:ascii="宋体" w:hAnsi="宋体" w:cs="宋体"/>
          <w:b/>
          <w:color w:val="auto"/>
          <w:kern w:val="0"/>
          <w:sz w:val="32"/>
          <w:szCs w:val="32"/>
          <w:highlight w:val="none"/>
        </w:rPr>
      </w:pPr>
    </w:p>
    <w:p w14:paraId="2CB98353">
      <w:pPr>
        <w:jc w:val="center"/>
        <w:rPr>
          <w:rFonts w:ascii="宋体" w:hAnsi="宋体" w:cs="宋体"/>
          <w:b/>
          <w:color w:val="auto"/>
          <w:kern w:val="0"/>
          <w:sz w:val="32"/>
          <w:szCs w:val="32"/>
          <w:highlight w:val="none"/>
        </w:rPr>
      </w:pPr>
    </w:p>
    <w:p w14:paraId="5162E657">
      <w:pPr>
        <w:jc w:val="center"/>
        <w:rPr>
          <w:rFonts w:ascii="宋体" w:hAnsi="宋体" w:cs="宋体"/>
          <w:b/>
          <w:color w:val="auto"/>
          <w:kern w:val="0"/>
          <w:sz w:val="32"/>
          <w:szCs w:val="32"/>
          <w:highlight w:val="none"/>
        </w:rPr>
      </w:pPr>
    </w:p>
    <w:p w14:paraId="0720329C">
      <w:pPr>
        <w:jc w:val="center"/>
        <w:rPr>
          <w:rFonts w:ascii="宋体" w:hAnsi="宋体" w:cs="宋体"/>
          <w:b/>
          <w:color w:val="auto"/>
          <w:kern w:val="0"/>
          <w:sz w:val="32"/>
          <w:szCs w:val="32"/>
          <w:highlight w:val="none"/>
        </w:rPr>
      </w:pPr>
    </w:p>
    <w:p w14:paraId="2AE28A03">
      <w:pPr>
        <w:jc w:val="center"/>
        <w:rPr>
          <w:rFonts w:ascii="宋体" w:hAnsi="宋体" w:cs="宋体"/>
          <w:b/>
          <w:color w:val="auto"/>
          <w:kern w:val="0"/>
          <w:sz w:val="32"/>
          <w:szCs w:val="32"/>
          <w:highlight w:val="none"/>
        </w:rPr>
      </w:pPr>
    </w:p>
    <w:p w14:paraId="1FBFF934">
      <w:pPr>
        <w:jc w:val="center"/>
        <w:rPr>
          <w:rFonts w:ascii="宋体" w:hAnsi="宋体" w:cs="宋体"/>
          <w:b/>
          <w:color w:val="auto"/>
          <w:kern w:val="0"/>
          <w:sz w:val="32"/>
          <w:szCs w:val="32"/>
          <w:highlight w:val="none"/>
        </w:rPr>
      </w:pPr>
    </w:p>
    <w:p w14:paraId="54AF572B">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13C4CB8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9DD097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；采购人不同意分包或者供应商中标后不以分包方式履行合同的，则不需要提供。</w:t>
      </w:r>
      <w:r>
        <w:rPr>
          <w:rFonts w:hint="eastAsia" w:ascii="宋体" w:hAnsi="宋体" w:cs="宋体"/>
          <w:color w:val="auto"/>
          <w:sz w:val="24"/>
          <w:highlight w:val="none"/>
        </w:rPr>
        <w:t>]</w:t>
      </w:r>
    </w:p>
    <w:p w14:paraId="00DFE5DA">
      <w:pPr>
        <w:snapToGrid w:val="0"/>
        <w:spacing w:line="360" w:lineRule="auto"/>
        <w:rPr>
          <w:rFonts w:ascii="宋体" w:hAnsi="宋体" w:cs="宋体"/>
          <w:color w:val="auto"/>
          <w:kern w:val="0"/>
          <w:sz w:val="24"/>
          <w:highlight w:val="none"/>
        </w:rPr>
      </w:pPr>
    </w:p>
    <w:p w14:paraId="5A863F6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577FF32">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F19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0FC4F6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A011C8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07A0AD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F3846D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0C6C33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4B8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A3E86B">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112DD88">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57ED2D4">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1D317370">
            <w:pPr>
              <w:rPr>
                <w:rFonts w:ascii="宋体" w:hAnsi="宋体" w:cs="宋体"/>
                <w:color w:val="auto"/>
                <w:sz w:val="24"/>
                <w:highlight w:val="none"/>
              </w:rPr>
            </w:pPr>
          </w:p>
          <w:p w14:paraId="2DED8BF4">
            <w:pPr>
              <w:rPr>
                <w:rFonts w:ascii="宋体" w:hAnsi="宋体" w:cs="宋体"/>
                <w:color w:val="auto"/>
                <w:sz w:val="24"/>
                <w:highlight w:val="none"/>
              </w:rPr>
            </w:pPr>
            <w:r>
              <w:rPr>
                <w:rFonts w:hint="eastAsia" w:ascii="宋体" w:hAnsi="宋体" w:cs="宋体"/>
                <w:color w:val="auto"/>
                <w:sz w:val="24"/>
                <w:highlight w:val="none"/>
              </w:rPr>
              <w:t>见投标文件</w:t>
            </w:r>
          </w:p>
          <w:p w14:paraId="65C601FF">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91E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67DD8C">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5E96F837">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53887A7">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12012539">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0A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DC35E01">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25CCBB0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371C7342">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5542FD70">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DD03F2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35D4361">
      <w:pPr>
        <w:jc w:val="center"/>
        <w:rPr>
          <w:rFonts w:ascii="宋体" w:hAnsi="宋体" w:cs="宋体"/>
          <w:b/>
          <w:color w:val="auto"/>
          <w:kern w:val="0"/>
          <w:sz w:val="32"/>
          <w:szCs w:val="32"/>
          <w:highlight w:val="none"/>
        </w:rPr>
      </w:pPr>
    </w:p>
    <w:p w14:paraId="67128EB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3C0CDE3">
      <w:pPr>
        <w:jc w:val="center"/>
        <w:rPr>
          <w:rFonts w:ascii="宋体" w:hAnsi="宋体" w:cs="宋体"/>
          <w:b/>
          <w:color w:val="auto"/>
          <w:kern w:val="0"/>
          <w:sz w:val="32"/>
          <w:szCs w:val="32"/>
          <w:highlight w:val="none"/>
        </w:rPr>
      </w:pPr>
    </w:p>
    <w:p w14:paraId="5825BD7E">
      <w:pPr>
        <w:jc w:val="center"/>
        <w:rPr>
          <w:rFonts w:ascii="宋体" w:hAnsi="宋体" w:cs="宋体"/>
          <w:b/>
          <w:color w:val="auto"/>
          <w:kern w:val="0"/>
          <w:sz w:val="32"/>
          <w:szCs w:val="32"/>
          <w:highlight w:val="none"/>
        </w:rPr>
      </w:pPr>
    </w:p>
    <w:p w14:paraId="7C86BEB0">
      <w:pPr>
        <w:jc w:val="center"/>
        <w:rPr>
          <w:rFonts w:ascii="宋体" w:hAnsi="宋体" w:cs="宋体"/>
          <w:b/>
          <w:color w:val="auto"/>
          <w:kern w:val="0"/>
          <w:sz w:val="32"/>
          <w:szCs w:val="32"/>
          <w:highlight w:val="none"/>
        </w:rPr>
      </w:pPr>
    </w:p>
    <w:p w14:paraId="3CDC3A01">
      <w:pPr>
        <w:jc w:val="center"/>
        <w:rPr>
          <w:rFonts w:ascii="宋体" w:hAnsi="宋体" w:cs="宋体"/>
          <w:b/>
          <w:color w:val="auto"/>
          <w:kern w:val="0"/>
          <w:sz w:val="32"/>
          <w:szCs w:val="32"/>
          <w:highlight w:val="none"/>
        </w:rPr>
      </w:pPr>
    </w:p>
    <w:p w14:paraId="13A91801">
      <w:pPr>
        <w:jc w:val="center"/>
        <w:rPr>
          <w:rFonts w:ascii="宋体" w:hAnsi="宋体" w:cs="宋体"/>
          <w:b/>
          <w:color w:val="auto"/>
          <w:kern w:val="0"/>
          <w:sz w:val="32"/>
          <w:szCs w:val="32"/>
          <w:highlight w:val="none"/>
        </w:rPr>
      </w:pPr>
    </w:p>
    <w:p w14:paraId="6BB0482A">
      <w:pPr>
        <w:jc w:val="center"/>
        <w:rPr>
          <w:rFonts w:ascii="宋体" w:hAnsi="宋体" w:cs="宋体"/>
          <w:b/>
          <w:color w:val="auto"/>
          <w:kern w:val="0"/>
          <w:sz w:val="32"/>
          <w:szCs w:val="32"/>
          <w:highlight w:val="none"/>
        </w:rPr>
      </w:pPr>
    </w:p>
    <w:p w14:paraId="141406C9">
      <w:pPr>
        <w:jc w:val="center"/>
        <w:rPr>
          <w:rFonts w:ascii="宋体" w:hAnsi="宋体" w:cs="宋体"/>
          <w:b/>
          <w:color w:val="auto"/>
          <w:kern w:val="0"/>
          <w:sz w:val="32"/>
          <w:szCs w:val="32"/>
          <w:highlight w:val="none"/>
        </w:rPr>
      </w:pPr>
    </w:p>
    <w:p w14:paraId="645DC293">
      <w:pPr>
        <w:jc w:val="center"/>
        <w:rPr>
          <w:rFonts w:ascii="宋体" w:hAnsi="宋体" w:cs="宋体"/>
          <w:b/>
          <w:color w:val="auto"/>
          <w:kern w:val="0"/>
          <w:sz w:val="32"/>
          <w:szCs w:val="32"/>
          <w:highlight w:val="none"/>
        </w:rPr>
      </w:pPr>
    </w:p>
    <w:p w14:paraId="324A3742">
      <w:pPr>
        <w:jc w:val="center"/>
        <w:rPr>
          <w:rFonts w:ascii="宋体" w:hAnsi="宋体" w:cs="宋体"/>
          <w:b/>
          <w:color w:val="auto"/>
          <w:kern w:val="0"/>
          <w:sz w:val="32"/>
          <w:szCs w:val="32"/>
          <w:highlight w:val="none"/>
        </w:rPr>
      </w:pPr>
    </w:p>
    <w:p w14:paraId="3A017708">
      <w:pPr>
        <w:jc w:val="center"/>
        <w:rPr>
          <w:rFonts w:ascii="宋体" w:hAnsi="宋体" w:cs="宋体"/>
          <w:b/>
          <w:color w:val="auto"/>
          <w:kern w:val="0"/>
          <w:sz w:val="32"/>
          <w:szCs w:val="32"/>
          <w:highlight w:val="none"/>
        </w:rPr>
      </w:pPr>
    </w:p>
    <w:p w14:paraId="3EE1579D">
      <w:pPr>
        <w:jc w:val="center"/>
        <w:rPr>
          <w:rFonts w:ascii="宋体" w:hAnsi="宋体" w:cs="宋体"/>
          <w:b/>
          <w:color w:val="auto"/>
          <w:kern w:val="0"/>
          <w:sz w:val="32"/>
          <w:szCs w:val="32"/>
          <w:highlight w:val="none"/>
        </w:rPr>
      </w:pPr>
    </w:p>
    <w:p w14:paraId="6450B591">
      <w:pPr>
        <w:jc w:val="center"/>
        <w:rPr>
          <w:rFonts w:ascii="宋体" w:hAnsi="宋体" w:cs="宋体"/>
          <w:b/>
          <w:color w:val="auto"/>
          <w:kern w:val="0"/>
          <w:sz w:val="32"/>
          <w:szCs w:val="32"/>
          <w:highlight w:val="none"/>
        </w:rPr>
      </w:pPr>
    </w:p>
    <w:p w14:paraId="583C3A7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5505BE5">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30960A19">
      <w:pPr>
        <w:jc w:val="center"/>
        <w:rPr>
          <w:rFonts w:ascii="宋体" w:hAnsi="宋体" w:cs="宋体"/>
          <w:b/>
          <w:color w:val="auto"/>
          <w:kern w:val="0"/>
          <w:sz w:val="32"/>
          <w:szCs w:val="32"/>
          <w:highlight w:val="none"/>
        </w:rPr>
      </w:pPr>
    </w:p>
    <w:p w14:paraId="58A50A73">
      <w:pPr>
        <w:jc w:val="center"/>
        <w:rPr>
          <w:rFonts w:ascii="宋体" w:hAnsi="宋体" w:cs="宋体"/>
          <w:b/>
          <w:color w:val="auto"/>
          <w:kern w:val="0"/>
          <w:sz w:val="32"/>
          <w:szCs w:val="32"/>
          <w:highlight w:val="none"/>
        </w:rPr>
      </w:pPr>
    </w:p>
    <w:p w14:paraId="613E7F15">
      <w:pPr>
        <w:jc w:val="center"/>
        <w:rPr>
          <w:rFonts w:ascii="宋体" w:hAnsi="宋体" w:cs="宋体"/>
          <w:b/>
          <w:color w:val="auto"/>
          <w:kern w:val="0"/>
          <w:sz w:val="32"/>
          <w:szCs w:val="32"/>
          <w:highlight w:val="none"/>
        </w:rPr>
      </w:pPr>
    </w:p>
    <w:p w14:paraId="3BB2FBE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42E9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29BFB0">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CF5795A">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AC6169C">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41559C2C">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33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0668B4">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71E5CBC2">
            <w:pPr>
              <w:jc w:val="center"/>
              <w:rPr>
                <w:rFonts w:ascii="宋体" w:hAnsi="宋体" w:cs="宋体"/>
                <w:b/>
                <w:color w:val="auto"/>
                <w:kern w:val="0"/>
                <w:sz w:val="32"/>
                <w:szCs w:val="32"/>
                <w:highlight w:val="none"/>
              </w:rPr>
            </w:pPr>
          </w:p>
        </w:tc>
        <w:tc>
          <w:tcPr>
            <w:tcW w:w="3546" w:type="dxa"/>
          </w:tcPr>
          <w:p w14:paraId="5167CA65">
            <w:pPr>
              <w:jc w:val="center"/>
              <w:rPr>
                <w:rFonts w:ascii="宋体" w:hAnsi="宋体" w:cs="宋体"/>
                <w:b/>
                <w:color w:val="auto"/>
                <w:kern w:val="0"/>
                <w:sz w:val="32"/>
                <w:szCs w:val="32"/>
                <w:highlight w:val="none"/>
              </w:rPr>
            </w:pPr>
          </w:p>
        </w:tc>
        <w:tc>
          <w:tcPr>
            <w:tcW w:w="1276" w:type="dxa"/>
          </w:tcPr>
          <w:p w14:paraId="7E170898">
            <w:pPr>
              <w:jc w:val="center"/>
              <w:rPr>
                <w:rFonts w:ascii="宋体" w:hAnsi="宋体" w:cs="宋体"/>
                <w:b/>
                <w:color w:val="auto"/>
                <w:kern w:val="0"/>
                <w:sz w:val="32"/>
                <w:szCs w:val="32"/>
                <w:highlight w:val="none"/>
              </w:rPr>
            </w:pPr>
          </w:p>
        </w:tc>
      </w:tr>
      <w:tr w14:paraId="77D6A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8BFBD2">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9A18528">
            <w:pPr>
              <w:jc w:val="center"/>
              <w:rPr>
                <w:rFonts w:ascii="宋体" w:hAnsi="宋体" w:cs="宋体"/>
                <w:b/>
                <w:color w:val="auto"/>
                <w:kern w:val="0"/>
                <w:sz w:val="32"/>
                <w:szCs w:val="32"/>
                <w:highlight w:val="none"/>
              </w:rPr>
            </w:pPr>
          </w:p>
        </w:tc>
        <w:tc>
          <w:tcPr>
            <w:tcW w:w="3546" w:type="dxa"/>
          </w:tcPr>
          <w:p w14:paraId="76679B6D">
            <w:pPr>
              <w:jc w:val="center"/>
              <w:rPr>
                <w:rFonts w:ascii="宋体" w:hAnsi="宋体" w:cs="宋体"/>
                <w:b/>
                <w:color w:val="auto"/>
                <w:kern w:val="0"/>
                <w:sz w:val="32"/>
                <w:szCs w:val="32"/>
                <w:highlight w:val="none"/>
              </w:rPr>
            </w:pPr>
          </w:p>
        </w:tc>
        <w:tc>
          <w:tcPr>
            <w:tcW w:w="1276" w:type="dxa"/>
          </w:tcPr>
          <w:p w14:paraId="167106B2">
            <w:pPr>
              <w:jc w:val="center"/>
              <w:rPr>
                <w:rFonts w:ascii="宋体" w:hAnsi="宋体" w:cs="宋体"/>
                <w:b/>
                <w:color w:val="auto"/>
                <w:kern w:val="0"/>
                <w:sz w:val="32"/>
                <w:szCs w:val="32"/>
                <w:highlight w:val="none"/>
              </w:rPr>
            </w:pPr>
          </w:p>
        </w:tc>
      </w:tr>
      <w:tr w14:paraId="447D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31565A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21040F8A">
            <w:pPr>
              <w:jc w:val="center"/>
              <w:rPr>
                <w:rFonts w:ascii="宋体" w:hAnsi="宋体" w:cs="宋体"/>
                <w:b/>
                <w:color w:val="auto"/>
                <w:kern w:val="0"/>
                <w:sz w:val="32"/>
                <w:szCs w:val="32"/>
                <w:highlight w:val="none"/>
              </w:rPr>
            </w:pPr>
          </w:p>
        </w:tc>
        <w:tc>
          <w:tcPr>
            <w:tcW w:w="3546" w:type="dxa"/>
          </w:tcPr>
          <w:p w14:paraId="3A56FF6D">
            <w:pPr>
              <w:jc w:val="center"/>
              <w:rPr>
                <w:rFonts w:ascii="宋体" w:hAnsi="宋体" w:cs="宋体"/>
                <w:b/>
                <w:color w:val="auto"/>
                <w:kern w:val="0"/>
                <w:sz w:val="32"/>
                <w:szCs w:val="32"/>
                <w:highlight w:val="none"/>
              </w:rPr>
            </w:pPr>
          </w:p>
        </w:tc>
        <w:tc>
          <w:tcPr>
            <w:tcW w:w="1276" w:type="dxa"/>
          </w:tcPr>
          <w:p w14:paraId="44C3D8CC">
            <w:pPr>
              <w:jc w:val="center"/>
              <w:rPr>
                <w:rFonts w:ascii="宋体" w:hAnsi="宋体" w:cs="宋体"/>
                <w:b/>
                <w:color w:val="auto"/>
                <w:kern w:val="0"/>
                <w:sz w:val="32"/>
                <w:szCs w:val="32"/>
                <w:highlight w:val="none"/>
              </w:rPr>
            </w:pPr>
          </w:p>
        </w:tc>
      </w:tr>
    </w:tbl>
    <w:p w14:paraId="14D694E1">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供应商保证：除商务技术偏离表列出的偏离外，供应商响应招标文件的全部要求</w:t>
      </w:r>
    </w:p>
    <w:p w14:paraId="0C48E786">
      <w:pPr>
        <w:jc w:val="center"/>
        <w:rPr>
          <w:rFonts w:ascii="宋体" w:hAnsi="宋体" w:cs="宋体"/>
          <w:b/>
          <w:color w:val="auto"/>
          <w:kern w:val="0"/>
          <w:sz w:val="32"/>
          <w:szCs w:val="32"/>
          <w:highlight w:val="none"/>
        </w:rPr>
      </w:pPr>
    </w:p>
    <w:p w14:paraId="08182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5966BCC">
      <w:pPr>
        <w:ind w:firstLine="1911" w:firstLineChars="595"/>
        <w:rPr>
          <w:rFonts w:ascii="宋体" w:hAnsi="宋体" w:cs="宋体"/>
          <w:b/>
          <w:bCs/>
          <w:color w:val="auto"/>
          <w:sz w:val="32"/>
          <w:szCs w:val="32"/>
          <w:highlight w:val="none"/>
        </w:rPr>
      </w:pPr>
    </w:p>
    <w:p w14:paraId="19311DD5">
      <w:pPr>
        <w:ind w:firstLine="1911" w:firstLineChars="595"/>
        <w:rPr>
          <w:rFonts w:ascii="宋体" w:hAnsi="宋体" w:cs="宋体"/>
          <w:b/>
          <w:bCs/>
          <w:color w:val="auto"/>
          <w:sz w:val="32"/>
          <w:szCs w:val="32"/>
          <w:highlight w:val="none"/>
        </w:rPr>
      </w:pPr>
    </w:p>
    <w:p w14:paraId="428210E5">
      <w:pPr>
        <w:ind w:firstLine="1911" w:firstLineChars="595"/>
        <w:rPr>
          <w:rFonts w:ascii="宋体" w:hAnsi="宋体" w:cs="宋体"/>
          <w:b/>
          <w:bCs/>
          <w:color w:val="auto"/>
          <w:sz w:val="32"/>
          <w:szCs w:val="32"/>
          <w:highlight w:val="none"/>
        </w:rPr>
      </w:pPr>
    </w:p>
    <w:p w14:paraId="47304473">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DAE2B6E">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D87A7E4">
      <w:pPr>
        <w:snapToGrid w:val="0"/>
        <w:spacing w:line="360" w:lineRule="auto"/>
        <w:rPr>
          <w:rFonts w:ascii="宋体" w:hAnsi="宋体" w:cs="宋体"/>
          <w:color w:val="auto"/>
          <w:sz w:val="24"/>
          <w:highlight w:val="none"/>
        </w:rPr>
      </w:pPr>
    </w:p>
    <w:p w14:paraId="01FF7FF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宁波市自然资源和规划局镇海分局、浙江中基正采管理咨询有限公司</w:t>
      </w:r>
      <w:r>
        <w:rPr>
          <w:rFonts w:hint="eastAsia" w:ascii="宋体" w:hAnsi="宋体" w:cs="宋体"/>
          <w:color w:val="auto"/>
          <w:kern w:val="0"/>
          <w:sz w:val="24"/>
          <w:highlight w:val="none"/>
          <w:lang w:val="zh-CN"/>
        </w:rPr>
        <w:t>：</w:t>
      </w:r>
    </w:p>
    <w:p w14:paraId="1494E99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186FD3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048419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B6A65B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6F2D18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899F857">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C38C8B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C87C99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5680FB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6ADCF2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ascii="宋体" w:hAnsi="宋体" w:cs="宋体"/>
          <w:color w:val="auto"/>
          <w:kern w:val="0"/>
          <w:sz w:val="24"/>
          <w:highlight w:val="none"/>
        </w:rPr>
        <w:t>区</w:t>
      </w:r>
      <w:r>
        <w:rPr>
          <w:rFonts w:hint="eastAsia" w:ascii="宋体" w:hAnsi="宋体" w:cs="宋体"/>
          <w:color w:val="auto"/>
          <w:kern w:val="0"/>
          <w:sz w:val="24"/>
          <w:highlight w:val="none"/>
          <w:lang w:val="zh-CN"/>
        </w:rPr>
        <w:t>财政局。由此引起的相应损失均由我单位承担。</w:t>
      </w:r>
    </w:p>
    <w:p w14:paraId="2EA03159">
      <w:pPr>
        <w:autoSpaceDE w:val="0"/>
        <w:autoSpaceDN w:val="0"/>
        <w:spacing w:line="360" w:lineRule="auto"/>
        <w:ind w:left="2"/>
        <w:jc w:val="left"/>
        <w:rPr>
          <w:rFonts w:ascii="宋体" w:hAnsi="宋体" w:cs="宋体"/>
          <w:color w:val="auto"/>
          <w:kern w:val="0"/>
          <w:sz w:val="24"/>
          <w:highlight w:val="none"/>
          <w:lang w:val="zh-CN"/>
        </w:rPr>
      </w:pPr>
    </w:p>
    <w:p w14:paraId="295B617C">
      <w:pPr>
        <w:autoSpaceDE w:val="0"/>
        <w:autoSpaceDN w:val="0"/>
        <w:spacing w:line="360" w:lineRule="auto"/>
        <w:ind w:left="2"/>
        <w:jc w:val="left"/>
        <w:rPr>
          <w:rFonts w:ascii="宋体" w:hAnsi="宋体" w:cs="宋体"/>
          <w:color w:val="auto"/>
          <w:kern w:val="0"/>
          <w:sz w:val="24"/>
          <w:highlight w:val="none"/>
          <w:lang w:val="zh-CN"/>
        </w:rPr>
      </w:pPr>
    </w:p>
    <w:p w14:paraId="228E8D18">
      <w:pPr>
        <w:autoSpaceDE w:val="0"/>
        <w:autoSpaceDN w:val="0"/>
        <w:spacing w:line="360" w:lineRule="auto"/>
        <w:ind w:left="2"/>
        <w:jc w:val="left"/>
        <w:rPr>
          <w:rFonts w:ascii="宋体" w:hAnsi="宋体" w:cs="宋体"/>
          <w:color w:val="auto"/>
          <w:kern w:val="0"/>
          <w:sz w:val="24"/>
          <w:highlight w:val="none"/>
          <w:lang w:val="zh-CN"/>
        </w:rPr>
      </w:pPr>
    </w:p>
    <w:p w14:paraId="00B209C4">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0D80179">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A3CE978">
      <w:pPr>
        <w:spacing w:line="360" w:lineRule="auto"/>
        <w:jc w:val="center"/>
        <w:rPr>
          <w:rFonts w:ascii="宋体" w:hAnsi="宋体" w:cs="宋体"/>
          <w:b/>
          <w:bCs/>
          <w:color w:val="auto"/>
          <w:sz w:val="24"/>
          <w:highlight w:val="none"/>
        </w:rPr>
      </w:pPr>
    </w:p>
    <w:p w14:paraId="2C94C9A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36B1104">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0B096F2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DAF68C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1D7FB77">
      <w:pPr>
        <w:spacing w:line="360" w:lineRule="auto"/>
        <w:jc w:val="center"/>
        <w:outlineLvl w:val="0"/>
        <w:rPr>
          <w:rFonts w:ascii="宋体" w:hAnsi="宋体" w:cs="宋体"/>
          <w:b/>
          <w:color w:val="auto"/>
          <w:kern w:val="0"/>
          <w:sz w:val="36"/>
          <w:szCs w:val="36"/>
          <w:highlight w:val="none"/>
        </w:rPr>
      </w:pPr>
    </w:p>
    <w:p w14:paraId="5C44E5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09207A9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387F9695">
      <w:pPr>
        <w:snapToGrid w:val="0"/>
        <w:spacing w:line="360" w:lineRule="auto"/>
        <w:ind w:right="480"/>
        <w:jc w:val="center"/>
        <w:rPr>
          <w:rFonts w:ascii="宋体" w:hAnsi="宋体" w:cs="宋体"/>
          <w:b/>
          <w:color w:val="auto"/>
          <w:kern w:val="0"/>
          <w:sz w:val="32"/>
          <w:szCs w:val="32"/>
          <w:highlight w:val="none"/>
        </w:rPr>
      </w:pPr>
    </w:p>
    <w:p w14:paraId="785425F5">
      <w:pPr>
        <w:snapToGrid w:val="0"/>
        <w:spacing w:line="360" w:lineRule="auto"/>
        <w:ind w:right="480"/>
        <w:jc w:val="center"/>
        <w:rPr>
          <w:rFonts w:ascii="宋体" w:hAnsi="宋体" w:cs="宋体"/>
          <w:b/>
          <w:color w:val="auto"/>
          <w:kern w:val="0"/>
          <w:sz w:val="32"/>
          <w:szCs w:val="32"/>
          <w:highlight w:val="none"/>
        </w:rPr>
      </w:pPr>
    </w:p>
    <w:p w14:paraId="383D514D">
      <w:pPr>
        <w:snapToGrid w:val="0"/>
        <w:spacing w:line="360" w:lineRule="auto"/>
        <w:ind w:right="480"/>
        <w:jc w:val="center"/>
        <w:rPr>
          <w:rFonts w:ascii="宋体" w:hAnsi="宋体" w:cs="宋体"/>
          <w:b/>
          <w:color w:val="auto"/>
          <w:kern w:val="0"/>
          <w:sz w:val="32"/>
          <w:szCs w:val="32"/>
          <w:highlight w:val="none"/>
        </w:rPr>
      </w:pPr>
    </w:p>
    <w:p w14:paraId="5C19DA68">
      <w:pPr>
        <w:snapToGrid w:val="0"/>
        <w:spacing w:line="360" w:lineRule="auto"/>
        <w:ind w:right="480"/>
        <w:jc w:val="center"/>
        <w:rPr>
          <w:rFonts w:ascii="宋体" w:hAnsi="宋体" w:cs="宋体"/>
          <w:b/>
          <w:color w:val="auto"/>
          <w:kern w:val="0"/>
          <w:sz w:val="32"/>
          <w:szCs w:val="32"/>
          <w:highlight w:val="none"/>
        </w:rPr>
      </w:pPr>
    </w:p>
    <w:p w14:paraId="447B99AA">
      <w:pPr>
        <w:snapToGrid w:val="0"/>
        <w:spacing w:line="360" w:lineRule="auto"/>
        <w:ind w:right="480"/>
        <w:jc w:val="center"/>
        <w:rPr>
          <w:rFonts w:ascii="宋体" w:hAnsi="宋体" w:cs="宋体"/>
          <w:b/>
          <w:color w:val="auto"/>
          <w:kern w:val="0"/>
          <w:sz w:val="32"/>
          <w:szCs w:val="32"/>
          <w:highlight w:val="none"/>
        </w:rPr>
      </w:pPr>
    </w:p>
    <w:p w14:paraId="4CC146B4">
      <w:pPr>
        <w:snapToGrid w:val="0"/>
        <w:spacing w:line="360" w:lineRule="auto"/>
        <w:ind w:right="480"/>
        <w:jc w:val="center"/>
        <w:rPr>
          <w:rFonts w:ascii="宋体" w:hAnsi="宋体" w:cs="宋体"/>
          <w:b/>
          <w:color w:val="auto"/>
          <w:kern w:val="0"/>
          <w:sz w:val="32"/>
          <w:szCs w:val="32"/>
          <w:highlight w:val="none"/>
        </w:rPr>
      </w:pPr>
    </w:p>
    <w:p w14:paraId="6B0FFFB4">
      <w:pPr>
        <w:snapToGrid w:val="0"/>
        <w:spacing w:line="360" w:lineRule="auto"/>
        <w:ind w:right="480"/>
        <w:jc w:val="center"/>
        <w:rPr>
          <w:rFonts w:ascii="宋体" w:hAnsi="宋体" w:cs="宋体"/>
          <w:b/>
          <w:color w:val="auto"/>
          <w:kern w:val="0"/>
          <w:sz w:val="32"/>
          <w:szCs w:val="32"/>
          <w:highlight w:val="none"/>
        </w:rPr>
      </w:pPr>
    </w:p>
    <w:p w14:paraId="42A30D6B">
      <w:pPr>
        <w:snapToGrid w:val="0"/>
        <w:spacing w:line="360" w:lineRule="auto"/>
        <w:ind w:right="480"/>
        <w:jc w:val="center"/>
        <w:rPr>
          <w:rFonts w:ascii="宋体" w:hAnsi="宋体" w:cs="宋体"/>
          <w:b/>
          <w:color w:val="auto"/>
          <w:kern w:val="0"/>
          <w:sz w:val="32"/>
          <w:szCs w:val="32"/>
          <w:highlight w:val="none"/>
        </w:rPr>
      </w:pPr>
    </w:p>
    <w:p w14:paraId="63C8C174">
      <w:pPr>
        <w:snapToGrid w:val="0"/>
        <w:spacing w:line="360" w:lineRule="auto"/>
        <w:ind w:right="480"/>
        <w:jc w:val="center"/>
        <w:rPr>
          <w:rFonts w:ascii="宋体" w:hAnsi="宋体" w:cs="宋体"/>
          <w:b/>
          <w:color w:val="auto"/>
          <w:kern w:val="0"/>
          <w:sz w:val="32"/>
          <w:szCs w:val="32"/>
          <w:highlight w:val="none"/>
        </w:rPr>
      </w:pPr>
    </w:p>
    <w:p w14:paraId="1FDCE6A9">
      <w:pPr>
        <w:snapToGrid w:val="0"/>
        <w:spacing w:line="360" w:lineRule="auto"/>
        <w:ind w:right="480"/>
        <w:jc w:val="center"/>
        <w:rPr>
          <w:rFonts w:ascii="宋体" w:hAnsi="宋体" w:cs="宋体"/>
          <w:b/>
          <w:color w:val="auto"/>
          <w:kern w:val="0"/>
          <w:sz w:val="32"/>
          <w:szCs w:val="32"/>
          <w:highlight w:val="none"/>
        </w:rPr>
      </w:pPr>
    </w:p>
    <w:p w14:paraId="656D61EC">
      <w:pPr>
        <w:snapToGrid w:val="0"/>
        <w:spacing w:line="360" w:lineRule="auto"/>
        <w:ind w:right="480"/>
        <w:jc w:val="center"/>
        <w:rPr>
          <w:rFonts w:ascii="宋体" w:hAnsi="宋体" w:cs="宋体"/>
          <w:b/>
          <w:color w:val="auto"/>
          <w:kern w:val="0"/>
          <w:sz w:val="32"/>
          <w:szCs w:val="32"/>
          <w:highlight w:val="none"/>
        </w:rPr>
      </w:pPr>
    </w:p>
    <w:p w14:paraId="6D8B1FAC">
      <w:pPr>
        <w:snapToGrid w:val="0"/>
        <w:spacing w:line="360" w:lineRule="auto"/>
        <w:ind w:right="480"/>
        <w:jc w:val="center"/>
        <w:rPr>
          <w:rFonts w:ascii="宋体" w:hAnsi="宋体" w:cs="宋体"/>
          <w:b/>
          <w:color w:val="auto"/>
          <w:kern w:val="0"/>
          <w:sz w:val="32"/>
          <w:szCs w:val="32"/>
          <w:highlight w:val="none"/>
        </w:rPr>
      </w:pPr>
    </w:p>
    <w:p w14:paraId="74B42823">
      <w:pPr>
        <w:snapToGrid w:val="0"/>
        <w:spacing w:line="360" w:lineRule="auto"/>
        <w:ind w:right="480"/>
        <w:jc w:val="center"/>
        <w:rPr>
          <w:rFonts w:ascii="宋体" w:hAnsi="宋体" w:cs="宋体"/>
          <w:b/>
          <w:color w:val="auto"/>
          <w:kern w:val="0"/>
          <w:sz w:val="32"/>
          <w:szCs w:val="32"/>
          <w:highlight w:val="none"/>
        </w:rPr>
      </w:pPr>
    </w:p>
    <w:p w14:paraId="53E88764">
      <w:pPr>
        <w:snapToGrid w:val="0"/>
        <w:spacing w:line="360" w:lineRule="auto"/>
        <w:ind w:right="480"/>
        <w:jc w:val="center"/>
        <w:rPr>
          <w:rFonts w:ascii="宋体" w:hAnsi="宋体" w:cs="宋体"/>
          <w:b/>
          <w:color w:val="auto"/>
          <w:kern w:val="0"/>
          <w:sz w:val="32"/>
          <w:szCs w:val="32"/>
          <w:highlight w:val="none"/>
        </w:rPr>
      </w:pPr>
    </w:p>
    <w:p w14:paraId="71D87D46">
      <w:pPr>
        <w:snapToGrid w:val="0"/>
        <w:spacing w:line="360" w:lineRule="auto"/>
        <w:ind w:right="480"/>
        <w:jc w:val="center"/>
        <w:rPr>
          <w:rFonts w:ascii="宋体" w:hAnsi="宋体" w:cs="宋体"/>
          <w:b/>
          <w:color w:val="auto"/>
          <w:kern w:val="0"/>
          <w:sz w:val="32"/>
          <w:szCs w:val="32"/>
          <w:highlight w:val="none"/>
        </w:rPr>
      </w:pPr>
    </w:p>
    <w:p w14:paraId="3274A207">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30021B28">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C1C3EC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宁波市自然资源和规划局镇海分局、浙江中基正采管理咨询有限公司</w:t>
      </w:r>
      <w:r>
        <w:rPr>
          <w:rFonts w:hint="eastAsia" w:ascii="宋体" w:hAnsi="宋体" w:cs="宋体"/>
          <w:color w:val="auto"/>
          <w:kern w:val="0"/>
          <w:sz w:val="24"/>
          <w:highlight w:val="none"/>
          <w:lang w:val="zh-CN"/>
        </w:rPr>
        <w:t>：</w:t>
      </w:r>
    </w:p>
    <w:p w14:paraId="6EDD170A">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镇海区2025-2026年松材线虫病防治项目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CBZJ-20256140G</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tbl>
      <w:tblPr>
        <w:tblStyle w:val="62"/>
        <w:tblW w:w="9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3"/>
        <w:gridCol w:w="2547"/>
        <w:gridCol w:w="5383"/>
      </w:tblGrid>
      <w:tr w14:paraId="4B438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1243" w:type="dxa"/>
            <w:tcBorders>
              <w:top w:val="single" w:color="auto" w:sz="4" w:space="0"/>
              <w:left w:val="single" w:color="auto" w:sz="4" w:space="0"/>
              <w:bottom w:val="single" w:color="auto" w:sz="4" w:space="0"/>
              <w:right w:val="single" w:color="auto" w:sz="4" w:space="0"/>
            </w:tcBorders>
            <w:vAlign w:val="center"/>
          </w:tcPr>
          <w:p w14:paraId="42BE8E53">
            <w:pPr>
              <w:adjustRightInd/>
              <w:snapToGrid w:val="0"/>
              <w:spacing w:before="50" w:after="50"/>
              <w:jc w:val="center"/>
              <w:rPr>
                <w:rFonts w:ascii="宋体" w:hAnsi="宋体"/>
                <w:color w:val="auto"/>
                <w:sz w:val="24"/>
                <w:highlight w:val="none"/>
              </w:rPr>
            </w:pPr>
            <w:r>
              <w:rPr>
                <w:rFonts w:hint="eastAsia" w:ascii="宋体" w:hAnsi="宋体" w:cs="宋体"/>
                <w:color w:val="auto"/>
                <w:sz w:val="24"/>
                <w:highlight w:val="none"/>
              </w:rPr>
              <w:t>序号</w:t>
            </w:r>
          </w:p>
        </w:tc>
        <w:tc>
          <w:tcPr>
            <w:tcW w:w="7930" w:type="dxa"/>
            <w:gridSpan w:val="2"/>
            <w:tcBorders>
              <w:top w:val="single" w:color="auto" w:sz="4" w:space="0"/>
              <w:left w:val="single" w:color="auto" w:sz="4" w:space="0"/>
              <w:bottom w:val="single" w:color="auto" w:sz="4" w:space="0"/>
              <w:right w:val="single" w:color="auto" w:sz="4" w:space="0"/>
            </w:tcBorders>
            <w:vAlign w:val="center"/>
          </w:tcPr>
          <w:p w14:paraId="5B2D8608">
            <w:pPr>
              <w:adjustRightInd/>
              <w:snapToGrid w:val="0"/>
              <w:spacing w:before="50" w:after="50"/>
              <w:jc w:val="center"/>
              <w:rPr>
                <w:rFonts w:ascii="宋体" w:hAnsi="宋体"/>
                <w:color w:val="auto"/>
                <w:sz w:val="24"/>
                <w:highlight w:val="none"/>
              </w:rPr>
            </w:pPr>
            <w:r>
              <w:rPr>
                <w:rFonts w:hint="eastAsia" w:ascii="宋体" w:hAnsi="宋体" w:cs="宋体"/>
                <w:color w:val="auto"/>
                <w:sz w:val="24"/>
                <w:highlight w:val="none"/>
              </w:rPr>
              <w:t>项目名称</w:t>
            </w:r>
          </w:p>
        </w:tc>
      </w:tr>
      <w:tr w14:paraId="35F05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1243" w:type="dxa"/>
            <w:tcBorders>
              <w:top w:val="single" w:color="auto" w:sz="4" w:space="0"/>
              <w:left w:val="single" w:color="auto" w:sz="4" w:space="0"/>
              <w:right w:val="single" w:color="auto" w:sz="4" w:space="0"/>
            </w:tcBorders>
            <w:vAlign w:val="center"/>
          </w:tcPr>
          <w:p w14:paraId="5BB6071F">
            <w:pPr>
              <w:adjustRightInd/>
              <w:snapToGrid w:val="0"/>
              <w:spacing w:before="50" w:after="50"/>
              <w:jc w:val="center"/>
              <w:rPr>
                <w:rFonts w:ascii="宋体" w:hAnsi="宋体"/>
                <w:color w:val="auto"/>
                <w:sz w:val="24"/>
                <w:highlight w:val="none"/>
              </w:rPr>
            </w:pPr>
            <w:r>
              <w:rPr>
                <w:rFonts w:hint="eastAsia" w:ascii="宋体" w:hAnsi="宋体" w:cs="宋体"/>
                <w:color w:val="auto"/>
                <w:sz w:val="24"/>
                <w:highlight w:val="none"/>
              </w:rPr>
              <w:t>1</w:t>
            </w:r>
          </w:p>
        </w:tc>
        <w:tc>
          <w:tcPr>
            <w:tcW w:w="7930" w:type="dxa"/>
            <w:gridSpan w:val="2"/>
            <w:tcBorders>
              <w:top w:val="single" w:color="auto" w:sz="4" w:space="0"/>
              <w:left w:val="single" w:color="auto" w:sz="4" w:space="0"/>
              <w:bottom w:val="single" w:color="auto" w:sz="4" w:space="0"/>
              <w:right w:val="single" w:color="auto" w:sz="4" w:space="0"/>
            </w:tcBorders>
            <w:vAlign w:val="center"/>
          </w:tcPr>
          <w:p w14:paraId="69CC8D5C">
            <w:pPr>
              <w:adjustRightInd/>
              <w:snapToGrid w:val="0"/>
              <w:spacing w:before="50" w:after="50"/>
              <w:jc w:val="both"/>
              <w:rPr>
                <w:rFonts w:ascii="宋体" w:hAnsi="宋体"/>
                <w:color w:val="auto"/>
                <w:sz w:val="24"/>
                <w:highlight w:val="none"/>
              </w:rPr>
            </w:pPr>
            <w:r>
              <w:rPr>
                <w:rFonts w:hint="eastAsia" w:cs="宋体"/>
                <w:color w:val="auto"/>
                <w:sz w:val="24"/>
                <w:highlight w:val="none"/>
                <w:lang w:eastAsia="zh-CN"/>
              </w:rPr>
              <w:t>镇海区2025-2026年松材线虫病防治项目</w:t>
            </w:r>
          </w:p>
        </w:tc>
      </w:tr>
      <w:tr w14:paraId="2808A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3790" w:type="dxa"/>
            <w:gridSpan w:val="2"/>
            <w:tcBorders>
              <w:top w:val="single" w:color="auto" w:sz="4" w:space="0"/>
              <w:left w:val="single" w:color="auto" w:sz="4" w:space="0"/>
              <w:right w:val="single" w:color="auto" w:sz="4" w:space="0"/>
            </w:tcBorders>
            <w:vAlign w:val="center"/>
          </w:tcPr>
          <w:p w14:paraId="164819AB">
            <w:pPr>
              <w:adjustRightInd/>
              <w:snapToGrid w:val="0"/>
              <w:spacing w:before="50" w:after="50"/>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投标</w:t>
            </w:r>
            <w:r>
              <w:rPr>
                <w:rFonts w:hint="eastAsia" w:ascii="宋体" w:hAnsi="宋体" w:eastAsia="宋体" w:cs="Times New Roman"/>
                <w:color w:val="auto"/>
                <w:sz w:val="24"/>
                <w:highlight w:val="none"/>
                <w:lang w:val="en-US" w:eastAsia="zh-CN"/>
              </w:rPr>
              <w:t>报价</w:t>
            </w:r>
            <w:r>
              <w:rPr>
                <w:rFonts w:hint="eastAsia" w:ascii="宋体" w:hAnsi="宋体" w:eastAsia="宋体" w:cs="Times New Roman"/>
                <w:color w:val="auto"/>
                <w:sz w:val="24"/>
                <w:highlight w:val="none"/>
              </w:rPr>
              <w:t>（元）</w:t>
            </w:r>
          </w:p>
        </w:tc>
        <w:tc>
          <w:tcPr>
            <w:tcW w:w="5383" w:type="dxa"/>
            <w:tcBorders>
              <w:top w:val="single" w:color="auto" w:sz="4" w:space="0"/>
              <w:left w:val="single" w:color="auto" w:sz="4" w:space="0"/>
              <w:bottom w:val="single" w:color="auto" w:sz="4" w:space="0"/>
              <w:right w:val="single" w:color="auto" w:sz="4" w:space="0"/>
            </w:tcBorders>
            <w:vAlign w:val="center"/>
          </w:tcPr>
          <w:p w14:paraId="7D0893B8">
            <w:pPr>
              <w:adjustRightInd/>
              <w:snapToGrid w:val="0"/>
              <w:spacing w:before="50" w:after="50"/>
              <w:jc w:val="center"/>
              <w:rPr>
                <w:rFonts w:ascii="宋体" w:hAnsi="宋体"/>
                <w:color w:val="auto"/>
                <w:sz w:val="24"/>
                <w:highlight w:val="none"/>
              </w:rPr>
            </w:pPr>
          </w:p>
        </w:tc>
      </w:tr>
      <w:tr w14:paraId="5860D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3790" w:type="dxa"/>
            <w:gridSpan w:val="2"/>
            <w:tcBorders>
              <w:top w:val="single" w:color="auto" w:sz="4" w:space="0"/>
              <w:left w:val="single" w:color="auto" w:sz="4" w:space="0"/>
              <w:bottom w:val="single" w:color="auto" w:sz="4" w:space="0"/>
              <w:right w:val="single" w:color="auto" w:sz="4" w:space="0"/>
            </w:tcBorders>
            <w:vAlign w:val="center"/>
          </w:tcPr>
          <w:p w14:paraId="12BE90DB">
            <w:pPr>
              <w:adjustRightInd/>
              <w:snapToGrid w:val="0"/>
              <w:spacing w:before="50" w:after="50"/>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合同履约期限</w:t>
            </w:r>
          </w:p>
        </w:tc>
        <w:tc>
          <w:tcPr>
            <w:tcW w:w="5383" w:type="dxa"/>
            <w:tcBorders>
              <w:top w:val="single" w:color="auto" w:sz="4" w:space="0"/>
              <w:left w:val="single" w:color="auto" w:sz="4" w:space="0"/>
              <w:bottom w:val="single" w:color="auto" w:sz="4" w:space="0"/>
              <w:right w:val="single" w:color="auto" w:sz="4" w:space="0"/>
            </w:tcBorders>
            <w:vAlign w:val="center"/>
          </w:tcPr>
          <w:p w14:paraId="285E6163">
            <w:pPr>
              <w:adjustRightInd/>
              <w:snapToGrid w:val="0"/>
              <w:spacing w:before="50" w:after="50"/>
              <w:rPr>
                <w:color w:val="auto"/>
                <w:sz w:val="24"/>
                <w:highlight w:val="none"/>
              </w:rPr>
            </w:pPr>
          </w:p>
        </w:tc>
      </w:tr>
      <w:tr w14:paraId="3CF81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3790" w:type="dxa"/>
            <w:gridSpan w:val="2"/>
            <w:tcBorders>
              <w:top w:val="single" w:color="auto" w:sz="4" w:space="0"/>
              <w:left w:val="single" w:color="auto" w:sz="4" w:space="0"/>
              <w:bottom w:val="single" w:color="auto" w:sz="4" w:space="0"/>
              <w:right w:val="single" w:color="auto" w:sz="4" w:space="0"/>
            </w:tcBorders>
            <w:vAlign w:val="center"/>
          </w:tcPr>
          <w:p w14:paraId="4A26AC71">
            <w:pPr>
              <w:adjustRightInd/>
              <w:snapToGrid w:val="0"/>
              <w:spacing w:before="50" w:after="50"/>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投标声明</w:t>
            </w:r>
          </w:p>
        </w:tc>
        <w:tc>
          <w:tcPr>
            <w:tcW w:w="5383" w:type="dxa"/>
            <w:tcBorders>
              <w:top w:val="single" w:color="auto" w:sz="4" w:space="0"/>
              <w:left w:val="single" w:color="auto" w:sz="4" w:space="0"/>
              <w:bottom w:val="single" w:color="auto" w:sz="4" w:space="0"/>
              <w:right w:val="single" w:color="auto" w:sz="4" w:space="0"/>
            </w:tcBorders>
            <w:vAlign w:val="center"/>
          </w:tcPr>
          <w:p w14:paraId="1F783C12">
            <w:pPr>
              <w:adjustRightInd/>
              <w:snapToGrid w:val="0"/>
              <w:spacing w:before="50" w:after="50"/>
              <w:rPr>
                <w:color w:val="auto"/>
                <w:sz w:val="24"/>
                <w:highlight w:val="none"/>
              </w:rPr>
            </w:pPr>
          </w:p>
        </w:tc>
      </w:tr>
    </w:tbl>
    <w:p w14:paraId="094119FB">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0AC3363">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A74F4C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F45F73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3、特别提示：采购代理机构将对项目名称和项目编号，中标人名称、地址和中标金额，主要中标标的名称、服务范围、服务要求、服务时间、服务标准等予以公示。</w:t>
      </w:r>
    </w:p>
    <w:p w14:paraId="6DFB953D">
      <w:pPr>
        <w:snapToGrid w:val="0"/>
        <w:spacing w:line="360" w:lineRule="auto"/>
        <w:ind w:firstLine="480" w:firstLineChars="200"/>
        <w:jc w:val="left"/>
        <w:rPr>
          <w:rFonts w:ascii="宋体" w:hAnsi="宋体" w:cs="宋体"/>
          <w:color w:val="auto"/>
          <w:sz w:val="32"/>
          <w:szCs w:val="32"/>
          <w:highlight w:val="none"/>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486C7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9AE2729">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4E30A925">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69A5C1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6FE6D777">
      <w:pPr>
        <w:spacing w:line="360" w:lineRule="auto"/>
        <w:ind w:right="420" w:firstLine="3614" w:firstLineChars="1000"/>
        <w:rPr>
          <w:rFonts w:ascii="宋体" w:hAnsi="宋体" w:cs="宋体"/>
          <w:b/>
          <w:color w:val="auto"/>
          <w:kern w:val="0"/>
          <w:sz w:val="36"/>
          <w:szCs w:val="36"/>
          <w:highlight w:val="none"/>
        </w:rPr>
      </w:pPr>
    </w:p>
    <w:p w14:paraId="48174EFE">
      <w:pPr>
        <w:spacing w:line="360" w:lineRule="auto"/>
        <w:ind w:right="420" w:firstLine="3614" w:firstLineChars="1000"/>
        <w:rPr>
          <w:rFonts w:ascii="宋体" w:hAnsi="宋体" w:cs="宋体"/>
          <w:b/>
          <w:color w:val="auto"/>
          <w:kern w:val="0"/>
          <w:sz w:val="36"/>
          <w:szCs w:val="36"/>
          <w:highlight w:val="none"/>
        </w:rPr>
      </w:pPr>
    </w:p>
    <w:p w14:paraId="667EFC3D">
      <w:pPr>
        <w:spacing w:line="360" w:lineRule="auto"/>
        <w:ind w:right="420" w:firstLine="3614" w:firstLineChars="1000"/>
        <w:rPr>
          <w:rFonts w:ascii="宋体" w:hAnsi="宋体" w:cs="宋体"/>
          <w:b/>
          <w:color w:val="auto"/>
          <w:kern w:val="0"/>
          <w:sz w:val="36"/>
          <w:szCs w:val="36"/>
          <w:highlight w:val="none"/>
        </w:rPr>
      </w:pPr>
    </w:p>
    <w:p w14:paraId="57BC2FE2">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5B028514">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5D8C16A2">
      <w:pPr>
        <w:spacing w:line="360" w:lineRule="auto"/>
        <w:jc w:val="center"/>
        <w:rPr>
          <w:rFonts w:ascii="宋体" w:hAnsi="宋体" w:cs="宋体"/>
          <w:b/>
          <w:color w:val="auto"/>
          <w:spacing w:val="6"/>
          <w:sz w:val="32"/>
          <w:szCs w:val="32"/>
          <w:highlight w:val="none"/>
        </w:rPr>
      </w:pPr>
      <w:bookmarkStart w:id="426" w:name="OLE_LINK14"/>
      <w:bookmarkStart w:id="427" w:name="OLE_LINK13"/>
      <w:r>
        <w:rPr>
          <w:rFonts w:hint="eastAsia" w:ascii="宋体" w:hAnsi="宋体" w:cs="宋体"/>
          <w:b/>
          <w:color w:val="auto"/>
          <w:spacing w:val="6"/>
          <w:sz w:val="32"/>
          <w:szCs w:val="32"/>
          <w:highlight w:val="none"/>
        </w:rPr>
        <w:t>残疾人福利性单位声明函</w:t>
      </w:r>
    </w:p>
    <w:bookmarkEnd w:id="426"/>
    <w:bookmarkEnd w:id="427"/>
    <w:p w14:paraId="23C00EAE">
      <w:pPr>
        <w:spacing w:line="360" w:lineRule="auto"/>
        <w:rPr>
          <w:rFonts w:ascii="宋体" w:hAnsi="宋体" w:cs="宋体"/>
          <w:b/>
          <w:color w:val="auto"/>
          <w:spacing w:val="6"/>
          <w:sz w:val="30"/>
          <w:szCs w:val="30"/>
          <w:highlight w:val="none"/>
        </w:rPr>
      </w:pPr>
    </w:p>
    <w:p w14:paraId="6B0C4C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镇海区2025-2026年松材线虫病防治项目</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0B0926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19BBE79">
      <w:pPr>
        <w:spacing w:line="360" w:lineRule="auto"/>
        <w:ind w:firstLine="480" w:firstLineChars="200"/>
        <w:rPr>
          <w:rFonts w:ascii="宋体" w:hAnsi="宋体" w:cs="宋体"/>
          <w:color w:val="auto"/>
          <w:sz w:val="24"/>
          <w:highlight w:val="none"/>
        </w:rPr>
      </w:pPr>
    </w:p>
    <w:p w14:paraId="16C09577">
      <w:pPr>
        <w:spacing w:line="360" w:lineRule="auto"/>
        <w:ind w:firstLine="480" w:firstLineChars="200"/>
        <w:rPr>
          <w:rFonts w:ascii="宋体" w:hAnsi="宋体" w:cs="宋体"/>
          <w:color w:val="auto"/>
          <w:sz w:val="24"/>
          <w:highlight w:val="none"/>
        </w:rPr>
      </w:pPr>
    </w:p>
    <w:p w14:paraId="244B034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0AFF1D25">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7838E63D">
      <w:pPr>
        <w:spacing w:line="360" w:lineRule="auto"/>
        <w:ind w:firstLine="480" w:firstLineChars="200"/>
        <w:rPr>
          <w:rFonts w:ascii="宋体" w:hAnsi="宋体" w:cs="宋体"/>
          <w:color w:val="auto"/>
          <w:sz w:val="24"/>
          <w:highlight w:val="none"/>
        </w:rPr>
      </w:pPr>
    </w:p>
    <w:p w14:paraId="6642465F">
      <w:pPr>
        <w:spacing w:line="360" w:lineRule="auto"/>
        <w:ind w:firstLine="420" w:firstLineChars="200"/>
        <w:rPr>
          <w:rFonts w:ascii="宋体" w:hAnsi="宋体" w:cs="宋体"/>
          <w:color w:val="auto"/>
          <w:highlight w:val="none"/>
        </w:rPr>
      </w:pPr>
    </w:p>
    <w:p w14:paraId="05B86053">
      <w:pPr>
        <w:spacing w:line="360" w:lineRule="auto"/>
        <w:ind w:firstLine="420" w:firstLineChars="200"/>
        <w:rPr>
          <w:rFonts w:ascii="宋体" w:hAnsi="宋体" w:cs="宋体"/>
          <w:color w:val="auto"/>
          <w:highlight w:val="none"/>
        </w:rPr>
      </w:pPr>
    </w:p>
    <w:p w14:paraId="10AB89AF">
      <w:pPr>
        <w:spacing w:line="360" w:lineRule="auto"/>
        <w:ind w:firstLine="420" w:firstLineChars="200"/>
        <w:rPr>
          <w:rFonts w:ascii="宋体" w:hAnsi="宋体" w:cs="宋体"/>
          <w:color w:val="auto"/>
          <w:highlight w:val="none"/>
        </w:rPr>
      </w:pPr>
    </w:p>
    <w:p w14:paraId="34F3440B">
      <w:pPr>
        <w:spacing w:line="360" w:lineRule="auto"/>
        <w:ind w:firstLine="420" w:firstLineChars="200"/>
        <w:rPr>
          <w:rFonts w:ascii="宋体" w:hAnsi="宋体" w:cs="宋体"/>
          <w:color w:val="auto"/>
          <w:highlight w:val="none"/>
        </w:rPr>
      </w:pPr>
    </w:p>
    <w:p w14:paraId="58BB27D5">
      <w:pPr>
        <w:spacing w:line="360" w:lineRule="auto"/>
        <w:rPr>
          <w:rFonts w:ascii="宋体" w:hAnsi="宋体" w:cs="宋体"/>
          <w:b/>
          <w:color w:val="auto"/>
          <w:sz w:val="24"/>
          <w:highlight w:val="none"/>
        </w:rPr>
      </w:pPr>
    </w:p>
    <w:p w14:paraId="609FF671">
      <w:pPr>
        <w:spacing w:line="360" w:lineRule="auto"/>
        <w:rPr>
          <w:rFonts w:ascii="宋体" w:hAnsi="宋体" w:cs="宋体"/>
          <w:b/>
          <w:color w:val="auto"/>
          <w:sz w:val="24"/>
          <w:highlight w:val="none"/>
        </w:rPr>
      </w:pPr>
    </w:p>
    <w:p w14:paraId="0AFDCCD5">
      <w:pPr>
        <w:spacing w:line="360" w:lineRule="auto"/>
        <w:rPr>
          <w:rFonts w:ascii="宋体" w:hAnsi="宋体" w:cs="宋体"/>
          <w:b/>
          <w:color w:val="auto"/>
          <w:sz w:val="24"/>
          <w:highlight w:val="none"/>
        </w:rPr>
      </w:pPr>
    </w:p>
    <w:p w14:paraId="090094C2">
      <w:pPr>
        <w:spacing w:line="360" w:lineRule="auto"/>
        <w:rPr>
          <w:rFonts w:ascii="宋体" w:hAnsi="宋体" w:cs="宋体"/>
          <w:b/>
          <w:color w:val="auto"/>
          <w:sz w:val="24"/>
          <w:highlight w:val="none"/>
        </w:rPr>
      </w:pPr>
    </w:p>
    <w:p w14:paraId="0675FF2F">
      <w:pPr>
        <w:spacing w:line="360" w:lineRule="auto"/>
        <w:rPr>
          <w:rFonts w:ascii="宋体" w:hAnsi="宋体" w:cs="宋体"/>
          <w:b/>
          <w:color w:val="auto"/>
          <w:sz w:val="24"/>
          <w:highlight w:val="none"/>
        </w:rPr>
      </w:pPr>
    </w:p>
    <w:p w14:paraId="333BBC78">
      <w:pPr>
        <w:spacing w:line="360" w:lineRule="auto"/>
        <w:rPr>
          <w:rFonts w:ascii="宋体" w:hAnsi="宋体" w:cs="宋体"/>
          <w:b/>
          <w:color w:val="auto"/>
          <w:sz w:val="24"/>
          <w:highlight w:val="none"/>
        </w:rPr>
      </w:pPr>
    </w:p>
    <w:p w14:paraId="4EDA27A5">
      <w:pPr>
        <w:spacing w:line="360" w:lineRule="auto"/>
        <w:rPr>
          <w:rFonts w:ascii="宋体" w:hAnsi="宋体" w:cs="宋体"/>
          <w:b/>
          <w:color w:val="auto"/>
          <w:sz w:val="24"/>
          <w:highlight w:val="none"/>
        </w:rPr>
      </w:pPr>
    </w:p>
    <w:p w14:paraId="5DC07B9B">
      <w:pPr>
        <w:spacing w:line="360" w:lineRule="auto"/>
        <w:rPr>
          <w:rFonts w:ascii="宋体" w:hAnsi="宋体" w:cs="宋体"/>
          <w:b/>
          <w:color w:val="auto"/>
          <w:sz w:val="24"/>
          <w:highlight w:val="none"/>
        </w:rPr>
      </w:pPr>
    </w:p>
    <w:p w14:paraId="29B60801">
      <w:pPr>
        <w:spacing w:line="360" w:lineRule="auto"/>
        <w:rPr>
          <w:rFonts w:ascii="宋体" w:hAnsi="宋体" w:cs="宋体"/>
          <w:b/>
          <w:color w:val="auto"/>
          <w:sz w:val="24"/>
          <w:highlight w:val="none"/>
        </w:rPr>
      </w:pPr>
    </w:p>
    <w:p w14:paraId="280749A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A2D2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49C9F53">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09A367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0CCC88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D9C4D4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1FF43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AB17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2D8B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88F838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B7AAA1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1F69EC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073412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F17C05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60003E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FF824E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EA1053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1737547">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4AC58C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3B7464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4A80FE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55FC7C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3345AB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40595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0681A4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20E3D0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01A4812">
      <w:pPr>
        <w:spacing w:line="360" w:lineRule="auto"/>
        <w:jc w:val="center"/>
        <w:rPr>
          <w:rFonts w:ascii="宋体" w:hAnsi="宋体" w:cs="宋体"/>
          <w:b/>
          <w:bCs/>
          <w:color w:val="auto"/>
          <w:sz w:val="24"/>
          <w:highlight w:val="none"/>
        </w:rPr>
      </w:pPr>
    </w:p>
    <w:p w14:paraId="766CE02D">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518960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A06C68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C70A99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FC1ED6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453C55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038C3C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F4FCE9A">
      <w:pPr>
        <w:widowControl/>
        <w:spacing w:line="360" w:lineRule="auto"/>
        <w:ind w:firstLine="600" w:firstLineChars="200"/>
        <w:jc w:val="left"/>
        <w:rPr>
          <w:rFonts w:ascii="宋体" w:hAnsi="宋体" w:cs="宋体"/>
          <w:color w:val="auto"/>
          <w:sz w:val="30"/>
          <w:szCs w:val="30"/>
          <w:highlight w:val="none"/>
        </w:rPr>
      </w:pPr>
    </w:p>
    <w:p w14:paraId="774BDCFE">
      <w:pPr>
        <w:spacing w:line="360" w:lineRule="auto"/>
        <w:jc w:val="center"/>
        <w:rPr>
          <w:rFonts w:ascii="宋体" w:hAnsi="宋体" w:cs="宋体"/>
          <w:b/>
          <w:color w:val="auto"/>
          <w:spacing w:val="6"/>
          <w:sz w:val="32"/>
          <w:szCs w:val="32"/>
          <w:highlight w:val="none"/>
        </w:rPr>
      </w:pPr>
    </w:p>
    <w:p w14:paraId="55AE1B4D">
      <w:pPr>
        <w:spacing w:line="360" w:lineRule="auto"/>
        <w:jc w:val="center"/>
        <w:rPr>
          <w:rFonts w:ascii="宋体" w:hAnsi="宋体" w:cs="宋体"/>
          <w:b/>
          <w:color w:val="auto"/>
          <w:spacing w:val="6"/>
          <w:sz w:val="32"/>
          <w:szCs w:val="32"/>
          <w:highlight w:val="none"/>
        </w:rPr>
      </w:pPr>
    </w:p>
    <w:p w14:paraId="668E06C1">
      <w:pPr>
        <w:spacing w:line="360" w:lineRule="auto"/>
        <w:jc w:val="center"/>
        <w:rPr>
          <w:rFonts w:ascii="宋体" w:hAnsi="宋体" w:cs="宋体"/>
          <w:b/>
          <w:color w:val="auto"/>
          <w:spacing w:val="6"/>
          <w:sz w:val="32"/>
          <w:szCs w:val="32"/>
          <w:highlight w:val="none"/>
        </w:rPr>
      </w:pPr>
    </w:p>
    <w:p w14:paraId="6ABEA38A">
      <w:pPr>
        <w:spacing w:line="360" w:lineRule="auto"/>
        <w:jc w:val="center"/>
        <w:rPr>
          <w:rFonts w:ascii="宋体" w:hAnsi="宋体" w:cs="宋体"/>
          <w:b/>
          <w:color w:val="auto"/>
          <w:spacing w:val="6"/>
          <w:sz w:val="32"/>
          <w:szCs w:val="32"/>
          <w:highlight w:val="none"/>
        </w:rPr>
      </w:pPr>
    </w:p>
    <w:p w14:paraId="0F857E0F">
      <w:pPr>
        <w:spacing w:line="360" w:lineRule="auto"/>
        <w:jc w:val="center"/>
        <w:rPr>
          <w:rFonts w:ascii="宋体" w:hAnsi="宋体" w:cs="宋体"/>
          <w:b/>
          <w:color w:val="auto"/>
          <w:spacing w:val="6"/>
          <w:sz w:val="32"/>
          <w:szCs w:val="32"/>
          <w:highlight w:val="none"/>
        </w:rPr>
      </w:pPr>
    </w:p>
    <w:p w14:paraId="2BE35EF2">
      <w:pPr>
        <w:spacing w:line="360" w:lineRule="auto"/>
        <w:jc w:val="center"/>
        <w:rPr>
          <w:rFonts w:ascii="宋体" w:hAnsi="宋体" w:cs="宋体"/>
          <w:b/>
          <w:color w:val="auto"/>
          <w:spacing w:val="6"/>
          <w:sz w:val="32"/>
          <w:szCs w:val="32"/>
          <w:highlight w:val="none"/>
        </w:rPr>
      </w:pPr>
    </w:p>
    <w:p w14:paraId="290B92BC">
      <w:pPr>
        <w:spacing w:line="360" w:lineRule="auto"/>
        <w:jc w:val="center"/>
        <w:rPr>
          <w:rFonts w:ascii="宋体" w:hAnsi="宋体" w:cs="宋体"/>
          <w:b/>
          <w:color w:val="auto"/>
          <w:spacing w:val="6"/>
          <w:sz w:val="32"/>
          <w:szCs w:val="32"/>
          <w:highlight w:val="none"/>
        </w:rPr>
      </w:pPr>
    </w:p>
    <w:p w14:paraId="54567095">
      <w:pPr>
        <w:spacing w:line="360" w:lineRule="auto"/>
        <w:jc w:val="center"/>
        <w:rPr>
          <w:rFonts w:ascii="宋体" w:hAnsi="宋体" w:cs="宋体"/>
          <w:b/>
          <w:color w:val="auto"/>
          <w:spacing w:val="6"/>
          <w:sz w:val="32"/>
          <w:szCs w:val="32"/>
          <w:highlight w:val="none"/>
        </w:rPr>
      </w:pPr>
    </w:p>
    <w:p w14:paraId="39F608B7">
      <w:pPr>
        <w:spacing w:line="360" w:lineRule="auto"/>
        <w:jc w:val="center"/>
        <w:rPr>
          <w:rFonts w:ascii="宋体" w:hAnsi="宋体" w:cs="宋体"/>
          <w:b/>
          <w:color w:val="auto"/>
          <w:spacing w:val="6"/>
          <w:sz w:val="32"/>
          <w:szCs w:val="32"/>
          <w:highlight w:val="none"/>
        </w:rPr>
      </w:pPr>
    </w:p>
    <w:p w14:paraId="06F4C795">
      <w:pPr>
        <w:spacing w:line="360" w:lineRule="auto"/>
        <w:jc w:val="center"/>
        <w:rPr>
          <w:rFonts w:ascii="宋体" w:hAnsi="宋体" w:cs="宋体"/>
          <w:b/>
          <w:color w:val="auto"/>
          <w:spacing w:val="6"/>
          <w:sz w:val="32"/>
          <w:szCs w:val="32"/>
          <w:highlight w:val="none"/>
        </w:rPr>
      </w:pPr>
    </w:p>
    <w:p w14:paraId="5756A329">
      <w:pPr>
        <w:spacing w:line="360" w:lineRule="auto"/>
        <w:jc w:val="center"/>
        <w:rPr>
          <w:rFonts w:ascii="宋体" w:hAnsi="宋体" w:cs="宋体"/>
          <w:b/>
          <w:color w:val="auto"/>
          <w:spacing w:val="6"/>
          <w:sz w:val="32"/>
          <w:szCs w:val="32"/>
          <w:highlight w:val="none"/>
        </w:rPr>
      </w:pPr>
    </w:p>
    <w:p w14:paraId="67FD87D5">
      <w:pPr>
        <w:spacing w:line="360" w:lineRule="auto"/>
        <w:jc w:val="center"/>
        <w:rPr>
          <w:rFonts w:ascii="宋体" w:hAnsi="宋体" w:cs="宋体"/>
          <w:b/>
          <w:color w:val="auto"/>
          <w:spacing w:val="6"/>
          <w:sz w:val="32"/>
          <w:szCs w:val="32"/>
          <w:highlight w:val="none"/>
        </w:rPr>
      </w:pPr>
    </w:p>
    <w:p w14:paraId="6B321906">
      <w:pPr>
        <w:spacing w:line="360" w:lineRule="auto"/>
        <w:jc w:val="left"/>
        <w:rPr>
          <w:rFonts w:ascii="宋体" w:hAnsi="宋体" w:cs="宋体"/>
          <w:b/>
          <w:color w:val="auto"/>
          <w:spacing w:val="6"/>
          <w:sz w:val="32"/>
          <w:szCs w:val="32"/>
          <w:highlight w:val="none"/>
        </w:rPr>
      </w:pPr>
    </w:p>
    <w:p w14:paraId="776ED4C7">
      <w:pPr>
        <w:spacing w:line="360" w:lineRule="auto"/>
        <w:jc w:val="left"/>
        <w:rPr>
          <w:rFonts w:ascii="宋体" w:hAnsi="宋体" w:cs="宋体"/>
          <w:b/>
          <w:color w:val="auto"/>
          <w:spacing w:val="6"/>
          <w:sz w:val="32"/>
          <w:szCs w:val="32"/>
          <w:highlight w:val="none"/>
        </w:rPr>
      </w:pPr>
    </w:p>
    <w:p w14:paraId="76222FE7">
      <w:pPr>
        <w:spacing w:line="360" w:lineRule="auto"/>
        <w:jc w:val="left"/>
        <w:rPr>
          <w:rFonts w:ascii="宋体" w:hAnsi="宋体" w:cs="宋体"/>
          <w:b/>
          <w:color w:val="auto"/>
          <w:spacing w:val="6"/>
          <w:sz w:val="32"/>
          <w:szCs w:val="32"/>
          <w:highlight w:val="none"/>
        </w:rPr>
      </w:pPr>
    </w:p>
    <w:p w14:paraId="50ACBB2D">
      <w:pPr>
        <w:spacing w:line="360" w:lineRule="auto"/>
        <w:jc w:val="left"/>
        <w:rPr>
          <w:rFonts w:hint="eastAsia" w:ascii="宋体" w:hAnsi="宋体" w:cs="宋体"/>
          <w:b/>
          <w:color w:val="auto"/>
          <w:spacing w:val="6"/>
          <w:sz w:val="32"/>
          <w:szCs w:val="32"/>
          <w:highlight w:val="none"/>
        </w:rPr>
      </w:pPr>
    </w:p>
    <w:p w14:paraId="420ECEE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8096A8A">
      <w:pPr>
        <w:spacing w:line="360" w:lineRule="auto"/>
        <w:jc w:val="center"/>
        <w:rPr>
          <w:rFonts w:ascii="宋体" w:hAnsi="宋体" w:cs="宋体"/>
          <w:b/>
          <w:color w:val="auto"/>
          <w:sz w:val="24"/>
          <w:highlight w:val="none"/>
        </w:rPr>
      </w:pPr>
    </w:p>
    <w:p w14:paraId="66F914D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10C209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78AAB1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1EFB3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95D17D4">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026163A">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C7D7FA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E0B2B3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67696B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A606A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946F49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4ABDB5C">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B453C2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FBB34F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969521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18B55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B83059B">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2A3DDD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3B9F63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F49D699">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CEE4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2759B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69E627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9C26701">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B1DF904">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63E1E3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373C252">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FE9A14C">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75C89D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DCC916B">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C80861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F3E955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C1C757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F7D6719">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BCAAB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9A4743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7759953">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41BDD31">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AE21FE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136F5B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4C839C2">
      <w:pPr>
        <w:spacing w:line="360" w:lineRule="auto"/>
        <w:rPr>
          <w:rFonts w:ascii="宋体" w:hAnsi="宋体" w:cs="宋体"/>
          <w:b/>
          <w:color w:val="auto"/>
          <w:sz w:val="24"/>
          <w:highlight w:val="none"/>
        </w:rPr>
      </w:pPr>
    </w:p>
    <w:p w14:paraId="0FE9AA07">
      <w:pPr>
        <w:spacing w:line="360" w:lineRule="auto"/>
        <w:rPr>
          <w:rFonts w:ascii="宋体" w:hAnsi="宋体" w:cs="宋体"/>
          <w:b/>
          <w:color w:val="auto"/>
          <w:sz w:val="24"/>
          <w:highlight w:val="none"/>
        </w:rPr>
      </w:pPr>
    </w:p>
    <w:p w14:paraId="080FB8E3">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505E196">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954BA5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3936B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A6C76A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25A029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5A3AF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2079C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DBF33F7">
      <w:pPr>
        <w:spacing w:line="360" w:lineRule="auto"/>
        <w:rPr>
          <w:rFonts w:ascii="宋体" w:hAnsi="宋体" w:cs="宋体"/>
          <w:b/>
          <w:color w:val="auto"/>
          <w:sz w:val="24"/>
          <w:highlight w:val="none"/>
        </w:rPr>
      </w:pPr>
    </w:p>
    <w:p w14:paraId="4DB10FB0">
      <w:pPr>
        <w:autoSpaceDE w:val="0"/>
        <w:autoSpaceDN w:val="0"/>
        <w:jc w:val="center"/>
        <w:rPr>
          <w:rFonts w:ascii="宋体" w:hAnsi="宋体" w:cs="宋体"/>
          <w:b/>
          <w:color w:val="auto"/>
          <w:spacing w:val="6"/>
          <w:sz w:val="32"/>
          <w:szCs w:val="32"/>
          <w:highlight w:val="none"/>
        </w:rPr>
      </w:pPr>
    </w:p>
    <w:p w14:paraId="6029F3BE">
      <w:pPr>
        <w:autoSpaceDE w:val="0"/>
        <w:autoSpaceDN w:val="0"/>
        <w:jc w:val="center"/>
        <w:rPr>
          <w:rFonts w:ascii="宋体" w:hAnsi="宋体" w:cs="宋体"/>
          <w:b/>
          <w:color w:val="auto"/>
          <w:spacing w:val="6"/>
          <w:sz w:val="32"/>
          <w:szCs w:val="32"/>
          <w:highlight w:val="none"/>
        </w:rPr>
      </w:pPr>
    </w:p>
    <w:p w14:paraId="40AFBA17">
      <w:pPr>
        <w:autoSpaceDE w:val="0"/>
        <w:autoSpaceDN w:val="0"/>
        <w:jc w:val="center"/>
        <w:rPr>
          <w:rFonts w:hint="eastAsia" w:ascii="宋体" w:hAnsi="宋体" w:cs="宋体"/>
          <w:b/>
          <w:color w:val="auto"/>
          <w:spacing w:val="6"/>
          <w:sz w:val="32"/>
          <w:szCs w:val="32"/>
          <w:highlight w:val="none"/>
        </w:rPr>
      </w:pPr>
    </w:p>
    <w:p w14:paraId="2B32CB69">
      <w:pPr>
        <w:autoSpaceDE w:val="0"/>
        <w:autoSpaceDN w:val="0"/>
        <w:jc w:val="center"/>
        <w:rPr>
          <w:rFonts w:hint="eastAsia" w:ascii="宋体" w:hAnsi="宋体" w:cs="宋体"/>
          <w:b/>
          <w:color w:val="auto"/>
          <w:spacing w:val="6"/>
          <w:sz w:val="32"/>
          <w:szCs w:val="32"/>
          <w:highlight w:val="none"/>
        </w:rPr>
      </w:pPr>
    </w:p>
    <w:p w14:paraId="782DBD1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3E1FAC7">
      <w:pPr>
        <w:spacing w:line="360" w:lineRule="auto"/>
        <w:rPr>
          <w:rFonts w:ascii="宋体" w:hAnsi="宋体" w:cs="宋体"/>
          <w:color w:val="auto"/>
          <w:sz w:val="24"/>
          <w:highlight w:val="none"/>
          <w:u w:val="single"/>
        </w:rPr>
      </w:pPr>
    </w:p>
    <w:p w14:paraId="6357E7A7">
      <w:pPr>
        <w:spacing w:line="360" w:lineRule="auto"/>
        <w:rPr>
          <w:rFonts w:ascii="宋体" w:hAnsi="宋体" w:cs="宋体"/>
          <w:color w:val="auto"/>
          <w:sz w:val="24"/>
          <w:highlight w:val="none"/>
        </w:rPr>
      </w:pPr>
      <w:r>
        <w:rPr>
          <w:rFonts w:hint="eastAsia" w:ascii="宋体" w:hAnsi="宋体" w:cs="宋体"/>
          <w:color w:val="auto"/>
          <w:sz w:val="24"/>
          <w:highlight w:val="none"/>
          <w:u w:val="single"/>
        </w:rPr>
        <w:t>宁波市自然资源和规划局镇海分局、浙江中基正采管理咨询有限公司：</w:t>
      </w:r>
    </w:p>
    <w:p w14:paraId="030E5B4E">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镇海区2025-2026年松材线虫病防治项目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CBZJ-20256140G</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AC074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5B7BD91">
      <w:pPr>
        <w:spacing w:line="360" w:lineRule="auto"/>
        <w:ind w:firstLine="494"/>
        <w:rPr>
          <w:rFonts w:ascii="宋体" w:hAnsi="宋体" w:cs="宋体"/>
          <w:color w:val="auto"/>
          <w:sz w:val="24"/>
          <w:highlight w:val="none"/>
        </w:rPr>
      </w:pPr>
    </w:p>
    <w:p w14:paraId="152F9165">
      <w:pPr>
        <w:spacing w:line="360" w:lineRule="auto"/>
        <w:ind w:firstLine="494"/>
        <w:rPr>
          <w:rFonts w:ascii="宋体" w:hAnsi="宋体" w:cs="宋体"/>
          <w:color w:val="auto"/>
          <w:sz w:val="24"/>
          <w:highlight w:val="none"/>
        </w:rPr>
      </w:pPr>
    </w:p>
    <w:p w14:paraId="717C7E1B">
      <w:pPr>
        <w:spacing w:line="360" w:lineRule="auto"/>
        <w:ind w:firstLine="494"/>
        <w:rPr>
          <w:rFonts w:ascii="宋体" w:hAnsi="宋体" w:cs="宋体"/>
          <w:color w:val="auto"/>
          <w:sz w:val="24"/>
          <w:highlight w:val="none"/>
        </w:rPr>
      </w:pPr>
    </w:p>
    <w:p w14:paraId="6B84709F">
      <w:pPr>
        <w:spacing w:line="360" w:lineRule="auto"/>
        <w:ind w:firstLine="494"/>
        <w:rPr>
          <w:rFonts w:ascii="宋体" w:hAnsi="宋体" w:cs="宋体"/>
          <w:color w:val="auto"/>
          <w:sz w:val="24"/>
          <w:highlight w:val="none"/>
        </w:rPr>
      </w:pPr>
    </w:p>
    <w:p w14:paraId="1222817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0CCD8C91">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5707F60">
      <w:pPr>
        <w:rPr>
          <w:rFonts w:ascii="宋体" w:hAnsi="宋体" w:cs="宋体"/>
          <w:color w:val="auto"/>
          <w:sz w:val="24"/>
          <w:highlight w:val="none"/>
        </w:rPr>
      </w:pPr>
      <w:r>
        <w:rPr>
          <w:rFonts w:hint="eastAsia" w:ascii="宋体" w:hAnsi="宋体" w:cs="宋体"/>
          <w:b/>
          <w:bCs/>
          <w:color w:val="auto"/>
          <w:sz w:val="24"/>
          <w:highlight w:val="none"/>
        </w:rPr>
        <w:t>附：</w:t>
      </w:r>
    </w:p>
    <w:p w14:paraId="5FEC1BAC">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14:paraId="0E692D81">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QDz/YAAAACgEAAA8AAAAAAAAAAQAgAAAAIgAAAGRycy9kb3ducmV2&#10;LnhtbFBLAQIUABQAAAAIAIdO4kASEoPkNQIAAI0EAAAOAAAAAAAAAAEAIAAAACcBAABkcnMvZTJv&#10;RG9jLnhtbFBLBQYAAAAABgAGAFkBAADOBQAAAAA=&#10;">
                <v:fill on="t" focussize="0,0"/>
                <v:stroke color="#000000" miterlimit="2" joinstyle="miter"/>
                <v:imagedata o:title=""/>
                <o:lock v:ext="edit" aspectratio="f"/>
                <v:textbox>
                  <w:txbxContent>
                    <w:p w14:paraId="0E692D81">
                      <w:pPr>
                        <w:jc w:val="center"/>
                      </w:pPr>
                    </w:p>
                  </w:txbxContent>
                </v:textbox>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60D16131">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60D16131">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6D782993">
      <w:pPr>
        <w:autoSpaceDE w:val="0"/>
        <w:autoSpaceDN w:val="0"/>
        <w:jc w:val="center"/>
        <w:rPr>
          <w:rFonts w:ascii="宋体" w:hAnsi="宋体" w:cs="宋体"/>
          <w:b/>
          <w:color w:val="auto"/>
          <w:spacing w:val="6"/>
          <w:sz w:val="32"/>
          <w:szCs w:val="32"/>
          <w:highlight w:val="none"/>
        </w:rPr>
      </w:pPr>
    </w:p>
    <w:p w14:paraId="33E7B4C0">
      <w:pPr>
        <w:autoSpaceDE w:val="0"/>
        <w:autoSpaceDN w:val="0"/>
        <w:jc w:val="center"/>
        <w:rPr>
          <w:rFonts w:ascii="宋体" w:hAnsi="宋体" w:cs="宋体"/>
          <w:b/>
          <w:color w:val="auto"/>
          <w:spacing w:val="6"/>
          <w:sz w:val="32"/>
          <w:szCs w:val="32"/>
          <w:highlight w:val="none"/>
        </w:rPr>
      </w:pPr>
    </w:p>
    <w:p w14:paraId="547653EE">
      <w:pPr>
        <w:autoSpaceDE w:val="0"/>
        <w:autoSpaceDN w:val="0"/>
        <w:jc w:val="center"/>
        <w:rPr>
          <w:rFonts w:ascii="宋体" w:hAnsi="宋体" w:cs="宋体"/>
          <w:b/>
          <w:color w:val="auto"/>
          <w:spacing w:val="6"/>
          <w:sz w:val="32"/>
          <w:szCs w:val="32"/>
          <w:highlight w:val="none"/>
        </w:rPr>
      </w:pPr>
    </w:p>
    <w:p w14:paraId="731E51D2">
      <w:pPr>
        <w:autoSpaceDE w:val="0"/>
        <w:autoSpaceDN w:val="0"/>
        <w:jc w:val="center"/>
        <w:rPr>
          <w:rFonts w:ascii="宋体" w:hAnsi="宋体" w:cs="宋体"/>
          <w:b/>
          <w:color w:val="auto"/>
          <w:spacing w:val="6"/>
          <w:sz w:val="32"/>
          <w:szCs w:val="32"/>
          <w:highlight w:val="none"/>
        </w:rPr>
      </w:pPr>
    </w:p>
    <w:p w14:paraId="054037F6">
      <w:pPr>
        <w:autoSpaceDE w:val="0"/>
        <w:autoSpaceDN w:val="0"/>
        <w:jc w:val="center"/>
        <w:rPr>
          <w:rFonts w:ascii="宋体" w:hAnsi="宋体" w:cs="宋体"/>
          <w:b/>
          <w:color w:val="auto"/>
          <w:spacing w:val="6"/>
          <w:sz w:val="32"/>
          <w:szCs w:val="32"/>
          <w:highlight w:val="none"/>
        </w:rPr>
      </w:pPr>
    </w:p>
    <w:p w14:paraId="518526CE">
      <w:pPr>
        <w:autoSpaceDE w:val="0"/>
        <w:autoSpaceDN w:val="0"/>
        <w:jc w:val="center"/>
        <w:rPr>
          <w:rFonts w:ascii="宋体" w:hAnsi="宋体" w:cs="宋体"/>
          <w:b/>
          <w:color w:val="auto"/>
          <w:spacing w:val="6"/>
          <w:sz w:val="32"/>
          <w:szCs w:val="32"/>
          <w:highlight w:val="none"/>
        </w:rPr>
      </w:pPr>
    </w:p>
    <w:p w14:paraId="58A4B1CE">
      <w:pPr>
        <w:autoSpaceDE w:val="0"/>
        <w:autoSpaceDN w:val="0"/>
        <w:jc w:val="center"/>
        <w:rPr>
          <w:rFonts w:ascii="宋体" w:hAnsi="宋体" w:cs="宋体"/>
          <w:b/>
          <w:color w:val="auto"/>
          <w:spacing w:val="6"/>
          <w:sz w:val="32"/>
          <w:szCs w:val="32"/>
          <w:highlight w:val="none"/>
        </w:rPr>
      </w:pPr>
    </w:p>
    <w:p w14:paraId="6D5F4F0A">
      <w:pPr>
        <w:autoSpaceDE w:val="0"/>
        <w:autoSpaceDN w:val="0"/>
        <w:jc w:val="center"/>
        <w:rPr>
          <w:rFonts w:ascii="宋体" w:hAnsi="宋体" w:cs="宋体"/>
          <w:b/>
          <w:color w:val="auto"/>
          <w:spacing w:val="6"/>
          <w:sz w:val="32"/>
          <w:szCs w:val="32"/>
          <w:highlight w:val="none"/>
        </w:rPr>
      </w:pPr>
    </w:p>
    <w:p w14:paraId="05A4011C">
      <w:pPr>
        <w:autoSpaceDE w:val="0"/>
        <w:autoSpaceDN w:val="0"/>
        <w:jc w:val="center"/>
        <w:rPr>
          <w:rFonts w:ascii="宋体" w:hAnsi="宋体" w:cs="宋体"/>
          <w:b/>
          <w:color w:val="auto"/>
          <w:spacing w:val="6"/>
          <w:sz w:val="32"/>
          <w:szCs w:val="32"/>
          <w:highlight w:val="none"/>
        </w:rPr>
      </w:pPr>
    </w:p>
    <w:p w14:paraId="2C13EDDD">
      <w:pPr>
        <w:autoSpaceDE w:val="0"/>
        <w:autoSpaceDN w:val="0"/>
        <w:jc w:val="center"/>
        <w:rPr>
          <w:rFonts w:ascii="宋体" w:hAnsi="宋体" w:cs="宋体"/>
          <w:b/>
          <w:color w:val="auto"/>
          <w:spacing w:val="6"/>
          <w:sz w:val="32"/>
          <w:szCs w:val="32"/>
          <w:highlight w:val="none"/>
        </w:rPr>
      </w:pPr>
    </w:p>
    <w:p w14:paraId="2A84FB0A">
      <w:pPr>
        <w:autoSpaceDE w:val="0"/>
        <w:autoSpaceDN w:val="0"/>
        <w:jc w:val="center"/>
        <w:rPr>
          <w:rFonts w:ascii="宋体" w:hAnsi="宋体" w:cs="宋体"/>
          <w:b/>
          <w:color w:val="auto"/>
          <w:spacing w:val="6"/>
          <w:sz w:val="32"/>
          <w:szCs w:val="32"/>
          <w:highlight w:val="none"/>
        </w:rPr>
      </w:pPr>
    </w:p>
    <w:p w14:paraId="59F90669">
      <w:pPr>
        <w:autoSpaceDE w:val="0"/>
        <w:autoSpaceDN w:val="0"/>
        <w:jc w:val="center"/>
        <w:rPr>
          <w:rFonts w:ascii="宋体" w:hAnsi="宋体" w:cs="宋体"/>
          <w:b/>
          <w:color w:val="auto"/>
          <w:spacing w:val="6"/>
          <w:sz w:val="32"/>
          <w:szCs w:val="32"/>
          <w:highlight w:val="none"/>
        </w:rPr>
      </w:pPr>
    </w:p>
    <w:p w14:paraId="1627297D">
      <w:pPr>
        <w:autoSpaceDE w:val="0"/>
        <w:autoSpaceDN w:val="0"/>
        <w:jc w:val="center"/>
        <w:rPr>
          <w:rFonts w:ascii="宋体" w:hAnsi="宋体" w:cs="宋体"/>
          <w:b/>
          <w:color w:val="auto"/>
          <w:spacing w:val="6"/>
          <w:sz w:val="32"/>
          <w:szCs w:val="32"/>
          <w:highlight w:val="none"/>
        </w:rPr>
      </w:pPr>
    </w:p>
    <w:p w14:paraId="2B337575">
      <w:pPr>
        <w:autoSpaceDE w:val="0"/>
        <w:autoSpaceDN w:val="0"/>
        <w:jc w:val="center"/>
        <w:rPr>
          <w:rFonts w:ascii="宋体" w:hAnsi="宋体" w:cs="宋体"/>
          <w:b/>
          <w:color w:val="auto"/>
          <w:spacing w:val="6"/>
          <w:sz w:val="32"/>
          <w:szCs w:val="32"/>
          <w:highlight w:val="none"/>
        </w:rPr>
      </w:pPr>
    </w:p>
    <w:p w14:paraId="11299991">
      <w:pPr>
        <w:autoSpaceDE w:val="0"/>
        <w:autoSpaceDN w:val="0"/>
        <w:jc w:val="center"/>
        <w:rPr>
          <w:rFonts w:ascii="宋体" w:hAnsi="宋体" w:cs="宋体"/>
          <w:b/>
          <w:color w:val="auto"/>
          <w:spacing w:val="6"/>
          <w:sz w:val="32"/>
          <w:szCs w:val="32"/>
          <w:highlight w:val="none"/>
        </w:rPr>
      </w:pPr>
    </w:p>
    <w:p w14:paraId="2ED2139A">
      <w:pPr>
        <w:autoSpaceDE w:val="0"/>
        <w:autoSpaceDN w:val="0"/>
        <w:jc w:val="both"/>
        <w:rPr>
          <w:rFonts w:hint="eastAsia" w:ascii="宋体" w:hAnsi="宋体" w:cs="宋体"/>
          <w:b/>
          <w:color w:val="auto"/>
          <w:spacing w:val="6"/>
          <w:sz w:val="32"/>
          <w:szCs w:val="32"/>
          <w:highlight w:val="none"/>
        </w:rPr>
      </w:pPr>
    </w:p>
    <w:p w14:paraId="6113CF4D">
      <w:pPr>
        <w:autoSpaceDE w:val="0"/>
        <w:autoSpaceDN w:val="0"/>
        <w:jc w:val="center"/>
        <w:rPr>
          <w:rFonts w:hint="eastAsia" w:ascii="宋体" w:hAnsi="宋体" w:cs="宋体"/>
          <w:b/>
          <w:color w:val="auto"/>
          <w:spacing w:val="6"/>
          <w:sz w:val="32"/>
          <w:szCs w:val="32"/>
          <w:highlight w:val="none"/>
        </w:rPr>
      </w:pPr>
    </w:p>
    <w:p w14:paraId="746286AE">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4CEBAD9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（以联合体形式投标的，提供联合协议；本项目不接受联合体投标或者供应商不以联合体形式投标的，则不需要提供）</w:t>
      </w:r>
    </w:p>
    <w:p w14:paraId="4953E6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镇海区2025-2026年松材线虫病防治项目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CBZJ-20256140G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7AEE4A7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095232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354E4F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078C6E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0DCA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FC8824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EF13D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3750F33">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28"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2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29"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29"/>
      <w:r>
        <w:rPr>
          <w:rFonts w:hint="eastAsia" w:ascii="宋体" w:hAnsi="宋体" w:cs="宋体"/>
          <w:b/>
          <w:color w:val="auto"/>
          <w:kern w:val="0"/>
          <w:sz w:val="24"/>
          <w:highlight w:val="none"/>
          <w:lang w:val="zh-CN"/>
        </w:rPr>
        <w:t>）</w:t>
      </w:r>
    </w:p>
    <w:p w14:paraId="2774AE2D">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3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30"/>
    </w:p>
    <w:p w14:paraId="1446FC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D80E2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ED8D7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75369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B802C3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024198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830EFD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8213226">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BEC85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EFDD23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9685B9">
      <w:pPr>
        <w:autoSpaceDE w:val="0"/>
        <w:autoSpaceDN w:val="0"/>
        <w:jc w:val="center"/>
        <w:rPr>
          <w:rFonts w:ascii="宋体" w:hAnsi="宋体" w:cs="宋体"/>
          <w:b/>
          <w:color w:val="auto"/>
          <w:spacing w:val="6"/>
          <w:sz w:val="32"/>
          <w:szCs w:val="32"/>
          <w:highlight w:val="none"/>
        </w:rPr>
      </w:pPr>
    </w:p>
    <w:p w14:paraId="38EB5D70">
      <w:pPr>
        <w:autoSpaceDE w:val="0"/>
        <w:autoSpaceDN w:val="0"/>
        <w:jc w:val="center"/>
        <w:rPr>
          <w:rFonts w:ascii="宋体" w:hAnsi="宋体" w:cs="宋体"/>
          <w:b/>
          <w:color w:val="auto"/>
          <w:spacing w:val="6"/>
          <w:sz w:val="32"/>
          <w:szCs w:val="32"/>
          <w:highlight w:val="none"/>
        </w:rPr>
      </w:pPr>
    </w:p>
    <w:p w14:paraId="521CBC7F">
      <w:pPr>
        <w:autoSpaceDE w:val="0"/>
        <w:autoSpaceDN w:val="0"/>
        <w:jc w:val="center"/>
        <w:rPr>
          <w:rFonts w:ascii="宋体" w:hAnsi="宋体" w:cs="宋体"/>
          <w:b/>
          <w:color w:val="auto"/>
          <w:spacing w:val="6"/>
          <w:sz w:val="32"/>
          <w:szCs w:val="32"/>
          <w:highlight w:val="none"/>
        </w:rPr>
      </w:pPr>
    </w:p>
    <w:p w14:paraId="6B92121D">
      <w:pPr>
        <w:autoSpaceDE w:val="0"/>
        <w:autoSpaceDN w:val="0"/>
        <w:jc w:val="center"/>
        <w:rPr>
          <w:rFonts w:ascii="宋体" w:hAnsi="宋体" w:cs="宋体"/>
          <w:b/>
          <w:color w:val="auto"/>
          <w:spacing w:val="6"/>
          <w:sz w:val="32"/>
          <w:szCs w:val="32"/>
          <w:highlight w:val="none"/>
        </w:rPr>
      </w:pPr>
    </w:p>
    <w:p w14:paraId="073B2F27">
      <w:pPr>
        <w:autoSpaceDE w:val="0"/>
        <w:autoSpaceDN w:val="0"/>
        <w:jc w:val="center"/>
        <w:rPr>
          <w:rFonts w:ascii="宋体" w:hAnsi="宋体" w:cs="宋体"/>
          <w:b/>
          <w:color w:val="auto"/>
          <w:spacing w:val="6"/>
          <w:sz w:val="32"/>
          <w:szCs w:val="32"/>
          <w:highlight w:val="none"/>
        </w:rPr>
      </w:pPr>
    </w:p>
    <w:p w14:paraId="0B23E671">
      <w:pPr>
        <w:autoSpaceDE w:val="0"/>
        <w:autoSpaceDN w:val="0"/>
        <w:jc w:val="center"/>
        <w:rPr>
          <w:rFonts w:ascii="宋体" w:hAnsi="宋体" w:cs="宋体"/>
          <w:b/>
          <w:color w:val="auto"/>
          <w:spacing w:val="6"/>
          <w:sz w:val="32"/>
          <w:szCs w:val="32"/>
          <w:highlight w:val="none"/>
        </w:rPr>
      </w:pPr>
    </w:p>
    <w:p w14:paraId="73E5F24D">
      <w:pPr>
        <w:autoSpaceDE w:val="0"/>
        <w:autoSpaceDN w:val="0"/>
        <w:jc w:val="center"/>
        <w:rPr>
          <w:rFonts w:ascii="宋体" w:hAnsi="宋体" w:cs="宋体"/>
          <w:b/>
          <w:color w:val="auto"/>
          <w:spacing w:val="6"/>
          <w:sz w:val="32"/>
          <w:szCs w:val="32"/>
          <w:highlight w:val="none"/>
        </w:rPr>
      </w:pPr>
    </w:p>
    <w:p w14:paraId="44504DB5">
      <w:pPr>
        <w:autoSpaceDE w:val="0"/>
        <w:autoSpaceDN w:val="0"/>
        <w:jc w:val="center"/>
        <w:rPr>
          <w:rFonts w:ascii="宋体" w:hAnsi="宋体" w:cs="宋体"/>
          <w:b/>
          <w:color w:val="auto"/>
          <w:spacing w:val="6"/>
          <w:sz w:val="32"/>
          <w:szCs w:val="32"/>
          <w:highlight w:val="none"/>
        </w:rPr>
      </w:pPr>
    </w:p>
    <w:p w14:paraId="5F9F8F09">
      <w:pPr>
        <w:autoSpaceDE w:val="0"/>
        <w:autoSpaceDN w:val="0"/>
        <w:jc w:val="center"/>
        <w:rPr>
          <w:rFonts w:ascii="宋体" w:hAnsi="宋体" w:cs="宋体"/>
          <w:b/>
          <w:color w:val="auto"/>
          <w:spacing w:val="6"/>
          <w:sz w:val="32"/>
          <w:szCs w:val="32"/>
          <w:highlight w:val="none"/>
        </w:rPr>
      </w:pPr>
    </w:p>
    <w:p w14:paraId="595AE689">
      <w:pPr>
        <w:autoSpaceDE w:val="0"/>
        <w:autoSpaceDN w:val="0"/>
        <w:jc w:val="center"/>
        <w:rPr>
          <w:rFonts w:ascii="宋体" w:hAnsi="宋体" w:cs="宋体"/>
          <w:b/>
          <w:color w:val="auto"/>
          <w:spacing w:val="6"/>
          <w:sz w:val="32"/>
          <w:szCs w:val="32"/>
          <w:highlight w:val="none"/>
        </w:rPr>
      </w:pPr>
    </w:p>
    <w:p w14:paraId="208B2380">
      <w:pPr>
        <w:autoSpaceDE w:val="0"/>
        <w:autoSpaceDN w:val="0"/>
        <w:jc w:val="center"/>
        <w:rPr>
          <w:rFonts w:ascii="宋体" w:hAnsi="宋体" w:cs="宋体"/>
          <w:b/>
          <w:color w:val="auto"/>
          <w:spacing w:val="6"/>
          <w:sz w:val="32"/>
          <w:szCs w:val="32"/>
          <w:highlight w:val="none"/>
        </w:rPr>
      </w:pPr>
    </w:p>
    <w:p w14:paraId="40EF942B">
      <w:pPr>
        <w:snapToGrid w:val="0"/>
        <w:spacing w:line="360" w:lineRule="auto"/>
        <w:ind w:firstLine="3666" w:firstLineChars="1100"/>
        <w:rPr>
          <w:rFonts w:ascii="宋体" w:hAnsi="宋体" w:cs="宋体"/>
          <w:b/>
          <w:color w:val="auto"/>
          <w:spacing w:val="6"/>
          <w:sz w:val="32"/>
          <w:szCs w:val="32"/>
          <w:highlight w:val="none"/>
        </w:rPr>
      </w:pPr>
    </w:p>
    <w:p w14:paraId="383E8030">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30F96321">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CFDE431">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中标后以分包方式履行合同的，提供分包意向协议；采购人不同意分包或者供应商中标后不以分包方式履行合同的，则不需要提供。</w:t>
      </w:r>
      <w:r>
        <w:rPr>
          <w:rFonts w:hint="eastAsia" w:ascii="宋体" w:hAnsi="宋体" w:cs="宋体"/>
          <w:color w:val="auto"/>
          <w:sz w:val="24"/>
          <w:highlight w:val="none"/>
        </w:rPr>
        <w:t>）</w:t>
      </w:r>
    </w:p>
    <w:p w14:paraId="2768D9F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镇海区2025-2026年松材线虫病防治项目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CBZJ-20256140G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的中标人，将依法采取分包方式履行合同。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91C4EC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36823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1469923">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BFFF535">
      <w:pPr>
        <w:rPr>
          <w:color w:val="auto"/>
          <w:highlight w:val="none"/>
        </w:rPr>
      </w:pPr>
      <w:r>
        <w:rPr>
          <w:rFonts w:hint="eastAsia"/>
          <w:color w:val="auto"/>
          <w:highlight w:val="none"/>
          <w:lang w:val="zh-CN"/>
        </w:rPr>
        <w:t xml:space="preserve"> </w:t>
      </w:r>
    </w:p>
    <w:p w14:paraId="63EF805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7E806D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98A177D">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34ECA1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6088DCF">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F839C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E00F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3B83A4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C6555E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495BEA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745191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C7336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047FD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BBF9BD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096EF0DE">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供应商名称(电子签名)：</w:t>
      </w:r>
    </w:p>
    <w:p w14:paraId="047F5F4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9C9F50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ECA2C2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919238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A43F05D">
      <w:pPr>
        <w:autoSpaceDE w:val="0"/>
        <w:autoSpaceDN w:val="0"/>
        <w:jc w:val="center"/>
        <w:rPr>
          <w:rFonts w:ascii="宋体" w:hAnsi="宋体" w:cs="宋体"/>
          <w:b/>
          <w:color w:val="auto"/>
          <w:spacing w:val="6"/>
          <w:sz w:val="32"/>
          <w:szCs w:val="32"/>
          <w:highlight w:val="none"/>
        </w:rPr>
      </w:pPr>
    </w:p>
    <w:p w14:paraId="033D77F5">
      <w:pPr>
        <w:autoSpaceDE w:val="0"/>
        <w:autoSpaceDN w:val="0"/>
        <w:jc w:val="center"/>
        <w:rPr>
          <w:rFonts w:ascii="宋体" w:hAnsi="宋体" w:cs="宋体"/>
          <w:b/>
          <w:color w:val="auto"/>
          <w:spacing w:val="6"/>
          <w:sz w:val="32"/>
          <w:szCs w:val="32"/>
          <w:highlight w:val="none"/>
        </w:rPr>
      </w:pPr>
    </w:p>
    <w:p w14:paraId="215F2930">
      <w:pPr>
        <w:autoSpaceDE w:val="0"/>
        <w:autoSpaceDN w:val="0"/>
        <w:jc w:val="center"/>
        <w:rPr>
          <w:rFonts w:ascii="宋体" w:hAnsi="宋体" w:cs="宋体"/>
          <w:b/>
          <w:color w:val="auto"/>
          <w:spacing w:val="6"/>
          <w:sz w:val="32"/>
          <w:szCs w:val="32"/>
          <w:highlight w:val="none"/>
        </w:rPr>
      </w:pPr>
    </w:p>
    <w:p w14:paraId="4B407A28">
      <w:pPr>
        <w:autoSpaceDE w:val="0"/>
        <w:autoSpaceDN w:val="0"/>
        <w:jc w:val="center"/>
        <w:rPr>
          <w:rFonts w:ascii="宋体" w:hAnsi="宋体" w:cs="宋体"/>
          <w:b/>
          <w:color w:val="auto"/>
          <w:spacing w:val="6"/>
          <w:sz w:val="32"/>
          <w:szCs w:val="32"/>
          <w:highlight w:val="none"/>
        </w:rPr>
      </w:pPr>
    </w:p>
    <w:p w14:paraId="56B5EC48">
      <w:pPr>
        <w:autoSpaceDE w:val="0"/>
        <w:autoSpaceDN w:val="0"/>
        <w:jc w:val="center"/>
        <w:rPr>
          <w:rFonts w:ascii="宋体" w:hAnsi="宋体" w:cs="宋体"/>
          <w:b/>
          <w:color w:val="auto"/>
          <w:spacing w:val="6"/>
          <w:sz w:val="32"/>
          <w:szCs w:val="32"/>
          <w:highlight w:val="none"/>
        </w:rPr>
      </w:pPr>
    </w:p>
    <w:p w14:paraId="0DB5D63B">
      <w:pPr>
        <w:autoSpaceDE w:val="0"/>
        <w:autoSpaceDN w:val="0"/>
        <w:jc w:val="center"/>
        <w:rPr>
          <w:rFonts w:ascii="宋体" w:hAnsi="宋体" w:cs="宋体"/>
          <w:b/>
          <w:color w:val="auto"/>
          <w:spacing w:val="6"/>
          <w:sz w:val="32"/>
          <w:szCs w:val="32"/>
          <w:highlight w:val="none"/>
        </w:rPr>
      </w:pPr>
    </w:p>
    <w:p w14:paraId="62DD802A">
      <w:pPr>
        <w:autoSpaceDE w:val="0"/>
        <w:autoSpaceDN w:val="0"/>
        <w:jc w:val="center"/>
        <w:rPr>
          <w:rFonts w:ascii="宋体" w:hAnsi="宋体" w:cs="宋体"/>
          <w:b/>
          <w:color w:val="auto"/>
          <w:spacing w:val="6"/>
          <w:sz w:val="32"/>
          <w:szCs w:val="32"/>
          <w:highlight w:val="none"/>
        </w:rPr>
      </w:pPr>
    </w:p>
    <w:p w14:paraId="17A1C1BD">
      <w:pPr>
        <w:autoSpaceDE w:val="0"/>
        <w:autoSpaceDN w:val="0"/>
        <w:jc w:val="center"/>
        <w:rPr>
          <w:rFonts w:ascii="宋体" w:hAnsi="宋体" w:cs="宋体"/>
          <w:b/>
          <w:color w:val="auto"/>
          <w:spacing w:val="6"/>
          <w:sz w:val="32"/>
          <w:szCs w:val="32"/>
          <w:highlight w:val="none"/>
        </w:rPr>
      </w:pPr>
    </w:p>
    <w:p w14:paraId="0DCBCC69">
      <w:pPr>
        <w:autoSpaceDE w:val="0"/>
        <w:autoSpaceDN w:val="0"/>
        <w:jc w:val="center"/>
        <w:rPr>
          <w:rFonts w:ascii="宋体" w:hAnsi="宋体" w:cs="宋体"/>
          <w:b/>
          <w:color w:val="auto"/>
          <w:spacing w:val="6"/>
          <w:sz w:val="32"/>
          <w:szCs w:val="32"/>
          <w:highlight w:val="none"/>
        </w:rPr>
      </w:pPr>
    </w:p>
    <w:p w14:paraId="11A2D1BF">
      <w:pPr>
        <w:autoSpaceDE w:val="0"/>
        <w:autoSpaceDN w:val="0"/>
        <w:jc w:val="center"/>
        <w:rPr>
          <w:rFonts w:ascii="宋体" w:hAnsi="宋体" w:cs="宋体"/>
          <w:b/>
          <w:color w:val="auto"/>
          <w:spacing w:val="6"/>
          <w:sz w:val="32"/>
          <w:szCs w:val="32"/>
          <w:highlight w:val="none"/>
        </w:rPr>
      </w:pPr>
    </w:p>
    <w:p w14:paraId="3B811DBB">
      <w:pPr>
        <w:autoSpaceDE w:val="0"/>
        <w:autoSpaceDN w:val="0"/>
        <w:jc w:val="center"/>
        <w:rPr>
          <w:rFonts w:ascii="宋体" w:hAnsi="宋体" w:cs="宋体"/>
          <w:b/>
          <w:color w:val="auto"/>
          <w:spacing w:val="6"/>
          <w:sz w:val="32"/>
          <w:szCs w:val="32"/>
          <w:highlight w:val="none"/>
        </w:rPr>
      </w:pPr>
    </w:p>
    <w:p w14:paraId="33EFDB68">
      <w:pPr>
        <w:autoSpaceDE w:val="0"/>
        <w:autoSpaceDN w:val="0"/>
        <w:jc w:val="center"/>
        <w:rPr>
          <w:rFonts w:ascii="宋体" w:hAnsi="宋体" w:cs="宋体"/>
          <w:b/>
          <w:color w:val="auto"/>
          <w:spacing w:val="6"/>
          <w:sz w:val="32"/>
          <w:szCs w:val="32"/>
          <w:highlight w:val="none"/>
        </w:rPr>
      </w:pPr>
    </w:p>
    <w:p w14:paraId="2BD8C639">
      <w:pPr>
        <w:autoSpaceDE w:val="0"/>
        <w:autoSpaceDN w:val="0"/>
        <w:jc w:val="center"/>
        <w:rPr>
          <w:rFonts w:ascii="宋体" w:hAnsi="宋体" w:cs="宋体"/>
          <w:b/>
          <w:color w:val="auto"/>
          <w:spacing w:val="6"/>
          <w:sz w:val="32"/>
          <w:szCs w:val="32"/>
          <w:highlight w:val="none"/>
        </w:rPr>
      </w:pPr>
    </w:p>
    <w:p w14:paraId="2DEC8B3A">
      <w:pPr>
        <w:autoSpaceDE w:val="0"/>
        <w:autoSpaceDN w:val="0"/>
        <w:jc w:val="center"/>
        <w:rPr>
          <w:rFonts w:ascii="宋体" w:hAnsi="宋体" w:cs="宋体"/>
          <w:b/>
          <w:color w:val="auto"/>
          <w:spacing w:val="6"/>
          <w:sz w:val="32"/>
          <w:szCs w:val="32"/>
          <w:highlight w:val="none"/>
        </w:rPr>
      </w:pPr>
    </w:p>
    <w:p w14:paraId="19D21A67">
      <w:pPr>
        <w:autoSpaceDE w:val="0"/>
        <w:autoSpaceDN w:val="0"/>
        <w:jc w:val="center"/>
        <w:rPr>
          <w:rFonts w:ascii="宋体" w:hAnsi="宋体" w:cs="宋体"/>
          <w:b/>
          <w:color w:val="auto"/>
          <w:spacing w:val="6"/>
          <w:sz w:val="32"/>
          <w:szCs w:val="32"/>
          <w:highlight w:val="none"/>
        </w:rPr>
      </w:pPr>
    </w:p>
    <w:p w14:paraId="2A7E0643">
      <w:pPr>
        <w:autoSpaceDE w:val="0"/>
        <w:autoSpaceDN w:val="0"/>
        <w:jc w:val="center"/>
        <w:rPr>
          <w:rFonts w:ascii="宋体" w:hAnsi="宋体" w:cs="宋体"/>
          <w:b/>
          <w:color w:val="auto"/>
          <w:spacing w:val="6"/>
          <w:sz w:val="32"/>
          <w:szCs w:val="32"/>
          <w:highlight w:val="none"/>
        </w:rPr>
      </w:pPr>
    </w:p>
    <w:p w14:paraId="2FA27A98">
      <w:pPr>
        <w:autoSpaceDE w:val="0"/>
        <w:autoSpaceDN w:val="0"/>
        <w:jc w:val="center"/>
        <w:rPr>
          <w:rFonts w:ascii="宋体" w:hAnsi="宋体" w:cs="宋体"/>
          <w:b/>
          <w:color w:val="auto"/>
          <w:spacing w:val="6"/>
          <w:sz w:val="32"/>
          <w:szCs w:val="32"/>
          <w:highlight w:val="none"/>
        </w:rPr>
      </w:pPr>
    </w:p>
    <w:p w14:paraId="6AF322BA">
      <w:pPr>
        <w:autoSpaceDE w:val="0"/>
        <w:autoSpaceDN w:val="0"/>
        <w:jc w:val="center"/>
        <w:rPr>
          <w:rFonts w:ascii="宋体" w:hAnsi="宋体" w:cs="宋体"/>
          <w:b/>
          <w:color w:val="auto"/>
          <w:spacing w:val="6"/>
          <w:sz w:val="32"/>
          <w:szCs w:val="32"/>
          <w:highlight w:val="none"/>
        </w:rPr>
      </w:pPr>
    </w:p>
    <w:p w14:paraId="0A60A12B">
      <w:pPr>
        <w:autoSpaceDE w:val="0"/>
        <w:autoSpaceDN w:val="0"/>
        <w:jc w:val="center"/>
        <w:rPr>
          <w:rFonts w:ascii="宋体" w:hAnsi="宋体" w:cs="宋体"/>
          <w:b/>
          <w:color w:val="auto"/>
          <w:spacing w:val="6"/>
          <w:sz w:val="32"/>
          <w:szCs w:val="32"/>
          <w:highlight w:val="none"/>
        </w:rPr>
      </w:pPr>
    </w:p>
    <w:p w14:paraId="3F525635">
      <w:pPr>
        <w:autoSpaceDE w:val="0"/>
        <w:autoSpaceDN w:val="0"/>
        <w:jc w:val="center"/>
        <w:rPr>
          <w:rFonts w:ascii="宋体" w:hAnsi="宋体" w:cs="宋体"/>
          <w:b/>
          <w:color w:val="auto"/>
          <w:spacing w:val="6"/>
          <w:sz w:val="32"/>
          <w:szCs w:val="32"/>
          <w:highlight w:val="none"/>
        </w:rPr>
      </w:pPr>
    </w:p>
    <w:p w14:paraId="75D46A40">
      <w:pPr>
        <w:autoSpaceDE w:val="0"/>
        <w:autoSpaceDN w:val="0"/>
        <w:jc w:val="center"/>
        <w:rPr>
          <w:rFonts w:ascii="宋体" w:hAnsi="宋体" w:cs="宋体"/>
          <w:b/>
          <w:color w:val="auto"/>
          <w:spacing w:val="6"/>
          <w:sz w:val="32"/>
          <w:szCs w:val="32"/>
          <w:highlight w:val="none"/>
        </w:rPr>
      </w:pPr>
    </w:p>
    <w:p w14:paraId="15B5F891">
      <w:pPr>
        <w:autoSpaceDE w:val="0"/>
        <w:autoSpaceDN w:val="0"/>
        <w:jc w:val="center"/>
        <w:rPr>
          <w:rFonts w:ascii="宋体" w:hAnsi="宋体" w:cs="宋体"/>
          <w:b/>
          <w:color w:val="auto"/>
          <w:spacing w:val="6"/>
          <w:sz w:val="32"/>
          <w:szCs w:val="32"/>
          <w:highlight w:val="none"/>
        </w:rPr>
      </w:pPr>
    </w:p>
    <w:p w14:paraId="35F40F3E">
      <w:pPr>
        <w:autoSpaceDE w:val="0"/>
        <w:autoSpaceDN w:val="0"/>
        <w:jc w:val="center"/>
        <w:rPr>
          <w:rFonts w:ascii="宋体" w:hAnsi="宋体" w:cs="宋体"/>
          <w:b/>
          <w:color w:val="auto"/>
          <w:spacing w:val="6"/>
          <w:sz w:val="32"/>
          <w:szCs w:val="32"/>
          <w:highlight w:val="none"/>
        </w:rPr>
      </w:pPr>
    </w:p>
    <w:p w14:paraId="751B12C8">
      <w:pPr>
        <w:autoSpaceDE w:val="0"/>
        <w:autoSpaceDN w:val="0"/>
        <w:jc w:val="center"/>
        <w:rPr>
          <w:rFonts w:ascii="宋体" w:hAnsi="宋体" w:cs="宋体"/>
          <w:b/>
          <w:color w:val="auto"/>
          <w:spacing w:val="6"/>
          <w:sz w:val="32"/>
          <w:szCs w:val="32"/>
          <w:highlight w:val="none"/>
        </w:rPr>
      </w:pPr>
    </w:p>
    <w:p w14:paraId="6B673203">
      <w:pPr>
        <w:autoSpaceDE w:val="0"/>
        <w:autoSpaceDN w:val="0"/>
        <w:jc w:val="center"/>
        <w:rPr>
          <w:rFonts w:ascii="宋体" w:hAnsi="宋体" w:cs="宋体"/>
          <w:b/>
          <w:color w:val="auto"/>
          <w:spacing w:val="6"/>
          <w:sz w:val="32"/>
          <w:szCs w:val="32"/>
          <w:highlight w:val="none"/>
        </w:rPr>
      </w:pPr>
    </w:p>
    <w:p w14:paraId="55493C70">
      <w:pPr>
        <w:spacing w:line="360" w:lineRule="auto"/>
        <w:jc w:val="left"/>
        <w:outlineLvl w:val="0"/>
        <w:rPr>
          <w:rFonts w:ascii="宋体" w:hAnsi="宋体" w:cs="宋体"/>
          <w:b/>
          <w:color w:val="auto"/>
          <w:sz w:val="36"/>
          <w:szCs w:val="20"/>
          <w:highlight w:val="none"/>
        </w:rPr>
      </w:pPr>
    </w:p>
    <w:p w14:paraId="3BC72C95">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12796698">
      <w:pPr>
        <w:spacing w:line="360" w:lineRule="auto"/>
        <w:jc w:val="center"/>
        <w:rPr>
          <w:rFonts w:ascii="宋体" w:hAnsi="宋体" w:cs="宋体"/>
          <w:color w:val="auto"/>
          <w:sz w:val="24"/>
          <w:highlight w:val="none"/>
          <w:u w:val="single"/>
        </w:rPr>
      </w:pPr>
    </w:p>
    <w:p w14:paraId="48D58230">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38B52081">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宁波市自然资源和规划局镇海分局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镇海区2025-2026年松材线虫病防治项目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F0AFAF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镇海区2025-2026年松材线虫病防治项目</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513BC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046264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57C7DD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B3CBDE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0450826">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供应商名称（电子签名）：</w:t>
      </w:r>
    </w:p>
    <w:p w14:paraId="4046C3DA">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3E4624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230B3608">
      <w:pPr>
        <w:spacing w:line="360" w:lineRule="auto"/>
        <w:ind w:right="420"/>
        <w:rPr>
          <w:rFonts w:ascii="宋体" w:hAnsi="宋体" w:cs="宋体"/>
          <w:color w:val="auto"/>
          <w:sz w:val="24"/>
          <w:highlight w:val="none"/>
        </w:rPr>
      </w:pPr>
    </w:p>
    <w:p w14:paraId="6D1360B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36DC2C6B">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4F30206">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931C5EF">
      <w:pPr>
        <w:spacing w:line="360" w:lineRule="auto"/>
        <w:ind w:right="420" w:firstLine="720" w:firstLineChars="300"/>
        <w:rPr>
          <w:color w:val="auto"/>
          <w:highlight w:val="none"/>
        </w:rPr>
      </w:pPr>
      <w:r>
        <w:rPr>
          <w:rFonts w:hint="eastAsia" w:ascii="宋体" w:hAnsi="宋体" w:cs="宋体"/>
          <w:color w:val="auto"/>
          <w:sz w:val="24"/>
          <w:highlight w:val="none"/>
        </w:rPr>
        <w:t>3、本采购文件中明确的所属行业为其他未列明行业：从业人员300人以下的为中小微型企业。其中，从业人员100人及以上的为中型企业；从业人员10人及以上的为小型企业；从业人员10人以下的为微型企业。</w:t>
      </w:r>
    </w:p>
    <w:p w14:paraId="3093C20A">
      <w:pPr>
        <w:pStyle w:val="23"/>
        <w:rPr>
          <w:color w:val="auto"/>
          <w:highlight w:val="none"/>
        </w:rPr>
      </w:pPr>
    </w:p>
    <w:p w14:paraId="4BD1B485">
      <w:pPr>
        <w:pStyle w:val="2"/>
        <w:rPr>
          <w:rFonts w:ascii="宋体" w:hAnsi="宋体" w:eastAsia="宋体" w:cs="宋体"/>
          <w:color w:val="auto"/>
          <w:highlight w:val="none"/>
          <w:lang w:val="en-US"/>
        </w:rPr>
      </w:pPr>
    </w:p>
    <w:p w14:paraId="650DB3C8">
      <w:pPr>
        <w:spacing w:line="360" w:lineRule="auto"/>
        <w:ind w:right="420"/>
        <w:rPr>
          <w:rFonts w:ascii="宋体" w:hAnsi="宋体" w:cs="宋体"/>
          <w:color w:val="auto"/>
          <w:highlight w:val="none"/>
        </w:rPr>
      </w:pPr>
    </w:p>
    <w:p w14:paraId="48E8B390">
      <w:pPr>
        <w:spacing w:line="360" w:lineRule="auto"/>
        <w:rPr>
          <w:rFonts w:ascii="宋体" w:hAnsi="宋体" w:cs="宋体"/>
          <w:bCs/>
          <w:color w:val="auto"/>
          <w:sz w:val="24"/>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98CC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0D50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56C1CF06">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E9130">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77848">
    <w:pPr>
      <w:pStyle w:val="39"/>
      <w:framePr w:wrap="around" w:vAnchor="text" w:hAnchor="margin" w:xAlign="right" w:y="1"/>
      <w:rPr>
        <w:rStyle w:val="72"/>
      </w:rPr>
    </w:pPr>
    <w:r>
      <w:fldChar w:fldCharType="begin"/>
    </w:r>
    <w:r>
      <w:rPr>
        <w:rStyle w:val="72"/>
      </w:rPr>
      <w:instrText xml:space="preserve">PAGE  </w:instrText>
    </w:r>
    <w:r>
      <w:fldChar w:fldCharType="end"/>
    </w:r>
  </w:p>
  <w:p w14:paraId="3BE163AF">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5F38B">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bookmarkStart w:id="431" w:name="_Toc164085800"/>
    <w:bookmarkStart w:id="432" w:name="_Toc36110187"/>
    <w:bookmarkStart w:id="433" w:name="_Toc91899912"/>
    <w:bookmarkStart w:id="434" w:name="_Toc131845147"/>
    <w:r>
      <w:rPr>
        <w:rFonts w:hint="eastAsia" w:ascii="仿宋_GB2312" w:eastAsia="仿宋_GB2312"/>
        <w:kern w:val="0"/>
        <w:szCs w:val="21"/>
      </w:rPr>
      <w:t xml:space="preserve"> 页</w:t>
    </w:r>
    <w:bookmarkEnd w:id="431"/>
    <w:bookmarkEnd w:id="432"/>
    <w:bookmarkEnd w:id="433"/>
    <w:bookmarkEnd w:id="43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4D0BC">
    <w:pPr>
      <w:pStyle w:val="39"/>
      <w:framePr w:wrap="around" w:vAnchor="text" w:hAnchor="margin" w:xAlign="right" w:y="1"/>
      <w:rPr>
        <w:rStyle w:val="72"/>
      </w:rPr>
    </w:pPr>
    <w:r>
      <w:fldChar w:fldCharType="begin"/>
    </w:r>
    <w:r>
      <w:rPr>
        <w:rStyle w:val="72"/>
      </w:rPr>
      <w:instrText xml:space="preserve">PAGE  </w:instrText>
    </w:r>
    <w:r>
      <w:fldChar w:fldCharType="end"/>
    </w:r>
  </w:p>
  <w:p w14:paraId="78622968">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9642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B4341">
    <w:pPr>
      <w:spacing w:line="172" w:lineRule="auto"/>
      <w:ind w:left="7178"/>
      <w:rPr>
        <w:rFonts w:ascii="宋体" w:hAnsi="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0425F">
                          <w:pPr>
                            <w:pStyle w:val="39"/>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2920425F">
                    <w:pPr>
                      <w:pStyle w:val="39"/>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9A80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6425377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B021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5DFBCAB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B73A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3B85DF5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6E8E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593754E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A7A4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5D85D6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EED1B">
    <w:pPr>
      <w:pStyle w:val="40"/>
      <w:pBdr>
        <w:bottom w:val="single" w:color="auto" w:sz="6" w:space="4"/>
      </w:pBdr>
      <w:jc w:val="right"/>
    </w:pPr>
    <w:r>
      <w:t></w:t>
    </w:r>
    <w:r>
      <w:rPr>
        <w:rFonts w:hint="eastAsia"/>
      </w:rPr>
      <w:t xml:space="preserve">             </w:t>
    </w:r>
    <w:r>
      <w:t>政府采购公开招标文件</w:t>
    </w:r>
  </w:p>
  <w:p w14:paraId="2FFD24B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428C1">
    <w:pPr>
      <w:pStyle w:val="40"/>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3C0F1">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3A9D7">
    <w:pPr>
      <w:pStyle w:val="40"/>
      <w:rPr>
        <w:rFonts w:ascii="仿宋_GB2312" w:eastAsia="仿宋_GB2312"/>
        <w:b/>
        <w:i/>
        <w:u w:val="single"/>
      </w:rPr>
    </w:pPr>
    <w:r>
      <w:t></w:t>
    </w:r>
    <w:r>
      <w:rPr>
        <w:rFonts w:hint="eastAsia"/>
      </w:rPr>
      <w:t xml:space="preserve">                                                  </w:t>
    </w:r>
    <w:r>
      <w:t xml:space="preserve">             </w:t>
    </w:r>
    <w:r>
      <w:rPr>
        <w:rFonts w:hint="eastAsia"/>
      </w:rPr>
      <w:t xml:space="preserve">   </w:t>
    </w:r>
    <w:r>
      <w:t>政府采购公开招标文件</w:t>
    </w:r>
  </w:p>
  <w:p w14:paraId="34860EC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F6D80">
    <w:pPr>
      <w:pStyle w:val="40"/>
    </w:pPr>
    <w:r>
      <w:t></w:t>
    </w:r>
    <w:r>
      <w:rPr>
        <w:rFonts w:hint="eastAsia"/>
      </w:rPr>
      <w:t xml:space="preserve">         </w:t>
    </w:r>
  </w:p>
  <w:p w14:paraId="58620D28">
    <w:pPr>
      <w:pStyle w:val="40"/>
    </w:pPr>
    <w:r>
      <w:rPr>
        <w:rFonts w:hint="eastAsia"/>
      </w:rPr>
      <w:t xml:space="preserve">                                                                  宁波市政府采购公开招标文件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23603">
    <w:pPr>
      <w:pStyle w:val="40"/>
      <w:rPr>
        <w:rFonts w:ascii="仿宋_GB2312" w:eastAsia="仿宋_GB2312"/>
        <w:b/>
        <w:i/>
        <w:u w:val="single"/>
      </w:rPr>
    </w:pPr>
    <w:r>
      <w:t></w:t>
    </w:r>
    <w:r>
      <w:rPr>
        <w:rFonts w:hint="eastAsia"/>
      </w:rPr>
      <w:t xml:space="preserve">                                                   </w:t>
    </w:r>
    <w:r>
      <w:t>政府采购公开招标文件</w:t>
    </w:r>
  </w:p>
  <w:p w14:paraId="3C40940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27324">
    <w:pPr>
      <w:pStyle w:val="40"/>
      <w:jc w:val="right"/>
    </w:pPr>
    <w:r>
      <w:t></w:t>
    </w:r>
    <w:r>
      <w:rPr>
        <w:rFonts w:hint="eastAsia"/>
      </w:rPr>
      <w:t xml:space="preserve">                 </w:t>
    </w:r>
    <w:r>
      <w:t xml:space="preserve">                                </w:t>
    </w:r>
    <w:r>
      <w:rPr>
        <w:rFonts w:hint="eastAsia"/>
      </w:rPr>
      <w:t xml:space="preserve">         宁波市政府采购公开招标文件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B5197">
    <w:pPr>
      <w:pStyle w:val="40"/>
      <w:jc w:val="right"/>
      <w:rPr>
        <w:rFonts w:ascii="仿宋_GB2312"/>
        <w:b/>
        <w:i/>
        <w:u w:val="single"/>
      </w:rPr>
    </w:pPr>
    <w:r>
      <w:rPr>
        <w:rFonts w:hint="eastAsia"/>
      </w:rPr>
      <w:t xml:space="preserve">                                  宁波市政府采购公开招标文件</w:t>
    </w:r>
  </w:p>
  <w:p w14:paraId="6ED47DE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1DAF4">
    <w:pPr>
      <w:pStyle w:val="40"/>
      <w:jc w:val="right"/>
    </w:pPr>
    <w:r>
      <w:rPr>
        <w:rFonts w:hint="eastAsia"/>
      </w:rPr>
      <w:t xml:space="preserve">                                                                                                        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0231A">
    <w:pPr>
      <w:pStyle w:val="40"/>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01F1F"/>
    <w:multiLevelType w:val="singleLevel"/>
    <w:tmpl w:val="82A01F1F"/>
    <w:lvl w:ilvl="0" w:tentative="0">
      <w:start w:val="1"/>
      <w:numFmt w:val="decimal"/>
      <w:lvlText w:val="%1."/>
      <w:lvlJc w:val="left"/>
      <w:pPr>
        <w:tabs>
          <w:tab w:val="left" w:pos="312"/>
        </w:tabs>
      </w:pPr>
    </w:lvl>
  </w:abstractNum>
  <w:abstractNum w:abstractNumId="1">
    <w:nsid w:val="91EB60EE"/>
    <w:multiLevelType w:val="singleLevel"/>
    <w:tmpl w:val="91EB60EE"/>
    <w:lvl w:ilvl="0" w:tentative="0">
      <w:start w:val="3"/>
      <w:numFmt w:val="decimal"/>
      <w:lvlText w:val="%1."/>
      <w:lvlJc w:val="left"/>
      <w:pPr>
        <w:tabs>
          <w:tab w:val="left" w:pos="312"/>
        </w:tabs>
      </w:pPr>
    </w:lvl>
  </w:abstractNum>
  <w:abstractNum w:abstractNumId="2">
    <w:nsid w:val="C2F2AA7E"/>
    <w:multiLevelType w:val="singleLevel"/>
    <w:tmpl w:val="C2F2AA7E"/>
    <w:lvl w:ilvl="0" w:tentative="0">
      <w:start w:val="1"/>
      <w:numFmt w:val="decimal"/>
      <w:suff w:val="nothing"/>
      <w:lvlText w:val="（%1）"/>
      <w:lvlJc w:val="left"/>
    </w:lvl>
  </w:abstractNum>
  <w:abstractNum w:abstractNumId="3">
    <w:nsid w:val="EA6EB2FF"/>
    <w:multiLevelType w:val="singleLevel"/>
    <w:tmpl w:val="EA6EB2FF"/>
    <w:lvl w:ilvl="0" w:tentative="0">
      <w:start w:val="1"/>
      <w:numFmt w:val="decimal"/>
      <w:suff w:val="nothing"/>
      <w:lvlText w:val="（%1）"/>
      <w:lvlJc w:val="left"/>
    </w:lvl>
  </w:abstractNum>
  <w:abstractNum w:abstractNumId="4">
    <w:nsid w:val="00000025"/>
    <w:multiLevelType w:val="singleLevel"/>
    <w:tmpl w:val="00000025"/>
    <w:lvl w:ilvl="0" w:tentative="0">
      <w:start w:val="1"/>
      <w:numFmt w:val="decimal"/>
      <w:suff w:val="nothing"/>
      <w:lvlText w:val="（%1）"/>
      <w:lvlJc w:val="left"/>
    </w:lvl>
  </w:abstractNum>
  <w:abstractNum w:abstractNumId="5">
    <w:nsid w:val="0A6B07B1"/>
    <w:multiLevelType w:val="singleLevel"/>
    <w:tmpl w:val="0A6B07B1"/>
    <w:lvl w:ilvl="0" w:tentative="0">
      <w:start w:val="4"/>
      <w:numFmt w:val="decimal"/>
      <w:lvlText w:val="%1."/>
      <w:lvlJc w:val="left"/>
      <w:pPr>
        <w:tabs>
          <w:tab w:val="left" w:pos="312"/>
        </w:tabs>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zZGNiNzU5N2QxZWZjNTk5NGI0YmI3OTM1OWYxZjEifQ=="/>
    <w:docVar w:name="KSO_WPS_MARK_KEY" w:val="2caabb78-dd7d-4915-b9aa-db80bf10b0a9"/>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0B16"/>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553"/>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34A"/>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0E5F"/>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5D0D"/>
    <w:rsid w:val="00176AA6"/>
    <w:rsid w:val="00177063"/>
    <w:rsid w:val="00180A47"/>
    <w:rsid w:val="00181025"/>
    <w:rsid w:val="00181BFB"/>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37E"/>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1405"/>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243"/>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079"/>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294"/>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42C"/>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607"/>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693"/>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1A0"/>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861"/>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5E9C"/>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663"/>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4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546"/>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48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24FE"/>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12A"/>
    <w:rsid w:val="009557A9"/>
    <w:rsid w:val="00956647"/>
    <w:rsid w:val="00956CF3"/>
    <w:rsid w:val="00957380"/>
    <w:rsid w:val="009573DA"/>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4D"/>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CF"/>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1E3D"/>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3F9"/>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4EE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10"/>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479"/>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BEC"/>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175C"/>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836467"/>
    <w:rsid w:val="019F7441"/>
    <w:rsid w:val="01B37585"/>
    <w:rsid w:val="01D55165"/>
    <w:rsid w:val="01DF6BF8"/>
    <w:rsid w:val="01EC2C57"/>
    <w:rsid w:val="023416EB"/>
    <w:rsid w:val="025F0711"/>
    <w:rsid w:val="026B2E25"/>
    <w:rsid w:val="02824D4D"/>
    <w:rsid w:val="029A0088"/>
    <w:rsid w:val="02D159E9"/>
    <w:rsid w:val="02D634CE"/>
    <w:rsid w:val="02DC4B10"/>
    <w:rsid w:val="02DD76CE"/>
    <w:rsid w:val="02F36323"/>
    <w:rsid w:val="02F5619C"/>
    <w:rsid w:val="03181DED"/>
    <w:rsid w:val="0326446A"/>
    <w:rsid w:val="032D5555"/>
    <w:rsid w:val="035F4B52"/>
    <w:rsid w:val="036634D2"/>
    <w:rsid w:val="036F4D79"/>
    <w:rsid w:val="03966111"/>
    <w:rsid w:val="03DD35E4"/>
    <w:rsid w:val="04076900"/>
    <w:rsid w:val="041A5A3B"/>
    <w:rsid w:val="042311BA"/>
    <w:rsid w:val="042B157A"/>
    <w:rsid w:val="044304CB"/>
    <w:rsid w:val="048F763B"/>
    <w:rsid w:val="049F330E"/>
    <w:rsid w:val="04AA775C"/>
    <w:rsid w:val="04AF1889"/>
    <w:rsid w:val="04BB4853"/>
    <w:rsid w:val="04F66F48"/>
    <w:rsid w:val="05251E14"/>
    <w:rsid w:val="05A16594"/>
    <w:rsid w:val="05A7762D"/>
    <w:rsid w:val="060B66D9"/>
    <w:rsid w:val="060E5941"/>
    <w:rsid w:val="06110FAF"/>
    <w:rsid w:val="06493CA7"/>
    <w:rsid w:val="064B10A6"/>
    <w:rsid w:val="065A6178"/>
    <w:rsid w:val="066F1CF3"/>
    <w:rsid w:val="066F7CCB"/>
    <w:rsid w:val="068E4289"/>
    <w:rsid w:val="06930BB8"/>
    <w:rsid w:val="06F723B4"/>
    <w:rsid w:val="071A5525"/>
    <w:rsid w:val="07245D42"/>
    <w:rsid w:val="07264C62"/>
    <w:rsid w:val="0779354C"/>
    <w:rsid w:val="07970B60"/>
    <w:rsid w:val="08061376"/>
    <w:rsid w:val="08452D77"/>
    <w:rsid w:val="086401F8"/>
    <w:rsid w:val="08751CAA"/>
    <w:rsid w:val="087658C7"/>
    <w:rsid w:val="087E4C40"/>
    <w:rsid w:val="08A871D0"/>
    <w:rsid w:val="08C05357"/>
    <w:rsid w:val="08D66AD6"/>
    <w:rsid w:val="08DA33A3"/>
    <w:rsid w:val="08E80F13"/>
    <w:rsid w:val="09335624"/>
    <w:rsid w:val="0944690F"/>
    <w:rsid w:val="09535675"/>
    <w:rsid w:val="095F057D"/>
    <w:rsid w:val="09642282"/>
    <w:rsid w:val="09733572"/>
    <w:rsid w:val="09772C16"/>
    <w:rsid w:val="098353B5"/>
    <w:rsid w:val="09852A37"/>
    <w:rsid w:val="09A92330"/>
    <w:rsid w:val="09B06B87"/>
    <w:rsid w:val="09C13146"/>
    <w:rsid w:val="09D66583"/>
    <w:rsid w:val="09E04166"/>
    <w:rsid w:val="0A1C0718"/>
    <w:rsid w:val="0A27015B"/>
    <w:rsid w:val="0A3E7710"/>
    <w:rsid w:val="0A5B7E63"/>
    <w:rsid w:val="0A7F5BA0"/>
    <w:rsid w:val="0AA374A5"/>
    <w:rsid w:val="0AAB7649"/>
    <w:rsid w:val="0ABC5606"/>
    <w:rsid w:val="0B30404E"/>
    <w:rsid w:val="0B4C6C14"/>
    <w:rsid w:val="0B547599"/>
    <w:rsid w:val="0B631A88"/>
    <w:rsid w:val="0B683D45"/>
    <w:rsid w:val="0B7F3F11"/>
    <w:rsid w:val="0B884417"/>
    <w:rsid w:val="0B9D78F6"/>
    <w:rsid w:val="0BF6188C"/>
    <w:rsid w:val="0BF73C91"/>
    <w:rsid w:val="0C170175"/>
    <w:rsid w:val="0C3C0BEA"/>
    <w:rsid w:val="0C571A41"/>
    <w:rsid w:val="0C5C1171"/>
    <w:rsid w:val="0C5E1CBC"/>
    <w:rsid w:val="0C615B50"/>
    <w:rsid w:val="0C8445DA"/>
    <w:rsid w:val="0C87121B"/>
    <w:rsid w:val="0CC007F7"/>
    <w:rsid w:val="0CC617AC"/>
    <w:rsid w:val="0CE618DF"/>
    <w:rsid w:val="0CFB3722"/>
    <w:rsid w:val="0CFE707A"/>
    <w:rsid w:val="0D063BDA"/>
    <w:rsid w:val="0D08375F"/>
    <w:rsid w:val="0D184CFB"/>
    <w:rsid w:val="0D4A7419"/>
    <w:rsid w:val="0D637CAF"/>
    <w:rsid w:val="0D827401"/>
    <w:rsid w:val="0D84094E"/>
    <w:rsid w:val="0D8A00E9"/>
    <w:rsid w:val="0D8D589E"/>
    <w:rsid w:val="0DA01C73"/>
    <w:rsid w:val="0DD63300"/>
    <w:rsid w:val="0DF50604"/>
    <w:rsid w:val="0DF702FE"/>
    <w:rsid w:val="0E060E51"/>
    <w:rsid w:val="0E25392A"/>
    <w:rsid w:val="0E5604B2"/>
    <w:rsid w:val="0E592082"/>
    <w:rsid w:val="0E6D5D79"/>
    <w:rsid w:val="0E9D0089"/>
    <w:rsid w:val="0EB803EE"/>
    <w:rsid w:val="0EBA5662"/>
    <w:rsid w:val="0EF94D4B"/>
    <w:rsid w:val="0F4958DC"/>
    <w:rsid w:val="0F515DF7"/>
    <w:rsid w:val="0F596BA8"/>
    <w:rsid w:val="0F6248D2"/>
    <w:rsid w:val="0F6901C8"/>
    <w:rsid w:val="0F693536"/>
    <w:rsid w:val="0F7B0511"/>
    <w:rsid w:val="0F7B76D9"/>
    <w:rsid w:val="0F816ACD"/>
    <w:rsid w:val="0F89561E"/>
    <w:rsid w:val="0F9832DB"/>
    <w:rsid w:val="0FA4723D"/>
    <w:rsid w:val="0FA9345E"/>
    <w:rsid w:val="0FBF3FD2"/>
    <w:rsid w:val="0FBF7FF3"/>
    <w:rsid w:val="10551EEC"/>
    <w:rsid w:val="10646583"/>
    <w:rsid w:val="107D4B15"/>
    <w:rsid w:val="108A3C80"/>
    <w:rsid w:val="10C26171"/>
    <w:rsid w:val="10F33360"/>
    <w:rsid w:val="10FC16EA"/>
    <w:rsid w:val="110C3C07"/>
    <w:rsid w:val="110F1D40"/>
    <w:rsid w:val="11266F33"/>
    <w:rsid w:val="115C585B"/>
    <w:rsid w:val="118963A1"/>
    <w:rsid w:val="11BC4EBD"/>
    <w:rsid w:val="11C6522A"/>
    <w:rsid w:val="11E104CC"/>
    <w:rsid w:val="11E20309"/>
    <w:rsid w:val="12255233"/>
    <w:rsid w:val="124456BE"/>
    <w:rsid w:val="12530213"/>
    <w:rsid w:val="127723A9"/>
    <w:rsid w:val="12862074"/>
    <w:rsid w:val="12883966"/>
    <w:rsid w:val="128E7A56"/>
    <w:rsid w:val="129E45B4"/>
    <w:rsid w:val="12D81596"/>
    <w:rsid w:val="13072A44"/>
    <w:rsid w:val="132F6539"/>
    <w:rsid w:val="135F4BE2"/>
    <w:rsid w:val="138A5B7A"/>
    <w:rsid w:val="139B1A0A"/>
    <w:rsid w:val="139D25C7"/>
    <w:rsid w:val="13AE6994"/>
    <w:rsid w:val="13BF3CE4"/>
    <w:rsid w:val="13F552E3"/>
    <w:rsid w:val="141008D8"/>
    <w:rsid w:val="14125FE6"/>
    <w:rsid w:val="146006BC"/>
    <w:rsid w:val="146D271E"/>
    <w:rsid w:val="14982588"/>
    <w:rsid w:val="149A5AD9"/>
    <w:rsid w:val="14A7619D"/>
    <w:rsid w:val="14EB6D38"/>
    <w:rsid w:val="150536C3"/>
    <w:rsid w:val="150C1963"/>
    <w:rsid w:val="151447A0"/>
    <w:rsid w:val="154A6454"/>
    <w:rsid w:val="15762120"/>
    <w:rsid w:val="157B6F93"/>
    <w:rsid w:val="15800218"/>
    <w:rsid w:val="158B65C1"/>
    <w:rsid w:val="15CB5B7D"/>
    <w:rsid w:val="16112265"/>
    <w:rsid w:val="16790BDE"/>
    <w:rsid w:val="16A8729C"/>
    <w:rsid w:val="16B33777"/>
    <w:rsid w:val="16BC70A7"/>
    <w:rsid w:val="16C6339E"/>
    <w:rsid w:val="16CD7D7B"/>
    <w:rsid w:val="16D621CD"/>
    <w:rsid w:val="1726702B"/>
    <w:rsid w:val="172F2D79"/>
    <w:rsid w:val="17557BEF"/>
    <w:rsid w:val="17A21568"/>
    <w:rsid w:val="17D349C1"/>
    <w:rsid w:val="1830729E"/>
    <w:rsid w:val="183A7B11"/>
    <w:rsid w:val="1870062C"/>
    <w:rsid w:val="18817102"/>
    <w:rsid w:val="18830A15"/>
    <w:rsid w:val="18852B28"/>
    <w:rsid w:val="188B5321"/>
    <w:rsid w:val="18A96C1E"/>
    <w:rsid w:val="194970F8"/>
    <w:rsid w:val="198663C7"/>
    <w:rsid w:val="19932372"/>
    <w:rsid w:val="19A20DD5"/>
    <w:rsid w:val="19A37703"/>
    <w:rsid w:val="19AE03F1"/>
    <w:rsid w:val="19B117EF"/>
    <w:rsid w:val="19EE37DC"/>
    <w:rsid w:val="19EE464B"/>
    <w:rsid w:val="1A071A03"/>
    <w:rsid w:val="1A1F16AE"/>
    <w:rsid w:val="1A3B5C77"/>
    <w:rsid w:val="1A984BAD"/>
    <w:rsid w:val="1AB8220E"/>
    <w:rsid w:val="1AC81B2E"/>
    <w:rsid w:val="1AD35795"/>
    <w:rsid w:val="1AE4166C"/>
    <w:rsid w:val="1AF06CFB"/>
    <w:rsid w:val="1AF11B8D"/>
    <w:rsid w:val="1B11359C"/>
    <w:rsid w:val="1B195CB1"/>
    <w:rsid w:val="1B2A271F"/>
    <w:rsid w:val="1B530544"/>
    <w:rsid w:val="1B561283"/>
    <w:rsid w:val="1B713184"/>
    <w:rsid w:val="1B80778D"/>
    <w:rsid w:val="1BA209CF"/>
    <w:rsid w:val="1BB4777D"/>
    <w:rsid w:val="1BD75AB8"/>
    <w:rsid w:val="1C0459C2"/>
    <w:rsid w:val="1C1B3B4A"/>
    <w:rsid w:val="1C88086E"/>
    <w:rsid w:val="1CA05B4B"/>
    <w:rsid w:val="1CFF79BC"/>
    <w:rsid w:val="1D266CE1"/>
    <w:rsid w:val="1D3963AF"/>
    <w:rsid w:val="1D6A673C"/>
    <w:rsid w:val="1D9247AE"/>
    <w:rsid w:val="1DB567EC"/>
    <w:rsid w:val="1DF51A98"/>
    <w:rsid w:val="1E114111"/>
    <w:rsid w:val="1E3D060F"/>
    <w:rsid w:val="1E3F7D2E"/>
    <w:rsid w:val="1E4134E4"/>
    <w:rsid w:val="1E5062B3"/>
    <w:rsid w:val="1E523514"/>
    <w:rsid w:val="1E665B86"/>
    <w:rsid w:val="1E714A66"/>
    <w:rsid w:val="1E802593"/>
    <w:rsid w:val="1E8B6156"/>
    <w:rsid w:val="1EA703CC"/>
    <w:rsid w:val="1EB7330C"/>
    <w:rsid w:val="1EC12AD3"/>
    <w:rsid w:val="1F040613"/>
    <w:rsid w:val="1F0A0FF3"/>
    <w:rsid w:val="1F5771FF"/>
    <w:rsid w:val="1FD52DD5"/>
    <w:rsid w:val="1FE868A9"/>
    <w:rsid w:val="1FF00B97"/>
    <w:rsid w:val="20034907"/>
    <w:rsid w:val="20173E4B"/>
    <w:rsid w:val="203169D9"/>
    <w:rsid w:val="204E48BC"/>
    <w:rsid w:val="207711FB"/>
    <w:rsid w:val="208921B3"/>
    <w:rsid w:val="20973DEB"/>
    <w:rsid w:val="20B26522"/>
    <w:rsid w:val="20B44310"/>
    <w:rsid w:val="20F052F3"/>
    <w:rsid w:val="211116EB"/>
    <w:rsid w:val="216133FC"/>
    <w:rsid w:val="21D56769"/>
    <w:rsid w:val="21E52EF3"/>
    <w:rsid w:val="21FB5D7B"/>
    <w:rsid w:val="22015E94"/>
    <w:rsid w:val="220B1C3D"/>
    <w:rsid w:val="221D1D20"/>
    <w:rsid w:val="22334A87"/>
    <w:rsid w:val="223E1829"/>
    <w:rsid w:val="22496CD1"/>
    <w:rsid w:val="22BE6801"/>
    <w:rsid w:val="23101294"/>
    <w:rsid w:val="23103368"/>
    <w:rsid w:val="233500BF"/>
    <w:rsid w:val="23377FF7"/>
    <w:rsid w:val="236160DC"/>
    <w:rsid w:val="236B425F"/>
    <w:rsid w:val="23836192"/>
    <w:rsid w:val="23865FE4"/>
    <w:rsid w:val="23901F29"/>
    <w:rsid w:val="239C0061"/>
    <w:rsid w:val="23B908A4"/>
    <w:rsid w:val="23E95BEF"/>
    <w:rsid w:val="23FD0064"/>
    <w:rsid w:val="245375B0"/>
    <w:rsid w:val="24642C0A"/>
    <w:rsid w:val="249206AE"/>
    <w:rsid w:val="24A835B0"/>
    <w:rsid w:val="24B22173"/>
    <w:rsid w:val="24B95AD9"/>
    <w:rsid w:val="24BE24DA"/>
    <w:rsid w:val="24CF5825"/>
    <w:rsid w:val="24D663E6"/>
    <w:rsid w:val="24D77F2B"/>
    <w:rsid w:val="24F73AA1"/>
    <w:rsid w:val="256C6F12"/>
    <w:rsid w:val="258B00E2"/>
    <w:rsid w:val="25A917A6"/>
    <w:rsid w:val="25BE27CC"/>
    <w:rsid w:val="25C11AE8"/>
    <w:rsid w:val="25F74A5C"/>
    <w:rsid w:val="2628662C"/>
    <w:rsid w:val="262D45DE"/>
    <w:rsid w:val="26871DC8"/>
    <w:rsid w:val="26A53EF9"/>
    <w:rsid w:val="26A94201"/>
    <w:rsid w:val="26AC274F"/>
    <w:rsid w:val="26C47CE7"/>
    <w:rsid w:val="26F7456B"/>
    <w:rsid w:val="27044A29"/>
    <w:rsid w:val="271D34C8"/>
    <w:rsid w:val="276142BF"/>
    <w:rsid w:val="27783712"/>
    <w:rsid w:val="27907362"/>
    <w:rsid w:val="27CD2FC0"/>
    <w:rsid w:val="2816750C"/>
    <w:rsid w:val="281E2337"/>
    <w:rsid w:val="28333E1D"/>
    <w:rsid w:val="28432A8E"/>
    <w:rsid w:val="28454BD6"/>
    <w:rsid w:val="28455253"/>
    <w:rsid w:val="28551971"/>
    <w:rsid w:val="285B1C53"/>
    <w:rsid w:val="289F7086"/>
    <w:rsid w:val="28C32028"/>
    <w:rsid w:val="28CC490F"/>
    <w:rsid w:val="28DE40AA"/>
    <w:rsid w:val="29345E77"/>
    <w:rsid w:val="294C65AD"/>
    <w:rsid w:val="29533E52"/>
    <w:rsid w:val="29806583"/>
    <w:rsid w:val="298567F4"/>
    <w:rsid w:val="298B3C4C"/>
    <w:rsid w:val="29D86924"/>
    <w:rsid w:val="29F26D24"/>
    <w:rsid w:val="2A15033F"/>
    <w:rsid w:val="2A1662C1"/>
    <w:rsid w:val="2A1C7367"/>
    <w:rsid w:val="2A2815FA"/>
    <w:rsid w:val="2A6D6092"/>
    <w:rsid w:val="2A7D76B4"/>
    <w:rsid w:val="2AD858FD"/>
    <w:rsid w:val="2AE412F9"/>
    <w:rsid w:val="2B437463"/>
    <w:rsid w:val="2B7807EE"/>
    <w:rsid w:val="2BA50BF7"/>
    <w:rsid w:val="2BBF00EC"/>
    <w:rsid w:val="2BC37CFD"/>
    <w:rsid w:val="2BD5237F"/>
    <w:rsid w:val="2BE536CE"/>
    <w:rsid w:val="2BE758D9"/>
    <w:rsid w:val="2C0041BC"/>
    <w:rsid w:val="2C09049E"/>
    <w:rsid w:val="2C0A653C"/>
    <w:rsid w:val="2C107FEF"/>
    <w:rsid w:val="2C191F85"/>
    <w:rsid w:val="2CE82D6F"/>
    <w:rsid w:val="2CF511EC"/>
    <w:rsid w:val="2D343236"/>
    <w:rsid w:val="2D5C23F2"/>
    <w:rsid w:val="2D954AEC"/>
    <w:rsid w:val="2DBC6894"/>
    <w:rsid w:val="2DD15014"/>
    <w:rsid w:val="2DEB1F6A"/>
    <w:rsid w:val="2DF72DE4"/>
    <w:rsid w:val="2E0220AF"/>
    <w:rsid w:val="2E4B082A"/>
    <w:rsid w:val="2E5D4E86"/>
    <w:rsid w:val="2E5D790B"/>
    <w:rsid w:val="2E642E7C"/>
    <w:rsid w:val="2E9A3C18"/>
    <w:rsid w:val="2EBB0FEE"/>
    <w:rsid w:val="2EC63002"/>
    <w:rsid w:val="2F0A6B38"/>
    <w:rsid w:val="2F8B3544"/>
    <w:rsid w:val="2F946CCB"/>
    <w:rsid w:val="2F9C24FA"/>
    <w:rsid w:val="2FB7522E"/>
    <w:rsid w:val="2FD25781"/>
    <w:rsid w:val="2FDC745C"/>
    <w:rsid w:val="2FF73CD3"/>
    <w:rsid w:val="2FFD7934"/>
    <w:rsid w:val="30303FE0"/>
    <w:rsid w:val="30472F40"/>
    <w:rsid w:val="304B4F42"/>
    <w:rsid w:val="30733ACD"/>
    <w:rsid w:val="308C3862"/>
    <w:rsid w:val="309379D8"/>
    <w:rsid w:val="30A270F7"/>
    <w:rsid w:val="30DF1478"/>
    <w:rsid w:val="30DF2C8E"/>
    <w:rsid w:val="30EC586F"/>
    <w:rsid w:val="30F93D50"/>
    <w:rsid w:val="314550B7"/>
    <w:rsid w:val="317C35BE"/>
    <w:rsid w:val="319C6071"/>
    <w:rsid w:val="31AC537E"/>
    <w:rsid w:val="31CA142C"/>
    <w:rsid w:val="31E3679B"/>
    <w:rsid w:val="31E732FD"/>
    <w:rsid w:val="32517576"/>
    <w:rsid w:val="325B3E37"/>
    <w:rsid w:val="327B0795"/>
    <w:rsid w:val="32AB4F19"/>
    <w:rsid w:val="32BE5C2C"/>
    <w:rsid w:val="32FB6478"/>
    <w:rsid w:val="33073BCA"/>
    <w:rsid w:val="33263B3F"/>
    <w:rsid w:val="336963EB"/>
    <w:rsid w:val="33816EEB"/>
    <w:rsid w:val="33EB55CD"/>
    <w:rsid w:val="33EC4C02"/>
    <w:rsid w:val="340D2360"/>
    <w:rsid w:val="3410665D"/>
    <w:rsid w:val="34211214"/>
    <w:rsid w:val="342C03DF"/>
    <w:rsid w:val="342E63AB"/>
    <w:rsid w:val="34950E68"/>
    <w:rsid w:val="34986E94"/>
    <w:rsid w:val="34AF62C9"/>
    <w:rsid w:val="34CB4388"/>
    <w:rsid w:val="34FA6E12"/>
    <w:rsid w:val="35457E70"/>
    <w:rsid w:val="354D7158"/>
    <w:rsid w:val="357839D6"/>
    <w:rsid w:val="358D5588"/>
    <w:rsid w:val="362473F4"/>
    <w:rsid w:val="363A3B40"/>
    <w:rsid w:val="36450F4C"/>
    <w:rsid w:val="365302AE"/>
    <w:rsid w:val="36607A0A"/>
    <w:rsid w:val="366E227C"/>
    <w:rsid w:val="366F2E0D"/>
    <w:rsid w:val="367B6A5C"/>
    <w:rsid w:val="36A74ADA"/>
    <w:rsid w:val="36AD60D5"/>
    <w:rsid w:val="36B224F9"/>
    <w:rsid w:val="36B67FED"/>
    <w:rsid w:val="36C5570D"/>
    <w:rsid w:val="36EC0CC9"/>
    <w:rsid w:val="36F6277F"/>
    <w:rsid w:val="373F410B"/>
    <w:rsid w:val="378B4A5A"/>
    <w:rsid w:val="37EE7094"/>
    <w:rsid w:val="38296C89"/>
    <w:rsid w:val="383002EB"/>
    <w:rsid w:val="38586797"/>
    <w:rsid w:val="38BC0149"/>
    <w:rsid w:val="38D87D1C"/>
    <w:rsid w:val="39145A7A"/>
    <w:rsid w:val="39203E44"/>
    <w:rsid w:val="39636459"/>
    <w:rsid w:val="396B7F6C"/>
    <w:rsid w:val="397E0321"/>
    <w:rsid w:val="39B417A9"/>
    <w:rsid w:val="39C17AE2"/>
    <w:rsid w:val="39FC5695"/>
    <w:rsid w:val="3A006D8E"/>
    <w:rsid w:val="3A3651E5"/>
    <w:rsid w:val="3A744481"/>
    <w:rsid w:val="3A8C7BEF"/>
    <w:rsid w:val="3A906246"/>
    <w:rsid w:val="3B2349B7"/>
    <w:rsid w:val="3B616CFF"/>
    <w:rsid w:val="3B6259F6"/>
    <w:rsid w:val="3B8A701F"/>
    <w:rsid w:val="3B976654"/>
    <w:rsid w:val="3BC01EFC"/>
    <w:rsid w:val="3BCA786A"/>
    <w:rsid w:val="3BD31E2F"/>
    <w:rsid w:val="3BF15831"/>
    <w:rsid w:val="3C105946"/>
    <w:rsid w:val="3C471448"/>
    <w:rsid w:val="3C5F759A"/>
    <w:rsid w:val="3C6C525A"/>
    <w:rsid w:val="3CCE23CB"/>
    <w:rsid w:val="3CD17D17"/>
    <w:rsid w:val="3D250FD0"/>
    <w:rsid w:val="3D3C7F39"/>
    <w:rsid w:val="3D440F09"/>
    <w:rsid w:val="3D4504A0"/>
    <w:rsid w:val="3D7A6276"/>
    <w:rsid w:val="3D8734BB"/>
    <w:rsid w:val="3D9A11D4"/>
    <w:rsid w:val="3DA16D89"/>
    <w:rsid w:val="3DA364BE"/>
    <w:rsid w:val="3DE041CB"/>
    <w:rsid w:val="3E0D48F6"/>
    <w:rsid w:val="3E1868B4"/>
    <w:rsid w:val="3E22564F"/>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7A6922"/>
    <w:rsid w:val="3F825AC8"/>
    <w:rsid w:val="3F95482B"/>
    <w:rsid w:val="4019356B"/>
    <w:rsid w:val="40592157"/>
    <w:rsid w:val="405F0C56"/>
    <w:rsid w:val="4069064A"/>
    <w:rsid w:val="406E1CAE"/>
    <w:rsid w:val="40A0133A"/>
    <w:rsid w:val="40C31A53"/>
    <w:rsid w:val="40FF545D"/>
    <w:rsid w:val="410067C8"/>
    <w:rsid w:val="410D02C3"/>
    <w:rsid w:val="41153D3B"/>
    <w:rsid w:val="413D1A37"/>
    <w:rsid w:val="41560E63"/>
    <w:rsid w:val="41765625"/>
    <w:rsid w:val="418F0D2A"/>
    <w:rsid w:val="41D01505"/>
    <w:rsid w:val="41E6349E"/>
    <w:rsid w:val="421A00F7"/>
    <w:rsid w:val="42474939"/>
    <w:rsid w:val="424A059B"/>
    <w:rsid w:val="424C3C57"/>
    <w:rsid w:val="42613FF3"/>
    <w:rsid w:val="42660D96"/>
    <w:rsid w:val="428667D2"/>
    <w:rsid w:val="42CD1CE0"/>
    <w:rsid w:val="42E1381E"/>
    <w:rsid w:val="42E30E9C"/>
    <w:rsid w:val="42ED6459"/>
    <w:rsid w:val="42FE58DD"/>
    <w:rsid w:val="43174B3D"/>
    <w:rsid w:val="4336789F"/>
    <w:rsid w:val="434B790E"/>
    <w:rsid w:val="4360274F"/>
    <w:rsid w:val="436623CA"/>
    <w:rsid w:val="43977AB6"/>
    <w:rsid w:val="43A3342B"/>
    <w:rsid w:val="43A521DD"/>
    <w:rsid w:val="43BD07B0"/>
    <w:rsid w:val="43C77C27"/>
    <w:rsid w:val="43DE09EE"/>
    <w:rsid w:val="43F24FB3"/>
    <w:rsid w:val="44002FAD"/>
    <w:rsid w:val="449101DD"/>
    <w:rsid w:val="44DE1391"/>
    <w:rsid w:val="451B225C"/>
    <w:rsid w:val="452410C9"/>
    <w:rsid w:val="45317DFB"/>
    <w:rsid w:val="456D3CE4"/>
    <w:rsid w:val="4579042C"/>
    <w:rsid w:val="457F0571"/>
    <w:rsid w:val="45851176"/>
    <w:rsid w:val="45C63B94"/>
    <w:rsid w:val="460E7DA5"/>
    <w:rsid w:val="46395C97"/>
    <w:rsid w:val="46422483"/>
    <w:rsid w:val="4659254A"/>
    <w:rsid w:val="465B0637"/>
    <w:rsid w:val="465E3F0D"/>
    <w:rsid w:val="466A16E6"/>
    <w:rsid w:val="46893F2B"/>
    <w:rsid w:val="46BE4D50"/>
    <w:rsid w:val="46C4686E"/>
    <w:rsid w:val="47577BA3"/>
    <w:rsid w:val="477B778F"/>
    <w:rsid w:val="478203EC"/>
    <w:rsid w:val="47A53E92"/>
    <w:rsid w:val="47AE4B3C"/>
    <w:rsid w:val="47B025FA"/>
    <w:rsid w:val="47DA4FCA"/>
    <w:rsid w:val="4809698F"/>
    <w:rsid w:val="4811697D"/>
    <w:rsid w:val="487A3E25"/>
    <w:rsid w:val="488B5503"/>
    <w:rsid w:val="48937E21"/>
    <w:rsid w:val="489A0361"/>
    <w:rsid w:val="48B94FF3"/>
    <w:rsid w:val="48E37AAB"/>
    <w:rsid w:val="48FD4B4C"/>
    <w:rsid w:val="490A68E0"/>
    <w:rsid w:val="491055FE"/>
    <w:rsid w:val="492822E2"/>
    <w:rsid w:val="4942391C"/>
    <w:rsid w:val="495F5B3E"/>
    <w:rsid w:val="496F77D7"/>
    <w:rsid w:val="497654FD"/>
    <w:rsid w:val="49B64211"/>
    <w:rsid w:val="49E56AF9"/>
    <w:rsid w:val="49F6167F"/>
    <w:rsid w:val="4A064FA0"/>
    <w:rsid w:val="4A16615C"/>
    <w:rsid w:val="4A4424D7"/>
    <w:rsid w:val="4AB82D0F"/>
    <w:rsid w:val="4AC53A65"/>
    <w:rsid w:val="4AEB7664"/>
    <w:rsid w:val="4AFD7C19"/>
    <w:rsid w:val="4B0567D1"/>
    <w:rsid w:val="4B236AAE"/>
    <w:rsid w:val="4B27210C"/>
    <w:rsid w:val="4B707271"/>
    <w:rsid w:val="4B9739F7"/>
    <w:rsid w:val="4BBB1BC6"/>
    <w:rsid w:val="4BCA1FA1"/>
    <w:rsid w:val="4BD44D46"/>
    <w:rsid w:val="4BEE2503"/>
    <w:rsid w:val="4BF100C1"/>
    <w:rsid w:val="4C245A30"/>
    <w:rsid w:val="4CB6685F"/>
    <w:rsid w:val="4CC367FE"/>
    <w:rsid w:val="4D077F3C"/>
    <w:rsid w:val="4D123355"/>
    <w:rsid w:val="4D2A3B31"/>
    <w:rsid w:val="4D312C52"/>
    <w:rsid w:val="4D7F33D7"/>
    <w:rsid w:val="4D834C75"/>
    <w:rsid w:val="4D905305"/>
    <w:rsid w:val="4D964A72"/>
    <w:rsid w:val="4D9C1254"/>
    <w:rsid w:val="4DE96C85"/>
    <w:rsid w:val="4E793892"/>
    <w:rsid w:val="4E800872"/>
    <w:rsid w:val="4EC569ED"/>
    <w:rsid w:val="4ED50EA1"/>
    <w:rsid w:val="4EE10E7A"/>
    <w:rsid w:val="4EEC050C"/>
    <w:rsid w:val="4F104EC3"/>
    <w:rsid w:val="4F47354A"/>
    <w:rsid w:val="4F4C72E9"/>
    <w:rsid w:val="4F911C54"/>
    <w:rsid w:val="4FA75327"/>
    <w:rsid w:val="4FE625E0"/>
    <w:rsid w:val="5017778F"/>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0013E"/>
    <w:rsid w:val="5244713B"/>
    <w:rsid w:val="524904AB"/>
    <w:rsid w:val="52615633"/>
    <w:rsid w:val="526536D1"/>
    <w:rsid w:val="526F4DE4"/>
    <w:rsid w:val="52977FD4"/>
    <w:rsid w:val="529A65BD"/>
    <w:rsid w:val="52A25790"/>
    <w:rsid w:val="52A96B6F"/>
    <w:rsid w:val="52B45975"/>
    <w:rsid w:val="52D94AA4"/>
    <w:rsid w:val="52EA3A62"/>
    <w:rsid w:val="52F50BB8"/>
    <w:rsid w:val="53097272"/>
    <w:rsid w:val="53544462"/>
    <w:rsid w:val="5397158E"/>
    <w:rsid w:val="539A6875"/>
    <w:rsid w:val="53B931D5"/>
    <w:rsid w:val="54013861"/>
    <w:rsid w:val="542C7307"/>
    <w:rsid w:val="54487265"/>
    <w:rsid w:val="544D6070"/>
    <w:rsid w:val="54605E1E"/>
    <w:rsid w:val="54A90DC7"/>
    <w:rsid w:val="54AF323F"/>
    <w:rsid w:val="54B3506A"/>
    <w:rsid w:val="54CA0D16"/>
    <w:rsid w:val="54DD4057"/>
    <w:rsid w:val="54E7490F"/>
    <w:rsid w:val="550146D2"/>
    <w:rsid w:val="550764A4"/>
    <w:rsid w:val="550B2BF6"/>
    <w:rsid w:val="55191794"/>
    <w:rsid w:val="55214EB5"/>
    <w:rsid w:val="55364EFD"/>
    <w:rsid w:val="553928B0"/>
    <w:rsid w:val="555D4828"/>
    <w:rsid w:val="557A4C8B"/>
    <w:rsid w:val="558931E1"/>
    <w:rsid w:val="55923347"/>
    <w:rsid w:val="55925180"/>
    <w:rsid w:val="55983B1B"/>
    <w:rsid w:val="559A1599"/>
    <w:rsid w:val="55A8376B"/>
    <w:rsid w:val="55DC29B6"/>
    <w:rsid w:val="55DD4241"/>
    <w:rsid w:val="55FB6B78"/>
    <w:rsid w:val="562045D0"/>
    <w:rsid w:val="56635EF3"/>
    <w:rsid w:val="566B6D1E"/>
    <w:rsid w:val="56C67888"/>
    <w:rsid w:val="57032A2C"/>
    <w:rsid w:val="570F5219"/>
    <w:rsid w:val="5731646B"/>
    <w:rsid w:val="575D12B5"/>
    <w:rsid w:val="57610A87"/>
    <w:rsid w:val="577B1140"/>
    <w:rsid w:val="577B7F21"/>
    <w:rsid w:val="577F181B"/>
    <w:rsid w:val="578130E3"/>
    <w:rsid w:val="57921984"/>
    <w:rsid w:val="579737F0"/>
    <w:rsid w:val="57AB7B30"/>
    <w:rsid w:val="57AF5251"/>
    <w:rsid w:val="57B26373"/>
    <w:rsid w:val="57B63F04"/>
    <w:rsid w:val="57CD20C2"/>
    <w:rsid w:val="57D675AB"/>
    <w:rsid w:val="57D92B09"/>
    <w:rsid w:val="57D95FDD"/>
    <w:rsid w:val="581C68BA"/>
    <w:rsid w:val="588770FE"/>
    <w:rsid w:val="58917D2F"/>
    <w:rsid w:val="5894085C"/>
    <w:rsid w:val="58AE4F0C"/>
    <w:rsid w:val="58B85899"/>
    <w:rsid w:val="58E363A9"/>
    <w:rsid w:val="58E65F25"/>
    <w:rsid w:val="595E1678"/>
    <w:rsid w:val="596D5BD4"/>
    <w:rsid w:val="597E3DD8"/>
    <w:rsid w:val="5980475F"/>
    <w:rsid w:val="59A125D9"/>
    <w:rsid w:val="59F129D2"/>
    <w:rsid w:val="59F80043"/>
    <w:rsid w:val="5A09252F"/>
    <w:rsid w:val="5A0B2778"/>
    <w:rsid w:val="5A2A7C7B"/>
    <w:rsid w:val="5A3E2560"/>
    <w:rsid w:val="5A511C57"/>
    <w:rsid w:val="5A5D3B6E"/>
    <w:rsid w:val="5A637A76"/>
    <w:rsid w:val="5A6D33BA"/>
    <w:rsid w:val="5A7469E7"/>
    <w:rsid w:val="5A792B1F"/>
    <w:rsid w:val="5A874767"/>
    <w:rsid w:val="5AA85BE2"/>
    <w:rsid w:val="5AAD6F28"/>
    <w:rsid w:val="5AD63A24"/>
    <w:rsid w:val="5ADE201A"/>
    <w:rsid w:val="5B2E1A1D"/>
    <w:rsid w:val="5B670D54"/>
    <w:rsid w:val="5B843A1C"/>
    <w:rsid w:val="5B873E3F"/>
    <w:rsid w:val="5BA83AF9"/>
    <w:rsid w:val="5C02690E"/>
    <w:rsid w:val="5C196DA7"/>
    <w:rsid w:val="5C2A048C"/>
    <w:rsid w:val="5C80234E"/>
    <w:rsid w:val="5C8A680C"/>
    <w:rsid w:val="5CCD6BA5"/>
    <w:rsid w:val="5CE31706"/>
    <w:rsid w:val="5D0C4701"/>
    <w:rsid w:val="5D0F0395"/>
    <w:rsid w:val="5D221076"/>
    <w:rsid w:val="5D397964"/>
    <w:rsid w:val="5D5A391C"/>
    <w:rsid w:val="5D5F10C0"/>
    <w:rsid w:val="5D891B7B"/>
    <w:rsid w:val="5DA92A8A"/>
    <w:rsid w:val="5DAD38EE"/>
    <w:rsid w:val="5E006862"/>
    <w:rsid w:val="5E0207B9"/>
    <w:rsid w:val="5E1834A1"/>
    <w:rsid w:val="5E20204E"/>
    <w:rsid w:val="5E261785"/>
    <w:rsid w:val="5E4A7017"/>
    <w:rsid w:val="5E552BBA"/>
    <w:rsid w:val="5E611C10"/>
    <w:rsid w:val="5E7A0F3F"/>
    <w:rsid w:val="5EFC7377"/>
    <w:rsid w:val="5F06174D"/>
    <w:rsid w:val="5F3A3602"/>
    <w:rsid w:val="5F426012"/>
    <w:rsid w:val="5F45733B"/>
    <w:rsid w:val="5F6277C6"/>
    <w:rsid w:val="5F6D0B1D"/>
    <w:rsid w:val="5F8D0B82"/>
    <w:rsid w:val="5F9772B9"/>
    <w:rsid w:val="5FCC5339"/>
    <w:rsid w:val="5FE330C6"/>
    <w:rsid w:val="5FE34A5B"/>
    <w:rsid w:val="5FFE1E36"/>
    <w:rsid w:val="601B77E5"/>
    <w:rsid w:val="60232584"/>
    <w:rsid w:val="606D0060"/>
    <w:rsid w:val="607330CE"/>
    <w:rsid w:val="60825176"/>
    <w:rsid w:val="609F2AC4"/>
    <w:rsid w:val="60B371C8"/>
    <w:rsid w:val="60D36795"/>
    <w:rsid w:val="60FA2EE8"/>
    <w:rsid w:val="61054A27"/>
    <w:rsid w:val="610A52BC"/>
    <w:rsid w:val="611D2366"/>
    <w:rsid w:val="61421856"/>
    <w:rsid w:val="615227C4"/>
    <w:rsid w:val="61654E3F"/>
    <w:rsid w:val="6182292A"/>
    <w:rsid w:val="619F7F92"/>
    <w:rsid w:val="61BE398C"/>
    <w:rsid w:val="61D638F3"/>
    <w:rsid w:val="61F94C26"/>
    <w:rsid w:val="62000E56"/>
    <w:rsid w:val="623460E6"/>
    <w:rsid w:val="62347D2C"/>
    <w:rsid w:val="624F3E49"/>
    <w:rsid w:val="62632286"/>
    <w:rsid w:val="627B5014"/>
    <w:rsid w:val="62885958"/>
    <w:rsid w:val="62D41677"/>
    <w:rsid w:val="62F40B65"/>
    <w:rsid w:val="62FC2CFE"/>
    <w:rsid w:val="62FE4D74"/>
    <w:rsid w:val="63024505"/>
    <w:rsid w:val="635600A5"/>
    <w:rsid w:val="635B1DB5"/>
    <w:rsid w:val="63711FED"/>
    <w:rsid w:val="63880DDC"/>
    <w:rsid w:val="638D750D"/>
    <w:rsid w:val="63AA3752"/>
    <w:rsid w:val="63AC6CC0"/>
    <w:rsid w:val="63CE0674"/>
    <w:rsid w:val="64055776"/>
    <w:rsid w:val="64240056"/>
    <w:rsid w:val="64305E79"/>
    <w:rsid w:val="643E143A"/>
    <w:rsid w:val="64491666"/>
    <w:rsid w:val="648B6EEF"/>
    <w:rsid w:val="64C158BF"/>
    <w:rsid w:val="64CE2EAA"/>
    <w:rsid w:val="64EA62F7"/>
    <w:rsid w:val="653C3090"/>
    <w:rsid w:val="65854376"/>
    <w:rsid w:val="65874EDE"/>
    <w:rsid w:val="658767BE"/>
    <w:rsid w:val="65892531"/>
    <w:rsid w:val="66195831"/>
    <w:rsid w:val="662E75B1"/>
    <w:rsid w:val="66342C2E"/>
    <w:rsid w:val="663E784C"/>
    <w:rsid w:val="668B6A45"/>
    <w:rsid w:val="66BC6BE6"/>
    <w:rsid w:val="67011F07"/>
    <w:rsid w:val="672F3F24"/>
    <w:rsid w:val="673E055F"/>
    <w:rsid w:val="67551CE3"/>
    <w:rsid w:val="67A22552"/>
    <w:rsid w:val="67B22DCC"/>
    <w:rsid w:val="67BE71AA"/>
    <w:rsid w:val="67CA6B60"/>
    <w:rsid w:val="67D90273"/>
    <w:rsid w:val="67DE5875"/>
    <w:rsid w:val="67E55852"/>
    <w:rsid w:val="67EB1AB4"/>
    <w:rsid w:val="67FA1285"/>
    <w:rsid w:val="68183878"/>
    <w:rsid w:val="68551F4F"/>
    <w:rsid w:val="687C10C9"/>
    <w:rsid w:val="68840C16"/>
    <w:rsid w:val="68872541"/>
    <w:rsid w:val="68876EFB"/>
    <w:rsid w:val="68884654"/>
    <w:rsid w:val="68947048"/>
    <w:rsid w:val="689D0CED"/>
    <w:rsid w:val="689F444F"/>
    <w:rsid w:val="68B96DBB"/>
    <w:rsid w:val="68CA2805"/>
    <w:rsid w:val="68E937A3"/>
    <w:rsid w:val="691664E5"/>
    <w:rsid w:val="693D04A5"/>
    <w:rsid w:val="693E15D3"/>
    <w:rsid w:val="694B6237"/>
    <w:rsid w:val="69627681"/>
    <w:rsid w:val="6977531D"/>
    <w:rsid w:val="69972205"/>
    <w:rsid w:val="69AE335C"/>
    <w:rsid w:val="69CC2BFF"/>
    <w:rsid w:val="69DA7573"/>
    <w:rsid w:val="69FD55B8"/>
    <w:rsid w:val="6A0B1C62"/>
    <w:rsid w:val="6A2406C8"/>
    <w:rsid w:val="6A67738E"/>
    <w:rsid w:val="6AC77888"/>
    <w:rsid w:val="6ADE0BD1"/>
    <w:rsid w:val="6AE96859"/>
    <w:rsid w:val="6B147746"/>
    <w:rsid w:val="6B24787C"/>
    <w:rsid w:val="6B405DF2"/>
    <w:rsid w:val="6B573233"/>
    <w:rsid w:val="6B5B6274"/>
    <w:rsid w:val="6B935D53"/>
    <w:rsid w:val="6C196F71"/>
    <w:rsid w:val="6C226FCB"/>
    <w:rsid w:val="6C31226F"/>
    <w:rsid w:val="6C53684F"/>
    <w:rsid w:val="6C552F0B"/>
    <w:rsid w:val="6C8C67B7"/>
    <w:rsid w:val="6C9D744C"/>
    <w:rsid w:val="6CF24EC9"/>
    <w:rsid w:val="6D167928"/>
    <w:rsid w:val="6D26299B"/>
    <w:rsid w:val="6D3C2A7C"/>
    <w:rsid w:val="6D437E4B"/>
    <w:rsid w:val="6D4772EC"/>
    <w:rsid w:val="6D9078AF"/>
    <w:rsid w:val="6DA177B5"/>
    <w:rsid w:val="6DAA3FEF"/>
    <w:rsid w:val="6DB34643"/>
    <w:rsid w:val="6DC0172B"/>
    <w:rsid w:val="6DCB690C"/>
    <w:rsid w:val="6DD41A5B"/>
    <w:rsid w:val="6DF43C2E"/>
    <w:rsid w:val="6DF51CA3"/>
    <w:rsid w:val="6E8335BD"/>
    <w:rsid w:val="6E8E12EF"/>
    <w:rsid w:val="6E972936"/>
    <w:rsid w:val="6EBD10DA"/>
    <w:rsid w:val="6EC5724B"/>
    <w:rsid w:val="6ED446C5"/>
    <w:rsid w:val="6F2A7D94"/>
    <w:rsid w:val="6F8331F1"/>
    <w:rsid w:val="6FAE1A09"/>
    <w:rsid w:val="6FC62348"/>
    <w:rsid w:val="6FD75BF8"/>
    <w:rsid w:val="6FE3114C"/>
    <w:rsid w:val="707723D0"/>
    <w:rsid w:val="70F5661B"/>
    <w:rsid w:val="71360107"/>
    <w:rsid w:val="713B688E"/>
    <w:rsid w:val="719220FE"/>
    <w:rsid w:val="71BC6C27"/>
    <w:rsid w:val="71D43752"/>
    <w:rsid w:val="71F1796A"/>
    <w:rsid w:val="71F70E18"/>
    <w:rsid w:val="72154626"/>
    <w:rsid w:val="72231346"/>
    <w:rsid w:val="72262B5D"/>
    <w:rsid w:val="72283FF7"/>
    <w:rsid w:val="722E7212"/>
    <w:rsid w:val="723A0474"/>
    <w:rsid w:val="725923E4"/>
    <w:rsid w:val="72864BF7"/>
    <w:rsid w:val="729023FC"/>
    <w:rsid w:val="72BB70C2"/>
    <w:rsid w:val="73572EBD"/>
    <w:rsid w:val="73AE5139"/>
    <w:rsid w:val="73C0646E"/>
    <w:rsid w:val="73CC2623"/>
    <w:rsid w:val="73EF6311"/>
    <w:rsid w:val="74014F61"/>
    <w:rsid w:val="742222F5"/>
    <w:rsid w:val="743C3A55"/>
    <w:rsid w:val="74476126"/>
    <w:rsid w:val="74706664"/>
    <w:rsid w:val="747F3682"/>
    <w:rsid w:val="748B6871"/>
    <w:rsid w:val="749C4185"/>
    <w:rsid w:val="75067759"/>
    <w:rsid w:val="752E6DCD"/>
    <w:rsid w:val="7551380D"/>
    <w:rsid w:val="75600BE5"/>
    <w:rsid w:val="7564475C"/>
    <w:rsid w:val="7583797F"/>
    <w:rsid w:val="75D20F1D"/>
    <w:rsid w:val="75DA2C18"/>
    <w:rsid w:val="75F54412"/>
    <w:rsid w:val="761D08E0"/>
    <w:rsid w:val="764433A0"/>
    <w:rsid w:val="765D347C"/>
    <w:rsid w:val="76826699"/>
    <w:rsid w:val="76C87133"/>
    <w:rsid w:val="76CD08D5"/>
    <w:rsid w:val="76DB4B92"/>
    <w:rsid w:val="76FD013A"/>
    <w:rsid w:val="77052AA4"/>
    <w:rsid w:val="77136511"/>
    <w:rsid w:val="77184A65"/>
    <w:rsid w:val="77340A39"/>
    <w:rsid w:val="77351FD0"/>
    <w:rsid w:val="773F135E"/>
    <w:rsid w:val="77472422"/>
    <w:rsid w:val="777F31F2"/>
    <w:rsid w:val="77D1700D"/>
    <w:rsid w:val="77EC04CC"/>
    <w:rsid w:val="786C36EF"/>
    <w:rsid w:val="78775729"/>
    <w:rsid w:val="78801991"/>
    <w:rsid w:val="788C2DA6"/>
    <w:rsid w:val="78A42DB0"/>
    <w:rsid w:val="78A656AB"/>
    <w:rsid w:val="78B2245C"/>
    <w:rsid w:val="78E172CC"/>
    <w:rsid w:val="78EA1D1F"/>
    <w:rsid w:val="7904172F"/>
    <w:rsid w:val="790F7E27"/>
    <w:rsid w:val="79116C0D"/>
    <w:rsid w:val="792A231A"/>
    <w:rsid w:val="79316829"/>
    <w:rsid w:val="797E66A9"/>
    <w:rsid w:val="798518A4"/>
    <w:rsid w:val="79A97383"/>
    <w:rsid w:val="79E27E8B"/>
    <w:rsid w:val="79E61F64"/>
    <w:rsid w:val="79F850CE"/>
    <w:rsid w:val="79FD443C"/>
    <w:rsid w:val="7A1D1975"/>
    <w:rsid w:val="7A3E5150"/>
    <w:rsid w:val="7A4670D6"/>
    <w:rsid w:val="7A534B63"/>
    <w:rsid w:val="7A615382"/>
    <w:rsid w:val="7A67303B"/>
    <w:rsid w:val="7AAB1D04"/>
    <w:rsid w:val="7AB62133"/>
    <w:rsid w:val="7ABA4368"/>
    <w:rsid w:val="7ACA3634"/>
    <w:rsid w:val="7AD05746"/>
    <w:rsid w:val="7B257FFD"/>
    <w:rsid w:val="7B273D20"/>
    <w:rsid w:val="7B343476"/>
    <w:rsid w:val="7B4D150D"/>
    <w:rsid w:val="7B5A2978"/>
    <w:rsid w:val="7B5A7E4C"/>
    <w:rsid w:val="7B617E00"/>
    <w:rsid w:val="7B667AF9"/>
    <w:rsid w:val="7B6C7E99"/>
    <w:rsid w:val="7B7468F8"/>
    <w:rsid w:val="7BAB5B39"/>
    <w:rsid w:val="7BEE0103"/>
    <w:rsid w:val="7C0A0FE4"/>
    <w:rsid w:val="7C1D1AA8"/>
    <w:rsid w:val="7C254906"/>
    <w:rsid w:val="7C4C370C"/>
    <w:rsid w:val="7C590818"/>
    <w:rsid w:val="7C7C10F6"/>
    <w:rsid w:val="7C853BEA"/>
    <w:rsid w:val="7C881368"/>
    <w:rsid w:val="7CE27788"/>
    <w:rsid w:val="7D0C32F1"/>
    <w:rsid w:val="7D0F408D"/>
    <w:rsid w:val="7D491C6C"/>
    <w:rsid w:val="7D5429C0"/>
    <w:rsid w:val="7D6E6D43"/>
    <w:rsid w:val="7D906F22"/>
    <w:rsid w:val="7DB57A34"/>
    <w:rsid w:val="7DD21716"/>
    <w:rsid w:val="7DE60973"/>
    <w:rsid w:val="7DEF0916"/>
    <w:rsid w:val="7DFD3A6F"/>
    <w:rsid w:val="7DFF4526"/>
    <w:rsid w:val="7E1E5218"/>
    <w:rsid w:val="7E9A4E1F"/>
    <w:rsid w:val="7EA7723A"/>
    <w:rsid w:val="7EC26480"/>
    <w:rsid w:val="7EDB7867"/>
    <w:rsid w:val="7EF56FBB"/>
    <w:rsid w:val="7F0768EB"/>
    <w:rsid w:val="7F143BEC"/>
    <w:rsid w:val="7F186E37"/>
    <w:rsid w:val="7F3F11A9"/>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link w:val="320"/>
    <w:qFormat/>
    <w:uiPriority w:val="0"/>
    <w:pPr>
      <w:ind w:firstLine="420"/>
    </w:pPr>
    <w:rPr>
      <w:rFonts w:hAnsi="Calibri" w:cs="Times New Roman"/>
      <w:snapToGrid/>
      <w:szCs w:val="20"/>
    </w:rPr>
  </w:style>
  <w:style w:type="paragraph" w:styleId="61">
    <w:name w:val="Body Text First Indent 2"/>
    <w:basedOn w:val="24"/>
    <w:next w:val="1"/>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_Style 3"/>
    <w:basedOn w:val="1"/>
    <w:qFormat/>
    <w:uiPriority w:val="0"/>
    <w:pPr>
      <w:adjustRightInd/>
      <w:ind w:firstLine="420" w:firstLineChars="200"/>
    </w:pPr>
    <w:rPr>
      <w:rFonts w:eastAsia="仿宋_GB2312"/>
      <w:sz w:val="28"/>
    </w:rPr>
  </w:style>
  <w:style w:type="paragraph" w:customStyle="1" w:styleId="80">
    <w:name w:val="自动更正"/>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2"/>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5"/>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6"/>
    <w:qFormat/>
    <w:uiPriority w:val="0"/>
    <w:rPr>
      <w:rFonts w:ascii="黑体" w:hAnsi="Courier New" w:eastAsia="黑体"/>
    </w:rPr>
  </w:style>
  <w:style w:type="character" w:customStyle="1" w:styleId="301">
    <w:name w:val="正文文本 2 Char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99"/>
    <w:rPr>
      <w:kern w:val="2"/>
      <w:sz w:val="21"/>
      <w:szCs w:val="24"/>
    </w:rPr>
  </w:style>
  <w:style w:type="character" w:customStyle="1" w:styleId="344">
    <w:name w:val="签名 Char"/>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79</Pages>
  <Words>41028</Words>
  <Characters>43167</Characters>
  <Lines>73</Lines>
  <Paragraphs>92</Paragraphs>
  <TotalTime>9</TotalTime>
  <ScaleCrop>false</ScaleCrop>
  <LinksUpToDate>false</LinksUpToDate>
  <CharactersWithSpaces>47937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2024-06-28T00:49:00Z</dcterms:created>
  <dc:creator>玥</dc:creator>
  <cp:lastModifiedBy>谢</cp:lastModifiedBy>
  <cp:lastPrinted>2024-05-16T03:04:00Z</cp:lastPrinted>
  <dcterms:modified xsi:type="dcterms:W3CDTF">2025-07-10T08:16:11Z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A7728C6440084BBBA173CD28CB05D2DB_13</vt:lpwstr>
  </property>
  <property fmtid="{D5CDD505-2E9C-101B-9397-08002B2CF9AE}" pid="5" name="KSOTemplateDocerSaveRecord">
    <vt:lpwstr>eyJoZGlkIjoiYzNhMzdhZmM4MGI5MTU1ZTJhZTcwMTAxZjgzZTk3MDUiLCJ1c2VySWQiOiI1ODI4OTYzMDEifQ==</vt:lpwstr>
  </property>
</Properties>
</file>