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highlight w:val="none"/>
        </w:rPr>
      </w:pPr>
      <w:r>
        <w:rPr>
          <w:rFonts w:hint="eastAsia" w:ascii="宋体" w:hAnsi="宋体" w:cs="宋体"/>
          <w:b/>
          <w:sz w:val="24"/>
          <w:highlight w:val="none"/>
        </w:rPr>
        <w:t xml:space="preserve"> </w:t>
      </w:r>
    </w:p>
    <w:p>
      <w:pPr>
        <w:spacing w:line="360" w:lineRule="auto"/>
        <w:jc w:val="center"/>
        <w:rPr>
          <w:rFonts w:ascii="宋体" w:hAnsi="宋体" w:cs="宋体"/>
          <w:b/>
          <w:sz w:val="24"/>
          <w:highlight w:val="none"/>
        </w:rPr>
      </w:pPr>
    </w:p>
    <w:p>
      <w:pPr>
        <w:adjustRightInd/>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adjustRightInd/>
        <w:spacing w:line="360" w:lineRule="auto"/>
        <w:jc w:val="center"/>
        <w:rPr>
          <w:rFonts w:hint="eastAsia" w:ascii="宋体" w:hAnsi="宋体" w:cs="宋体"/>
          <w:b/>
          <w:sz w:val="48"/>
          <w:szCs w:val="48"/>
          <w:highlight w:val="none"/>
        </w:rPr>
      </w:pPr>
      <w:r>
        <w:rPr>
          <w:rFonts w:hint="eastAsia" w:ascii="宋体" w:hAnsi="宋体" w:cs="宋体"/>
          <w:b/>
          <w:sz w:val="48"/>
          <w:szCs w:val="48"/>
          <w:highlight w:val="none"/>
        </w:rPr>
        <w:t>丽水市水阁卫生院采购自动发药机、体外冲击波碎石机、脑电图仪和肌电图诱发电位仪项目</w:t>
      </w:r>
    </w:p>
    <w:p>
      <w:pPr>
        <w:adjustRightInd/>
        <w:spacing w:line="360" w:lineRule="auto"/>
        <w:jc w:val="center"/>
        <w:rPr>
          <w:rFonts w:ascii="宋体" w:hAnsi="宋体" w:cs="宋体"/>
          <w:sz w:val="48"/>
          <w:szCs w:val="48"/>
          <w:highlight w:val="none"/>
        </w:rPr>
      </w:pPr>
      <w:r>
        <w:rPr>
          <w:rFonts w:hint="eastAsia" w:ascii="宋体" w:hAnsi="宋体" w:cs="宋体"/>
          <w:sz w:val="48"/>
          <w:szCs w:val="48"/>
          <w:highlight w:val="none"/>
        </w:rPr>
        <w:t>招标文件 （货物）</w:t>
      </w:r>
    </w:p>
    <w:p>
      <w:pPr>
        <w:adjustRightInd/>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（电子招投标）</w:t>
      </w:r>
    </w:p>
    <w:p>
      <w:pPr>
        <w:adjustRightInd/>
        <w:spacing w:line="360" w:lineRule="auto"/>
        <w:jc w:val="center"/>
        <w:rPr>
          <w:rFonts w:ascii="宋体" w:hAnsi="宋体" w:cs="宋体"/>
          <w:b/>
          <w:sz w:val="48"/>
          <w:szCs w:val="48"/>
          <w:highlight w:val="none"/>
        </w:rPr>
      </w:pPr>
    </w:p>
    <w:p>
      <w:pPr>
        <w:snapToGrid w:val="0"/>
        <w:spacing w:line="360" w:lineRule="auto"/>
        <w:jc w:val="center"/>
        <w:rPr>
          <w:rFonts w:ascii="宋体" w:hAnsi="宋体" w:cs="宋体"/>
          <w:sz w:val="30"/>
          <w:szCs w:val="30"/>
          <w:highlight w:val="none"/>
        </w:rPr>
      </w:pPr>
      <w:r>
        <w:rPr>
          <w:rFonts w:hint="eastAsia" w:ascii="宋体" w:hAnsi="宋体" w:cs="宋体"/>
          <w:sz w:val="30"/>
          <w:szCs w:val="30"/>
          <w:highlight w:val="none"/>
        </w:rPr>
        <w:t>编号:CBNB-20235248GLS</w:t>
      </w:r>
    </w:p>
    <w:p>
      <w:pPr>
        <w:adjustRightInd/>
        <w:spacing w:line="360" w:lineRule="auto"/>
        <w:rPr>
          <w:rFonts w:ascii="宋体" w:hAnsi="宋体" w:cs="宋体"/>
          <w:sz w:val="28"/>
          <w:szCs w:val="20"/>
          <w:highlight w:val="none"/>
        </w:rPr>
      </w:pPr>
    </w:p>
    <w:p>
      <w:pPr>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w:t>
      </w:r>
    </w:p>
    <w:p>
      <w:pPr>
        <w:spacing w:line="360" w:lineRule="auto"/>
        <w:jc w:val="center"/>
        <w:rPr>
          <w:rFonts w:ascii="宋体" w:hAnsi="宋体" w:cs="宋体"/>
          <w:b/>
          <w:sz w:val="44"/>
          <w:szCs w:val="44"/>
          <w:highlight w:val="none"/>
        </w:rPr>
      </w:pPr>
    </w:p>
    <w:p>
      <w:pPr>
        <w:spacing w:line="360" w:lineRule="auto"/>
        <w:jc w:val="center"/>
        <w:rPr>
          <w:rFonts w:ascii="宋体" w:hAnsi="宋体" w:cs="宋体"/>
          <w:sz w:val="24"/>
          <w:highlight w:val="none"/>
        </w:rPr>
      </w:pPr>
    </w:p>
    <w:p>
      <w:pPr>
        <w:spacing w:line="360" w:lineRule="auto"/>
        <w:jc w:val="center"/>
        <w:rPr>
          <w:rFonts w:ascii="宋体" w:hAnsi="宋体" w:cs="宋体"/>
          <w:sz w:val="24"/>
          <w:highlight w:val="none"/>
        </w:rPr>
      </w:pPr>
    </w:p>
    <w:p>
      <w:pPr>
        <w:spacing w:line="360" w:lineRule="auto"/>
        <w:rPr>
          <w:rFonts w:ascii="宋体" w:hAnsi="宋体" w:cs="宋体"/>
          <w:sz w:val="32"/>
          <w:szCs w:val="32"/>
          <w:highlight w:val="none"/>
        </w:rPr>
      </w:pPr>
    </w:p>
    <w:p>
      <w:pPr>
        <w:snapToGrid w:val="0"/>
        <w:spacing w:line="360" w:lineRule="auto"/>
        <w:jc w:val="center"/>
        <w:rPr>
          <w:rFonts w:ascii="宋体" w:hAnsi="宋体" w:cs="宋体"/>
          <w:sz w:val="32"/>
          <w:szCs w:val="32"/>
          <w:highlight w:val="none"/>
        </w:rPr>
      </w:pPr>
      <w:r>
        <w:rPr>
          <w:rFonts w:hint="eastAsia" w:ascii="宋体" w:hAnsi="宋体" w:cs="宋体"/>
          <w:sz w:val="32"/>
          <w:szCs w:val="32"/>
          <w:highlight w:val="none"/>
        </w:rPr>
        <w:t>丽水市水阁卫生院</w:t>
      </w:r>
    </w:p>
    <w:p>
      <w:pPr>
        <w:snapToGrid w:val="0"/>
        <w:spacing w:line="360" w:lineRule="auto"/>
        <w:jc w:val="center"/>
        <w:rPr>
          <w:rFonts w:ascii="宋体" w:hAnsi="宋体" w:cs="宋体"/>
          <w:bCs/>
          <w:sz w:val="32"/>
          <w:szCs w:val="32"/>
          <w:highlight w:val="none"/>
        </w:rPr>
      </w:pPr>
      <w:r>
        <w:rPr>
          <w:rFonts w:hint="eastAsia" w:ascii="宋体" w:hAnsi="宋体" w:cs="宋体"/>
          <w:bCs/>
          <w:sz w:val="32"/>
          <w:szCs w:val="32"/>
          <w:highlight w:val="none"/>
        </w:rPr>
        <w:t>宁波中基国际招标有限公司</w:t>
      </w:r>
    </w:p>
    <w:p>
      <w:pPr>
        <w:snapToGrid w:val="0"/>
        <w:spacing w:line="360" w:lineRule="auto"/>
        <w:jc w:val="center"/>
        <w:rPr>
          <w:rFonts w:ascii="宋体" w:hAnsi="宋体" w:cs="宋体"/>
          <w:bCs/>
          <w:sz w:val="32"/>
          <w:szCs w:val="32"/>
          <w:highlight w:val="none"/>
        </w:rPr>
      </w:pPr>
      <w:r>
        <w:rPr>
          <w:rFonts w:hint="eastAsia" w:ascii="宋体" w:hAnsi="宋体" w:cs="宋体"/>
          <w:bCs/>
          <w:sz w:val="32"/>
          <w:szCs w:val="32"/>
          <w:highlight w:val="none"/>
        </w:rPr>
        <w:t>二〇二三年</w:t>
      </w:r>
      <w:r>
        <w:rPr>
          <w:rFonts w:hint="eastAsia" w:ascii="宋体" w:hAnsi="宋体" w:cs="宋体"/>
          <w:bCs/>
          <w:sz w:val="32"/>
          <w:szCs w:val="32"/>
          <w:highlight w:val="none"/>
          <w:lang w:val="en-US" w:eastAsia="zh-CN"/>
        </w:rPr>
        <w:t>七</w:t>
      </w:r>
      <w:r>
        <w:rPr>
          <w:rFonts w:hint="eastAsia" w:ascii="宋体" w:hAnsi="宋体" w:cs="宋体"/>
          <w:bCs/>
          <w:sz w:val="32"/>
          <w:szCs w:val="32"/>
          <w:highlight w:val="none"/>
        </w:rPr>
        <w:t>月</w:t>
      </w:r>
    </w:p>
    <w:p>
      <w:pPr>
        <w:spacing w:line="360" w:lineRule="auto"/>
        <w:jc w:val="center"/>
        <w:rPr>
          <w:rFonts w:ascii="宋体" w:hAnsi="宋体" w:cs="宋体"/>
          <w:sz w:val="24"/>
          <w:highlight w:val="none"/>
        </w:rPr>
      </w:pPr>
      <w:r>
        <w:rPr>
          <w:rFonts w:hint="eastAsia" w:ascii="宋体" w:hAnsi="宋体" w:cs="宋体"/>
          <w:sz w:val="24"/>
          <w:highlight w:val="none"/>
        </w:rPr>
        <w:br w:type="page"/>
      </w:r>
      <w:bookmarkStart w:id="0" w:name="_Hlt67893495"/>
      <w:bookmarkEnd w:id="0"/>
    </w:p>
    <w:p>
      <w:pPr>
        <w:spacing w:line="360" w:lineRule="auto"/>
        <w:jc w:val="center"/>
        <w:rPr>
          <w:rFonts w:ascii="宋体" w:hAnsi="宋体" w:cs="宋体"/>
          <w:sz w:val="24"/>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  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      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      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第三部分      采购需求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      评标办法</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第五部分      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      应提交的有关格式范例</w:t>
      </w:r>
    </w:p>
    <w:p>
      <w:pPr>
        <w:spacing w:line="360" w:lineRule="auto"/>
        <w:ind w:firstLine="549" w:firstLineChars="229"/>
        <w:rPr>
          <w:rFonts w:ascii="宋体" w:hAnsi="宋体" w:cs="宋体"/>
          <w:sz w:val="24"/>
          <w:highlight w:val="none"/>
        </w:rPr>
      </w:pPr>
      <w:bookmarkStart w:id="1" w:name="_Hlt91233176"/>
      <w:bookmarkEnd w:id="1"/>
      <w:bookmarkStart w:id="2"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rPr>
          <w:rFonts w:ascii="宋体" w:hAnsi="宋体" w:cs="宋体"/>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ascii="宋体" w:hAnsi="宋体" w:cs="宋体"/>
          <w:b/>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rPr>
        <w:t>丽水市水阁卫生院采购自动发药机、体外冲击波碎石机、脑电图仪和肌电图诱发电位仪项目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"https://www.zcygov.cn/）获取（下载）招标文件，并于2023年7月5日09点00分00秒" </w:instrText>
      </w:r>
      <w:r>
        <w:rPr>
          <w:highlight w:val="none"/>
        </w:rPr>
        <w:fldChar w:fldCharType="separate"/>
      </w:r>
      <w:r>
        <w:rPr>
          <w:rStyle w:val="77"/>
          <w:rFonts w:hint="eastAsia" w:ascii="宋体" w:hAnsi="宋体" w:eastAsia="宋体" w:cs="宋体"/>
          <w:snapToGrid/>
          <w:kern w:val="2"/>
          <w:sz w:val="24"/>
          <w:szCs w:val="24"/>
          <w:highlight w:val="none"/>
        </w:rPr>
        <w:t>https://www.zcygov.cn/）获取（下载）招标文件，并于2023年</w:t>
      </w:r>
      <w:r>
        <w:rPr>
          <w:rStyle w:val="77"/>
          <w:rFonts w:hint="eastAsia" w:ascii="宋体" w:hAnsi="宋体" w:cs="宋体"/>
          <w:snapToGrid/>
          <w:kern w:val="2"/>
          <w:sz w:val="24"/>
          <w:szCs w:val="24"/>
          <w:highlight w:val="none"/>
          <w:lang w:val="en-US" w:eastAsia="zh-CN"/>
        </w:rPr>
        <w:t>7</w:t>
      </w:r>
      <w:r>
        <w:rPr>
          <w:rStyle w:val="77"/>
          <w:rFonts w:hint="eastAsia" w:ascii="宋体" w:hAnsi="宋体" w:eastAsia="宋体" w:cs="宋体"/>
          <w:snapToGrid/>
          <w:kern w:val="2"/>
          <w:sz w:val="24"/>
          <w:szCs w:val="24"/>
          <w:highlight w:val="none"/>
        </w:rPr>
        <w:t>月</w:t>
      </w:r>
      <w:r>
        <w:rPr>
          <w:rStyle w:val="77"/>
          <w:rFonts w:hint="eastAsia" w:ascii="宋体" w:hAnsi="宋体" w:cs="宋体"/>
          <w:snapToGrid/>
          <w:kern w:val="2"/>
          <w:sz w:val="24"/>
          <w:szCs w:val="24"/>
          <w:highlight w:val="none"/>
          <w:lang w:val="en-US" w:eastAsia="zh-CN"/>
        </w:rPr>
        <w:t>26</w:t>
      </w:r>
      <w:r>
        <w:rPr>
          <w:rStyle w:val="77"/>
          <w:rFonts w:hint="eastAsia" w:ascii="宋体" w:hAnsi="宋体" w:eastAsia="宋体" w:cs="宋体"/>
          <w:snapToGrid/>
          <w:kern w:val="2"/>
          <w:sz w:val="24"/>
          <w:szCs w:val="24"/>
          <w:highlight w:val="none"/>
        </w:rPr>
        <w:t>日09点</w:t>
      </w:r>
      <w:r>
        <w:rPr>
          <w:rStyle w:val="77"/>
          <w:rFonts w:hint="eastAsia" w:ascii="宋体" w:hAnsi="宋体" w:eastAsia="宋体" w:cs="宋体"/>
          <w:snapToGrid/>
          <w:kern w:val="2"/>
          <w:sz w:val="24"/>
          <w:szCs w:val="24"/>
          <w:highlight w:val="none"/>
        </w:rPr>
        <w:t>00分</w:t>
      </w:r>
      <w:r>
        <w:rPr>
          <w:rStyle w:val="77"/>
          <w:rFonts w:hint="eastAsia" w:ascii="宋体" w:hAnsi="宋体" w:eastAsia="宋体" w:cs="宋体"/>
          <w:bCs/>
          <w:snapToGrid/>
          <w:kern w:val="2"/>
          <w:sz w:val="24"/>
          <w:szCs w:val="24"/>
          <w:highlight w:val="none"/>
        </w:rPr>
        <w:t>00秒</w:t>
      </w:r>
      <w:r>
        <w:rPr>
          <w:rStyle w:val="77"/>
          <w:rFonts w:hint="eastAsia" w:ascii="宋体" w:hAnsi="宋体" w:eastAsia="宋体" w:cs="宋体"/>
          <w:bCs/>
          <w:snapToGrid/>
          <w:kern w:val="2"/>
          <w:sz w:val="24"/>
          <w:szCs w:val="24"/>
          <w:highlight w:val="non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sz w:val="24"/>
          <w:highlight w:val="none"/>
        </w:rPr>
        <w:t>CBNB-20235248GLS</w:t>
      </w:r>
    </w:p>
    <w:p>
      <w:pPr>
        <w:spacing w:line="360" w:lineRule="auto"/>
        <w:ind w:firstLine="480"/>
        <w:rPr>
          <w:rFonts w:ascii="宋体" w:hAnsi="宋体" w:cs="宋体"/>
          <w:sz w:val="24"/>
          <w:highlight w:val="none"/>
        </w:rPr>
      </w:pPr>
      <w:r>
        <w:rPr>
          <w:rFonts w:hint="eastAsia" w:ascii="宋体" w:hAnsi="宋体" w:cs="宋体"/>
          <w:b/>
          <w:sz w:val="24"/>
          <w:highlight w:val="none"/>
        </w:rPr>
        <w:t>项目名称：</w:t>
      </w:r>
      <w:r>
        <w:rPr>
          <w:rFonts w:hint="eastAsia" w:ascii="宋体" w:hAnsi="宋体" w:cs="宋体"/>
          <w:sz w:val="24"/>
          <w:highlight w:val="none"/>
        </w:rPr>
        <w:t>丽水市水阁卫生院采购自动发药机、体外冲击波碎石机、脑电图仪和肌电图诱发电位仪项目</w:t>
      </w:r>
    </w:p>
    <w:p>
      <w:pPr>
        <w:spacing w:line="360" w:lineRule="auto"/>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 xml:space="preserve"> 预算金额（元）：</w:t>
      </w:r>
      <w:r>
        <w:rPr>
          <w:rFonts w:hint="eastAsia" w:ascii="宋体" w:hAnsi="宋体" w:cs="宋体"/>
          <w:b/>
          <w:sz w:val="24"/>
          <w:highlight w:val="none"/>
          <w:lang w:val="en-US" w:eastAsia="zh-CN"/>
        </w:rPr>
        <w:t>5,100</w:t>
      </w:r>
      <w:r>
        <w:rPr>
          <w:rFonts w:hint="eastAsia" w:ascii="宋体" w:hAnsi="宋体" w:cs="宋体"/>
          <w:b/>
          <w:sz w:val="24"/>
          <w:highlight w:val="none"/>
        </w:rPr>
        <w:t>,000.00（标项一：</w:t>
      </w:r>
      <w:r>
        <w:rPr>
          <w:rFonts w:hint="eastAsia" w:ascii="宋体" w:hAnsi="宋体" w:cs="宋体"/>
          <w:b/>
          <w:sz w:val="24"/>
          <w:highlight w:val="none"/>
          <w:lang w:val="en-US" w:eastAsia="zh-CN"/>
        </w:rPr>
        <w:t>4,0</w:t>
      </w:r>
      <w:r>
        <w:rPr>
          <w:rFonts w:hint="eastAsia" w:ascii="宋体" w:hAnsi="宋体" w:cs="宋体"/>
          <w:b/>
          <w:sz w:val="24"/>
          <w:highlight w:val="none"/>
        </w:rPr>
        <w:t>00,000.00；标项二：</w:t>
      </w:r>
      <w:r>
        <w:rPr>
          <w:rFonts w:hint="eastAsia" w:ascii="宋体" w:hAnsi="宋体" w:cs="宋体"/>
          <w:b/>
          <w:sz w:val="24"/>
          <w:highlight w:val="none"/>
          <w:lang w:val="en-US" w:eastAsia="zh-CN"/>
        </w:rPr>
        <w:t>5</w:t>
      </w:r>
      <w:r>
        <w:rPr>
          <w:rFonts w:hint="eastAsia" w:ascii="宋体" w:hAnsi="宋体" w:cs="宋体"/>
          <w:b/>
          <w:sz w:val="24"/>
          <w:highlight w:val="none"/>
        </w:rPr>
        <w:t>00,000.00</w:t>
      </w:r>
      <w:r>
        <w:rPr>
          <w:rFonts w:hint="eastAsia" w:ascii="宋体" w:hAnsi="宋体" w:cs="宋体"/>
          <w:b/>
          <w:sz w:val="24"/>
          <w:highlight w:val="none"/>
          <w:lang w:val="en-US" w:eastAsia="zh-CN"/>
        </w:rPr>
        <w:t>;</w:t>
      </w:r>
      <w:r>
        <w:rPr>
          <w:rFonts w:hint="eastAsia" w:ascii="宋体" w:hAnsi="宋体" w:cs="宋体"/>
          <w:b/>
          <w:sz w:val="24"/>
          <w:highlight w:val="none"/>
        </w:rPr>
        <w:t>标项</w:t>
      </w:r>
      <w:r>
        <w:rPr>
          <w:rFonts w:hint="eastAsia" w:ascii="宋体" w:hAnsi="宋体" w:cs="宋体"/>
          <w:b/>
          <w:sz w:val="24"/>
          <w:highlight w:val="none"/>
          <w:lang w:val="en-US" w:eastAsia="zh-CN"/>
        </w:rPr>
        <w:t>三</w:t>
      </w:r>
      <w:r>
        <w:rPr>
          <w:rFonts w:hint="eastAsia" w:ascii="宋体" w:hAnsi="宋体" w:cs="宋体"/>
          <w:b/>
          <w:sz w:val="24"/>
          <w:highlight w:val="none"/>
        </w:rPr>
        <w:t>：300,000.00</w:t>
      </w:r>
      <w:r>
        <w:rPr>
          <w:rFonts w:hint="eastAsia" w:ascii="宋体" w:hAnsi="宋体" w:cs="宋体"/>
          <w:b/>
          <w:sz w:val="24"/>
          <w:highlight w:val="none"/>
          <w:lang w:val="en-US" w:eastAsia="zh-CN"/>
        </w:rPr>
        <w:t>;</w:t>
      </w:r>
      <w:r>
        <w:rPr>
          <w:rFonts w:hint="eastAsia" w:ascii="宋体" w:hAnsi="宋体" w:cs="宋体"/>
          <w:b/>
          <w:sz w:val="24"/>
          <w:highlight w:val="none"/>
        </w:rPr>
        <w:t>标项</w:t>
      </w:r>
      <w:r>
        <w:rPr>
          <w:rFonts w:hint="eastAsia" w:ascii="宋体" w:hAnsi="宋体" w:cs="宋体"/>
          <w:b/>
          <w:sz w:val="24"/>
          <w:highlight w:val="none"/>
          <w:lang w:val="en-US" w:eastAsia="zh-CN"/>
        </w:rPr>
        <w:t>四</w:t>
      </w:r>
      <w:r>
        <w:rPr>
          <w:rFonts w:hint="eastAsia" w:ascii="宋体" w:hAnsi="宋体" w:cs="宋体"/>
          <w:b/>
          <w:sz w:val="24"/>
          <w:highlight w:val="none"/>
        </w:rPr>
        <w:t>：300,000.00</w:t>
      </w:r>
      <w:r>
        <w:rPr>
          <w:rFonts w:hint="eastAsia" w:ascii="宋体" w:hAnsi="宋体" w:cs="宋体"/>
          <w:b/>
          <w:sz w:val="24"/>
          <w:highlight w:val="none"/>
          <w:lang w:val="en-US" w:eastAsia="zh-CN"/>
        </w:rPr>
        <w:t>;</w:t>
      </w:r>
      <w:r>
        <w:rPr>
          <w:rFonts w:hint="eastAsia" w:ascii="宋体" w:hAnsi="宋体" w:cs="宋体"/>
          <w:b/>
          <w:sz w:val="24"/>
          <w:highlight w:val="none"/>
        </w:rPr>
        <w:t>）</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最高限价（元）：</w:t>
      </w:r>
      <w:r>
        <w:rPr>
          <w:rFonts w:hint="eastAsia" w:ascii="宋体" w:hAnsi="宋体" w:cs="宋体"/>
          <w:b/>
          <w:sz w:val="24"/>
          <w:highlight w:val="none"/>
          <w:lang w:val="en-US" w:eastAsia="zh-CN"/>
        </w:rPr>
        <w:t>5,100</w:t>
      </w:r>
      <w:r>
        <w:rPr>
          <w:rFonts w:hint="eastAsia" w:ascii="宋体" w:hAnsi="宋体" w:cs="宋体"/>
          <w:b/>
          <w:sz w:val="24"/>
          <w:highlight w:val="none"/>
        </w:rPr>
        <w:t>,000.00（标项一：</w:t>
      </w:r>
      <w:r>
        <w:rPr>
          <w:rFonts w:hint="eastAsia" w:ascii="宋体" w:hAnsi="宋体" w:cs="宋体"/>
          <w:b/>
          <w:sz w:val="24"/>
          <w:highlight w:val="none"/>
          <w:lang w:val="en-US" w:eastAsia="zh-CN"/>
        </w:rPr>
        <w:t>4,0</w:t>
      </w:r>
      <w:r>
        <w:rPr>
          <w:rFonts w:hint="eastAsia" w:ascii="宋体" w:hAnsi="宋体" w:cs="宋体"/>
          <w:b/>
          <w:sz w:val="24"/>
          <w:highlight w:val="none"/>
        </w:rPr>
        <w:t>00,000.00；标项二：</w:t>
      </w:r>
      <w:r>
        <w:rPr>
          <w:rFonts w:hint="eastAsia" w:ascii="宋体" w:hAnsi="宋体" w:cs="宋体"/>
          <w:b/>
          <w:sz w:val="24"/>
          <w:highlight w:val="none"/>
          <w:lang w:val="en-US" w:eastAsia="zh-CN"/>
        </w:rPr>
        <w:t>5</w:t>
      </w:r>
      <w:r>
        <w:rPr>
          <w:rFonts w:hint="eastAsia" w:ascii="宋体" w:hAnsi="宋体" w:cs="宋体"/>
          <w:b/>
          <w:sz w:val="24"/>
          <w:highlight w:val="none"/>
        </w:rPr>
        <w:t>00,000.00</w:t>
      </w:r>
      <w:r>
        <w:rPr>
          <w:rFonts w:hint="eastAsia" w:ascii="宋体" w:hAnsi="宋体" w:cs="宋体"/>
          <w:b/>
          <w:sz w:val="24"/>
          <w:highlight w:val="none"/>
          <w:lang w:val="en-US" w:eastAsia="zh-CN"/>
        </w:rPr>
        <w:t>;</w:t>
      </w:r>
      <w:r>
        <w:rPr>
          <w:rFonts w:hint="eastAsia" w:ascii="宋体" w:hAnsi="宋体" w:cs="宋体"/>
          <w:b/>
          <w:sz w:val="24"/>
          <w:highlight w:val="none"/>
        </w:rPr>
        <w:t>标项</w:t>
      </w:r>
      <w:r>
        <w:rPr>
          <w:rFonts w:hint="eastAsia" w:ascii="宋体" w:hAnsi="宋体" w:cs="宋体"/>
          <w:b/>
          <w:sz w:val="24"/>
          <w:highlight w:val="none"/>
          <w:lang w:val="en-US" w:eastAsia="zh-CN"/>
        </w:rPr>
        <w:t>三</w:t>
      </w:r>
      <w:r>
        <w:rPr>
          <w:rFonts w:hint="eastAsia" w:ascii="宋体" w:hAnsi="宋体" w:cs="宋体"/>
          <w:b/>
          <w:sz w:val="24"/>
          <w:highlight w:val="none"/>
        </w:rPr>
        <w:t>：300,000.00</w:t>
      </w:r>
      <w:r>
        <w:rPr>
          <w:rFonts w:hint="eastAsia" w:ascii="宋体" w:hAnsi="宋体" w:cs="宋体"/>
          <w:b/>
          <w:sz w:val="24"/>
          <w:highlight w:val="none"/>
          <w:lang w:val="en-US" w:eastAsia="zh-CN"/>
        </w:rPr>
        <w:t>;</w:t>
      </w:r>
      <w:r>
        <w:rPr>
          <w:rFonts w:hint="eastAsia" w:ascii="宋体" w:hAnsi="宋体" w:cs="宋体"/>
          <w:b/>
          <w:sz w:val="24"/>
          <w:highlight w:val="none"/>
        </w:rPr>
        <w:t>标项</w:t>
      </w:r>
      <w:r>
        <w:rPr>
          <w:rFonts w:hint="eastAsia" w:ascii="宋体" w:hAnsi="宋体" w:cs="宋体"/>
          <w:b/>
          <w:sz w:val="24"/>
          <w:highlight w:val="none"/>
          <w:lang w:val="en-US" w:eastAsia="zh-CN"/>
        </w:rPr>
        <w:t>四</w:t>
      </w:r>
      <w:r>
        <w:rPr>
          <w:rFonts w:hint="eastAsia" w:ascii="宋体" w:hAnsi="宋体" w:cs="宋体"/>
          <w:b/>
          <w:sz w:val="24"/>
          <w:highlight w:val="none"/>
        </w:rPr>
        <w:t>：300,000.00</w:t>
      </w:r>
      <w:r>
        <w:rPr>
          <w:rFonts w:hint="eastAsia" w:ascii="宋体" w:hAnsi="宋体" w:cs="宋体"/>
          <w:b/>
          <w:sz w:val="24"/>
          <w:highlight w:val="none"/>
          <w:lang w:val="en-US" w:eastAsia="zh-CN"/>
        </w:rPr>
        <w:t>;</w:t>
      </w:r>
      <w:r>
        <w:rPr>
          <w:rFonts w:hint="eastAsia" w:ascii="宋体" w:hAnsi="宋体" w:cs="宋体"/>
          <w:b/>
          <w:sz w:val="24"/>
          <w:highlight w:val="none"/>
        </w:rPr>
        <w:t>）</w:t>
      </w:r>
    </w:p>
    <w:p>
      <w:pPr>
        <w:widowControl/>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标项一：自动发药机（含系统）</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预算金额（元）：</w:t>
      </w:r>
      <w:r>
        <w:rPr>
          <w:rFonts w:hint="eastAsia" w:ascii="宋体" w:hAnsi="宋体" w:cs="宋体"/>
          <w:b/>
          <w:sz w:val="24"/>
          <w:highlight w:val="none"/>
          <w:lang w:val="en-US" w:eastAsia="zh-CN"/>
        </w:rPr>
        <w:t>4,0</w:t>
      </w:r>
      <w:r>
        <w:rPr>
          <w:rFonts w:hint="eastAsia" w:ascii="宋体" w:hAnsi="宋体" w:cs="宋体"/>
          <w:b/>
          <w:sz w:val="24"/>
          <w:highlight w:val="none"/>
        </w:rPr>
        <w:t>00,000.00</w:t>
      </w:r>
    </w:p>
    <w:p>
      <w:pPr>
        <w:pStyle w:val="7"/>
        <w:spacing w:line="360" w:lineRule="auto"/>
        <w:ind w:firstLine="480"/>
        <w:rPr>
          <w:rFonts w:hAnsi="宋体" w:cs="宋体"/>
          <w:snapToGrid/>
          <w:color w:val="auto"/>
          <w:kern w:val="2"/>
          <w:sz w:val="24"/>
          <w:szCs w:val="24"/>
          <w:highlight w:val="none"/>
        </w:rPr>
      </w:pPr>
      <w:r>
        <w:rPr>
          <w:rFonts w:hint="eastAsia" w:hAnsi="宋体" w:cs="宋体"/>
          <w:b/>
          <w:color w:val="auto"/>
          <w:sz w:val="24"/>
          <w:highlight w:val="none"/>
        </w:rPr>
        <w:t>最高限价（元）：</w:t>
      </w:r>
      <w:r>
        <w:rPr>
          <w:rFonts w:hint="eastAsia" w:ascii="宋体" w:hAnsi="宋体" w:cs="宋体"/>
          <w:b/>
          <w:sz w:val="24"/>
          <w:highlight w:val="none"/>
          <w:lang w:val="en-US" w:eastAsia="zh-CN"/>
        </w:rPr>
        <w:t>4,0</w:t>
      </w:r>
      <w:r>
        <w:rPr>
          <w:rFonts w:hint="eastAsia" w:ascii="宋体" w:hAnsi="宋体" w:cs="宋体"/>
          <w:b/>
          <w:sz w:val="24"/>
          <w:highlight w:val="none"/>
        </w:rPr>
        <w:t>00,000.00</w:t>
      </w:r>
    </w:p>
    <w:p>
      <w:pPr>
        <w:pStyle w:val="7"/>
        <w:spacing w:line="360" w:lineRule="auto"/>
        <w:ind w:firstLine="480"/>
        <w:rPr>
          <w:rFonts w:hint="default" w:hAnsi="宋体" w:eastAsia="宋体" w:cs="宋体"/>
          <w:b/>
          <w:bCs/>
          <w:color w:val="auto"/>
          <w:kern w:val="0"/>
          <w:sz w:val="24"/>
          <w:highlight w:val="none"/>
          <w:lang w:val="en-US" w:eastAsia="zh-CN"/>
        </w:rPr>
      </w:pPr>
      <w:r>
        <w:rPr>
          <w:rFonts w:hint="eastAsia" w:hAnsi="宋体" w:cs="宋体"/>
          <w:b/>
          <w:bCs/>
          <w:color w:val="auto"/>
          <w:kern w:val="0"/>
          <w:sz w:val="24"/>
          <w:highlight w:val="none"/>
        </w:rPr>
        <w:t>数量：</w:t>
      </w:r>
      <w:r>
        <w:rPr>
          <w:rFonts w:hint="eastAsia" w:hAnsi="宋体" w:cs="宋体"/>
          <w:b/>
          <w:bCs/>
          <w:color w:val="auto"/>
          <w:kern w:val="0"/>
          <w:sz w:val="24"/>
          <w:highlight w:val="none"/>
          <w:lang w:val="en-US" w:eastAsia="zh-CN"/>
        </w:rPr>
        <w:t xml:space="preserve">1套  </w:t>
      </w:r>
    </w:p>
    <w:p>
      <w:pPr>
        <w:spacing w:line="360" w:lineRule="auto"/>
        <w:ind w:firstLine="480"/>
        <w:rPr>
          <w:rFonts w:ascii="宋体" w:hAnsi="宋体" w:cs="宋体"/>
          <w:sz w:val="24"/>
          <w:highlight w:val="none"/>
        </w:rPr>
      </w:pPr>
      <w:r>
        <w:rPr>
          <w:rFonts w:hint="eastAsia" w:ascii="宋体" w:hAnsi="宋体" w:cs="宋体"/>
          <w:b/>
          <w:sz w:val="24"/>
          <w:highlight w:val="none"/>
        </w:rPr>
        <w:t>采购需求：</w:t>
      </w:r>
      <w:r>
        <w:rPr>
          <w:rFonts w:hint="eastAsia" w:ascii="宋体" w:hAnsi="宋体" w:cs="宋体"/>
          <w:sz w:val="24"/>
          <w:highlight w:val="none"/>
        </w:rPr>
        <w:t>丽水市水阁卫生院采购自动发药机、体外冲击波碎石机、脑电图仪和肌电图诱发电位仪项目</w:t>
      </w:r>
      <w:r>
        <w:rPr>
          <w:rFonts w:hint="eastAsia" w:ascii="宋体" w:hAnsi="宋体" w:cs="宋体"/>
          <w:bCs/>
          <w:sz w:val="24"/>
          <w:highlight w:val="none"/>
        </w:rPr>
        <w:t>主要内容：自动发药机（含系统）。</w:t>
      </w:r>
      <w:r>
        <w:rPr>
          <w:rFonts w:hint="eastAsia" w:ascii="宋体" w:hAnsi="宋体" w:cs="宋体"/>
          <w:sz w:val="24"/>
          <w:highlight w:val="none"/>
        </w:rPr>
        <w:t>具体以招标文件第三部分采购需求为准，供应商可点击本公告下方“浏览采购文件”查看采购需求。</w:t>
      </w:r>
    </w:p>
    <w:p>
      <w:pPr>
        <w:pStyle w:val="130"/>
        <w:ind w:firstLine="482"/>
        <w:outlineLvl w:val="2"/>
        <w:rPr>
          <w:rFonts w:ascii="宋体" w:hAnsi="宋体" w:cs="宋体"/>
          <w:highlight w:val="none"/>
        </w:rPr>
      </w:pPr>
      <w:r>
        <w:rPr>
          <w:rFonts w:hint="eastAsia" w:ascii="宋体" w:hAnsi="宋体" w:cs="宋体"/>
          <w:b/>
          <w:highlight w:val="none"/>
        </w:rPr>
        <w:t xml:space="preserve">合同履约期限：自合同签订生效后开始至双方合同义务完全履行后截止。 </w:t>
      </w:r>
    </w:p>
    <w:p>
      <w:pPr>
        <w:widowControl/>
        <w:spacing w:line="360" w:lineRule="auto"/>
        <w:ind w:firstLine="482" w:firstLineChars="200"/>
        <w:jc w:val="left"/>
        <w:rPr>
          <w:rFonts w:hint="eastAsia" w:ascii="宋体" w:hAnsi="宋体" w:eastAsia="宋体" w:cs="宋体"/>
          <w:b/>
          <w:bCs/>
          <w:sz w:val="24"/>
          <w:highlight w:val="none"/>
          <w:lang w:val="en-US" w:eastAsia="zh-CN"/>
        </w:rPr>
      </w:pPr>
      <w:r>
        <w:rPr>
          <w:rFonts w:hint="eastAsia" w:ascii="宋体" w:hAnsi="宋体" w:cs="宋体"/>
          <w:b/>
          <w:bCs/>
          <w:sz w:val="24"/>
          <w:highlight w:val="none"/>
          <w:lang w:val="en-US" w:eastAsia="zh-CN"/>
        </w:rPr>
        <w:t>备注：本标项不允许采购进口产品。</w:t>
      </w:r>
    </w:p>
    <w:p>
      <w:pPr>
        <w:widowControl/>
        <w:spacing w:line="360" w:lineRule="auto"/>
        <w:ind w:firstLine="482" w:firstLineChars="200"/>
        <w:jc w:val="left"/>
        <w:rPr>
          <w:rFonts w:ascii="宋体" w:hAnsi="宋体" w:cs="宋体"/>
          <w:kern w:val="0"/>
          <w:sz w:val="24"/>
          <w:highlight w:val="none"/>
        </w:rPr>
      </w:pPr>
      <w:r>
        <w:rPr>
          <w:rFonts w:hint="eastAsia" w:ascii="宋体" w:hAnsi="宋体" w:cs="宋体"/>
          <w:b/>
          <w:sz w:val="24"/>
          <w:highlight w:val="none"/>
        </w:rPr>
        <w:t>本项目接受联合体投标：</w:t>
      </w:r>
      <w:sdt>
        <w:sdtPr>
          <w:rPr>
            <w:rFonts w:hint="eastAsia" w:ascii="宋体" w:hAnsi="宋体" w:cs="宋体"/>
            <w:kern w:val="0"/>
            <w:sz w:val="24"/>
            <w:highlight w:val="none"/>
          </w:rPr>
          <w:id w:val="2035453831"/>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b/>
          <w:sz w:val="24"/>
          <w:highlight w:val="none"/>
        </w:rPr>
        <w:t>是；</w:t>
      </w:r>
      <w:sdt>
        <w:sdtPr>
          <w:rPr>
            <w:rFonts w:hint="eastAsia" w:ascii="宋体" w:hAnsi="宋体" w:cs="宋体"/>
            <w:kern w:val="0"/>
            <w:sz w:val="24"/>
            <w:highlight w:val="none"/>
          </w:rPr>
          <w:id w:val="-1765526721"/>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b/>
          <w:sz w:val="24"/>
          <w:highlight w:val="none"/>
        </w:rPr>
        <w:t>否</w:t>
      </w:r>
      <w:r>
        <w:rPr>
          <w:rFonts w:hint="eastAsia" w:ascii="宋体" w:hAnsi="宋体" w:cs="宋体"/>
          <w:kern w:val="0"/>
          <w:sz w:val="24"/>
          <w:highlight w:val="none"/>
        </w:rPr>
        <w:t>。</w:t>
      </w:r>
    </w:p>
    <w:p>
      <w:pPr>
        <w:widowControl/>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标项二：体外冲击波碎石机</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预算金额（元）：</w:t>
      </w:r>
      <w:r>
        <w:rPr>
          <w:rFonts w:hint="eastAsia" w:ascii="宋体" w:hAnsi="宋体" w:cs="宋体"/>
          <w:b/>
          <w:sz w:val="24"/>
          <w:highlight w:val="none"/>
          <w:lang w:val="en-US" w:eastAsia="zh-CN"/>
        </w:rPr>
        <w:t>5</w:t>
      </w:r>
      <w:r>
        <w:rPr>
          <w:rFonts w:hint="eastAsia" w:ascii="宋体" w:hAnsi="宋体" w:cs="宋体"/>
          <w:b/>
          <w:sz w:val="24"/>
          <w:highlight w:val="none"/>
        </w:rPr>
        <w:t>00,000.00</w:t>
      </w:r>
    </w:p>
    <w:p>
      <w:pPr>
        <w:pStyle w:val="7"/>
        <w:spacing w:line="360" w:lineRule="auto"/>
        <w:ind w:firstLine="480"/>
        <w:rPr>
          <w:rFonts w:hAnsi="宋体" w:cs="宋体"/>
          <w:snapToGrid/>
          <w:color w:val="auto"/>
          <w:kern w:val="2"/>
          <w:sz w:val="24"/>
          <w:szCs w:val="24"/>
          <w:highlight w:val="none"/>
        </w:rPr>
      </w:pPr>
      <w:r>
        <w:rPr>
          <w:rFonts w:hint="eastAsia" w:hAnsi="宋体" w:cs="宋体"/>
          <w:b/>
          <w:color w:val="auto"/>
          <w:sz w:val="24"/>
          <w:highlight w:val="none"/>
        </w:rPr>
        <w:t>最高限价（元）：</w:t>
      </w:r>
      <w:r>
        <w:rPr>
          <w:rFonts w:hint="eastAsia" w:hAnsi="宋体" w:cs="宋体"/>
          <w:b/>
          <w:sz w:val="24"/>
          <w:highlight w:val="none"/>
          <w:lang w:val="en-US" w:eastAsia="zh-CN"/>
        </w:rPr>
        <w:t>5</w:t>
      </w:r>
      <w:r>
        <w:rPr>
          <w:rFonts w:hint="eastAsia" w:hAnsi="宋体" w:cs="宋体"/>
          <w:b/>
          <w:sz w:val="24"/>
          <w:highlight w:val="none"/>
        </w:rPr>
        <w:t>00,000.00</w:t>
      </w:r>
    </w:p>
    <w:p>
      <w:pPr>
        <w:pStyle w:val="7"/>
        <w:spacing w:line="360" w:lineRule="auto"/>
        <w:ind w:firstLine="480"/>
        <w:rPr>
          <w:rFonts w:hint="default" w:hAnsi="宋体" w:eastAsia="宋体" w:cs="宋体"/>
          <w:b/>
          <w:bCs/>
          <w:color w:val="auto"/>
          <w:kern w:val="0"/>
          <w:sz w:val="24"/>
          <w:highlight w:val="none"/>
          <w:lang w:val="en-US" w:eastAsia="zh-CN"/>
        </w:rPr>
      </w:pPr>
      <w:r>
        <w:rPr>
          <w:rFonts w:hint="eastAsia" w:hAnsi="宋体" w:cs="宋体"/>
          <w:b/>
          <w:bCs/>
          <w:color w:val="auto"/>
          <w:kern w:val="0"/>
          <w:sz w:val="24"/>
          <w:highlight w:val="none"/>
        </w:rPr>
        <w:t>数量：</w:t>
      </w:r>
      <w:r>
        <w:rPr>
          <w:rFonts w:hint="eastAsia" w:hAnsi="宋体" w:cs="宋体"/>
          <w:b/>
          <w:bCs/>
          <w:color w:val="auto"/>
          <w:kern w:val="0"/>
          <w:sz w:val="24"/>
          <w:highlight w:val="none"/>
          <w:lang w:val="en-US" w:eastAsia="zh-CN"/>
        </w:rPr>
        <w:t xml:space="preserve">1套   </w:t>
      </w:r>
    </w:p>
    <w:p>
      <w:pPr>
        <w:spacing w:line="360" w:lineRule="auto"/>
        <w:ind w:firstLine="480"/>
        <w:rPr>
          <w:rFonts w:ascii="宋体" w:hAnsi="宋体" w:cs="宋体"/>
          <w:sz w:val="24"/>
          <w:highlight w:val="none"/>
        </w:rPr>
      </w:pPr>
      <w:r>
        <w:rPr>
          <w:rFonts w:hint="eastAsia" w:ascii="宋体" w:hAnsi="宋体" w:cs="宋体"/>
          <w:b/>
          <w:sz w:val="24"/>
          <w:highlight w:val="none"/>
        </w:rPr>
        <w:t>采购需求：</w:t>
      </w:r>
      <w:r>
        <w:rPr>
          <w:rFonts w:hint="eastAsia" w:ascii="宋体" w:hAnsi="宋体" w:cs="宋体"/>
          <w:sz w:val="24"/>
          <w:highlight w:val="none"/>
        </w:rPr>
        <w:t>丽水市水阁卫生院采购自动发药机、体外冲击波碎石机、脑电图仪和肌电图诱发电位仪项目</w:t>
      </w:r>
      <w:r>
        <w:rPr>
          <w:rFonts w:hint="eastAsia" w:ascii="宋体" w:hAnsi="宋体" w:cs="宋体"/>
          <w:bCs/>
          <w:sz w:val="24"/>
          <w:highlight w:val="none"/>
        </w:rPr>
        <w:t>主要内容：</w:t>
      </w:r>
      <w:r>
        <w:rPr>
          <w:rFonts w:hint="eastAsia" w:ascii="宋体" w:hAnsi="宋体" w:cs="宋体"/>
          <w:b w:val="0"/>
          <w:bCs w:val="0"/>
          <w:sz w:val="24"/>
          <w:highlight w:val="none"/>
        </w:rPr>
        <w:t>体外冲击波碎石机。</w:t>
      </w:r>
      <w:r>
        <w:rPr>
          <w:rFonts w:hint="eastAsia" w:ascii="宋体" w:hAnsi="宋体" w:cs="宋体"/>
          <w:sz w:val="24"/>
          <w:highlight w:val="none"/>
        </w:rPr>
        <w:t>具体以招标文件第三部分采购需求为准，供应商可点击本公告下方“浏览采购文件”查看采购需求。</w:t>
      </w:r>
    </w:p>
    <w:p>
      <w:pPr>
        <w:pStyle w:val="130"/>
        <w:ind w:firstLine="482"/>
        <w:outlineLvl w:val="2"/>
        <w:rPr>
          <w:rFonts w:ascii="宋体" w:hAnsi="宋体" w:cs="宋体"/>
          <w:highlight w:val="none"/>
        </w:rPr>
      </w:pPr>
      <w:r>
        <w:rPr>
          <w:rFonts w:hint="eastAsia" w:ascii="宋体" w:hAnsi="宋体" w:cs="宋体"/>
          <w:b/>
          <w:highlight w:val="none"/>
        </w:rPr>
        <w:t xml:space="preserve">合同履约期限：自合同签订生效后开始至双方合同义务完全履行后截止。 </w:t>
      </w:r>
    </w:p>
    <w:p>
      <w:pPr>
        <w:widowControl/>
        <w:spacing w:line="360" w:lineRule="auto"/>
        <w:ind w:firstLine="482" w:firstLineChars="200"/>
        <w:jc w:val="left"/>
        <w:rPr>
          <w:rFonts w:hint="eastAsia" w:ascii="宋体" w:hAnsi="宋体" w:eastAsia="宋体" w:cs="宋体"/>
          <w:b/>
          <w:bCs/>
          <w:sz w:val="24"/>
          <w:highlight w:val="none"/>
          <w:lang w:val="en-US" w:eastAsia="zh-CN"/>
        </w:rPr>
      </w:pPr>
      <w:r>
        <w:rPr>
          <w:rFonts w:hint="eastAsia" w:ascii="宋体" w:hAnsi="宋体" w:cs="宋体"/>
          <w:b/>
          <w:bCs/>
          <w:sz w:val="24"/>
          <w:highlight w:val="none"/>
          <w:lang w:val="en-US" w:eastAsia="zh-CN"/>
        </w:rPr>
        <w:t>备注：本标项不允许采购进口产品。</w:t>
      </w:r>
    </w:p>
    <w:p>
      <w:pPr>
        <w:widowControl/>
        <w:spacing w:line="360" w:lineRule="auto"/>
        <w:ind w:firstLine="482" w:firstLineChars="200"/>
        <w:jc w:val="left"/>
        <w:rPr>
          <w:rFonts w:hint="eastAsia" w:ascii="宋体" w:hAnsi="宋体" w:cs="宋体"/>
          <w:kern w:val="0"/>
          <w:sz w:val="24"/>
          <w:highlight w:val="none"/>
        </w:rPr>
      </w:pPr>
      <w:r>
        <w:rPr>
          <w:rFonts w:hint="eastAsia" w:ascii="宋体" w:hAnsi="宋体" w:cs="宋体"/>
          <w:b/>
          <w:sz w:val="24"/>
          <w:highlight w:val="none"/>
        </w:rPr>
        <w:t>本项目接受联合体投标：</w:t>
      </w:r>
      <w:sdt>
        <w:sdtPr>
          <w:rPr>
            <w:rFonts w:hint="eastAsia" w:ascii="宋体" w:hAnsi="宋体" w:cs="宋体"/>
            <w:kern w:val="0"/>
            <w:sz w:val="24"/>
            <w:highlight w:val="none"/>
          </w:rPr>
          <w:id w:val="-758293302"/>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b/>
          <w:sz w:val="24"/>
          <w:highlight w:val="none"/>
        </w:rPr>
        <w:t>是；</w:t>
      </w:r>
      <w:sdt>
        <w:sdtPr>
          <w:rPr>
            <w:rFonts w:hint="eastAsia" w:ascii="宋体" w:hAnsi="宋体" w:cs="宋体"/>
            <w:kern w:val="0"/>
            <w:sz w:val="24"/>
            <w:highlight w:val="none"/>
          </w:rPr>
          <w:id w:val="-47147660"/>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b/>
          <w:sz w:val="24"/>
          <w:highlight w:val="none"/>
        </w:rPr>
        <w:t>否</w:t>
      </w:r>
      <w:r>
        <w:rPr>
          <w:rFonts w:hint="eastAsia" w:ascii="宋体" w:hAnsi="宋体" w:cs="宋体"/>
          <w:kern w:val="0"/>
          <w:sz w:val="24"/>
          <w:highlight w:val="none"/>
        </w:rPr>
        <w:t>。</w:t>
      </w:r>
    </w:p>
    <w:p>
      <w:pPr>
        <w:widowControl/>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标项</w:t>
      </w:r>
      <w:r>
        <w:rPr>
          <w:rFonts w:hint="eastAsia" w:ascii="宋体" w:hAnsi="宋体" w:cs="宋体"/>
          <w:b/>
          <w:bCs/>
          <w:sz w:val="24"/>
          <w:highlight w:val="none"/>
          <w:lang w:val="en-US" w:eastAsia="zh-CN"/>
        </w:rPr>
        <w:t>三</w:t>
      </w:r>
      <w:r>
        <w:rPr>
          <w:rFonts w:hint="eastAsia" w:ascii="宋体" w:hAnsi="宋体" w:cs="宋体"/>
          <w:b/>
          <w:bCs/>
          <w:sz w:val="24"/>
          <w:highlight w:val="none"/>
        </w:rPr>
        <w:t>：脑电图仪</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预算金额（元）：</w:t>
      </w:r>
      <w:r>
        <w:rPr>
          <w:rFonts w:hint="eastAsia" w:ascii="宋体" w:hAnsi="宋体" w:cs="宋体"/>
          <w:b/>
          <w:sz w:val="24"/>
          <w:highlight w:val="none"/>
          <w:lang w:val="en-US" w:eastAsia="zh-CN"/>
        </w:rPr>
        <w:t>3</w:t>
      </w:r>
      <w:r>
        <w:rPr>
          <w:rFonts w:hint="eastAsia" w:ascii="宋体" w:hAnsi="宋体" w:cs="宋体"/>
          <w:b/>
          <w:sz w:val="24"/>
          <w:highlight w:val="none"/>
        </w:rPr>
        <w:t>00,000.00</w:t>
      </w:r>
    </w:p>
    <w:p>
      <w:pPr>
        <w:pStyle w:val="7"/>
        <w:spacing w:line="360" w:lineRule="auto"/>
        <w:ind w:firstLine="480"/>
        <w:rPr>
          <w:rFonts w:hAnsi="宋体" w:cs="宋体"/>
          <w:snapToGrid/>
          <w:color w:val="auto"/>
          <w:kern w:val="2"/>
          <w:sz w:val="24"/>
          <w:szCs w:val="24"/>
          <w:highlight w:val="none"/>
        </w:rPr>
      </w:pPr>
      <w:r>
        <w:rPr>
          <w:rFonts w:hint="eastAsia" w:hAnsi="宋体" w:cs="宋体"/>
          <w:b/>
          <w:color w:val="auto"/>
          <w:sz w:val="24"/>
          <w:highlight w:val="none"/>
        </w:rPr>
        <w:t>最高限价（元）：</w:t>
      </w:r>
      <w:r>
        <w:rPr>
          <w:rFonts w:hint="eastAsia" w:hAnsi="宋体" w:cs="宋体"/>
          <w:b/>
          <w:sz w:val="24"/>
          <w:highlight w:val="none"/>
          <w:lang w:val="en-US" w:eastAsia="zh-CN"/>
        </w:rPr>
        <w:t>3</w:t>
      </w:r>
      <w:r>
        <w:rPr>
          <w:rFonts w:hint="eastAsia" w:ascii="宋体" w:hAnsi="宋体" w:cs="宋体"/>
          <w:b/>
          <w:sz w:val="24"/>
          <w:highlight w:val="none"/>
        </w:rPr>
        <w:t>00,000.00</w:t>
      </w:r>
    </w:p>
    <w:p>
      <w:pPr>
        <w:pStyle w:val="7"/>
        <w:spacing w:line="360" w:lineRule="auto"/>
        <w:ind w:firstLine="480"/>
        <w:rPr>
          <w:rFonts w:hint="default" w:hAnsi="宋体" w:eastAsia="宋体" w:cs="宋体"/>
          <w:b/>
          <w:bCs/>
          <w:color w:val="auto"/>
          <w:kern w:val="0"/>
          <w:sz w:val="24"/>
          <w:highlight w:val="none"/>
          <w:lang w:val="en-US" w:eastAsia="zh-CN"/>
        </w:rPr>
      </w:pPr>
      <w:r>
        <w:rPr>
          <w:rFonts w:hint="eastAsia" w:hAnsi="宋体" w:cs="宋体"/>
          <w:b/>
          <w:bCs/>
          <w:color w:val="auto"/>
          <w:kern w:val="0"/>
          <w:sz w:val="24"/>
          <w:highlight w:val="none"/>
        </w:rPr>
        <w:t>数量：</w:t>
      </w:r>
      <w:r>
        <w:rPr>
          <w:rFonts w:hint="eastAsia" w:hAnsi="宋体" w:cs="宋体"/>
          <w:b/>
          <w:bCs/>
          <w:color w:val="auto"/>
          <w:kern w:val="0"/>
          <w:sz w:val="24"/>
          <w:highlight w:val="none"/>
          <w:lang w:val="en-US" w:eastAsia="zh-CN"/>
        </w:rPr>
        <w:t xml:space="preserve">1套   </w:t>
      </w:r>
    </w:p>
    <w:p>
      <w:pPr>
        <w:spacing w:line="360" w:lineRule="auto"/>
        <w:ind w:firstLine="480"/>
        <w:rPr>
          <w:rFonts w:ascii="宋体" w:hAnsi="宋体" w:cs="宋体"/>
          <w:sz w:val="24"/>
          <w:highlight w:val="none"/>
        </w:rPr>
      </w:pPr>
      <w:r>
        <w:rPr>
          <w:rFonts w:hint="eastAsia" w:ascii="宋体" w:hAnsi="宋体" w:cs="宋体"/>
          <w:b/>
          <w:sz w:val="24"/>
          <w:highlight w:val="none"/>
        </w:rPr>
        <w:t>采购需求：</w:t>
      </w:r>
      <w:r>
        <w:rPr>
          <w:rFonts w:hint="eastAsia" w:ascii="宋体" w:hAnsi="宋体" w:cs="宋体"/>
          <w:sz w:val="24"/>
          <w:highlight w:val="none"/>
        </w:rPr>
        <w:t>丽水市水阁卫生院采购自动发药机、体外冲击波碎石机、脑电图仪和肌电图诱发电位仪项目</w:t>
      </w:r>
      <w:r>
        <w:rPr>
          <w:rFonts w:hint="eastAsia" w:ascii="宋体" w:hAnsi="宋体" w:cs="宋体"/>
          <w:bCs/>
          <w:sz w:val="24"/>
          <w:highlight w:val="none"/>
        </w:rPr>
        <w:t>主要内容：脑电图仪。</w:t>
      </w:r>
      <w:r>
        <w:rPr>
          <w:rFonts w:hint="eastAsia" w:ascii="宋体" w:hAnsi="宋体" w:cs="宋体"/>
          <w:sz w:val="24"/>
          <w:highlight w:val="none"/>
        </w:rPr>
        <w:t>具体以招标文件第三部分采购需求为准，供应商可点击本公告下方“浏览采购文件”查看采购需求。</w:t>
      </w:r>
    </w:p>
    <w:p>
      <w:pPr>
        <w:pStyle w:val="130"/>
        <w:ind w:firstLine="482"/>
        <w:outlineLvl w:val="2"/>
        <w:rPr>
          <w:rFonts w:ascii="宋体" w:hAnsi="宋体" w:cs="宋体"/>
          <w:highlight w:val="none"/>
        </w:rPr>
      </w:pPr>
      <w:r>
        <w:rPr>
          <w:rFonts w:hint="eastAsia" w:ascii="宋体" w:hAnsi="宋体" w:cs="宋体"/>
          <w:b/>
          <w:highlight w:val="none"/>
        </w:rPr>
        <w:t xml:space="preserve">合同履约期限：自合同签订生效后开始至双方合同义务完全履行后截止。 </w:t>
      </w:r>
    </w:p>
    <w:p>
      <w:pPr>
        <w:widowControl/>
        <w:spacing w:line="360" w:lineRule="auto"/>
        <w:ind w:firstLine="482" w:firstLineChars="200"/>
        <w:jc w:val="left"/>
        <w:rPr>
          <w:rFonts w:hint="eastAsia" w:ascii="宋体" w:hAnsi="宋体" w:eastAsia="宋体" w:cs="宋体"/>
          <w:b/>
          <w:bCs/>
          <w:sz w:val="24"/>
          <w:highlight w:val="none"/>
          <w:lang w:val="en-US" w:eastAsia="zh-CN"/>
        </w:rPr>
      </w:pPr>
      <w:r>
        <w:rPr>
          <w:rFonts w:hint="eastAsia" w:ascii="宋体" w:hAnsi="宋体" w:cs="宋体"/>
          <w:b/>
          <w:bCs/>
          <w:sz w:val="24"/>
          <w:highlight w:val="none"/>
          <w:lang w:val="en-US" w:eastAsia="zh-CN"/>
        </w:rPr>
        <w:t>备注：本标项允许采购进口产品（欢迎国产产品投标）。</w:t>
      </w:r>
    </w:p>
    <w:p>
      <w:pPr>
        <w:widowControl/>
        <w:spacing w:line="360" w:lineRule="auto"/>
        <w:ind w:firstLine="482" w:firstLineChars="200"/>
        <w:jc w:val="left"/>
        <w:rPr>
          <w:rFonts w:ascii="宋体" w:hAnsi="宋体" w:cs="宋体"/>
          <w:kern w:val="0"/>
          <w:sz w:val="24"/>
          <w:highlight w:val="none"/>
        </w:rPr>
      </w:pPr>
      <w:r>
        <w:rPr>
          <w:rFonts w:hint="eastAsia" w:ascii="宋体" w:hAnsi="宋体" w:cs="宋体"/>
          <w:b/>
          <w:sz w:val="24"/>
          <w:highlight w:val="none"/>
        </w:rPr>
        <w:t>本项目接受联合体投标：</w:t>
      </w:r>
      <w:sdt>
        <w:sdtPr>
          <w:rPr>
            <w:rFonts w:hint="eastAsia" w:ascii="宋体" w:hAnsi="宋体" w:cs="宋体"/>
            <w:kern w:val="0"/>
            <w:sz w:val="24"/>
            <w:highlight w:val="none"/>
          </w:rPr>
          <w:id w:val="2035453831"/>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b/>
          <w:sz w:val="24"/>
          <w:highlight w:val="none"/>
        </w:rPr>
        <w:t>是；</w:t>
      </w:r>
      <w:sdt>
        <w:sdtPr>
          <w:rPr>
            <w:rFonts w:hint="eastAsia" w:ascii="宋体" w:hAnsi="宋体" w:cs="宋体"/>
            <w:kern w:val="0"/>
            <w:sz w:val="24"/>
            <w:highlight w:val="none"/>
          </w:rPr>
          <w:id w:val="-1765526721"/>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b/>
          <w:sz w:val="24"/>
          <w:highlight w:val="none"/>
        </w:rPr>
        <w:t>否</w:t>
      </w:r>
      <w:r>
        <w:rPr>
          <w:rFonts w:hint="eastAsia" w:ascii="宋体" w:hAnsi="宋体" w:cs="宋体"/>
          <w:kern w:val="0"/>
          <w:sz w:val="24"/>
          <w:highlight w:val="none"/>
        </w:rPr>
        <w:t>。</w:t>
      </w:r>
    </w:p>
    <w:p>
      <w:pPr>
        <w:widowControl/>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lang w:val="en-US" w:eastAsia="zh-CN"/>
        </w:rPr>
        <w:t>标项四</w:t>
      </w:r>
      <w:r>
        <w:rPr>
          <w:rFonts w:hint="eastAsia" w:ascii="宋体" w:hAnsi="宋体" w:cs="宋体"/>
          <w:b/>
          <w:bCs/>
          <w:sz w:val="24"/>
          <w:highlight w:val="none"/>
        </w:rPr>
        <w:t>：肌电图诱发电位仪</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预算金额（元）：</w:t>
      </w:r>
      <w:r>
        <w:rPr>
          <w:rFonts w:hint="eastAsia" w:ascii="宋体" w:hAnsi="宋体" w:cs="宋体"/>
          <w:b/>
          <w:sz w:val="24"/>
          <w:highlight w:val="none"/>
          <w:lang w:val="en-US" w:eastAsia="zh-CN"/>
        </w:rPr>
        <w:t>4,0</w:t>
      </w:r>
      <w:r>
        <w:rPr>
          <w:rFonts w:hint="eastAsia" w:ascii="宋体" w:hAnsi="宋体" w:cs="宋体"/>
          <w:b/>
          <w:sz w:val="24"/>
          <w:highlight w:val="none"/>
        </w:rPr>
        <w:t>00,000.00</w:t>
      </w:r>
    </w:p>
    <w:p>
      <w:pPr>
        <w:pStyle w:val="7"/>
        <w:spacing w:line="360" w:lineRule="auto"/>
        <w:ind w:firstLine="480"/>
        <w:rPr>
          <w:rFonts w:hAnsi="宋体" w:cs="宋体"/>
          <w:snapToGrid/>
          <w:color w:val="auto"/>
          <w:kern w:val="2"/>
          <w:sz w:val="24"/>
          <w:szCs w:val="24"/>
          <w:highlight w:val="none"/>
        </w:rPr>
      </w:pPr>
      <w:r>
        <w:rPr>
          <w:rFonts w:hint="eastAsia" w:hAnsi="宋体" w:cs="宋体"/>
          <w:b/>
          <w:color w:val="auto"/>
          <w:sz w:val="24"/>
          <w:highlight w:val="none"/>
        </w:rPr>
        <w:t>最高限价（元）：</w:t>
      </w:r>
      <w:r>
        <w:rPr>
          <w:rFonts w:hint="eastAsia" w:ascii="宋体" w:hAnsi="宋体" w:cs="宋体"/>
          <w:b/>
          <w:sz w:val="24"/>
          <w:highlight w:val="none"/>
          <w:lang w:val="en-US" w:eastAsia="zh-CN"/>
        </w:rPr>
        <w:t>4,0</w:t>
      </w:r>
      <w:r>
        <w:rPr>
          <w:rFonts w:hint="eastAsia" w:ascii="宋体" w:hAnsi="宋体" w:cs="宋体"/>
          <w:b/>
          <w:sz w:val="24"/>
          <w:highlight w:val="none"/>
        </w:rPr>
        <w:t>00,000.00</w:t>
      </w:r>
    </w:p>
    <w:p>
      <w:pPr>
        <w:pStyle w:val="7"/>
        <w:spacing w:line="360" w:lineRule="auto"/>
        <w:ind w:firstLine="480"/>
        <w:rPr>
          <w:rFonts w:hint="default" w:hAnsi="宋体" w:eastAsia="宋体" w:cs="宋体"/>
          <w:b/>
          <w:bCs/>
          <w:color w:val="auto"/>
          <w:kern w:val="0"/>
          <w:sz w:val="24"/>
          <w:highlight w:val="none"/>
          <w:lang w:val="en-US" w:eastAsia="zh-CN"/>
        </w:rPr>
      </w:pPr>
      <w:r>
        <w:rPr>
          <w:rFonts w:hint="eastAsia" w:hAnsi="宋体" w:cs="宋体"/>
          <w:b/>
          <w:bCs/>
          <w:color w:val="auto"/>
          <w:kern w:val="0"/>
          <w:sz w:val="24"/>
          <w:highlight w:val="none"/>
        </w:rPr>
        <w:t>数量：</w:t>
      </w:r>
      <w:r>
        <w:rPr>
          <w:rFonts w:hint="eastAsia" w:hAnsi="宋体" w:cs="宋体"/>
          <w:b/>
          <w:bCs/>
          <w:color w:val="auto"/>
          <w:kern w:val="0"/>
          <w:sz w:val="24"/>
          <w:highlight w:val="none"/>
          <w:lang w:val="en-US" w:eastAsia="zh-CN"/>
        </w:rPr>
        <w:t xml:space="preserve">1套   </w:t>
      </w:r>
    </w:p>
    <w:p>
      <w:pPr>
        <w:spacing w:line="360" w:lineRule="auto"/>
        <w:ind w:firstLine="480"/>
        <w:rPr>
          <w:rFonts w:ascii="宋体" w:hAnsi="宋体" w:cs="宋体"/>
          <w:sz w:val="24"/>
          <w:highlight w:val="none"/>
        </w:rPr>
      </w:pPr>
      <w:r>
        <w:rPr>
          <w:rFonts w:hint="eastAsia" w:ascii="宋体" w:hAnsi="宋体" w:cs="宋体"/>
          <w:b/>
          <w:sz w:val="24"/>
          <w:highlight w:val="none"/>
        </w:rPr>
        <w:t>采购需求：</w:t>
      </w:r>
      <w:r>
        <w:rPr>
          <w:rFonts w:hint="eastAsia" w:ascii="宋体" w:hAnsi="宋体" w:cs="宋体"/>
          <w:sz w:val="24"/>
          <w:highlight w:val="none"/>
        </w:rPr>
        <w:t>丽水市水阁卫生院采购自动发药机、体外冲击波碎石机、脑电图仪和肌电图诱发电位仪项目</w:t>
      </w:r>
      <w:r>
        <w:rPr>
          <w:rFonts w:hint="eastAsia" w:ascii="宋体" w:hAnsi="宋体" w:cs="宋体"/>
          <w:bCs/>
          <w:sz w:val="24"/>
          <w:highlight w:val="none"/>
        </w:rPr>
        <w:t>主要内容：肌电图诱发电位仪。</w:t>
      </w:r>
      <w:r>
        <w:rPr>
          <w:rFonts w:hint="eastAsia" w:ascii="宋体" w:hAnsi="宋体" w:cs="宋体"/>
          <w:sz w:val="24"/>
          <w:highlight w:val="none"/>
        </w:rPr>
        <w:t>具体以招标文件第三部分采购需求为准，供应商可点击本公告下方“浏览采购文件”查看采购需求。</w:t>
      </w:r>
    </w:p>
    <w:p>
      <w:pPr>
        <w:pStyle w:val="130"/>
        <w:ind w:firstLine="482"/>
        <w:outlineLvl w:val="2"/>
        <w:rPr>
          <w:rFonts w:ascii="宋体" w:hAnsi="宋体" w:cs="宋体"/>
          <w:highlight w:val="none"/>
        </w:rPr>
      </w:pPr>
      <w:r>
        <w:rPr>
          <w:rFonts w:hint="eastAsia" w:ascii="宋体" w:hAnsi="宋体" w:cs="宋体"/>
          <w:b/>
          <w:highlight w:val="none"/>
        </w:rPr>
        <w:t xml:space="preserve">合同履约期限：自合同签订生效后开始至双方合同义务完全履行后截止。 </w:t>
      </w:r>
    </w:p>
    <w:p>
      <w:pPr>
        <w:widowControl/>
        <w:spacing w:line="360" w:lineRule="auto"/>
        <w:ind w:firstLine="482" w:firstLineChars="200"/>
        <w:jc w:val="left"/>
        <w:rPr>
          <w:rFonts w:hint="eastAsia" w:ascii="宋体" w:hAnsi="宋体" w:eastAsia="宋体" w:cs="宋体"/>
          <w:b/>
          <w:bCs/>
          <w:sz w:val="24"/>
          <w:highlight w:val="none"/>
          <w:lang w:val="en-US" w:eastAsia="zh-CN"/>
        </w:rPr>
      </w:pPr>
      <w:r>
        <w:rPr>
          <w:rFonts w:hint="eastAsia" w:ascii="宋体" w:hAnsi="宋体" w:cs="宋体"/>
          <w:b/>
          <w:bCs/>
          <w:sz w:val="24"/>
          <w:highlight w:val="none"/>
          <w:lang w:val="en-US" w:eastAsia="zh-CN"/>
        </w:rPr>
        <w:t>备注：本标项允许采购进口产品（欢迎国产产品投标）。</w:t>
      </w:r>
    </w:p>
    <w:p>
      <w:pPr>
        <w:widowControl/>
        <w:spacing w:line="360" w:lineRule="auto"/>
        <w:ind w:firstLine="482" w:firstLineChars="200"/>
        <w:jc w:val="left"/>
        <w:rPr>
          <w:highlight w:val="none"/>
        </w:rPr>
      </w:pPr>
      <w:r>
        <w:rPr>
          <w:rFonts w:hint="eastAsia" w:ascii="宋体" w:hAnsi="宋体" w:cs="宋体"/>
          <w:b/>
          <w:sz w:val="24"/>
          <w:highlight w:val="none"/>
        </w:rPr>
        <w:t>本项目接受联合体投标：</w:t>
      </w:r>
      <w:sdt>
        <w:sdtPr>
          <w:rPr>
            <w:rFonts w:hint="eastAsia" w:ascii="宋体" w:hAnsi="宋体" w:cs="宋体"/>
            <w:kern w:val="0"/>
            <w:sz w:val="24"/>
            <w:highlight w:val="none"/>
          </w:rPr>
          <w:id w:val="2035453831"/>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b/>
          <w:sz w:val="24"/>
          <w:highlight w:val="none"/>
        </w:rPr>
        <w:t>是；</w:t>
      </w:r>
      <w:sdt>
        <w:sdtPr>
          <w:rPr>
            <w:rFonts w:hint="eastAsia" w:ascii="宋体" w:hAnsi="宋体" w:cs="宋体"/>
            <w:kern w:val="0"/>
            <w:sz w:val="24"/>
            <w:highlight w:val="none"/>
          </w:rPr>
          <w:id w:val="-1765526721"/>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b/>
          <w:sz w:val="24"/>
          <w:highlight w:val="none"/>
        </w:rPr>
        <w:t>否</w:t>
      </w:r>
      <w:r>
        <w:rPr>
          <w:rFonts w:hint="eastAsia" w:ascii="宋体" w:hAnsi="宋体" w:cs="宋体"/>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w:t>
      </w:r>
      <w:bookmarkStart w:id="11" w:name="_Hlk101132948"/>
      <w:r>
        <w:rPr>
          <w:rFonts w:hint="eastAsia" w:ascii="宋体" w:hAnsi="宋体" w:cs="宋体"/>
          <w:b/>
          <w:sz w:val="24"/>
          <w:highlight w:val="none"/>
        </w:rPr>
        <w:t>申请人的资格要求</w:t>
      </w:r>
      <w:bookmarkEnd w:id="11"/>
      <w:r>
        <w:rPr>
          <w:rFonts w:hint="eastAsia" w:ascii="宋体" w:hAnsi="宋体" w:cs="宋体"/>
          <w:b/>
          <w:sz w:val="24"/>
          <w:highlight w:val="none"/>
        </w:rPr>
        <w:t>：</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2.</w:t>
      </w:r>
      <w:r>
        <w:rPr>
          <w:rFonts w:hint="eastAsia" w:ascii="宋体" w:hAnsi="宋体" w:cs="宋体"/>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z w:val="24"/>
          <w:highlight w:val="none"/>
        </w:rPr>
      </w:pPr>
      <w:r>
        <w:rPr>
          <w:rFonts w:hint="eastAsia" w:ascii="宋体" w:hAnsi="宋体" w:cs="宋体"/>
          <w:snapToGrid w:val="0"/>
          <w:kern w:val="28"/>
          <w:sz w:val="24"/>
          <w:szCs w:val="20"/>
          <w:highlight w:val="none"/>
        </w:rPr>
        <w:t>3.落实政府采购政策需满足的资格要求：：</w:t>
      </w:r>
      <w:r>
        <w:rPr>
          <w:rFonts w:hint="eastAsia" w:ascii="宋体" w:hAnsi="宋体" w:cs="宋体"/>
          <w:snapToGrid w:val="0"/>
          <w:kern w:val="28"/>
          <w:sz w:val="24"/>
          <w:szCs w:val="20"/>
          <w:highlight w:val="none"/>
          <w:lang w:val="en-US" w:eastAsia="zh-CN"/>
        </w:rPr>
        <w:t>标项二：</w:t>
      </w:r>
      <w:r>
        <w:rPr>
          <w:rFonts w:hint="eastAsia" w:ascii="宋体" w:hAnsi="宋体" w:cs="宋体"/>
          <w:snapToGrid w:val="0"/>
          <w:kern w:val="28"/>
          <w:sz w:val="24"/>
          <w:szCs w:val="20"/>
          <w:highlight w:val="none"/>
        </w:rPr>
        <w:t>体外冲击波碎石机属于专门面向中小企业采购的项目，供应商应为符合《政府采购促进中小企业发展管理办法》（财库﹝2020﹞46 号）规定的中小企业（其中，小微企业包括视同为小型、微型企业的监狱企业、残疾人福利性单位。）</w:t>
      </w:r>
    </w:p>
    <w:p>
      <w:pPr>
        <w:numPr>
          <w:ilvl w:val="0"/>
          <w:numId w:val="2"/>
        </w:numPr>
        <w:spacing w:line="360" w:lineRule="auto"/>
        <w:ind w:firstLine="480" w:firstLineChars="200"/>
        <w:rPr>
          <w:rFonts w:ascii="宋体" w:hAnsi="宋体" w:cs="宋体"/>
          <w:sz w:val="24"/>
          <w:highlight w:val="none"/>
        </w:rPr>
      </w:pPr>
      <w:r>
        <w:rPr>
          <w:rFonts w:hint="eastAsia" w:ascii="宋体" w:hAnsi="宋体" w:cs="宋体"/>
          <w:sz w:val="24"/>
          <w:highlight w:val="none"/>
        </w:rPr>
        <w:t>本项目的特定资格要求：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4.1、投标人为医疗器械生产企业的：第二类、第三类医疗器械生产企业提供《医疗器械生产许可证》复印件、第一类医疗器械生产企业提供第一类医疗器械生产备案凭证复印件。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4.2、投标人为医疗器械经营企业的：第三类医疗器械经营企业提供《医疗器械经营许可证》复印件、第二类医疗器械经营企业提供第二类医疗器械经营备案凭证复印件。</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2023年</w:t>
      </w:r>
      <w:r>
        <w:rPr>
          <w:rFonts w:hint="eastAsia" w:ascii="宋体" w:hAnsi="宋体" w:cs="宋体"/>
          <w:sz w:val="24"/>
          <w:highlight w:val="none"/>
          <w:u w:val="single"/>
          <w:lang w:val="en-US" w:eastAsia="zh-CN"/>
        </w:rPr>
        <w:t>7</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26</w:t>
      </w:r>
      <w:r>
        <w:rPr>
          <w:rFonts w:hint="eastAsia" w:ascii="宋体" w:hAnsi="宋体" w:cs="宋体"/>
          <w:sz w:val="24"/>
          <w:highlight w:val="none"/>
          <w:u w:val="single"/>
        </w:rPr>
        <w:t>日</w:t>
      </w:r>
      <w:r>
        <w:rPr>
          <w:rFonts w:hint="eastAsia" w:ascii="宋体" w:hAnsi="宋体" w:cs="宋体"/>
          <w:sz w:val="24"/>
          <w:highlight w:val="none"/>
        </w:rPr>
        <w:t>，每天上午00:00至12:00，下午12:00至23:59（北京时间，线上获取法定节假日均可，线下获取文件法定节假日除外）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供应商登录政采云平台https://www.zcygov.cn/在线申请获取采购文件（进入“项目采购”应用，在获取采购文</w:t>
      </w:r>
      <w:bookmarkStart w:id="409" w:name="_GoBack"/>
      <w:bookmarkEnd w:id="409"/>
      <w:r>
        <w:rPr>
          <w:rFonts w:hint="eastAsia" w:ascii="宋体" w:hAnsi="宋体" w:cs="宋体"/>
          <w:sz w:val="24"/>
          <w:highlight w:val="none"/>
        </w:rPr>
        <w:t xml:space="preserve">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2023年</w:t>
      </w:r>
      <w:r>
        <w:rPr>
          <w:rFonts w:hint="eastAsia" w:ascii="宋体" w:hAnsi="宋体" w:cs="宋体"/>
          <w:sz w:val="24"/>
          <w:highlight w:val="none"/>
          <w:u w:val="single"/>
          <w:lang w:val="en-US" w:eastAsia="zh-CN"/>
        </w:rPr>
        <w:t>7</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26</w:t>
      </w:r>
      <w:r>
        <w:rPr>
          <w:rFonts w:hint="eastAsia" w:ascii="宋体" w:hAnsi="宋体" w:cs="宋体"/>
          <w:sz w:val="24"/>
          <w:highlight w:val="none"/>
          <w:u w:val="single"/>
        </w:rPr>
        <w:t>日09点</w:t>
      </w:r>
      <w:r>
        <w:rPr>
          <w:rFonts w:hint="eastAsia" w:ascii="宋体" w:hAnsi="宋体" w:cs="宋体"/>
          <w:sz w:val="24"/>
          <w:highlight w:val="none"/>
          <w:u w:val="single"/>
        </w:rPr>
        <w:t>00分00秒</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2023年</w:t>
      </w:r>
      <w:r>
        <w:rPr>
          <w:rFonts w:hint="eastAsia" w:ascii="宋体" w:hAnsi="宋体" w:cs="宋体"/>
          <w:sz w:val="24"/>
          <w:highlight w:val="none"/>
          <w:u w:val="single"/>
          <w:lang w:val="en-US" w:eastAsia="zh-CN"/>
        </w:rPr>
        <w:t>7</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26</w:t>
      </w:r>
      <w:r>
        <w:rPr>
          <w:rFonts w:hint="eastAsia" w:ascii="宋体" w:hAnsi="宋体" w:cs="宋体"/>
          <w:sz w:val="24"/>
          <w:highlight w:val="none"/>
          <w:u w:val="single"/>
        </w:rPr>
        <w:t>日9点</w:t>
      </w:r>
      <w:r>
        <w:rPr>
          <w:rFonts w:hint="eastAsia" w:ascii="宋体" w:hAnsi="宋体" w:cs="宋体"/>
          <w:sz w:val="24"/>
          <w:highlight w:val="none"/>
          <w:u w:val="single"/>
        </w:rPr>
        <w:t>00分00秒</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1. 《浙江省财政厅关于进一步发挥政府采购政策功能全力推动经济稳进提质的通知》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（1）需要落实的政府采购政策：包括节约资源、保护环境、支持创新、促进中小企业发展等。详见招标文件的第二部分总则。</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（3）招标文件公告期限与招标公告的公告期限一致。</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（4）本招标公告中二、申请人的资格要求：第1条中的“重大税收违法案件当事人名单”即为“重大税收违法失信主体”。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highlight w:val="none"/>
        </w:rPr>
        <w:t xml:space="preserve">    1.采购人信息</w:t>
      </w:r>
    </w:p>
    <w:p>
      <w:pPr>
        <w:spacing w:line="360" w:lineRule="auto"/>
        <w:rPr>
          <w:rFonts w:ascii="宋体" w:hAnsi="宋体" w:cs="宋体"/>
          <w:sz w:val="24"/>
          <w:highlight w:val="none"/>
        </w:rPr>
      </w:pPr>
      <w:r>
        <w:rPr>
          <w:rFonts w:hint="eastAsia" w:ascii="宋体" w:hAnsi="宋体" w:cs="宋体"/>
          <w:sz w:val="24"/>
          <w:highlight w:val="none"/>
        </w:rPr>
        <w:t xml:space="preserve">    名    称：丽水市水阁卫生院</w:t>
      </w:r>
      <w:r>
        <w:rPr>
          <w:rFonts w:hint="eastAsia" w:ascii="宋体" w:hAnsi="宋体" w:cs="宋体"/>
          <w:kern w:val="0"/>
          <w:sz w:val="24"/>
          <w:highlight w:val="none"/>
        </w:rPr>
        <w:t> </w:t>
      </w:r>
    </w:p>
    <w:p>
      <w:pPr>
        <w:spacing w:line="360" w:lineRule="auto"/>
        <w:rPr>
          <w:rFonts w:ascii="宋体" w:hAnsi="宋体" w:cs="宋体"/>
          <w:sz w:val="24"/>
          <w:highlight w:val="none"/>
        </w:rPr>
      </w:pPr>
      <w:r>
        <w:rPr>
          <w:rFonts w:hint="eastAsia" w:ascii="宋体" w:hAnsi="宋体" w:cs="宋体"/>
          <w:sz w:val="24"/>
          <w:highlight w:val="none"/>
        </w:rPr>
        <w:t xml:space="preserve">    地    址：浙江省丽水市莲都区南明山街道遂松路126号      </w:t>
      </w:r>
    </w:p>
    <w:p>
      <w:pPr>
        <w:spacing w:line="360" w:lineRule="auto"/>
        <w:ind w:firstLine="480"/>
        <w:rPr>
          <w:rFonts w:ascii="宋体" w:hAnsi="宋体" w:cs="宋体"/>
          <w:sz w:val="24"/>
          <w:highlight w:val="none"/>
        </w:rPr>
      </w:pPr>
      <w:r>
        <w:rPr>
          <w:rFonts w:hint="eastAsia" w:ascii="宋体" w:hAnsi="宋体" w:cs="宋体"/>
          <w:sz w:val="24"/>
          <w:highlight w:val="none"/>
        </w:rPr>
        <w:t>传    真：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项目联系人（询问）：蔡老师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项目联系方式（询问）：0578-2652016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质疑联系人：吴老师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质疑联系方式：0578-2652009</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2.采购代理机构信息            </w:t>
      </w:r>
    </w:p>
    <w:p>
      <w:pPr>
        <w:spacing w:line="360" w:lineRule="auto"/>
        <w:ind w:firstLine="480"/>
        <w:rPr>
          <w:rFonts w:ascii="宋体" w:hAnsi="宋体" w:cs="宋体"/>
          <w:kern w:val="0"/>
          <w:sz w:val="24"/>
          <w:highlight w:val="none"/>
        </w:rPr>
      </w:pPr>
      <w:r>
        <w:rPr>
          <w:rFonts w:hint="eastAsia" w:ascii="宋体" w:hAnsi="宋体" w:cs="宋体"/>
          <w:sz w:val="24"/>
          <w:highlight w:val="none"/>
        </w:rPr>
        <w:t>名    称：</w:t>
      </w:r>
      <w:r>
        <w:rPr>
          <w:rFonts w:hint="eastAsia" w:ascii="宋体" w:hAnsi="宋体" w:cs="宋体"/>
          <w:kern w:val="0"/>
          <w:sz w:val="24"/>
          <w:highlight w:val="none"/>
        </w:rPr>
        <w:t>宁波中基国际招标有限公司  </w:t>
      </w:r>
    </w:p>
    <w:p>
      <w:pPr>
        <w:spacing w:line="360" w:lineRule="auto"/>
        <w:ind w:firstLine="480"/>
        <w:rPr>
          <w:rFonts w:ascii="宋体" w:hAnsi="宋体" w:cs="宋体"/>
          <w:sz w:val="24"/>
          <w:highlight w:val="none"/>
        </w:rPr>
      </w:pPr>
      <w:r>
        <w:rPr>
          <w:rFonts w:hint="eastAsia" w:ascii="宋体" w:hAnsi="宋体" w:cs="宋体"/>
          <w:sz w:val="24"/>
          <w:highlight w:val="none"/>
        </w:rPr>
        <w:t>地    址：</w:t>
      </w:r>
      <w:r>
        <w:rPr>
          <w:rFonts w:hint="eastAsia" w:ascii="宋体" w:hAnsi="宋体" w:cs="宋体"/>
          <w:kern w:val="0"/>
          <w:sz w:val="24"/>
          <w:highlight w:val="none"/>
        </w:rPr>
        <w:t xml:space="preserve">宁波市鄞州区天童南路666号中基大厦19楼    </w:t>
      </w:r>
    </w:p>
    <w:p>
      <w:pPr>
        <w:spacing w:line="360" w:lineRule="auto"/>
        <w:rPr>
          <w:rFonts w:ascii="宋体" w:hAnsi="宋体" w:cs="宋体"/>
          <w:sz w:val="24"/>
          <w:highlight w:val="none"/>
        </w:rPr>
      </w:pPr>
      <w:r>
        <w:rPr>
          <w:rFonts w:hint="eastAsia" w:ascii="宋体" w:hAnsi="宋体" w:cs="宋体"/>
          <w:sz w:val="24"/>
          <w:highlight w:val="none"/>
        </w:rPr>
        <w:t xml:space="preserve">    传    真： </w:t>
      </w:r>
      <w:r>
        <w:rPr>
          <w:rFonts w:hint="eastAsia" w:ascii="宋体" w:hAnsi="宋体" w:cs="宋体"/>
          <w:kern w:val="0"/>
          <w:sz w:val="24"/>
          <w:highlight w:val="none"/>
        </w:rPr>
        <w:t>0574-87425386  </w:t>
      </w:r>
    </w:p>
    <w:p>
      <w:pPr>
        <w:spacing w:line="360" w:lineRule="auto"/>
        <w:rPr>
          <w:rFonts w:ascii="宋体" w:hAnsi="宋体" w:cs="宋体"/>
          <w:sz w:val="24"/>
          <w:highlight w:val="none"/>
        </w:rPr>
      </w:pPr>
      <w:r>
        <w:rPr>
          <w:rFonts w:hint="eastAsia" w:ascii="宋体" w:hAnsi="宋体" w:cs="宋体"/>
          <w:sz w:val="24"/>
          <w:highlight w:val="none"/>
        </w:rPr>
        <w:t xml:space="preserve">    项目联系人（询问）：任翔、殷悦、单琛耘 </w:t>
      </w:r>
      <w:r>
        <w:rPr>
          <w:rFonts w:hint="eastAsia" w:ascii="宋体" w:hAnsi="宋体" w:cs="宋体"/>
          <w:kern w:val="0"/>
          <w:sz w:val="24"/>
          <w:highlight w:val="none"/>
        </w:rPr>
        <w:t> </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项目联系方式（询问）：0578-2381667、0574-88090150</w:t>
      </w:r>
      <w:r>
        <w:rPr>
          <w:rFonts w:hint="eastAsia" w:ascii="宋体" w:hAnsi="宋体" w:cs="宋体"/>
          <w:kern w:val="0"/>
          <w:sz w:val="24"/>
          <w:highlight w:val="none"/>
        </w:rPr>
        <w:t> </w:t>
      </w:r>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kern w:val="0"/>
          <w:sz w:val="24"/>
          <w:highlight w:val="none"/>
        </w:rPr>
        <w:t>杨未 </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质疑联系方式：</w:t>
      </w:r>
      <w:r>
        <w:rPr>
          <w:rFonts w:hint="eastAsia" w:ascii="宋体" w:hAnsi="宋体" w:cs="宋体"/>
          <w:kern w:val="0"/>
          <w:sz w:val="24"/>
          <w:highlight w:val="none"/>
        </w:rPr>
        <w:t>0574-87425382 　</w:t>
      </w:r>
    </w:p>
    <w:p>
      <w:pPr>
        <w:spacing w:line="360" w:lineRule="auto"/>
        <w:rPr>
          <w:rFonts w:ascii="宋体" w:hAnsi="宋体" w:cs="宋体"/>
          <w:sz w:val="24"/>
          <w:highlight w:val="none"/>
        </w:rPr>
      </w:pPr>
      <w:r>
        <w:rPr>
          <w:rFonts w:hint="eastAsia" w:ascii="宋体" w:hAnsi="宋体" w:cs="宋体"/>
          <w:sz w:val="24"/>
          <w:highlight w:val="none"/>
        </w:rPr>
        <w:t xml:space="preserve">    3. 同级政府采购监督管理部门            </w:t>
      </w:r>
    </w:p>
    <w:p>
      <w:pPr>
        <w:spacing w:line="360" w:lineRule="auto"/>
        <w:ind w:firstLine="480"/>
        <w:rPr>
          <w:rFonts w:ascii="宋体" w:hAnsi="宋体" w:cs="宋体"/>
          <w:sz w:val="24"/>
          <w:highlight w:val="none"/>
        </w:rPr>
      </w:pPr>
      <w:r>
        <w:rPr>
          <w:rFonts w:hint="eastAsia" w:ascii="宋体" w:hAnsi="宋体" w:cs="宋体"/>
          <w:sz w:val="24"/>
          <w:highlight w:val="none"/>
        </w:rPr>
        <w:t>名    称：</w:t>
      </w:r>
      <w:r>
        <w:rPr>
          <w:rFonts w:hint="eastAsia" w:ascii="宋体" w:hAnsi="宋体" w:cs="宋体"/>
          <w:kern w:val="0"/>
          <w:sz w:val="24"/>
          <w:highlight w:val="none"/>
        </w:rPr>
        <w:t>丽水市财政局政府采购监管处 </w:t>
      </w:r>
    </w:p>
    <w:p>
      <w:pPr>
        <w:spacing w:line="360" w:lineRule="auto"/>
        <w:ind w:firstLine="480"/>
        <w:rPr>
          <w:rFonts w:ascii="宋体" w:hAnsi="宋体" w:cs="宋体"/>
          <w:sz w:val="24"/>
          <w:highlight w:val="none"/>
        </w:rPr>
      </w:pPr>
      <w:r>
        <w:rPr>
          <w:rFonts w:hint="eastAsia" w:ascii="宋体" w:hAnsi="宋体" w:cs="宋体"/>
          <w:sz w:val="24"/>
          <w:highlight w:val="none"/>
        </w:rPr>
        <w:t>地    址：</w:t>
      </w:r>
      <w:r>
        <w:rPr>
          <w:rFonts w:hint="eastAsia" w:ascii="宋体" w:hAnsi="宋体" w:cs="宋体"/>
          <w:kern w:val="0"/>
          <w:sz w:val="24"/>
          <w:highlight w:val="none"/>
        </w:rPr>
        <w:t>丽水市莲都区北苑路190号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传    真：</w:t>
      </w:r>
      <w:r>
        <w:rPr>
          <w:rFonts w:hint="eastAsia" w:ascii="宋体" w:hAnsi="宋体" w:cs="宋体"/>
          <w:kern w:val="0"/>
          <w:sz w:val="24"/>
          <w:highlight w:val="none"/>
        </w:rPr>
        <w:t>0578-2669165</w:t>
      </w:r>
    </w:p>
    <w:p>
      <w:pPr>
        <w:spacing w:line="360" w:lineRule="auto"/>
        <w:rPr>
          <w:rFonts w:ascii="宋体" w:hAnsi="宋体" w:cs="宋体"/>
          <w:sz w:val="24"/>
          <w:highlight w:val="none"/>
        </w:rPr>
      </w:pPr>
      <w:r>
        <w:rPr>
          <w:rFonts w:hint="eastAsia" w:ascii="宋体" w:hAnsi="宋体" w:cs="宋体"/>
          <w:sz w:val="24"/>
          <w:highlight w:val="none"/>
        </w:rPr>
        <w:t xml:space="preserve">    联系人 ：</w:t>
      </w:r>
      <w:r>
        <w:rPr>
          <w:rFonts w:hint="eastAsia" w:ascii="宋体" w:hAnsi="宋体" w:cs="宋体"/>
          <w:kern w:val="0"/>
          <w:sz w:val="24"/>
          <w:highlight w:val="none"/>
        </w:rPr>
        <w:t xml:space="preserve">吴先生、叶先生  </w:t>
      </w:r>
    </w:p>
    <w:p>
      <w:pPr>
        <w:spacing w:line="360" w:lineRule="auto"/>
        <w:ind w:firstLine="480"/>
        <w:rPr>
          <w:rFonts w:ascii="宋体" w:hAnsi="宋体" w:cs="宋体"/>
          <w:sz w:val="24"/>
          <w:highlight w:val="none"/>
        </w:rPr>
      </w:pPr>
      <w:r>
        <w:rPr>
          <w:rFonts w:hint="eastAsia" w:ascii="宋体" w:hAnsi="宋体" w:cs="宋体"/>
          <w:sz w:val="24"/>
          <w:highlight w:val="none"/>
        </w:rPr>
        <w:t>监督投诉电话：电话：</w:t>
      </w:r>
      <w:r>
        <w:rPr>
          <w:rFonts w:hint="eastAsia" w:ascii="宋体" w:hAnsi="宋体" w:cs="宋体"/>
          <w:kern w:val="0"/>
          <w:sz w:val="24"/>
          <w:highlight w:val="none"/>
        </w:rPr>
        <w:t>0578-2669165</w:t>
      </w:r>
    </w:p>
    <w:p>
      <w:pPr>
        <w:spacing w:line="360" w:lineRule="auto"/>
        <w:ind w:firstLine="480"/>
        <w:rPr>
          <w:rFonts w:ascii="宋体" w:hAnsi="宋体" w:cs="宋体"/>
          <w:sz w:val="24"/>
          <w:highlight w:val="none"/>
        </w:rPr>
      </w:pP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CA问题联系电话（人工）：汇信CA 400-888-4636；天谷CA 400-087-8198。</w:t>
      </w:r>
    </w:p>
    <w:p>
      <w:pPr>
        <w:pStyle w:val="34"/>
        <w:spacing w:line="360" w:lineRule="auto"/>
        <w:rPr>
          <w:rFonts w:hAnsi="宋体" w:cs="宋体"/>
          <w:b/>
          <w:sz w:val="36"/>
          <w:szCs w:val="20"/>
          <w:highlight w:val="none"/>
        </w:rPr>
      </w:pPr>
      <w:r>
        <w:rPr>
          <w:rFonts w:hint="eastAsia" w:hAnsi="宋体" w:cs="宋体"/>
          <w:sz w:val="24"/>
          <w:highlight w:val="none"/>
        </w:rPr>
        <w:t xml:space="preserve">                        </w:t>
      </w:r>
      <w:r>
        <w:rPr>
          <w:rFonts w:hint="eastAsia" w:hAnsi="宋体" w:cs="宋体"/>
          <w:b/>
          <w:sz w:val="36"/>
          <w:szCs w:val="20"/>
          <w:highlight w:val="none"/>
        </w:rPr>
        <w:t xml:space="preserve"> </w:t>
      </w:r>
    </w:p>
    <w:p>
      <w:pPr>
        <w:pStyle w:val="5"/>
        <w:rPr>
          <w:rFonts w:ascii="宋体" w:hAnsi="宋体" w:eastAsia="宋体" w:cs="宋体"/>
          <w:snapToGrid w:val="0"/>
          <w:highlight w:val="none"/>
        </w:rPr>
      </w:pPr>
      <w:r>
        <w:rPr>
          <w:rFonts w:hint="eastAsia" w:ascii="宋体" w:hAnsi="宋体" w:eastAsia="宋体" w:cs="宋体"/>
          <w:highlight w:val="none"/>
        </w:rPr>
        <w:br w:type="page"/>
      </w:r>
    </w:p>
    <w:p>
      <w:pPr>
        <w:adjustRightInd/>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t>第二部分</w:t>
      </w:r>
      <w:bookmarkEnd w:id="8"/>
      <w:r>
        <w:rPr>
          <w:rFonts w:hint="eastAsia" w:ascii="宋体" w:hAnsi="宋体" w:cs="宋体"/>
          <w:b/>
          <w:sz w:val="36"/>
          <w:szCs w:val="20"/>
          <w:highlight w:val="none"/>
        </w:rPr>
        <w:t xml:space="preserve"> 投标人须知</w:t>
      </w:r>
      <w:bookmarkEnd w:id="9"/>
    </w:p>
    <w:p>
      <w:pPr>
        <w:adjustRightInd/>
        <w:spacing w:line="360" w:lineRule="auto"/>
        <w:ind w:firstLine="3845" w:firstLineChars="1197"/>
        <w:outlineLvl w:val="0"/>
        <w:rPr>
          <w:rFonts w:ascii="宋体" w:hAnsi="宋体" w:cs="宋体"/>
          <w:b/>
          <w:sz w:val="32"/>
          <w:szCs w:val="20"/>
          <w:highlight w:val="none"/>
        </w:rPr>
      </w:pPr>
      <w:r>
        <w:rPr>
          <w:rFonts w:hint="eastAsia" w:ascii="宋体" w:hAnsi="宋体" w:cs="宋体"/>
          <w:b/>
          <w:sz w:val="32"/>
          <w:szCs w:val="20"/>
          <w:highlight w:val="none"/>
        </w:rPr>
        <w:t>前附表</w:t>
      </w:r>
    </w:p>
    <w:tbl>
      <w:tblPr>
        <w:tblStyle w:val="6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b/>
                <w:sz w:val="24"/>
                <w:highlight w:val="none"/>
              </w:rPr>
            </w:pPr>
            <w:r>
              <w:rPr>
                <w:rFonts w:hint="eastAsia" w:ascii="宋体" w:hAnsi="宋体" w:cs="宋体"/>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sz w:val="24"/>
                <w:highlight w:val="none"/>
              </w:rPr>
            </w:pPr>
            <w:r>
              <w:rPr>
                <w:rFonts w:hint="eastAsia" w:ascii="宋体" w:hAnsi="宋体" w:cs="宋体"/>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kern w:val="0"/>
                <w:sz w:val="24"/>
                <w:highlight w:val="none"/>
              </w:rPr>
            </w:pPr>
            <w:r>
              <w:rPr>
                <w:rFonts w:hint="eastAsia" w:ascii="宋体" w:hAnsi="宋体" w:cs="宋体"/>
                <w:sz w:val="24"/>
                <w:highlight w:val="none"/>
              </w:rPr>
              <w:t>货物类，单一产品或</w:t>
            </w:r>
            <w:r>
              <w:rPr>
                <w:rFonts w:hint="eastAsia" w:ascii="宋体" w:hAnsi="宋体" w:cs="宋体"/>
                <w:kern w:val="0"/>
                <w:sz w:val="24"/>
                <w:highlight w:val="none"/>
              </w:rPr>
              <w:t>核心产品为：</w:t>
            </w:r>
          </w:p>
          <w:p>
            <w:pPr>
              <w:rPr>
                <w:rFonts w:hint="eastAsia" w:ascii="宋体" w:hAnsi="宋体" w:cs="宋体"/>
                <w:sz w:val="24"/>
                <w:highlight w:val="none"/>
              </w:rPr>
            </w:pPr>
            <w:r>
              <w:rPr>
                <w:rFonts w:hint="eastAsia" w:ascii="宋体" w:hAnsi="宋体" w:cs="宋体"/>
                <w:kern w:val="0"/>
                <w:sz w:val="24"/>
                <w:highlight w:val="none"/>
              </w:rPr>
              <w:t>标项一：</w:t>
            </w:r>
            <w:r>
              <w:rPr>
                <w:rFonts w:hint="eastAsia" w:ascii="宋体" w:hAnsi="宋体" w:cs="宋体"/>
                <w:kern w:val="0"/>
                <w:sz w:val="24"/>
                <w:highlight w:val="none"/>
                <w:u w:val="single"/>
              </w:rPr>
              <w:t>自动发药机（含系统）</w:t>
            </w:r>
            <w:r>
              <w:rPr>
                <w:rFonts w:hint="eastAsia" w:ascii="宋体" w:hAnsi="宋体" w:cs="宋体"/>
                <w:sz w:val="24"/>
                <w:highlight w:val="none"/>
              </w:rPr>
              <w:t>；</w:t>
            </w:r>
          </w:p>
          <w:p>
            <w:pPr>
              <w:rPr>
                <w:rFonts w:hint="eastAsia" w:ascii="宋体" w:hAnsi="宋体" w:cs="宋体"/>
                <w:kern w:val="0"/>
                <w:sz w:val="24"/>
                <w:highlight w:val="none"/>
                <w:u w:val="none"/>
                <w:lang w:eastAsia="zh-CN"/>
              </w:rPr>
            </w:pPr>
            <w:r>
              <w:rPr>
                <w:rFonts w:hint="eastAsia" w:ascii="宋体" w:hAnsi="宋体" w:cs="宋体"/>
                <w:kern w:val="0"/>
                <w:sz w:val="24"/>
                <w:highlight w:val="none"/>
              </w:rPr>
              <w:t>标项二：</w:t>
            </w:r>
            <w:r>
              <w:rPr>
                <w:rFonts w:hint="eastAsia" w:ascii="宋体" w:hAnsi="宋体" w:cs="宋体"/>
                <w:kern w:val="0"/>
                <w:sz w:val="24"/>
                <w:highlight w:val="none"/>
                <w:u w:val="single"/>
              </w:rPr>
              <w:t>体外冲击波碎石机</w:t>
            </w:r>
            <w:r>
              <w:rPr>
                <w:rFonts w:hint="eastAsia" w:ascii="宋体" w:hAnsi="宋体" w:cs="宋体"/>
                <w:kern w:val="0"/>
                <w:sz w:val="24"/>
                <w:highlight w:val="none"/>
                <w:u w:val="none"/>
                <w:lang w:eastAsia="zh-CN"/>
              </w:rPr>
              <w:t>；</w:t>
            </w:r>
          </w:p>
          <w:p>
            <w:pPr>
              <w:rPr>
                <w:rFonts w:hint="eastAsia" w:ascii="宋体" w:hAnsi="宋体" w:cs="宋体"/>
                <w:sz w:val="24"/>
                <w:highlight w:val="none"/>
              </w:rPr>
            </w:pPr>
            <w:r>
              <w:rPr>
                <w:rFonts w:hint="eastAsia" w:ascii="宋体" w:hAnsi="宋体" w:cs="宋体"/>
                <w:kern w:val="0"/>
                <w:sz w:val="24"/>
                <w:highlight w:val="none"/>
              </w:rPr>
              <w:t>标项</w:t>
            </w:r>
            <w:r>
              <w:rPr>
                <w:rFonts w:hint="eastAsia" w:ascii="宋体" w:hAnsi="宋体" w:cs="宋体"/>
                <w:kern w:val="0"/>
                <w:sz w:val="24"/>
                <w:highlight w:val="none"/>
                <w:lang w:val="en-US" w:eastAsia="zh-CN"/>
              </w:rPr>
              <w:t>三</w:t>
            </w:r>
            <w:r>
              <w:rPr>
                <w:rFonts w:hint="eastAsia" w:ascii="宋体" w:hAnsi="宋体" w:cs="宋体"/>
                <w:kern w:val="0"/>
                <w:sz w:val="24"/>
                <w:highlight w:val="none"/>
              </w:rPr>
              <w:t>：</w:t>
            </w:r>
            <w:r>
              <w:rPr>
                <w:rFonts w:hint="eastAsia" w:ascii="宋体" w:hAnsi="宋体" w:cs="宋体"/>
                <w:kern w:val="0"/>
                <w:sz w:val="24"/>
                <w:highlight w:val="none"/>
                <w:u w:val="single"/>
              </w:rPr>
              <w:t>脑电图仪</w:t>
            </w:r>
            <w:r>
              <w:rPr>
                <w:rFonts w:hint="eastAsia" w:ascii="宋体" w:hAnsi="宋体" w:cs="宋体"/>
                <w:sz w:val="24"/>
                <w:highlight w:val="none"/>
              </w:rPr>
              <w:t>；</w:t>
            </w:r>
          </w:p>
          <w:p>
            <w:pPr>
              <w:rPr>
                <w:rFonts w:ascii="宋体" w:hAnsi="宋体" w:cs="宋体"/>
                <w:sz w:val="24"/>
                <w:highlight w:val="none"/>
              </w:rPr>
            </w:pPr>
            <w:r>
              <w:rPr>
                <w:rFonts w:hint="eastAsia" w:ascii="宋体" w:hAnsi="宋体" w:cs="宋体"/>
                <w:kern w:val="0"/>
                <w:sz w:val="24"/>
                <w:highlight w:val="none"/>
              </w:rPr>
              <w:t>标项</w:t>
            </w:r>
            <w:r>
              <w:rPr>
                <w:rFonts w:hint="eastAsia" w:ascii="宋体" w:hAnsi="宋体" w:cs="宋体"/>
                <w:kern w:val="0"/>
                <w:sz w:val="24"/>
                <w:highlight w:val="none"/>
                <w:lang w:val="en-US" w:eastAsia="zh-CN"/>
              </w:rPr>
              <w:t>四</w:t>
            </w:r>
            <w:r>
              <w:rPr>
                <w:rFonts w:hint="eastAsia" w:ascii="宋体" w:hAnsi="宋体" w:cs="宋体"/>
                <w:kern w:val="0"/>
                <w:sz w:val="24"/>
                <w:highlight w:val="none"/>
              </w:rPr>
              <w:t>：</w:t>
            </w:r>
            <w:r>
              <w:rPr>
                <w:rFonts w:hint="eastAsia" w:ascii="宋体" w:hAnsi="宋体" w:cs="宋体"/>
                <w:kern w:val="0"/>
                <w:sz w:val="24"/>
                <w:highlight w:val="none"/>
                <w:u w:val="single"/>
              </w:rPr>
              <w:t>肌电图诱发电位仪</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sz w:val="24"/>
                <w:highlight w:val="none"/>
              </w:rPr>
            </w:pPr>
            <w:r>
              <w:rPr>
                <w:rFonts w:hint="eastAsia" w:ascii="宋体" w:hAnsi="宋体" w:cs="宋体"/>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3"/>
              </w:numPr>
              <w:rPr>
                <w:highlight w:val="none"/>
              </w:rPr>
            </w:pPr>
            <w:r>
              <w:rPr>
                <w:rFonts w:hint="eastAsia"/>
                <w:highlight w:val="none"/>
              </w:rPr>
              <w:t>标的：自动发药机（含系统），属于工业行业；</w:t>
            </w:r>
          </w:p>
          <w:p>
            <w:pPr>
              <w:numPr>
                <w:ilvl w:val="0"/>
                <w:numId w:val="3"/>
              </w:numPr>
              <w:rPr>
                <w:highlight w:val="none"/>
              </w:rPr>
            </w:pPr>
            <w:r>
              <w:rPr>
                <w:rFonts w:hint="eastAsia"/>
                <w:highlight w:val="none"/>
              </w:rPr>
              <w:t>标的：体外冲击波碎石机，属于工业行业。</w:t>
            </w:r>
          </w:p>
          <w:p>
            <w:pPr>
              <w:numPr>
                <w:ilvl w:val="0"/>
                <w:numId w:val="3"/>
              </w:numPr>
              <w:rPr>
                <w:highlight w:val="none"/>
              </w:rPr>
            </w:pPr>
            <w:r>
              <w:rPr>
                <w:rFonts w:hint="eastAsia"/>
                <w:highlight w:val="none"/>
              </w:rPr>
              <w:t>标的：脑电图仪，属于工业行业。</w:t>
            </w:r>
          </w:p>
          <w:p>
            <w:pPr>
              <w:numPr>
                <w:ilvl w:val="0"/>
                <w:numId w:val="3"/>
              </w:numPr>
              <w:rPr>
                <w:highlight w:val="none"/>
              </w:rPr>
            </w:pPr>
            <w:r>
              <w:rPr>
                <w:rFonts w:hint="eastAsia"/>
                <w:highlight w:val="none"/>
              </w:rPr>
              <w:t>标的：肌电图诱发电位仪，属于工业行业。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sz w:val="24"/>
                <w:highlight w:val="none"/>
              </w:rPr>
            </w:pPr>
            <w:r>
              <w:rPr>
                <w:rFonts w:hint="eastAsia" w:ascii="宋体" w:hAnsi="宋体" w:cs="宋体"/>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kern w:val="0"/>
                <w:sz w:val="24"/>
                <w:highlight w:val="none"/>
              </w:rPr>
            </w:pPr>
            <w:sdt>
              <w:sdtPr>
                <w:rPr>
                  <w:rFonts w:hint="eastAsia" w:ascii="宋体" w:hAnsi="宋体" w:cs="宋体"/>
                  <w:kern w:val="0"/>
                  <w:sz w:val="24"/>
                  <w:highlight w:val="none"/>
                </w:rPr>
                <w:id w:val="-1828425707"/>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标项一：允许采购进口产品；</w:t>
            </w:r>
          </w:p>
          <w:p>
            <w:pPr>
              <w:rPr>
                <w:rFonts w:hint="eastAsia" w:ascii="宋体" w:hAnsi="宋体" w:eastAsia="宋体" w:cs="宋体"/>
                <w:kern w:val="0"/>
                <w:sz w:val="24"/>
                <w:highlight w:val="none"/>
                <w:lang w:val="en-US" w:eastAsia="zh-CN"/>
              </w:rPr>
            </w:pPr>
            <w:sdt>
              <w:sdtPr>
                <w:rPr>
                  <w:rFonts w:hint="eastAsia" w:ascii="宋体" w:hAnsi="宋体" w:cs="宋体"/>
                  <w:kern w:val="0"/>
                  <w:sz w:val="24"/>
                  <w:highlight w:val="none"/>
                </w:rPr>
                <w:id w:val="-168943796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标项二：允许采购进口产品</w:t>
            </w:r>
            <w:r>
              <w:rPr>
                <w:rFonts w:hint="eastAsia" w:ascii="宋体" w:hAnsi="宋体" w:cs="宋体"/>
                <w:kern w:val="0"/>
                <w:sz w:val="24"/>
                <w:highlight w:val="none"/>
                <w:lang w:val="en-US" w:eastAsia="zh-CN"/>
              </w:rPr>
              <w:t>；</w:t>
            </w:r>
          </w:p>
          <w:p>
            <w:pPr>
              <w:rPr>
                <w:rFonts w:ascii="宋体" w:hAnsi="宋体" w:cs="宋体"/>
                <w:kern w:val="0"/>
                <w:sz w:val="24"/>
                <w:highlight w:val="none"/>
              </w:rPr>
            </w:pPr>
            <w:sdt>
              <w:sdtPr>
                <w:rPr>
                  <w:rFonts w:hint="eastAsia" w:ascii="宋体" w:hAnsi="宋体" w:cs="宋体"/>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kern w:val="0"/>
                <w:sz w:val="24"/>
                <w:highlight w:val="none"/>
              </w:rPr>
              <w:t>标项</w:t>
            </w:r>
            <w:r>
              <w:rPr>
                <w:rFonts w:hint="eastAsia" w:ascii="宋体" w:hAnsi="宋体" w:cs="宋体"/>
                <w:kern w:val="0"/>
                <w:sz w:val="24"/>
                <w:highlight w:val="none"/>
                <w:lang w:val="en-US" w:eastAsia="zh-CN"/>
              </w:rPr>
              <w:t>三</w:t>
            </w:r>
            <w:r>
              <w:rPr>
                <w:rFonts w:hint="eastAsia" w:ascii="宋体" w:hAnsi="宋体" w:cs="宋体"/>
                <w:kern w:val="0"/>
                <w:sz w:val="24"/>
                <w:highlight w:val="none"/>
              </w:rPr>
              <w:t>：允许采购进口产品；</w:t>
            </w:r>
          </w:p>
          <w:p>
            <w:pPr>
              <w:rPr>
                <w:rFonts w:ascii="宋体" w:hAnsi="宋体" w:cs="宋体"/>
                <w:highlight w:val="none"/>
              </w:rPr>
            </w:pPr>
            <w:sdt>
              <w:sdtPr>
                <w:rPr>
                  <w:rFonts w:hint="eastAsia" w:ascii="宋体" w:hAnsi="宋体" w:cs="宋体"/>
                  <w:kern w:val="0"/>
                  <w:sz w:val="24"/>
                  <w:highlight w:val="none"/>
                </w:rPr>
                <w:id w:val="-168943796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kern w:val="0"/>
                <w:sz w:val="24"/>
                <w:highlight w:val="none"/>
              </w:rPr>
              <w:t>标项</w:t>
            </w:r>
            <w:r>
              <w:rPr>
                <w:rFonts w:hint="eastAsia" w:ascii="宋体" w:hAnsi="宋体" w:cs="宋体"/>
                <w:kern w:val="0"/>
                <w:sz w:val="24"/>
                <w:highlight w:val="none"/>
                <w:lang w:val="en-US" w:eastAsia="zh-CN"/>
              </w:rPr>
              <w:t>四</w:t>
            </w:r>
            <w:r>
              <w:rPr>
                <w:rFonts w:hint="eastAsia" w:ascii="宋体" w:hAnsi="宋体" w:cs="宋体"/>
                <w:kern w:val="0"/>
                <w:sz w:val="24"/>
                <w:highlight w:val="none"/>
              </w:rPr>
              <w:t>：允许采购进口产品；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highlight w:val="none"/>
              </w:rPr>
            </w:pPr>
            <w:r>
              <w:rPr>
                <w:rFonts w:hint="eastAsia" w:ascii="宋体" w:hAnsi="宋体" w:cs="宋体"/>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ind w:firstLine="482" w:firstLineChars="200"/>
              <w:rPr>
                <w:rFonts w:ascii="宋体" w:hAnsi="宋体" w:cs="宋体"/>
                <w:b/>
                <w:sz w:val="24"/>
                <w:highlight w:val="none"/>
              </w:rPr>
            </w:pPr>
            <w:r>
              <w:rPr>
                <w:rFonts w:hint="eastAsia" w:ascii="宋体" w:hAnsi="宋体" w:cs="宋体"/>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highlight w:val="none"/>
              </w:rPr>
            </w:pPr>
            <w:sdt>
              <w:sdtPr>
                <w:rPr>
                  <w:rFonts w:hint="eastAsia" w:ascii="宋体" w:hAnsi="宋体" w:cs="宋体"/>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 xml:space="preserve"> A</w:t>
            </w:r>
            <w:r>
              <w:rPr>
                <w:rFonts w:hint="eastAsia" w:ascii="宋体" w:hAnsi="宋体" w:cs="宋体"/>
                <w:sz w:val="24"/>
                <w:highlight w:val="none"/>
              </w:rPr>
              <w:t>同意将非主体、非关键性的工作分包。</w:t>
            </w:r>
          </w:p>
          <w:p>
            <w:pPr>
              <w:rPr>
                <w:rFonts w:ascii="宋体" w:hAnsi="宋体" w:cs="宋体"/>
                <w:sz w:val="24"/>
                <w:highlight w:val="none"/>
              </w:rPr>
            </w:pPr>
            <w:sdt>
              <w:sdtPr>
                <w:rPr>
                  <w:rFonts w:hint="eastAsia" w:ascii="宋体" w:hAnsi="宋体" w:cs="宋体"/>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 xml:space="preserve"> B</w:t>
            </w:r>
            <w:r>
              <w:rPr>
                <w:rFonts w:hint="eastAsia" w:ascii="宋体" w:hAnsi="宋体" w:cs="宋体"/>
                <w:sz w:val="24"/>
                <w:highlight w:val="none"/>
              </w:rPr>
              <w:t>不同意分包。</w:t>
            </w:r>
          </w:p>
          <w:p>
            <w:pPr>
              <w:rPr>
                <w:rFonts w:ascii="宋体" w:hAnsi="宋体" w:cs="宋体"/>
                <w:sz w:val="24"/>
                <w:highlight w:val="none"/>
              </w:rPr>
            </w:pPr>
            <w:r>
              <w:rPr>
                <w:rFonts w:hint="eastAsia" w:ascii="宋体" w:hAnsi="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sz w:val="24"/>
                <w:highlight w:val="none"/>
              </w:rPr>
            </w:pPr>
            <w:r>
              <w:rPr>
                <w:rFonts w:hint="eastAsia" w:ascii="宋体" w:hAnsi="宋体" w:cs="宋体"/>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highlight w:val="none"/>
              </w:rPr>
            </w:pPr>
            <w:sdt>
              <w:sdtPr>
                <w:rPr>
                  <w:rFonts w:hint="eastAsia" w:ascii="宋体" w:hAnsi="宋体" w:cs="宋体"/>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kern w:val="0"/>
                <w:sz w:val="24"/>
                <w:highlight w:val="none"/>
              </w:rPr>
              <w:t>A</w:t>
            </w:r>
            <w:r>
              <w:rPr>
                <w:rFonts w:hint="eastAsia" w:ascii="宋体" w:hAnsi="宋体" w:cs="宋体"/>
                <w:sz w:val="24"/>
                <w:highlight w:val="none"/>
              </w:rPr>
              <w:t>不组织。</w:t>
            </w:r>
          </w:p>
          <w:p>
            <w:pPr>
              <w:rPr>
                <w:rFonts w:ascii="宋体" w:hAnsi="宋体" w:cs="宋体"/>
                <w:sz w:val="24"/>
                <w:szCs w:val="20"/>
                <w:highlight w:val="none"/>
              </w:rPr>
            </w:pPr>
            <w:sdt>
              <w:sdtPr>
                <w:rPr>
                  <w:rFonts w:hint="eastAsia" w:ascii="宋体" w:hAnsi="宋体" w:cs="宋体"/>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B组织，</w:t>
            </w:r>
            <w:r>
              <w:rPr>
                <w:rFonts w:hint="eastAsia" w:ascii="宋体" w:hAnsi="宋体" w:cs="宋体"/>
                <w:sz w:val="24"/>
                <w:highlight w:val="none"/>
              </w:rPr>
              <w:t>时间：</w:t>
            </w:r>
            <w:r>
              <w:rPr>
                <w:rFonts w:hint="eastAsia" w:ascii="宋体" w:hAnsi="宋体" w:cs="宋体"/>
                <w:sz w:val="24"/>
                <w:highlight w:val="none"/>
                <w:u w:val="single"/>
              </w:rPr>
              <w:t xml:space="preserve">      </w:t>
            </w:r>
            <w:r>
              <w:rPr>
                <w:rFonts w:hint="eastAsia" w:ascii="宋体" w:hAnsi="宋体" w:cs="宋体"/>
                <w:sz w:val="24"/>
                <w:highlight w:val="none"/>
              </w:rPr>
              <w:t>,地点：</w:t>
            </w:r>
            <w:r>
              <w:rPr>
                <w:rFonts w:hint="eastAsia" w:ascii="宋体" w:hAnsi="宋体" w:cs="宋体"/>
                <w:sz w:val="24"/>
                <w:highlight w:val="none"/>
                <w:u w:val="single"/>
              </w:rPr>
              <w:t xml:space="preserve">      </w:t>
            </w:r>
            <w:r>
              <w:rPr>
                <w:rFonts w:hint="eastAsia" w:ascii="宋体" w:hAnsi="宋体" w:cs="宋体"/>
                <w:sz w:val="24"/>
                <w:highlight w:val="none"/>
              </w:rPr>
              <w:t>，联系人：</w:t>
            </w:r>
            <w:r>
              <w:rPr>
                <w:rFonts w:hint="eastAsia" w:ascii="宋体" w:hAnsi="宋体" w:cs="宋体"/>
                <w:sz w:val="24"/>
                <w:highlight w:val="none"/>
                <w:u w:val="single"/>
              </w:rPr>
              <w:t xml:space="preserve">      </w:t>
            </w:r>
            <w:r>
              <w:rPr>
                <w:rFonts w:hint="eastAsia" w:ascii="宋体" w:hAnsi="宋体" w:cs="宋体"/>
                <w:sz w:val="24"/>
                <w:highlight w:val="none"/>
              </w:rPr>
              <w:t>，联系方式：</w:t>
            </w:r>
            <w:r>
              <w:rPr>
                <w:rFonts w:hint="eastAsia" w:ascii="宋体" w:hAnsi="宋体" w:cs="宋体"/>
                <w:sz w:val="24"/>
                <w:highlight w:val="none"/>
                <w:u w:val="single"/>
              </w:rPr>
              <w:t xml:space="preserve">      </w:t>
            </w:r>
            <w:r>
              <w:rPr>
                <w:rFonts w:hint="eastAsia" w:ascii="宋体" w:hAnsi="宋体" w:cs="宋体"/>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r>
              <w:rPr>
                <w:rFonts w:hint="eastAsia" w:ascii="宋体" w:hAnsi="宋体" w:cs="宋体"/>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highlight w:val="none"/>
              </w:rPr>
            </w:pPr>
            <w:sdt>
              <w:sdtPr>
                <w:rPr>
                  <w:rFonts w:hint="eastAsia" w:ascii="宋体" w:hAnsi="宋体" w:cs="宋体"/>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kern w:val="0"/>
                <w:sz w:val="24"/>
                <w:highlight w:val="none"/>
              </w:rPr>
              <w:t>A</w:t>
            </w:r>
            <w:r>
              <w:rPr>
                <w:rFonts w:hint="eastAsia" w:ascii="宋体" w:hAnsi="宋体" w:cs="宋体"/>
                <w:sz w:val="24"/>
                <w:highlight w:val="none"/>
              </w:rPr>
              <w:t>不要求提供。</w:t>
            </w:r>
          </w:p>
          <w:p>
            <w:pPr>
              <w:rPr>
                <w:rFonts w:ascii="宋体" w:hAnsi="宋体" w:cs="宋体"/>
                <w:kern w:val="0"/>
                <w:sz w:val="24"/>
                <w:highlight w:val="none"/>
              </w:rPr>
            </w:pPr>
            <w:sdt>
              <w:sdtPr>
                <w:rPr>
                  <w:rFonts w:hint="eastAsia" w:ascii="宋体" w:hAnsi="宋体" w:cs="宋体"/>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B要求提供，</w:t>
            </w:r>
          </w:p>
          <w:p>
            <w:pPr>
              <w:rPr>
                <w:rFonts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snapToGrid w:val="0"/>
                <w:kern w:val="28"/>
                <w:sz w:val="24"/>
                <w:highlight w:val="none"/>
              </w:rPr>
              <w:t>样品：</w:t>
            </w:r>
            <w:r>
              <w:rPr>
                <w:rFonts w:hint="eastAsia" w:ascii="宋体" w:hAnsi="宋体" w:cs="宋体"/>
                <w:snapToGrid w:val="0"/>
                <w:kern w:val="28"/>
                <w:sz w:val="24"/>
                <w:highlight w:val="none"/>
                <w:u w:val="single"/>
              </w:rPr>
              <w:t xml:space="preserve">         </w:t>
            </w:r>
            <w:r>
              <w:rPr>
                <w:rFonts w:hint="eastAsia" w:ascii="宋体" w:hAnsi="宋体" w:cs="宋体"/>
                <w:kern w:val="0"/>
                <w:sz w:val="24"/>
                <w:highlight w:val="none"/>
                <w:u w:val="single"/>
              </w:rPr>
              <w:t>；</w:t>
            </w:r>
          </w:p>
          <w:p>
            <w:pPr>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cs="宋体"/>
                <w:snapToGrid w:val="0"/>
                <w:kern w:val="28"/>
                <w:sz w:val="24"/>
                <w:highlight w:val="none"/>
              </w:rPr>
              <w:t>样品制作的标准和要求：详见</w:t>
            </w:r>
            <w:r>
              <w:rPr>
                <w:rFonts w:hint="eastAsia" w:ascii="宋体" w:hAnsi="宋体" w:cs="宋体"/>
                <w:sz w:val="24"/>
                <w:highlight w:val="none"/>
                <w:u w:val="single"/>
              </w:rPr>
              <w:t>采购需求</w:t>
            </w:r>
            <w:r>
              <w:rPr>
                <w:rFonts w:hint="eastAsia" w:ascii="宋体" w:hAnsi="宋体" w:cs="宋体"/>
                <w:kern w:val="0"/>
                <w:sz w:val="24"/>
                <w:highlight w:val="none"/>
              </w:rPr>
              <w:t>；</w:t>
            </w:r>
          </w:p>
          <w:p>
            <w:pPr>
              <w:rPr>
                <w:rFonts w:ascii="宋体" w:hAnsi="宋体" w:cs="宋体"/>
                <w:kern w:val="0"/>
                <w:sz w:val="24"/>
                <w:highlight w:val="none"/>
              </w:rPr>
            </w:pPr>
            <w:r>
              <w:rPr>
                <w:rFonts w:hint="eastAsia" w:ascii="宋体" w:hAnsi="宋体" w:cs="宋体"/>
                <w:kern w:val="0"/>
                <w:sz w:val="24"/>
                <w:highlight w:val="none"/>
              </w:rPr>
              <w:t>（3）样品的评审方法以及评审标准</w:t>
            </w:r>
            <w:r>
              <w:rPr>
                <w:rFonts w:hint="eastAsia" w:ascii="宋体" w:hAnsi="宋体" w:cs="宋体"/>
                <w:snapToGrid w:val="0"/>
                <w:kern w:val="28"/>
                <w:sz w:val="24"/>
                <w:highlight w:val="none"/>
              </w:rPr>
              <w:t>：详见</w:t>
            </w:r>
            <w:r>
              <w:rPr>
                <w:rFonts w:hint="eastAsia" w:ascii="宋体" w:hAnsi="宋体" w:cs="宋体"/>
                <w:sz w:val="24"/>
                <w:highlight w:val="none"/>
                <w:u w:val="single"/>
              </w:rPr>
              <w:t>评标办法</w:t>
            </w:r>
            <w:r>
              <w:rPr>
                <w:rFonts w:hint="eastAsia" w:ascii="宋体" w:hAnsi="宋体" w:cs="宋体"/>
                <w:kern w:val="0"/>
                <w:sz w:val="24"/>
                <w:highlight w:val="none"/>
              </w:rPr>
              <w:t>；</w:t>
            </w:r>
          </w:p>
          <w:p>
            <w:pPr>
              <w:rPr>
                <w:rFonts w:ascii="宋体" w:hAnsi="宋体" w:cs="宋体"/>
                <w:kern w:val="0"/>
                <w:sz w:val="24"/>
                <w:highlight w:val="none"/>
              </w:rPr>
            </w:pPr>
            <w:r>
              <w:rPr>
                <w:rFonts w:hint="eastAsia" w:ascii="宋体" w:hAnsi="宋体" w:cs="宋体"/>
                <w:kern w:val="0"/>
                <w:sz w:val="24"/>
                <w:highlight w:val="none"/>
              </w:rPr>
              <w:t>（4）是否需要随样品提交检测报告：</w:t>
            </w:r>
            <w:sdt>
              <w:sdtPr>
                <w:rPr>
                  <w:rFonts w:hint="eastAsia" w:ascii="宋体" w:hAnsi="宋体" w:cs="宋体"/>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kern w:val="0"/>
                <w:sz w:val="24"/>
                <w:highlight w:val="none"/>
              </w:rPr>
              <w:t>否；</w:t>
            </w:r>
            <w:sdt>
              <w:sdtPr>
                <w:rPr>
                  <w:rFonts w:hint="eastAsia" w:ascii="宋体" w:hAnsi="宋体" w:cs="宋体"/>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是，检测机构的要求</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；检测内容</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rPr>
                <w:rFonts w:ascii="宋体" w:hAnsi="宋体" w:cs="宋体"/>
                <w:sz w:val="24"/>
                <w:highlight w:val="none"/>
              </w:rPr>
            </w:pPr>
            <w:r>
              <w:rPr>
                <w:rFonts w:hint="eastAsia" w:ascii="宋体" w:hAnsi="宋体" w:cs="宋体"/>
                <w:sz w:val="24"/>
                <w:highlight w:val="none"/>
              </w:rPr>
              <w:t>（5）提供样品的时间：</w:t>
            </w:r>
            <w:r>
              <w:rPr>
                <w:rFonts w:hint="eastAsia" w:ascii="宋体" w:hAnsi="宋体" w:cs="宋体"/>
                <w:sz w:val="24"/>
                <w:highlight w:val="none"/>
                <w:u w:val="single"/>
              </w:rPr>
              <w:t>2023年 月 日00:00前（北京时间）</w:t>
            </w:r>
            <w:r>
              <w:rPr>
                <w:rFonts w:hint="eastAsia" w:ascii="宋体" w:hAnsi="宋体" w:cs="宋体"/>
                <w:kern w:val="0"/>
                <w:sz w:val="24"/>
                <w:highlight w:val="none"/>
              </w:rPr>
              <w:t>；地点：</w:t>
            </w:r>
            <w:r>
              <w:rPr>
                <w:rFonts w:hint="eastAsia" w:ascii="宋体" w:hAnsi="宋体" w:cs="宋体"/>
                <w:kern w:val="0"/>
                <w:sz w:val="24"/>
                <w:highlight w:val="none"/>
                <w:u w:val="single"/>
              </w:rPr>
              <w:t>丽水市公共资源交易中心（丽水市人民街615号商会大厦5楼）样品室</w:t>
            </w:r>
            <w:r>
              <w:rPr>
                <w:rFonts w:hint="eastAsia" w:ascii="宋体" w:hAnsi="宋体" w:cs="宋体"/>
                <w:sz w:val="24"/>
                <w:highlight w:val="none"/>
              </w:rPr>
              <w:t>。请投标人在上述时间内提供样品并按规定位置安装完毕。超过截止时间的，采购人或采购代理机构将不予接收，并将清场并封闭样品现场。</w:t>
            </w:r>
          </w:p>
          <w:p>
            <w:pPr>
              <w:rPr>
                <w:rFonts w:ascii="宋体" w:hAnsi="宋体" w:cs="宋体"/>
                <w:sz w:val="24"/>
                <w:highlight w:val="none"/>
              </w:rPr>
            </w:pPr>
            <w:r>
              <w:rPr>
                <w:rFonts w:hint="eastAsia" w:ascii="宋体" w:hAnsi="宋体" w:cs="宋体"/>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rPr>
                <w:rFonts w:ascii="宋体" w:hAnsi="宋体" w:cs="宋体"/>
                <w:b/>
                <w:sz w:val="24"/>
                <w:highlight w:val="none"/>
              </w:rPr>
            </w:pPr>
            <w:r>
              <w:rPr>
                <w:rFonts w:hint="eastAsia" w:ascii="宋体" w:hAnsi="宋体" w:cs="宋体"/>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r>
              <w:rPr>
                <w:rFonts w:hint="eastAsia" w:ascii="宋体" w:hAnsi="宋体" w:cs="宋体"/>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Cs/>
                <w:sz w:val="24"/>
                <w:highlight w:val="none"/>
              </w:rPr>
            </w:pPr>
            <w:r>
              <w:rPr>
                <w:rFonts w:hint="eastAsia" w:ascii="宋体" w:hAnsi="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highlight w:val="none"/>
              </w:rPr>
            </w:pPr>
            <w:sdt>
              <w:sdtPr>
                <w:rPr>
                  <w:rFonts w:hint="eastAsia" w:ascii="宋体" w:hAnsi="宋体" w:cs="宋体"/>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kern w:val="0"/>
                <w:sz w:val="24"/>
                <w:highlight w:val="none"/>
              </w:rPr>
              <w:t>A</w:t>
            </w:r>
            <w:r>
              <w:rPr>
                <w:rFonts w:hint="eastAsia" w:ascii="宋体" w:hAnsi="宋体" w:cs="宋体"/>
                <w:sz w:val="24"/>
                <w:highlight w:val="none"/>
              </w:rPr>
              <w:t>不组织。</w:t>
            </w:r>
          </w:p>
          <w:p>
            <w:pPr>
              <w:rPr>
                <w:rFonts w:ascii="宋体" w:hAnsi="宋体" w:cs="宋体"/>
                <w:kern w:val="0"/>
                <w:sz w:val="24"/>
                <w:highlight w:val="none"/>
              </w:rPr>
            </w:pPr>
            <w:sdt>
              <w:sdtPr>
                <w:rPr>
                  <w:rFonts w:hint="eastAsia" w:ascii="宋体" w:hAnsi="宋体" w:cs="宋体"/>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B组织。</w:t>
            </w:r>
          </w:p>
          <w:p>
            <w:pPr>
              <w:snapToGrid w:val="0"/>
              <w:ind w:firstLine="240" w:firstLineChars="100"/>
              <w:rPr>
                <w:rFonts w:ascii="宋体" w:hAnsi="宋体" w:cs="宋体"/>
                <w:kern w:val="0"/>
                <w:sz w:val="24"/>
                <w:highlight w:val="none"/>
              </w:rPr>
            </w:pPr>
            <w:r>
              <w:rPr>
                <w:rFonts w:hint="eastAsia" w:ascii="宋体" w:hAnsi="宋体" w:cs="宋体"/>
                <w:kern w:val="0"/>
                <w:sz w:val="24"/>
                <w:highlight w:val="none"/>
              </w:rPr>
              <w:t>讲解演示：</w:t>
            </w:r>
          </w:p>
          <w:p>
            <w:pPr>
              <w:snapToGrid w:val="0"/>
              <w:rPr>
                <w:rFonts w:ascii="宋体" w:hAnsi="宋体" w:cs="宋体"/>
                <w:kern w:val="0"/>
                <w:sz w:val="24"/>
                <w:highlight w:val="none"/>
              </w:rPr>
            </w:pPr>
            <w:r>
              <w:rPr>
                <w:rFonts w:hint="eastAsia" w:ascii="宋体" w:hAnsi="宋体" w:cs="宋体"/>
                <w:kern w:val="0"/>
                <w:sz w:val="24"/>
                <w:highlight w:val="none"/>
              </w:rPr>
              <w:t>评标现场讲解地点为</w:t>
            </w:r>
            <w:r>
              <w:rPr>
                <w:rFonts w:hint="eastAsia" w:ascii="宋体" w:hAnsi="宋体" w:cs="宋体"/>
                <w:kern w:val="0"/>
                <w:sz w:val="24"/>
                <w:highlight w:val="none"/>
                <w:u w:val="single"/>
              </w:rPr>
              <w:t>丽水市公共资源交易中心（丽水市人民街615号商会大厦5楼）样品室</w:t>
            </w:r>
            <w:r>
              <w:rPr>
                <w:rFonts w:hint="eastAsia" w:ascii="宋体" w:hAnsi="宋体" w:cs="宋体"/>
                <w:kern w:val="0"/>
                <w:sz w:val="24"/>
                <w:highlight w:val="none"/>
              </w:rPr>
              <w:t>，讲解演示所用电脑等设备由投标人自备。现场讲解演示人员进场时提供讲解人员名单（加盖公章或授权代表签名）及身份证明，否则不得讲解演示。</w:t>
            </w:r>
          </w:p>
          <w:p>
            <w:pPr>
              <w:snapToGrid w:val="0"/>
              <w:rPr>
                <w:rFonts w:ascii="宋体" w:hAnsi="宋体" w:cs="宋体"/>
                <w:b/>
                <w:kern w:val="0"/>
                <w:sz w:val="24"/>
                <w:highlight w:val="none"/>
                <w:lang w:val="zh-CN"/>
              </w:rPr>
            </w:pPr>
            <w:r>
              <w:rPr>
                <w:rFonts w:hint="eastAsia" w:ascii="宋体" w:hAnsi="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jc w:val="center"/>
        </w:trPr>
        <w:tc>
          <w:tcPr>
            <w:tcW w:w="629" w:type="dxa"/>
            <w:vMerge w:val="restart"/>
            <w:tcBorders>
              <w:top w:val="single" w:color="auto" w:sz="4" w:space="0"/>
              <w:left w:val="single" w:color="auto" w:sz="4" w:space="0"/>
              <w:right w:val="single" w:color="auto" w:sz="4" w:space="0"/>
            </w:tcBorders>
          </w:tcPr>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r>
              <w:rPr>
                <w:rFonts w:hint="eastAsia" w:ascii="宋体" w:hAnsi="宋体" w:cs="宋体"/>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rPr>
                <w:rFonts w:ascii="宋体" w:hAnsi="宋体" w:cs="宋体"/>
                <w:sz w:val="24"/>
                <w:highlight w:val="none"/>
              </w:rPr>
            </w:pPr>
            <w:r>
              <w:rPr>
                <w:rFonts w:hint="eastAsia" w:ascii="宋体" w:hAnsi="宋体" w:cs="宋体"/>
                <w:sz w:val="24"/>
                <w:highlight w:val="none"/>
              </w:rPr>
              <w:t>（1）资格证明文件：见招标文件第二部分11.1。</w:t>
            </w:r>
          </w:p>
          <w:p>
            <w:pPr>
              <w:rPr>
                <w:rFonts w:ascii="宋体" w:hAnsi="宋体" w:cs="宋体"/>
                <w:snapToGrid w:val="0"/>
                <w:kern w:val="0"/>
                <w:szCs w:val="21"/>
                <w:highlight w:val="none"/>
              </w:rPr>
            </w:pPr>
            <w:r>
              <w:rPr>
                <w:rFonts w:hint="eastAsia" w:ascii="宋体" w:hAnsi="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5" w:hRule="atLeast"/>
          <w:tblHeader/>
          <w:jc w:val="center"/>
        </w:trPr>
        <w:tc>
          <w:tcPr>
            <w:tcW w:w="629" w:type="dxa"/>
            <w:vMerge w:val="continue"/>
            <w:tcBorders>
              <w:left w:val="single" w:color="auto" w:sz="4" w:space="0"/>
              <w:bottom w:val="single" w:color="auto" w:sz="4" w:space="0"/>
              <w:right w:val="single" w:color="auto" w:sz="4" w:space="0"/>
            </w:tcBorders>
          </w:tcPr>
          <w:p>
            <w:pPr>
              <w:snapToGrid w:val="0"/>
              <w:jc w:val="center"/>
              <w:rPr>
                <w:rFonts w:ascii="宋体" w:hAnsi="宋体" w:cs="宋体"/>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jc w:val="center"/>
              <w:rPr>
                <w:rFonts w:ascii="宋体" w:hAnsi="宋体" w:cs="宋体"/>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rPr>
                <w:rFonts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r>
              <w:rPr>
                <w:rFonts w:hint="eastAsia" w:ascii="宋体" w:hAnsi="宋体" w:cs="宋体"/>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highlight w:val="none"/>
              </w:rPr>
            </w:pPr>
            <w:r>
              <w:rPr>
                <w:rFonts w:hint="eastAsia" w:ascii="宋体" w:hAnsi="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p>
          <w:p>
            <w:pPr>
              <w:snapToGrid w:val="0"/>
              <w:jc w:val="center"/>
              <w:rPr>
                <w:rFonts w:ascii="宋体" w:hAnsi="宋体" w:cs="宋体"/>
                <w:sz w:val="24"/>
                <w:highlight w:val="none"/>
              </w:rPr>
            </w:pPr>
            <w:r>
              <w:rPr>
                <w:rFonts w:hint="eastAsia" w:ascii="宋体" w:hAnsi="宋体" w:cs="宋体"/>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ascii="宋体" w:hAnsi="宋体" w:cs="宋体"/>
                <w:b/>
                <w:kern w:val="0"/>
                <w:sz w:val="24"/>
                <w:highlight w:val="none"/>
                <w:lang w:val="zh-CN"/>
              </w:rPr>
            </w:pPr>
            <w:r>
              <w:rPr>
                <w:rFonts w:hint="eastAsia" w:ascii="宋体" w:hAnsi="宋体" w:cs="宋体"/>
                <w:kern w:val="0"/>
                <w:sz w:val="24"/>
                <w:highlight w:val="none"/>
                <w:lang w:val="zh-CN"/>
              </w:rPr>
              <w:t>有关本项目实施所需的所有费用（含税费）均计入报价。</w:t>
            </w:r>
            <w:r>
              <w:rPr>
                <w:rFonts w:hint="eastAsia" w:ascii="宋体" w:hAnsi="宋体" w:cs="宋体"/>
                <w:b/>
                <w:bCs/>
                <w:kern w:val="0"/>
                <w:sz w:val="24"/>
                <w:highlight w:val="none"/>
                <w:lang w:val="zh-CN"/>
              </w:rPr>
              <w:t>投标文件</w:t>
            </w:r>
            <w:r>
              <w:rPr>
                <w:rFonts w:hint="eastAsia" w:ascii="宋体" w:hAnsi="宋体" w:cs="宋体"/>
                <w:b/>
                <w:bCs/>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highlight w:val="none"/>
                <w:lang w:val="zh-CN"/>
              </w:rPr>
              <w:t>投标文件中价格全部采用人民币报价。招标文件未列明，而投标人认为必需的费用也需列入报价。</w:t>
            </w:r>
            <w:r>
              <w:rPr>
                <w:rFonts w:hint="eastAsia" w:ascii="宋体" w:hAnsi="宋体" w:cs="宋体"/>
                <w:b/>
                <w:kern w:val="0"/>
                <w:sz w:val="24"/>
                <w:highlight w:val="none"/>
                <w:lang w:val="zh-CN"/>
              </w:rPr>
              <w:t>提醒：验收时检测费用由采购人承担，不包含在投标总价中。</w:t>
            </w:r>
          </w:p>
          <w:p>
            <w:pPr>
              <w:snapToGrid w:val="0"/>
              <w:jc w:val="left"/>
              <w:rPr>
                <w:rFonts w:ascii="宋体" w:hAnsi="宋体" w:cs="宋体"/>
                <w:b/>
                <w:kern w:val="0"/>
                <w:sz w:val="24"/>
                <w:highlight w:val="none"/>
                <w:lang w:val="zh-CN"/>
              </w:rPr>
            </w:pPr>
            <w:r>
              <w:rPr>
                <w:rFonts w:hint="eastAsia" w:ascii="宋体" w:hAnsi="宋体" w:cs="宋体"/>
                <w:b/>
                <w:kern w:val="0"/>
                <w:sz w:val="24"/>
                <w:highlight w:val="none"/>
                <w:lang w:val="zh-CN"/>
              </w:rPr>
              <w:t>投标报价出现下列情形的，投标无效：</w:t>
            </w:r>
          </w:p>
          <w:p>
            <w:pPr>
              <w:snapToGrid w:val="0"/>
              <w:ind w:firstLine="241" w:firstLineChars="100"/>
              <w:jc w:val="left"/>
              <w:rPr>
                <w:rFonts w:ascii="宋体" w:hAnsi="宋体" w:cs="宋体"/>
                <w:b/>
                <w:kern w:val="0"/>
                <w:sz w:val="24"/>
                <w:highlight w:val="none"/>
                <w:lang w:val="zh-CN"/>
              </w:rPr>
            </w:pPr>
            <w:r>
              <w:rPr>
                <w:rFonts w:hint="eastAsia" w:ascii="宋体" w:hAnsi="宋体" w:cs="宋体"/>
                <w:b/>
                <w:kern w:val="0"/>
                <w:sz w:val="24"/>
                <w:highlight w:val="none"/>
                <w:lang w:val="zh-CN"/>
              </w:rPr>
              <w:t>投标文件出现不是唯一的、有选择性投标报价的；</w:t>
            </w:r>
          </w:p>
          <w:p>
            <w:pPr>
              <w:snapToGrid w:val="0"/>
              <w:ind w:firstLine="241" w:firstLineChars="100"/>
              <w:jc w:val="left"/>
              <w:rPr>
                <w:rFonts w:ascii="宋体" w:hAnsi="宋体" w:cs="宋体"/>
                <w:kern w:val="0"/>
                <w:sz w:val="24"/>
                <w:highlight w:val="none"/>
                <w:lang w:val="zh-CN"/>
              </w:rPr>
            </w:pPr>
            <w:r>
              <w:rPr>
                <w:rFonts w:hint="eastAsia" w:ascii="宋体" w:hAnsi="宋体" w:cs="宋体"/>
                <w:b/>
                <w:kern w:val="0"/>
                <w:sz w:val="24"/>
                <w:highlight w:val="none"/>
                <w:lang w:val="zh-CN"/>
              </w:rPr>
              <w:t>投标报价超过招标文件中规定的预算金额或者最高限价的;</w:t>
            </w:r>
          </w:p>
          <w:p>
            <w:pPr>
              <w:ind w:firstLine="241" w:firstLineChars="100"/>
              <w:rPr>
                <w:rFonts w:ascii="宋体" w:hAnsi="宋体" w:cs="宋体"/>
                <w:b/>
                <w:sz w:val="24"/>
                <w:highlight w:val="none"/>
              </w:rPr>
            </w:pPr>
            <w:r>
              <w:rPr>
                <w:rFonts w:hint="eastAsia" w:ascii="宋体" w:hAnsi="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highlight w:val="none"/>
              </w:rPr>
              <w:t>;</w:t>
            </w:r>
          </w:p>
          <w:p>
            <w:pPr>
              <w:spacing w:line="400" w:lineRule="exact"/>
              <w:rPr>
                <w:rFonts w:ascii="宋体" w:hAnsi="宋体" w:cs="宋体"/>
                <w:sz w:val="24"/>
                <w:highlight w:val="none"/>
              </w:rPr>
            </w:pPr>
            <w:r>
              <w:rPr>
                <w:rFonts w:hint="eastAsia" w:ascii="宋体" w:hAnsi="宋体" w:cs="宋体"/>
                <w:b/>
                <w:kern w:val="0"/>
                <w:sz w:val="24"/>
                <w:highlight w:val="none"/>
              </w:rPr>
              <w:t>投标人对根据修正原则修正后的报价不确认的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0" w:hRule="atLeast"/>
          <w:tblHeader/>
          <w:jc w:val="center"/>
        </w:trPr>
        <w:tc>
          <w:tcPr>
            <w:tcW w:w="629" w:type="dxa"/>
            <w:tcBorders>
              <w:top w:val="single" w:color="auto" w:sz="4" w:space="0"/>
              <w:left w:val="single" w:color="000000" w:sz="8" w:space="0"/>
              <w:right w:val="single" w:color="000000" w:sz="2" w:space="0"/>
            </w:tcBorders>
            <w:vAlign w:val="center"/>
          </w:tcPr>
          <w:p>
            <w:pPr>
              <w:snapToGrid w:val="0"/>
              <w:jc w:val="center"/>
              <w:rPr>
                <w:rFonts w:ascii="宋体" w:hAnsi="宋体" w:cs="宋体"/>
                <w:sz w:val="24"/>
                <w:highlight w:val="none"/>
              </w:rPr>
            </w:pPr>
            <w:r>
              <w:rPr>
                <w:rFonts w:hint="eastAsia" w:ascii="宋体" w:hAnsi="宋体" w:cs="宋体"/>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ind w:firstLine="480" w:firstLineChars="200"/>
              <w:rPr>
                <w:rFonts w:ascii="宋体" w:hAnsi="宋体" w:cs="宋体"/>
                <w:sz w:val="24"/>
                <w:highlight w:val="none"/>
              </w:rPr>
            </w:pPr>
            <w:r>
              <w:rPr>
                <w:rFonts w:hint="eastAsia" w:ascii="宋体" w:hAnsi="宋体" w:cs="宋体"/>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highlight w:val="none"/>
              </w:rPr>
            </w:pPr>
            <w:r>
              <w:rPr>
                <w:rFonts w:hint="eastAsia" w:ascii="宋体" w:hAnsi="宋体" w:cs="宋体"/>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rPr>
                <w:rFonts w:hAnsi="宋体" w:cs="宋体"/>
                <w:kern w:val="28"/>
                <w:sz w:val="24"/>
                <w:highlight w:val="none"/>
              </w:rPr>
            </w:pPr>
            <w:r>
              <w:rPr>
                <w:rFonts w:hint="eastAsia" w:hAnsi="宋体" w:cs="宋体"/>
                <w:kern w:val="28"/>
                <w:sz w:val="24"/>
                <w:szCs w:val="24"/>
                <w:highlight w:val="none"/>
              </w:rPr>
              <w:t>备份投标文件送达地点：</w:t>
            </w:r>
            <w:r>
              <w:rPr>
                <w:rFonts w:hint="eastAsia" w:hAnsi="宋体" w:cs="宋体"/>
                <w:sz w:val="24"/>
                <w:highlight w:val="none"/>
                <w:u w:val="single"/>
              </w:rPr>
              <w:t>4893224@qq.com</w:t>
            </w:r>
            <w:r>
              <w:rPr>
                <w:rFonts w:hint="eastAsia" w:hAnsi="宋体" w:cs="宋体"/>
                <w:kern w:val="28"/>
                <w:sz w:val="24"/>
                <w:szCs w:val="24"/>
                <w:highlight w:val="none"/>
              </w:rPr>
              <w:t>；备份投标文件签收人员联系电话：</w:t>
            </w:r>
            <w:r>
              <w:rPr>
                <w:rFonts w:hint="eastAsia" w:hAnsi="宋体" w:cs="宋体"/>
                <w:sz w:val="24"/>
                <w:highlight w:val="none"/>
                <w:u w:val="single"/>
              </w:rPr>
              <w:t>0574-88090150</w:t>
            </w:r>
            <w:r>
              <w:rPr>
                <w:rFonts w:hint="eastAsia" w:hAnsi="宋体" w:cs="宋体"/>
                <w:sz w:val="24"/>
                <w:szCs w:val="24"/>
                <w:highlight w:val="none"/>
              </w:rPr>
              <w:t>。</w:t>
            </w:r>
            <w:r>
              <w:rPr>
                <w:rFonts w:hint="eastAsia" w:hAnsi="宋体" w:cs="宋体"/>
                <w:b/>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jc w:val="center"/>
        </w:trPr>
        <w:tc>
          <w:tcPr>
            <w:tcW w:w="629" w:type="dxa"/>
            <w:vMerge w:val="restart"/>
            <w:tcBorders>
              <w:top w:val="single" w:color="auto" w:sz="4" w:space="0"/>
              <w:left w:val="single" w:color="000000" w:sz="8" w:space="0"/>
              <w:right w:val="single" w:color="000000" w:sz="2" w:space="0"/>
            </w:tcBorders>
            <w:vAlign w:val="center"/>
          </w:tcPr>
          <w:p>
            <w:pPr>
              <w:snapToGrid w:val="0"/>
              <w:jc w:val="center"/>
              <w:rPr>
                <w:rFonts w:ascii="宋体" w:hAnsi="宋体" w:cs="宋体"/>
                <w:sz w:val="24"/>
                <w:highlight w:val="none"/>
              </w:rPr>
            </w:pPr>
            <w:r>
              <w:rPr>
                <w:rFonts w:hint="eastAsia" w:ascii="宋体" w:hAnsi="宋体" w:cs="宋体"/>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kern w:val="28"/>
                <w:sz w:val="24"/>
                <w:highlight w:val="none"/>
              </w:rPr>
            </w:pPr>
            <w:r>
              <w:rPr>
                <w:rFonts w:hint="eastAsia" w:ascii="宋体" w:hAnsi="宋体" w:cs="宋体"/>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09" w:hRule="atLeast"/>
          <w:tblHeader/>
          <w:jc w:val="center"/>
        </w:trPr>
        <w:tc>
          <w:tcPr>
            <w:tcW w:w="629" w:type="dxa"/>
            <w:vMerge w:val="continue"/>
            <w:tcBorders>
              <w:left w:val="single" w:color="000000" w:sz="8" w:space="0"/>
              <w:bottom w:val="single" w:color="auto" w:sz="4" w:space="0"/>
              <w:right w:val="single" w:color="000000" w:sz="2" w:space="0"/>
            </w:tcBorders>
          </w:tcPr>
          <w:p>
            <w:pPr>
              <w:snapToGrid w:val="0"/>
              <w:jc w:val="center"/>
              <w:rPr>
                <w:rFonts w:ascii="宋体" w:hAnsi="宋体" w:cs="宋体"/>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jc w:val="center"/>
              <w:rPr>
                <w:rFonts w:ascii="宋体" w:hAnsi="宋体" w:cs="宋体"/>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kern w:val="28"/>
                <w:sz w:val="24"/>
                <w:highlight w:val="none"/>
              </w:rPr>
            </w:pPr>
            <w:sdt>
              <w:sdtPr>
                <w:rPr>
                  <w:rFonts w:hint="eastAsia" w:ascii="宋体" w:hAnsi="宋体" w:cs="宋体"/>
                  <w:kern w:val="0"/>
                  <w:sz w:val="24"/>
                  <w:highlight w:val="none"/>
                </w:rPr>
                <w:id w:val="-369766551"/>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snapToGrid w:val="0"/>
                <w:kern w:val="28"/>
                <w:sz w:val="24"/>
                <w:highlight w:val="none"/>
              </w:rPr>
              <w:t>联合体投标的，联合体各方均需按招标文件第四部分评标标准要求提供资信证明文件，否则视为不符合相关要求。</w:t>
            </w:r>
          </w:p>
          <w:p>
            <w:pPr>
              <w:rPr>
                <w:rFonts w:ascii="宋体" w:hAnsi="宋体" w:cs="宋体"/>
                <w:snapToGrid w:val="0"/>
                <w:kern w:val="28"/>
                <w:sz w:val="24"/>
                <w:highlight w:val="none"/>
              </w:rPr>
            </w:pPr>
            <w:sdt>
              <w:sdtPr>
                <w:rPr>
                  <w:rFonts w:hint="eastAsia" w:ascii="宋体" w:hAnsi="宋体" w:cs="宋体"/>
                  <w:kern w:val="0"/>
                  <w:sz w:val="24"/>
                  <w:highlight w:val="none"/>
                </w:rPr>
                <w:id w:val="1052570136"/>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napToGrid w:val="0"/>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jc w:val="center"/>
        </w:trPr>
        <w:tc>
          <w:tcPr>
            <w:tcW w:w="629" w:type="dxa"/>
            <w:tcBorders>
              <w:top w:val="single" w:color="auto" w:sz="4" w:space="0"/>
              <w:left w:val="single" w:color="auto" w:sz="4" w:space="0"/>
              <w:bottom w:val="single" w:color="auto" w:sz="4" w:space="0"/>
              <w:right w:val="single" w:color="000000" w:sz="2" w:space="0"/>
            </w:tcBorders>
            <w:vAlign w:val="center"/>
          </w:tcPr>
          <w:p>
            <w:pPr>
              <w:snapToGrid w:val="0"/>
              <w:jc w:val="center"/>
              <w:rPr>
                <w:rFonts w:ascii="宋体" w:hAnsi="宋体" w:cs="宋体"/>
                <w:sz w:val="24"/>
                <w:highlight w:val="none"/>
              </w:rPr>
            </w:pPr>
            <w:r>
              <w:rPr>
                <w:rFonts w:hint="eastAsia" w:ascii="宋体" w:hAnsi="宋体" w:cs="宋体"/>
                <w:sz w:val="24"/>
                <w:highlight w:val="none"/>
              </w:rPr>
              <w:t>14</w:t>
            </w:r>
          </w:p>
        </w:tc>
        <w:tc>
          <w:tcPr>
            <w:tcW w:w="1843" w:type="dxa"/>
            <w:tcBorders>
              <w:top w:val="single" w:color="auto" w:sz="4" w:space="0"/>
              <w:left w:val="single" w:color="000000" w:sz="2" w:space="0"/>
              <w:bottom w:val="single" w:color="auto" w:sz="4" w:space="0"/>
              <w:right w:val="single" w:color="auto" w:sz="4" w:space="0"/>
            </w:tcBorders>
            <w:vAlign w:val="center"/>
          </w:tcPr>
          <w:p>
            <w:pPr>
              <w:snapToGrid w:val="0"/>
              <w:jc w:val="center"/>
              <w:rPr>
                <w:rFonts w:ascii="宋体" w:hAnsi="宋体" w:cs="宋体"/>
                <w:b/>
                <w:sz w:val="24"/>
                <w:highlight w:val="none"/>
              </w:rPr>
            </w:pPr>
            <w:r>
              <w:rPr>
                <w:rFonts w:hint="eastAsia" w:ascii="宋体" w:hAnsi="宋体" w:cs="宋体"/>
                <w:snapToGrid w:val="0"/>
                <w:kern w:val="28"/>
                <w:sz w:val="24"/>
                <w:highlight w:val="none"/>
              </w:rPr>
              <w:t>★</w:t>
            </w:r>
            <w:r>
              <w:rPr>
                <w:rFonts w:hint="eastAsia" w:ascii="宋体" w:hAnsi="宋体" w:cs="宋体"/>
                <w:b/>
                <w:sz w:val="24"/>
                <w:highlight w:val="none"/>
              </w:rPr>
              <w:t>采购代理服务费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rPr>
                <w:rFonts w:ascii="宋体" w:hAnsi="宋体" w:cs="宋体"/>
                <w:snapToGrid w:val="0"/>
                <w:kern w:val="28"/>
                <w:sz w:val="24"/>
                <w:highlight w:val="none"/>
              </w:rPr>
            </w:pPr>
            <w:r>
              <w:rPr>
                <w:rFonts w:hint="eastAsia" w:ascii="宋体" w:hAnsi="宋体" w:cs="宋体"/>
                <w:snapToGrid w:val="0"/>
                <w:kern w:val="28"/>
                <w:sz w:val="24"/>
                <w:highlight w:val="none"/>
              </w:rPr>
              <w:t>招标服务费的收取标准：</w:t>
            </w:r>
          </w:p>
          <w:p>
            <w:pPr>
              <w:rPr>
                <w:rFonts w:ascii="宋体" w:hAnsi="宋体" w:cs="宋体"/>
                <w:snapToGrid w:val="0"/>
                <w:kern w:val="28"/>
                <w:sz w:val="24"/>
                <w:highlight w:val="none"/>
              </w:rPr>
            </w:pPr>
            <w:r>
              <w:rPr>
                <w:rFonts w:hint="eastAsia" w:ascii="宋体" w:hAnsi="宋体" w:cs="宋体"/>
                <w:snapToGrid w:val="0"/>
                <w:kern w:val="28"/>
                <w:sz w:val="24"/>
                <w:highlight w:val="none"/>
              </w:rPr>
              <w:t>（1）参照下表中的服务收费标准下浮20%，采用差额定率累进法按照中标通知书确定的中标总金额，向中标人收取招标服务费。</w:t>
            </w:r>
          </w:p>
          <w:p>
            <w:pPr>
              <w:rPr>
                <w:rFonts w:ascii="宋体" w:hAnsi="宋体" w:cs="宋体"/>
                <w:snapToGrid w:val="0"/>
                <w:kern w:val="28"/>
                <w:sz w:val="24"/>
                <w:highlight w:val="none"/>
              </w:rPr>
            </w:pPr>
            <w:r>
              <w:rPr>
                <w:rFonts w:hint="eastAsia" w:ascii="宋体" w:hAnsi="宋体" w:cs="宋体"/>
                <w:snapToGrid w:val="0"/>
                <w:kern w:val="28"/>
                <w:sz w:val="24"/>
                <w:highlight w:val="none"/>
              </w:rPr>
              <w:drawing>
                <wp:inline distT="0" distB="0" distL="0" distR="0">
                  <wp:extent cx="3734435" cy="2076450"/>
                  <wp:effectExtent l="0" t="0" r="18415" b="0"/>
                  <wp:docPr id="5" name="图片 5" descr="C:\Users\ADMINI~1\AppData\Local\Temp\ksohtml22284\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ksohtml22284\wps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734435" cy="2076450"/>
                          </a:xfrm>
                          <a:prstGeom prst="rect">
                            <a:avLst/>
                          </a:prstGeom>
                          <a:noFill/>
                          <a:ln>
                            <a:noFill/>
                          </a:ln>
                        </pic:spPr>
                      </pic:pic>
                    </a:graphicData>
                  </a:graphic>
                </wp:inline>
              </w:drawing>
            </w:r>
          </w:p>
          <w:p>
            <w:pPr>
              <w:rPr>
                <w:rFonts w:ascii="宋体" w:hAnsi="宋体" w:cs="宋体"/>
                <w:snapToGrid w:val="0"/>
                <w:kern w:val="28"/>
                <w:sz w:val="24"/>
                <w:highlight w:val="none"/>
              </w:rPr>
            </w:pPr>
            <w:r>
              <w:rPr>
                <w:rFonts w:hint="eastAsia" w:ascii="宋体" w:hAnsi="宋体" w:cs="宋体"/>
                <w:snapToGrid w:val="0"/>
                <w:kern w:val="28"/>
                <w:sz w:val="24"/>
                <w:highlight w:val="none"/>
              </w:rPr>
              <w:t>（2）中标人接到本公司通知后5个工作日内向本招标公司支付招标服务费。</w:t>
            </w:r>
          </w:p>
          <w:p>
            <w:pPr>
              <w:rPr>
                <w:rFonts w:ascii="宋体" w:hAnsi="宋体" w:cs="宋体"/>
                <w:snapToGrid w:val="0"/>
                <w:kern w:val="28"/>
                <w:sz w:val="24"/>
                <w:highlight w:val="none"/>
              </w:rPr>
            </w:pPr>
            <w:r>
              <w:rPr>
                <w:rFonts w:hint="eastAsia" w:ascii="宋体" w:hAnsi="宋体" w:cs="宋体"/>
                <w:snapToGrid w:val="0"/>
                <w:kern w:val="28"/>
                <w:sz w:val="24"/>
                <w:highlight w:val="none"/>
              </w:rPr>
              <w:t>（3）招标服务费只收现金、银行票汇款、电汇款。</w:t>
            </w:r>
          </w:p>
          <w:p>
            <w:pPr>
              <w:rPr>
                <w:rFonts w:ascii="宋体" w:hAnsi="宋体" w:cs="宋体"/>
                <w:snapToGrid w:val="0"/>
                <w:kern w:val="28"/>
                <w:sz w:val="24"/>
                <w:highlight w:val="none"/>
              </w:rPr>
            </w:pPr>
            <w:r>
              <w:rPr>
                <w:rFonts w:hint="eastAsia" w:ascii="宋体" w:hAnsi="宋体" w:cs="宋体"/>
                <w:snapToGrid w:val="0"/>
                <w:kern w:val="28"/>
                <w:sz w:val="24"/>
                <w:highlight w:val="none"/>
              </w:rPr>
              <w:t>（4）招标服务费均汇入以下账户：</w:t>
            </w:r>
          </w:p>
          <w:p>
            <w:pPr>
              <w:rPr>
                <w:rFonts w:ascii="宋体" w:hAnsi="宋体" w:cs="宋体"/>
                <w:snapToGrid w:val="0"/>
                <w:kern w:val="28"/>
                <w:sz w:val="24"/>
                <w:highlight w:val="none"/>
              </w:rPr>
            </w:pPr>
            <w:r>
              <w:rPr>
                <w:rFonts w:hint="eastAsia" w:ascii="宋体" w:hAnsi="宋体" w:cs="宋体"/>
                <w:snapToGrid w:val="0"/>
                <w:kern w:val="28"/>
                <w:sz w:val="24"/>
                <w:highlight w:val="none"/>
              </w:rPr>
              <w:t>开户银行：宁波银行丽水分行</w:t>
            </w:r>
          </w:p>
          <w:p>
            <w:pPr>
              <w:rPr>
                <w:rFonts w:ascii="宋体" w:hAnsi="宋体" w:cs="宋体"/>
                <w:snapToGrid w:val="0"/>
                <w:kern w:val="28"/>
                <w:sz w:val="24"/>
                <w:highlight w:val="none"/>
              </w:rPr>
            </w:pPr>
            <w:r>
              <w:rPr>
                <w:rFonts w:hint="eastAsia" w:ascii="宋体" w:hAnsi="宋体" w:cs="宋体"/>
                <w:snapToGrid w:val="0"/>
                <w:kern w:val="28"/>
                <w:sz w:val="24"/>
                <w:highlight w:val="none"/>
              </w:rPr>
              <w:t>帐号：90010122000220378</w:t>
            </w:r>
          </w:p>
          <w:p>
            <w:pPr>
              <w:rPr>
                <w:rFonts w:ascii="宋体" w:hAnsi="宋体" w:cs="宋体"/>
                <w:kern w:val="0"/>
                <w:sz w:val="24"/>
                <w:highlight w:val="none"/>
              </w:rPr>
            </w:pPr>
            <w:r>
              <w:rPr>
                <w:rFonts w:hint="eastAsia" w:ascii="宋体" w:hAnsi="宋体" w:cs="宋体"/>
                <w:snapToGrid w:val="0"/>
                <w:kern w:val="28"/>
                <w:sz w:val="24"/>
                <w:highlight w:val="none"/>
              </w:rPr>
              <w:t>户名：宁波中基国际招标有限公司丽水分公司</w:t>
            </w:r>
          </w:p>
        </w:tc>
      </w:tr>
    </w:tbl>
    <w:p>
      <w:pPr>
        <w:snapToGrid w:val="0"/>
        <w:spacing w:line="360" w:lineRule="auto"/>
        <w:jc w:val="center"/>
        <w:rPr>
          <w:rFonts w:ascii="宋体" w:hAnsi="宋体" w:cs="宋体"/>
          <w:b/>
          <w:sz w:val="32"/>
          <w:szCs w:val="20"/>
          <w:highlight w:val="none"/>
        </w:rPr>
      </w:pPr>
    </w:p>
    <w:bookmarkEnd w:id="10"/>
    <w:p>
      <w:pPr>
        <w:rPr>
          <w:rFonts w:ascii="宋体" w:hAnsi="宋体" w:cs="宋体"/>
          <w:b/>
          <w:sz w:val="32"/>
          <w:szCs w:val="20"/>
          <w:highlight w:val="none"/>
        </w:rPr>
      </w:pPr>
      <w:bookmarkStart w:id="12" w:name="_Toc164416483"/>
      <w:bookmarkStart w:id="13" w:name="第三部分"/>
      <w:r>
        <w:rPr>
          <w:rFonts w:hint="eastAsia" w:ascii="宋体" w:hAnsi="宋体" w:cs="宋体"/>
          <w:b/>
          <w:sz w:val="32"/>
          <w:szCs w:val="20"/>
          <w:highlight w:val="none"/>
        </w:rPr>
        <w:br w:type="page"/>
      </w:r>
    </w:p>
    <w:p>
      <w:pPr>
        <w:adjustRightInd/>
        <w:spacing w:line="360" w:lineRule="auto"/>
        <w:ind w:firstLine="3845" w:firstLineChars="1197"/>
        <w:outlineLvl w:val="0"/>
        <w:rPr>
          <w:rFonts w:ascii="宋体" w:hAnsi="宋体" w:cs="宋体"/>
          <w:b/>
          <w:sz w:val="32"/>
          <w:szCs w:val="20"/>
          <w:highlight w:val="none"/>
        </w:rPr>
      </w:pPr>
      <w:r>
        <w:rPr>
          <w:rFonts w:hint="eastAsia" w:ascii="宋体" w:hAnsi="宋体" w:cs="宋体"/>
          <w:b/>
          <w:sz w:val="32"/>
          <w:szCs w:val="20"/>
          <w:highlight w:val="none"/>
        </w:rPr>
        <w:t>一、总则</w:t>
      </w:r>
    </w:p>
    <w:p>
      <w:pPr>
        <w:snapToGrid w:val="0"/>
        <w:spacing w:line="360" w:lineRule="auto"/>
        <w:ind w:firstLine="361" w:firstLineChars="150"/>
        <w:jc w:val="left"/>
        <w:outlineLvl w:val="1"/>
        <w:rPr>
          <w:rFonts w:ascii="宋体" w:hAnsi="宋体" w:cs="宋体"/>
          <w:b/>
          <w:sz w:val="24"/>
          <w:highlight w:val="none"/>
        </w:rPr>
      </w:pPr>
      <w:r>
        <w:rPr>
          <w:rFonts w:hint="eastAsia" w:ascii="宋体" w:hAnsi="宋体" w:cs="宋体"/>
          <w:b/>
          <w:sz w:val="24"/>
          <w:highlight w:val="none"/>
        </w:rPr>
        <w:t>1. 适用范围</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highlight w:val="none"/>
        </w:rPr>
      </w:pPr>
      <w:r>
        <w:rPr>
          <w:rFonts w:hint="eastAsia" w:ascii="宋体" w:hAnsi="宋体" w:cs="宋体"/>
          <w:b/>
          <w:sz w:val="24"/>
          <w:highlight w:val="none"/>
        </w:rPr>
        <w:t xml:space="preserve">   2.定义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 “采购人”系指招标公告中载明的本项目的采购人。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 “采购代理机构”系指招标公告中载明的本项目的采购代理机构。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 “投标人”系指是指响应招标、参加投标竞争的法人、其他组织或者自然人。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2.6“电子交易平台”系指本项目政府采购活动所依托的政府采购云平台（https://www.zcygov.cn/）。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2.7 “★” 系指实质性要求条款，“</w:t>
      </w:r>
      <w:sdt>
        <w:sdtPr>
          <w:rPr>
            <w:rFonts w:hint="eastAsia" w:ascii="宋体" w:hAnsi="宋体" w:cs="宋体"/>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sz w:val="24"/>
          <w:highlight w:val="none"/>
        </w:rPr>
        <w:t>” 系指适用本项目的要求，“</w:t>
      </w:r>
      <w:sdt>
        <w:sdtPr>
          <w:rPr>
            <w:rFonts w:hint="eastAsia" w:ascii="宋体" w:hAnsi="宋体" w:cs="宋体"/>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 系指不适用本项目的要求。</w:t>
      </w:r>
    </w:p>
    <w:p>
      <w:pPr>
        <w:spacing w:line="360" w:lineRule="auto"/>
        <w:ind w:firstLine="241" w:firstLineChars="100"/>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highlight w:val="none"/>
        </w:rPr>
        <w:t>优先采购向我国企业转让技术、与我国企业签订消化吸收再创新方案的供应商的进口产品</w:t>
      </w:r>
      <w:r>
        <w:rPr>
          <w:rFonts w:hint="eastAsia" w:ascii="宋体" w:hAnsi="宋体" w:cs="宋体"/>
          <w:sz w:val="24"/>
          <w:highlight w:val="none"/>
        </w:rPr>
        <w:t>。</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3.2 支持绿色发展</w:t>
      </w: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4"/>
    </w:p>
    <w:p>
      <w:pPr>
        <w:spacing w:line="360" w:lineRule="auto"/>
        <w:ind w:firstLine="240" w:firstLineChars="100"/>
        <w:rPr>
          <w:rFonts w:ascii="宋体" w:hAnsi="宋体" w:cs="宋体"/>
          <w:sz w:val="24"/>
          <w:highlight w:val="none"/>
        </w:rPr>
      </w:pPr>
      <w:r>
        <w:rPr>
          <w:rFonts w:hint="eastAsia" w:ascii="宋体" w:hAnsi="宋体" w:cs="宋体"/>
          <w:sz w:val="24"/>
          <w:highlight w:val="none"/>
        </w:rPr>
        <w:t>3.3支持中小企业发展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bCs/>
          <w:sz w:val="24"/>
          <w:highlight w:val="none"/>
        </w:rPr>
        <w:t>3.3.2</w:t>
      </w:r>
      <w:r>
        <w:rPr>
          <w:rFonts w:hint="eastAsia" w:ascii="宋体" w:hAnsi="宋体" w:cs="宋体"/>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w:t>
      </w:r>
      <w:bookmarkStart w:id="15" w:name="_Hlk101132181"/>
      <w:r>
        <w:rPr>
          <w:rFonts w:hint="eastAsia" w:ascii="宋体" w:hAnsi="宋体" w:cs="宋体"/>
          <w:sz w:val="24"/>
          <w:highlight w:val="none"/>
        </w:rPr>
        <w:t>联合协议或者分包意向协议约定小微企业的合同份额占到合同总金额30%以上的</w:t>
      </w:r>
      <w:bookmarkEnd w:id="15"/>
      <w:r>
        <w:rPr>
          <w:rFonts w:hint="eastAsia" w:ascii="宋体" w:hAnsi="宋体" w:cs="宋体"/>
          <w:sz w:val="24"/>
          <w:highlight w:val="none"/>
        </w:rPr>
        <w:t>，对联合体或者大中型企业的报价给予4%的扣除，用扣除后的价格参加评审。组成联合体或者接受分包的小微企业与联合体内其他企业、分包企业之间存在直接控股、管理关系的，不享受价格扣除优惠政策。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3.5平等对待内外资企业和符合条件的破产重整企业</w:t>
      </w:r>
    </w:p>
    <w:p>
      <w:pPr>
        <w:spacing w:line="360" w:lineRule="auto"/>
        <w:ind w:firstLine="480" w:firstLineChars="200"/>
        <w:rPr>
          <w:rFonts w:ascii="宋体" w:hAnsi="宋体" w:cs="宋体"/>
          <w:b/>
          <w:highlight w:val="none"/>
        </w:rPr>
      </w:pPr>
      <w:r>
        <w:rPr>
          <w:rFonts w:hint="eastAsia" w:ascii="宋体" w:hAnsi="宋体" w:cs="宋体"/>
          <w:sz w:val="24"/>
          <w:highlight w:val="none"/>
        </w:rPr>
        <w:t>平等对待内外资企业和符合条件的破产重整企业，切实保障企业公平竞争，平等维护企业的合法利益。</w:t>
      </w:r>
      <w:r>
        <w:rPr>
          <w:rFonts w:hint="eastAsia" w:ascii="宋体" w:hAnsi="宋体" w:cs="宋体"/>
          <w:sz w:val="24"/>
          <w:highlight w:val="none"/>
        </w:rPr>
        <w:cr/>
      </w:r>
      <w:r>
        <w:rPr>
          <w:rFonts w:hint="eastAsia" w:ascii="宋体" w:hAnsi="宋体" w:cs="宋体"/>
          <w:b/>
          <w:highlight w:val="none"/>
        </w:rPr>
        <w:t>4. 询问、质疑、投诉</w:t>
      </w:r>
    </w:p>
    <w:p>
      <w:pPr>
        <w:pStyle w:val="888"/>
        <w:shd w:val="clear" w:color="auto" w:fill="FFFFFF"/>
        <w:snapToGrid w:val="0"/>
        <w:spacing w:after="240" w:afterAutospacing="0" w:line="360" w:lineRule="auto"/>
        <w:ind w:firstLine="400"/>
        <w:contextualSpacing/>
        <w:rPr>
          <w:highlight w:val="none"/>
          <w:lang w:val="zh-CN"/>
        </w:rPr>
      </w:pPr>
      <w:r>
        <w:rPr>
          <w:rFonts w:hint="eastAsia"/>
          <w:highlight w:val="none"/>
          <w:lang w:val="zh-CN"/>
        </w:rPr>
        <w:t>4.1在线询问、质疑、投诉</w:t>
      </w:r>
    </w:p>
    <w:p>
      <w:pPr>
        <w:pStyle w:val="888"/>
        <w:shd w:val="clear" w:color="auto" w:fill="FFFFFF"/>
        <w:snapToGrid w:val="0"/>
        <w:spacing w:after="240" w:afterAutospacing="0" w:line="360" w:lineRule="auto"/>
        <w:ind w:firstLine="400"/>
        <w:contextualSpacing/>
        <w:rPr>
          <w:highlight w:val="none"/>
          <w:lang w:val="zh-CN"/>
        </w:rPr>
      </w:pPr>
      <w:r>
        <w:rPr>
          <w:rFonts w:hint="eastAsia"/>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4.2供应商询问</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4.3供应商质疑</w:t>
      </w:r>
    </w:p>
    <w:p>
      <w:pPr>
        <w:pStyle w:val="34"/>
        <w:spacing w:line="360" w:lineRule="auto"/>
        <w:ind w:firstLine="480" w:firstLineChars="200"/>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highlight w:val="none"/>
        </w:rPr>
      </w:pPr>
      <w:r>
        <w:rPr>
          <w:rFonts w:hint="eastAsia" w:hAnsi="宋体" w:cs="宋体"/>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4.3.3</w:t>
      </w:r>
      <w:r>
        <w:rPr>
          <w:rFonts w:hint="eastAsia" w:hAnsi="宋体" w:cs="宋体"/>
          <w:sz w:val="24"/>
          <w:highlight w:val="none"/>
        </w:rPr>
        <w:t>供应商提出质疑应当提交质疑函和必要的证明材料。质疑函应当包括下列内容：</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4.3.3.1供应商的姓名或者名称、地址、邮编、联系人及联系电话；</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4.3.3.2质疑项目的名称、编号；</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4.3.3.3具体、明确的质疑事项和与质疑事项相关的请求；</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4.3.3.4事实依据；</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4.3.3.5必要的法律依据；</w:t>
      </w:r>
    </w:p>
    <w:p>
      <w:pPr>
        <w:pStyle w:val="34"/>
        <w:spacing w:line="360" w:lineRule="auto"/>
        <w:ind w:firstLine="960" w:firstLineChars="400"/>
        <w:rPr>
          <w:rFonts w:hAnsi="宋体" w:cs="宋体"/>
          <w:kern w:val="0"/>
          <w:sz w:val="24"/>
          <w:highlight w:val="none"/>
          <w:lang w:val="zh-CN"/>
        </w:rPr>
      </w:pPr>
      <w:r>
        <w:rPr>
          <w:rFonts w:hint="eastAsia" w:hAnsi="宋体" w:cs="宋体"/>
          <w:kern w:val="0"/>
          <w:sz w:val="24"/>
          <w:highlight w:val="none"/>
          <w:lang w:val="zh-CN"/>
        </w:rPr>
        <w:t>4.3.3.6提出质疑的日期。</w:t>
      </w:r>
    </w:p>
    <w:p>
      <w:pPr>
        <w:pStyle w:val="888"/>
        <w:shd w:val="clear" w:color="auto" w:fill="FFFFFF"/>
        <w:snapToGrid w:val="0"/>
        <w:spacing w:after="240" w:afterAutospacing="0" w:line="360" w:lineRule="auto"/>
        <w:ind w:firstLine="400"/>
        <w:contextualSpacing/>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highlight w:val="none"/>
        </w:rPr>
      </w:pPr>
      <w:r>
        <w:rPr>
          <w:rFonts w:hint="eastAsia"/>
          <w:highlight w:val="none"/>
        </w:rPr>
        <w:t>质疑函范本及制作说明详见附件2。</w:t>
      </w:r>
    </w:p>
    <w:p>
      <w:pPr>
        <w:pStyle w:val="888"/>
        <w:shd w:val="clear" w:color="auto" w:fill="FFFFFF"/>
        <w:snapToGrid w:val="0"/>
        <w:spacing w:after="240" w:afterAutospacing="0" w:line="360" w:lineRule="auto"/>
        <w:ind w:firstLine="400"/>
        <w:contextualSpacing/>
        <w:rPr>
          <w:highlight w:val="none"/>
        </w:rPr>
      </w:pPr>
      <w:r>
        <w:rPr>
          <w:rFonts w:hint="eastAsia"/>
          <w:highlight w:val="none"/>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highlight w:val="none"/>
        </w:rPr>
      </w:pPr>
      <w:r>
        <w:rPr>
          <w:rFonts w:hint="eastAsia"/>
          <w:highlight w:val="none"/>
          <w:lang w:val="zh-CN"/>
        </w:rPr>
        <w:t>4.3</w:t>
      </w:r>
      <w:r>
        <w:rPr>
          <w:rFonts w:hint="eastAsia"/>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浙江省财政厅关于进一步加强政府采购公平竞争打造最优营商环境的通知》（浙财采监〔2021〕2号）,采购人或者采购代理机构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highlight w:val="none"/>
        </w:rPr>
      </w:pPr>
      <w:r>
        <w:rPr>
          <w:rFonts w:hint="eastAsia"/>
          <w:highlight w:val="none"/>
          <w:lang w:val="zh-CN"/>
        </w:rPr>
        <w:t>4.3</w:t>
      </w:r>
      <w:r>
        <w:rPr>
          <w:rFonts w:hint="eastAsia"/>
          <w:highlight w:val="none"/>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highlight w:val="none"/>
          <w:lang w:val="zh-CN"/>
        </w:rPr>
      </w:pPr>
      <w:r>
        <w:rPr>
          <w:rFonts w:hint="eastAsia"/>
          <w:highlight w:val="none"/>
          <w:lang w:val="zh-CN"/>
        </w:rPr>
        <w:t>4.4供应商投诉</w:t>
      </w:r>
    </w:p>
    <w:p>
      <w:pPr>
        <w:pStyle w:val="888"/>
        <w:shd w:val="clear" w:color="auto" w:fill="FFFFFF"/>
        <w:snapToGrid w:val="0"/>
        <w:spacing w:after="240" w:afterAutospacing="0" w:line="360" w:lineRule="auto"/>
        <w:ind w:firstLine="400"/>
        <w:contextualSpacing/>
        <w:rPr>
          <w:highlight w:val="none"/>
        </w:rPr>
      </w:pPr>
      <w:r>
        <w:rPr>
          <w:rFonts w:hint="eastAsia"/>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highlight w:val="none"/>
        </w:rPr>
      </w:pPr>
      <w:r>
        <w:rPr>
          <w:rFonts w:hint="eastAsia"/>
          <w:highlight w:val="none"/>
        </w:rPr>
        <w:t>4.4.</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highlight w:val="none"/>
        </w:rPr>
      </w:pPr>
      <w:r>
        <w:rPr>
          <w:rFonts w:hint="eastAsia"/>
          <w:highlight w:val="none"/>
        </w:rPr>
        <w:t>4.4.3供应商投诉应当有明确的请求和必要的证明材料。</w:t>
      </w:r>
    </w:p>
    <w:p>
      <w:pPr>
        <w:pStyle w:val="888"/>
        <w:shd w:val="clear" w:color="auto" w:fill="FFFFFF"/>
        <w:snapToGrid w:val="0"/>
        <w:spacing w:after="240" w:afterAutospacing="0" w:line="360" w:lineRule="auto"/>
        <w:ind w:firstLine="400"/>
        <w:contextualSpacing/>
        <w:rPr>
          <w:highlight w:val="none"/>
        </w:rPr>
      </w:pPr>
      <w:r>
        <w:rPr>
          <w:rFonts w:hint="eastAsia"/>
          <w:highlight w:val="none"/>
        </w:rPr>
        <w:t>4.4.4 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highlight w:val="none"/>
        </w:rPr>
      </w:pPr>
      <w:r>
        <w:rPr>
          <w:rFonts w:hint="eastAsia"/>
          <w:highlight w:val="none"/>
        </w:rPr>
        <w:t>投诉书范本及制作说明详见附件3。</w:t>
      </w:r>
    </w:p>
    <w:p>
      <w:pPr>
        <w:pStyle w:val="130"/>
        <w:snapToGrid w:val="0"/>
        <w:spacing w:before="0"/>
        <w:ind w:firstLine="360"/>
        <w:rPr>
          <w:rFonts w:ascii="宋体" w:hAnsi="宋体" w:cs="宋体"/>
          <w:sz w:val="18"/>
          <w:szCs w:val="18"/>
          <w:highlight w:val="none"/>
        </w:rPr>
      </w:pP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 xml:space="preserve">      二、招标文件的构成、澄清、修改</w:t>
      </w:r>
    </w:p>
    <w:p>
      <w:pPr>
        <w:pStyle w:val="34"/>
        <w:spacing w:line="360" w:lineRule="auto"/>
        <w:rPr>
          <w:rFonts w:hAnsi="宋体" w:cs="宋体"/>
          <w:b/>
          <w:sz w:val="24"/>
          <w:szCs w:val="24"/>
          <w:highlight w:val="none"/>
        </w:rPr>
      </w:pPr>
      <w:r>
        <w:rPr>
          <w:rFonts w:hint="eastAsia" w:hAnsi="宋体" w:cs="宋体"/>
          <w:b/>
          <w:sz w:val="24"/>
          <w:szCs w:val="24"/>
          <w:highlight w:val="none"/>
        </w:rPr>
        <w:t>5．招标文件的构成</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5.1 招标文件包括下列文件及附件：</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5.1.1招标公告；</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5.1.2投标人须知；</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5.1.3采购需求；</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5.1.4评标办法；</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5.1.5拟签订的合同文本；</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4"/>
        <w:spacing w:line="360" w:lineRule="auto"/>
        <w:rPr>
          <w:rFonts w:hAnsi="宋体" w:cs="宋体"/>
          <w:b/>
          <w:sz w:val="24"/>
          <w:szCs w:val="24"/>
          <w:highlight w:val="none"/>
        </w:rPr>
      </w:pPr>
      <w:r>
        <w:rPr>
          <w:rFonts w:hint="eastAsia" w:hAnsi="宋体" w:cs="宋体"/>
          <w:b/>
          <w:sz w:val="24"/>
          <w:szCs w:val="24"/>
          <w:highlight w:val="none"/>
        </w:rPr>
        <w:t>6. 招标文件的澄清、修改</w:t>
      </w:r>
    </w:p>
    <w:p>
      <w:pPr>
        <w:pStyle w:val="130"/>
        <w:snapToGrid w:val="0"/>
        <w:spacing w:before="0"/>
        <w:ind w:firstLine="480"/>
        <w:rPr>
          <w:rFonts w:ascii="宋体" w:hAnsi="宋体" w:cs="宋体"/>
          <w:highlight w:val="none"/>
        </w:rPr>
      </w:pPr>
      <w:r>
        <w:rPr>
          <w:rFonts w:hint="eastAsia" w:ascii="宋体" w:hAnsi="宋体" w:cs="宋体"/>
          <w:highlight w:val="none"/>
        </w:rPr>
        <w:t>6.1已获取招标文件的潜在投标人，若有问题需要澄清，应于投标截止时间前，以书面形式向采购代理机构提出。</w:t>
      </w:r>
    </w:p>
    <w:p>
      <w:pPr>
        <w:pStyle w:val="130"/>
        <w:snapToGrid w:val="0"/>
        <w:spacing w:before="0"/>
        <w:ind w:firstLine="480"/>
        <w:rPr>
          <w:rFonts w:ascii="宋体" w:hAnsi="宋体" w:cs="宋体"/>
          <w:highlight w:val="none"/>
        </w:rPr>
      </w:pPr>
      <w:r>
        <w:rPr>
          <w:rFonts w:hint="eastAsia" w:ascii="宋体" w:hAnsi="宋体" w:cs="宋体"/>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highlight w:val="none"/>
          <w:lang w:val="en-US"/>
        </w:rPr>
      </w:pPr>
      <w:r>
        <w:rPr>
          <w:rFonts w:hint="eastAsia" w:hAnsi="宋体" w:cs="宋体"/>
          <w:szCs w:val="24"/>
          <w:highlight w:val="none"/>
          <w:lang w:val="en-US"/>
        </w:rPr>
        <w:t xml:space="preserve">    </w:t>
      </w:r>
    </w:p>
    <w:p>
      <w:pPr>
        <w:adjustRightInd/>
        <w:spacing w:line="360" w:lineRule="auto"/>
        <w:jc w:val="center"/>
        <w:outlineLvl w:val="0"/>
        <w:rPr>
          <w:rFonts w:ascii="宋体" w:hAnsi="宋体" w:cs="宋体"/>
          <w:b/>
          <w:sz w:val="30"/>
          <w:szCs w:val="20"/>
          <w:highlight w:val="none"/>
        </w:rPr>
      </w:pPr>
      <w:r>
        <w:rPr>
          <w:rFonts w:hint="eastAsia" w:ascii="宋体" w:hAnsi="宋体" w:cs="宋体"/>
          <w:b/>
          <w:sz w:val="30"/>
          <w:szCs w:val="20"/>
          <w:highlight w:val="none"/>
        </w:rPr>
        <w:t>三、投标</w:t>
      </w:r>
    </w:p>
    <w:p>
      <w:pPr>
        <w:pStyle w:val="34"/>
        <w:spacing w:line="360" w:lineRule="auto"/>
        <w:rPr>
          <w:rFonts w:hAnsi="宋体" w:cs="宋体"/>
          <w:b/>
          <w:sz w:val="24"/>
          <w:szCs w:val="24"/>
          <w:highlight w:val="none"/>
        </w:rPr>
      </w:pPr>
      <w:r>
        <w:rPr>
          <w:rFonts w:hint="eastAsia" w:hAnsi="宋体" w:cs="宋体"/>
          <w:b/>
          <w:sz w:val="24"/>
          <w:szCs w:val="24"/>
          <w:highlight w:val="none"/>
        </w:rPr>
        <w:t>7. 招标文件的获取</w:t>
      </w:r>
    </w:p>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4"/>
        <w:spacing w:line="360" w:lineRule="auto"/>
        <w:rPr>
          <w:rFonts w:hAnsi="宋体" w:cs="宋体"/>
          <w:b/>
          <w:sz w:val="24"/>
          <w:szCs w:val="24"/>
          <w:highlight w:val="none"/>
        </w:rPr>
      </w:pPr>
      <w:r>
        <w:rPr>
          <w:rFonts w:hint="eastAsia" w:hAnsi="宋体" w:cs="宋体"/>
          <w:b/>
          <w:sz w:val="24"/>
          <w:szCs w:val="24"/>
          <w:highlight w:val="none"/>
        </w:rPr>
        <w:t>8.开标前答疑会或现场考察</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highlight w:val="none"/>
        </w:rPr>
      </w:pPr>
      <w:r>
        <w:rPr>
          <w:rFonts w:hint="eastAsia" w:hAnsi="宋体" w:cs="宋体"/>
          <w:b/>
          <w:kern w:val="28"/>
          <w:sz w:val="24"/>
          <w:szCs w:val="24"/>
          <w:highlight w:val="none"/>
        </w:rPr>
        <w:t>9.投标保证金</w:t>
      </w:r>
    </w:p>
    <w:p>
      <w:pPr>
        <w:pStyle w:val="7"/>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sz w:val="24"/>
          <w:szCs w:val="24"/>
          <w:highlight w:val="none"/>
        </w:rPr>
      </w:pPr>
      <w:r>
        <w:rPr>
          <w:rFonts w:hint="eastAsia" w:hAnsi="宋体" w:cs="宋体"/>
          <w:b/>
          <w:sz w:val="24"/>
          <w:szCs w:val="24"/>
          <w:highlight w:val="none"/>
        </w:rPr>
        <w:t>10. 投标文件的语言</w:t>
      </w:r>
    </w:p>
    <w:p>
      <w:pPr>
        <w:autoSpaceDE w:val="0"/>
        <w:autoSpaceDN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投标文件及投标人与采购有关的来往通知、函件和文件均应使用中文。</w:t>
      </w:r>
    </w:p>
    <w:p>
      <w:pPr>
        <w:pStyle w:val="34"/>
        <w:spacing w:line="360" w:lineRule="auto"/>
        <w:rPr>
          <w:rFonts w:hAnsi="宋体" w:cs="宋体"/>
          <w:b/>
          <w:sz w:val="24"/>
          <w:szCs w:val="24"/>
          <w:highlight w:val="none"/>
        </w:rPr>
      </w:pPr>
      <w:r>
        <w:rPr>
          <w:rFonts w:hint="eastAsia" w:hAnsi="宋体" w:cs="宋体"/>
          <w:b/>
          <w:sz w:val="24"/>
          <w:szCs w:val="24"/>
          <w:highlight w:val="none"/>
        </w:rPr>
        <w:t>11. 投标文件的组成</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w:t>
      </w:r>
      <w:r>
        <w:rPr>
          <w:rFonts w:hint="eastAsia" w:ascii="宋体" w:hAnsi="宋体" w:cs="宋体"/>
          <w:b/>
          <w:sz w:val="24"/>
          <w:highlight w:val="none"/>
        </w:rPr>
        <w:t>资格文件</w:t>
      </w:r>
      <w:r>
        <w:rPr>
          <w:rFonts w:hint="eastAsia" w:ascii="宋体" w:hAnsi="宋体" w:cs="宋体"/>
          <w:sz w:val="24"/>
          <w:highlight w:val="none"/>
        </w:rPr>
        <w:t>：</w:t>
      </w:r>
    </w:p>
    <w:p>
      <w:pPr>
        <w:snapToGrid w:val="0"/>
        <w:spacing w:line="360" w:lineRule="auto"/>
        <w:ind w:left="1678" w:leftChars="456" w:hanging="720" w:hangingChars="300"/>
        <w:rPr>
          <w:rFonts w:ascii="宋体" w:hAnsi="宋体" w:cs="宋体"/>
          <w:sz w:val="24"/>
          <w:highlight w:val="none"/>
        </w:rPr>
      </w:pPr>
      <w:r>
        <w:rPr>
          <w:rFonts w:hint="eastAsia" w:ascii="宋体" w:hAnsi="宋体" w:cs="宋体"/>
          <w:sz w:val="24"/>
          <w:highlight w:val="none"/>
        </w:rPr>
        <w:t>11.1.1投标人的营业执照副本复印件（加盖公章）；</w:t>
      </w:r>
    </w:p>
    <w:p>
      <w:pPr>
        <w:snapToGrid w:val="0"/>
        <w:spacing w:line="360" w:lineRule="auto"/>
        <w:ind w:left="1678" w:leftChars="456" w:hanging="720" w:hangingChars="300"/>
        <w:rPr>
          <w:rFonts w:ascii="宋体" w:hAnsi="宋体" w:cs="宋体"/>
          <w:sz w:val="24"/>
          <w:highlight w:val="none"/>
        </w:rPr>
      </w:pPr>
      <w:r>
        <w:rPr>
          <w:rFonts w:hint="eastAsia" w:ascii="宋体" w:hAnsi="宋体" w:cs="宋体"/>
          <w:sz w:val="24"/>
          <w:highlight w:val="none"/>
        </w:rPr>
        <w:t>11.1.2符合参加政府采购活动应当具备的一般条件的承诺函</w:t>
      </w:r>
      <w:r>
        <w:rPr>
          <w:rFonts w:hint="eastAsia" w:ascii="宋体" w:hAnsi="宋体" w:cs="宋体"/>
          <w:snapToGrid w:val="0"/>
          <w:kern w:val="28"/>
          <w:sz w:val="24"/>
          <w:szCs w:val="20"/>
          <w:highlight w:val="none"/>
        </w:rPr>
        <w:t>(格式详见第六部分 应提交的有关格式范例）</w:t>
      </w:r>
      <w:r>
        <w:rPr>
          <w:rFonts w:hint="eastAsia" w:ascii="宋体" w:hAnsi="宋体" w:cs="宋体"/>
          <w:sz w:val="24"/>
          <w:highlight w:val="none"/>
        </w:rPr>
        <w:t>；</w:t>
      </w:r>
    </w:p>
    <w:p>
      <w:pPr>
        <w:snapToGrid w:val="0"/>
        <w:spacing w:line="360" w:lineRule="auto"/>
        <w:ind w:firstLine="960" w:firstLineChars="400"/>
        <w:rPr>
          <w:rFonts w:ascii="宋体" w:hAnsi="宋体" w:cs="宋体"/>
          <w:snapToGrid w:val="0"/>
          <w:kern w:val="28"/>
          <w:sz w:val="24"/>
          <w:szCs w:val="20"/>
          <w:highlight w:val="none"/>
        </w:rPr>
      </w:pPr>
      <w:r>
        <w:rPr>
          <w:rFonts w:hint="eastAsia" w:ascii="宋体" w:hAnsi="宋体" w:cs="宋体"/>
          <w:sz w:val="24"/>
          <w:highlight w:val="none"/>
        </w:rPr>
        <w:t>11.1.</w:t>
      </w:r>
      <w:bookmarkStart w:id="16" w:name="_Hlk101259339"/>
      <w:r>
        <w:rPr>
          <w:rFonts w:hint="eastAsia" w:ascii="宋体" w:hAnsi="宋体" w:cs="宋体"/>
          <w:sz w:val="24"/>
          <w:highlight w:val="none"/>
        </w:rPr>
        <w:t>3</w:t>
      </w:r>
      <w:r>
        <w:rPr>
          <w:rFonts w:hint="eastAsia" w:ascii="宋体" w:hAnsi="宋体" w:cs="宋体"/>
          <w:snapToGrid w:val="0"/>
          <w:kern w:val="28"/>
          <w:sz w:val="24"/>
          <w:szCs w:val="20"/>
          <w:highlight w:val="none"/>
        </w:rPr>
        <w:t>联合协议</w:t>
      </w:r>
      <w:bookmarkEnd w:id="16"/>
      <w:r>
        <w:rPr>
          <w:rFonts w:hint="eastAsia" w:ascii="宋体" w:hAnsi="宋体" w:cs="宋体"/>
          <w:snapToGrid w:val="0"/>
          <w:kern w:val="28"/>
          <w:sz w:val="24"/>
          <w:szCs w:val="20"/>
          <w:highlight w:val="none"/>
        </w:rPr>
        <w:t>（格式详见应提交的有关格式范例，联合体投标的须提供）；</w:t>
      </w:r>
    </w:p>
    <w:p>
      <w:pPr>
        <w:snapToGrid w:val="0"/>
        <w:spacing w:line="360" w:lineRule="auto"/>
        <w:ind w:firstLine="960" w:firstLineChars="40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11.1.4</w:t>
      </w:r>
      <w:bookmarkStart w:id="17" w:name="_Toc21309"/>
      <w:bookmarkStart w:id="18" w:name="_Toc47388341"/>
      <w:r>
        <w:rPr>
          <w:rFonts w:hint="eastAsia" w:ascii="宋体" w:hAnsi="宋体" w:cs="宋体"/>
          <w:snapToGrid w:val="0"/>
          <w:kern w:val="28"/>
          <w:sz w:val="24"/>
          <w:szCs w:val="20"/>
          <w:highlight w:val="none"/>
        </w:rPr>
        <w:t>投标人的特定条件的证明文件：</w:t>
      </w:r>
      <w:bookmarkEnd w:id="17"/>
      <w:bookmarkEnd w:id="18"/>
    </w:p>
    <w:p>
      <w:pPr>
        <w:snapToGrid w:val="0"/>
        <w:spacing w:line="360" w:lineRule="auto"/>
        <w:ind w:firstLine="960" w:firstLineChars="40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投标人为医疗器械生产企业的：第二类、第三类医疗器械生产企业提供《医疗器械生产许可证》复印件、第一类医疗器械生产企业提供第一类医疗器械生产备案凭证复印件。 </w:t>
      </w:r>
    </w:p>
    <w:p>
      <w:pPr>
        <w:snapToGrid w:val="0"/>
        <w:spacing w:line="360" w:lineRule="auto"/>
        <w:ind w:firstLine="960" w:firstLineChars="40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投标人为医疗器械经营企业的：第三类医疗器械经营企业提供《医疗器械经营许可证》复印件、第二类医疗器械经营企业提供第二类医疗器械经营备案凭证复印件。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11.1.5落实政府采购政策需满足的资格要求:</w:t>
      </w:r>
      <w:r>
        <w:rPr>
          <w:rFonts w:hint="eastAsia" w:ascii="宋体" w:hAnsi="宋体" w:cs="宋体"/>
          <w:snapToGrid w:val="0"/>
          <w:kern w:val="28"/>
          <w:sz w:val="24"/>
          <w:szCs w:val="20"/>
          <w:highlight w:val="none"/>
          <w:lang w:val="en-US" w:eastAsia="zh-CN"/>
        </w:rPr>
        <w:t>标项二：</w:t>
      </w:r>
      <w:r>
        <w:rPr>
          <w:rFonts w:hint="eastAsia" w:ascii="宋体" w:hAnsi="宋体" w:cs="宋体"/>
          <w:snapToGrid w:val="0"/>
          <w:kern w:val="28"/>
          <w:sz w:val="24"/>
          <w:szCs w:val="20"/>
          <w:highlight w:val="none"/>
        </w:rPr>
        <w:t>体外冲击波碎石机属于专门面向中小企业采购的项目，供应商应为符合《政府采购促进中小企业发展管理办法》（财库﹝2020﹞46 号）规定的中小企业（其中，小微企业包括视同为小型、微型企业的监狱企业、残疾人福利性单位。）</w:t>
      </w:r>
      <w:r>
        <w:rPr>
          <w:rFonts w:hint="eastAsia" w:ascii="宋体" w:hAnsi="宋体" w:cs="宋体"/>
          <w:snapToGrid w:val="0"/>
          <w:kern w:val="28"/>
          <w:sz w:val="24"/>
          <w:szCs w:val="20"/>
          <w:highlight w:val="none"/>
        </w:rPr>
        <w:t>。</w:t>
      </w:r>
    </w:p>
    <w:p>
      <w:pPr>
        <w:snapToGri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b/>
          <w:bCs/>
          <w:sz w:val="24"/>
          <w:highlight w:val="none"/>
        </w:rPr>
        <w:t>商务技术</w:t>
      </w:r>
      <w:r>
        <w:rPr>
          <w:rFonts w:hint="eastAsia" w:ascii="宋体" w:hAnsi="宋体" w:cs="宋体"/>
          <w:b/>
          <w:bCs/>
          <w:sz w:val="24"/>
          <w:highlight w:val="none"/>
          <w:lang w:val="zh-CN"/>
        </w:rPr>
        <w:t>文件</w:t>
      </w:r>
      <w:r>
        <w:rPr>
          <w:rFonts w:hint="eastAsia" w:ascii="宋体" w:hAnsi="宋体" w:cs="宋体"/>
          <w:sz w:val="24"/>
          <w:highlight w:val="none"/>
          <w:lang w:val="zh-CN"/>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11.2.1投标函</w:t>
      </w:r>
      <w:r>
        <w:rPr>
          <w:rFonts w:hint="eastAsia" w:ascii="宋体" w:hAnsi="宋体" w:cs="宋体"/>
          <w:snapToGrid w:val="0"/>
          <w:kern w:val="28"/>
          <w:sz w:val="24"/>
          <w:szCs w:val="20"/>
          <w:highlight w:val="none"/>
        </w:rPr>
        <w:t>(格式详见详见第六部分 应提交的有关格式范例）</w:t>
      </w:r>
      <w:r>
        <w:rPr>
          <w:rFonts w:hint="eastAsia" w:ascii="宋体" w:hAnsi="宋体" w:cs="宋体"/>
          <w:sz w:val="24"/>
          <w:highlight w:val="none"/>
        </w:rPr>
        <w:t>；</w:t>
      </w:r>
      <w:r>
        <w:rPr>
          <w:rFonts w:hint="eastAsia" w:ascii="宋体" w:hAnsi="宋体" w:cs="宋体"/>
          <w:sz w:val="24"/>
          <w:highlight w:val="none"/>
          <w:lang w:val="zh-CN"/>
        </w:rPr>
        <w:t xml:space="preserve">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11.2.2授权委托书或法定代表人（单位负责人、自然人本人）身份证明、法定代表人授权委托书（或联合投标授权委托书）</w:t>
      </w:r>
      <w:r>
        <w:rPr>
          <w:rFonts w:hint="eastAsia" w:ascii="宋体" w:hAnsi="宋体" w:cs="宋体"/>
          <w:snapToGrid w:val="0"/>
          <w:kern w:val="28"/>
          <w:sz w:val="24"/>
          <w:szCs w:val="20"/>
          <w:highlight w:val="none"/>
        </w:rPr>
        <w:t>(格式详见详见第六部分 应提交的有关格式范例）</w:t>
      </w:r>
      <w:r>
        <w:rPr>
          <w:rFonts w:hint="eastAsia" w:ascii="宋体" w:hAnsi="宋体" w:cs="宋体"/>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11.2.3分包意向协议</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如有请提供</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4</w:t>
      </w:r>
      <w:r>
        <w:rPr>
          <w:rFonts w:hint="eastAsia" w:ascii="宋体" w:hAnsi="宋体" w:cs="宋体"/>
          <w:sz w:val="24"/>
          <w:highlight w:val="none"/>
        </w:rPr>
        <w:t>符合性审查资料</w:t>
      </w:r>
      <w:r>
        <w:rPr>
          <w:rFonts w:hint="eastAsia" w:ascii="宋体" w:hAnsi="宋体" w:cs="宋体"/>
          <w:snapToGrid w:val="0"/>
          <w:kern w:val="28"/>
          <w:sz w:val="24"/>
          <w:szCs w:val="20"/>
          <w:highlight w:val="none"/>
        </w:rPr>
        <w:t>(格式详见详见第六部分 应提交的有关格式范例</w:t>
      </w:r>
      <w:r>
        <w:rPr>
          <w:rFonts w:hint="eastAsia" w:ascii="宋体" w:hAnsi="宋体" w:cs="宋体"/>
          <w:snapToGrid w:val="0"/>
          <w:kern w:val="28"/>
          <w:sz w:val="24"/>
          <w:szCs w:val="20"/>
          <w:highlight w:val="none"/>
          <w:lang w:eastAsia="zh-CN"/>
        </w:rPr>
        <w:t>）</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5</w:t>
      </w:r>
      <w:r>
        <w:rPr>
          <w:rFonts w:hint="eastAsia" w:ascii="宋体" w:hAnsi="宋体" w:cs="宋体"/>
          <w:sz w:val="24"/>
          <w:highlight w:val="none"/>
        </w:rPr>
        <w:t>评标标准相应的商务技术资料</w:t>
      </w:r>
      <w:r>
        <w:rPr>
          <w:rFonts w:hint="eastAsia" w:ascii="宋体" w:hAnsi="宋体" w:cs="宋体"/>
          <w:snapToGrid w:val="0"/>
          <w:kern w:val="28"/>
          <w:sz w:val="24"/>
          <w:szCs w:val="20"/>
          <w:highlight w:val="none"/>
        </w:rPr>
        <w:t>(格式详见详见第六部分 应提交的有关格式范例</w:t>
      </w:r>
      <w:r>
        <w:rPr>
          <w:rFonts w:hint="eastAsia" w:ascii="宋体" w:hAnsi="宋体" w:cs="宋体"/>
          <w:snapToGrid w:val="0"/>
          <w:kern w:val="28"/>
          <w:sz w:val="24"/>
          <w:szCs w:val="20"/>
          <w:highlight w:val="none"/>
          <w:lang w:eastAsia="zh-CN"/>
        </w:rPr>
        <w:t>）</w:t>
      </w:r>
      <w:r>
        <w:rPr>
          <w:rFonts w:hint="eastAsia" w:ascii="宋体" w:hAnsi="宋体" w:cs="宋体"/>
          <w:sz w:val="24"/>
          <w:highlight w:val="none"/>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6</w:t>
      </w:r>
      <w:r>
        <w:rPr>
          <w:rFonts w:hint="eastAsia" w:ascii="宋体" w:hAnsi="宋体" w:cs="宋体"/>
          <w:sz w:val="24"/>
          <w:highlight w:val="none"/>
        </w:rPr>
        <w:t>投标标的清单</w:t>
      </w:r>
      <w:r>
        <w:rPr>
          <w:rFonts w:hint="eastAsia" w:ascii="宋体" w:hAnsi="宋体" w:cs="宋体"/>
          <w:snapToGrid w:val="0"/>
          <w:kern w:val="28"/>
          <w:sz w:val="24"/>
          <w:szCs w:val="20"/>
          <w:highlight w:val="none"/>
        </w:rPr>
        <w:t>(格式详见详见第六部分 应提交的有关格式范例）</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7</w:t>
      </w:r>
      <w:r>
        <w:rPr>
          <w:rFonts w:hint="eastAsia" w:ascii="宋体" w:hAnsi="宋体" w:cs="宋体"/>
          <w:sz w:val="24"/>
          <w:highlight w:val="none"/>
        </w:rPr>
        <w:t>商务技术偏离表</w:t>
      </w:r>
      <w:r>
        <w:rPr>
          <w:rFonts w:hint="eastAsia" w:ascii="宋体" w:hAnsi="宋体" w:cs="宋体"/>
          <w:snapToGrid w:val="0"/>
          <w:kern w:val="28"/>
          <w:sz w:val="24"/>
          <w:szCs w:val="20"/>
          <w:highlight w:val="none"/>
        </w:rPr>
        <w:t>(格式详见详见第六部分 应提交的有关格式范例）</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lang w:val="en-US" w:eastAsia="zh-CN"/>
        </w:rPr>
        <w:t>8</w:t>
      </w:r>
      <w:r>
        <w:rPr>
          <w:rFonts w:hint="eastAsia" w:ascii="宋体" w:hAnsi="宋体" w:cs="宋体"/>
          <w:sz w:val="24"/>
          <w:highlight w:val="none"/>
          <w:lang w:val="zh-CN"/>
        </w:rPr>
        <w:t>政府采购供应商廉洁自律承诺书</w:t>
      </w:r>
      <w:r>
        <w:rPr>
          <w:rFonts w:hint="eastAsia" w:ascii="宋体" w:hAnsi="宋体" w:cs="宋体"/>
          <w:snapToGrid w:val="0"/>
          <w:kern w:val="28"/>
          <w:sz w:val="24"/>
          <w:szCs w:val="20"/>
          <w:highlight w:val="none"/>
        </w:rPr>
        <w:t>(格式详见详见第六部分 应提交的有关格式范例）</w:t>
      </w:r>
      <w:r>
        <w:rPr>
          <w:rFonts w:hint="eastAsia" w:ascii="宋体" w:hAnsi="宋体" w:cs="宋体"/>
          <w:sz w:val="24"/>
          <w:highlight w:val="none"/>
          <w:lang w:val="zh-CN"/>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9</w:t>
      </w:r>
      <w:r>
        <w:rPr>
          <w:rFonts w:hint="eastAsia" w:ascii="宋体" w:hAnsi="宋体" w:cs="宋体"/>
          <w:sz w:val="24"/>
          <w:highlight w:val="none"/>
        </w:rPr>
        <w:t>相关业绩</w:t>
      </w:r>
      <w:r>
        <w:rPr>
          <w:rFonts w:hint="eastAsia" w:ascii="宋体" w:hAnsi="宋体" w:cs="宋体"/>
          <w:snapToGrid w:val="0"/>
          <w:kern w:val="28"/>
          <w:sz w:val="24"/>
          <w:szCs w:val="20"/>
          <w:highlight w:val="none"/>
        </w:rPr>
        <w:t>(格式详见详见第六部分 应提交的有关格式范例）</w:t>
      </w:r>
      <w:r>
        <w:rPr>
          <w:rFonts w:hint="eastAsia" w:ascii="宋体" w:hAnsi="宋体" w:cs="宋体"/>
          <w:sz w:val="24"/>
          <w:highlight w:val="none"/>
        </w:rPr>
        <w:t>、投标产品的销售业绩的合同复印件（加盖公章）（根据评分标准提供）；</w:t>
      </w:r>
    </w:p>
    <w:p>
      <w:pPr>
        <w:snapToGrid w:val="0"/>
        <w:spacing w:line="360" w:lineRule="auto"/>
        <w:ind w:firstLine="960" w:firstLineChars="400"/>
        <w:rPr>
          <w:rFonts w:hint="eastAsia"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10设计</w:t>
      </w:r>
      <w:r>
        <w:rPr>
          <w:rFonts w:hint="eastAsia" w:ascii="宋体" w:hAnsi="宋体" w:cs="宋体"/>
          <w:sz w:val="24"/>
          <w:highlight w:val="none"/>
        </w:rPr>
        <w:t>方案</w:t>
      </w:r>
      <w:r>
        <w:rPr>
          <w:rFonts w:hint="eastAsia" w:ascii="宋体" w:hAnsi="宋体" w:cs="宋体"/>
          <w:sz w:val="24"/>
          <w:highlight w:val="none"/>
          <w:lang w:eastAsia="zh-CN"/>
        </w:rPr>
        <w:t>（</w:t>
      </w:r>
      <w:r>
        <w:rPr>
          <w:rFonts w:hint="eastAsia" w:ascii="宋体" w:hAnsi="宋体" w:cs="宋体"/>
          <w:sz w:val="24"/>
          <w:highlight w:val="none"/>
          <w:lang w:val="en-US" w:eastAsia="zh-CN"/>
        </w:rPr>
        <w:t>仅标项一需提供</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11</w:t>
      </w:r>
      <w:r>
        <w:rPr>
          <w:rFonts w:hint="eastAsia" w:ascii="宋体" w:hAnsi="宋体" w:cs="宋体"/>
          <w:sz w:val="24"/>
          <w:highlight w:val="none"/>
        </w:rPr>
        <w:t>安装调试及验收方案；</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w:t>
      </w:r>
      <w:r>
        <w:rPr>
          <w:rFonts w:hint="eastAsia" w:ascii="宋体" w:hAnsi="宋体" w:cs="宋体"/>
          <w:sz w:val="24"/>
          <w:highlight w:val="none"/>
          <w:lang w:val="en-US" w:eastAsia="zh-CN"/>
        </w:rPr>
        <w:t>3</w:t>
      </w:r>
      <w:r>
        <w:rPr>
          <w:rFonts w:hint="eastAsia" w:ascii="宋体" w:hAnsi="宋体" w:cs="宋体"/>
          <w:sz w:val="24"/>
          <w:highlight w:val="none"/>
        </w:rPr>
        <w:t>售后服务方案；</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w:t>
      </w:r>
      <w:r>
        <w:rPr>
          <w:rFonts w:hint="eastAsia" w:ascii="宋体" w:hAnsi="宋体" w:cs="宋体"/>
          <w:sz w:val="24"/>
          <w:highlight w:val="none"/>
          <w:lang w:val="en-US" w:eastAsia="zh-CN"/>
        </w:rPr>
        <w:t>3</w:t>
      </w:r>
      <w:r>
        <w:rPr>
          <w:rFonts w:hint="eastAsia" w:ascii="宋体" w:hAnsi="宋体" w:cs="宋体"/>
          <w:sz w:val="24"/>
          <w:highlight w:val="none"/>
        </w:rPr>
        <w:t>技术服务、技术培训；</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w:t>
      </w:r>
      <w:r>
        <w:rPr>
          <w:rFonts w:hint="eastAsia" w:ascii="宋体" w:hAnsi="宋体" w:cs="宋体"/>
          <w:sz w:val="24"/>
          <w:highlight w:val="none"/>
          <w:lang w:val="en-US" w:eastAsia="zh-CN"/>
        </w:rPr>
        <w:t>4</w:t>
      </w:r>
      <w:r>
        <w:rPr>
          <w:rFonts w:hint="eastAsia" w:ascii="宋体" w:hAnsi="宋体" w:cs="宋体"/>
          <w:sz w:val="24"/>
          <w:highlight w:val="none"/>
        </w:rPr>
        <w:t>运行、维修成本；</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w:t>
      </w:r>
      <w:r>
        <w:rPr>
          <w:rFonts w:hint="eastAsia" w:ascii="宋体" w:hAnsi="宋体" w:cs="宋体"/>
          <w:sz w:val="24"/>
          <w:highlight w:val="none"/>
          <w:lang w:val="en-US" w:eastAsia="zh-CN"/>
        </w:rPr>
        <w:t>5</w:t>
      </w:r>
      <w:r>
        <w:rPr>
          <w:rFonts w:hint="eastAsia" w:ascii="宋体" w:hAnsi="宋体" w:cs="宋体"/>
          <w:sz w:val="24"/>
          <w:highlight w:val="none"/>
        </w:rPr>
        <w:t>投标人所投产品的节能环保产品认证证书复印件及所投产品属于“节能产品政府采购清单”中所列产品的相关证明资料或截图（如有请提供，加盖公章）。</w:t>
      </w:r>
    </w:p>
    <w:p>
      <w:pPr>
        <w:snapToGrid w:val="0"/>
        <w:spacing w:line="360" w:lineRule="auto"/>
        <w:ind w:firstLine="480" w:firstLineChars="200"/>
        <w:rPr>
          <w:rFonts w:ascii="宋体" w:hAnsi="宋体" w:cs="宋体"/>
          <w:sz w:val="24"/>
          <w:highlight w:val="none"/>
          <w:u w:val="single"/>
          <w:lang w:val="zh-CN"/>
        </w:rPr>
      </w:pPr>
      <w:r>
        <w:rPr>
          <w:rFonts w:hint="eastAsia" w:ascii="宋体" w:hAnsi="宋体" w:cs="宋体"/>
          <w:kern w:val="0"/>
          <w:sz w:val="24"/>
          <w:highlight w:val="none"/>
          <w:lang w:val="zh-CN"/>
        </w:rPr>
        <w:t>11.</w:t>
      </w:r>
      <w:r>
        <w:rPr>
          <w:rFonts w:hint="eastAsia" w:ascii="宋体" w:hAnsi="宋体" w:cs="宋体"/>
          <w:kern w:val="0"/>
          <w:sz w:val="24"/>
          <w:highlight w:val="none"/>
        </w:rPr>
        <w:t>3</w:t>
      </w:r>
      <w:r>
        <w:rPr>
          <w:rFonts w:hint="eastAsia" w:ascii="宋体" w:hAnsi="宋体" w:cs="宋体"/>
          <w:b/>
          <w:sz w:val="24"/>
          <w:highlight w:val="none"/>
        </w:rPr>
        <w:t>报价文件：</w:t>
      </w:r>
      <w:r>
        <w:rPr>
          <w:rFonts w:hint="eastAsia" w:ascii="宋体" w:hAnsi="宋体" w:cs="宋体"/>
          <w:sz w:val="24"/>
          <w:highlight w:val="none"/>
        </w:rPr>
        <w:t xml:space="preserve">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11.3.1开标一览表</w:t>
      </w:r>
      <w:r>
        <w:rPr>
          <w:rFonts w:hint="eastAsia" w:ascii="宋体" w:hAnsi="宋体" w:eastAsia="宋体" w:cs="宋体"/>
          <w:snapToGrid w:val="0"/>
          <w:color w:val="auto"/>
          <w:kern w:val="28"/>
          <w:sz w:val="24"/>
          <w:szCs w:val="20"/>
          <w:highlight w:val="none"/>
        </w:rPr>
        <w:t>(格式详见详见第六部分 应提交的有关格式范例）</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11.3.2投标报价明细表</w:t>
      </w:r>
      <w:r>
        <w:rPr>
          <w:rFonts w:hint="eastAsia" w:ascii="宋体" w:hAnsi="宋体" w:cs="宋体"/>
          <w:snapToGrid w:val="0"/>
          <w:kern w:val="28"/>
          <w:sz w:val="24"/>
          <w:szCs w:val="20"/>
          <w:highlight w:val="none"/>
        </w:rPr>
        <w:t>(格式详见详见第六部分 应提交的有关格式范例）</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11.3.3投标人针对报价需要说明的其他文件和说明。</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11.3.4中小企业声明函（格式详见详见第六部分 应提交的有关格式范例）</w:t>
      </w:r>
      <w:r>
        <w:rPr>
          <w:rFonts w:hint="eastAsia" w:ascii="宋体" w:hAnsi="宋体" w:cs="宋体"/>
          <w:sz w:val="24"/>
          <w:highlight w:val="none"/>
          <w:lang w:eastAsia="zh-CN"/>
        </w:rPr>
        <w:t>（</w:t>
      </w:r>
      <w:r>
        <w:rPr>
          <w:rFonts w:hint="eastAsia" w:ascii="宋体" w:hAnsi="宋体" w:cs="宋体"/>
          <w:sz w:val="24"/>
          <w:highlight w:val="none"/>
          <w:lang w:val="en-US" w:eastAsia="zh-CN"/>
        </w:rPr>
        <w:t>标项二不适用</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960" w:firstLineChars="400"/>
        <w:rPr>
          <w:rFonts w:ascii="宋体" w:hAnsi="宋体" w:cs="宋体"/>
          <w:highlight w:val="none"/>
        </w:rPr>
      </w:pPr>
      <w:r>
        <w:rPr>
          <w:rFonts w:hint="eastAsia" w:ascii="宋体" w:hAnsi="宋体" w:cs="宋体"/>
          <w:sz w:val="24"/>
          <w:highlight w:val="none"/>
        </w:rPr>
        <w:t>11.3.5残疾人福利性单位声明函（格式详见详见第六部分 应提交的有关格式范例）</w:t>
      </w:r>
      <w:r>
        <w:rPr>
          <w:rFonts w:hint="eastAsia" w:ascii="宋体" w:hAnsi="宋体" w:cs="宋体"/>
          <w:sz w:val="24"/>
          <w:highlight w:val="none"/>
          <w:lang w:eastAsia="zh-CN"/>
        </w:rPr>
        <w:t>（</w:t>
      </w:r>
      <w:r>
        <w:rPr>
          <w:rFonts w:hint="eastAsia" w:ascii="宋体" w:hAnsi="宋体" w:cs="宋体"/>
          <w:sz w:val="24"/>
          <w:highlight w:val="none"/>
          <w:lang w:val="en-US" w:eastAsia="zh-CN"/>
        </w:rPr>
        <w:t>标项二不适用</w:t>
      </w:r>
      <w:r>
        <w:rPr>
          <w:rFonts w:hint="eastAsia" w:ascii="宋体" w:hAnsi="宋体" w:cs="宋体"/>
          <w:sz w:val="24"/>
          <w:highlight w:val="none"/>
          <w:lang w:eastAsia="zh-CN"/>
        </w:rPr>
        <w:t>）</w:t>
      </w:r>
      <w:r>
        <w:rPr>
          <w:rFonts w:hint="eastAsia" w:ascii="宋体" w:hAnsi="宋体" w:cs="宋体"/>
          <w:sz w:val="24"/>
          <w:highlight w:val="none"/>
        </w:rPr>
        <w:t>。</w:t>
      </w:r>
    </w:p>
    <w:p>
      <w:pPr>
        <w:spacing w:line="360" w:lineRule="auto"/>
        <w:ind w:firstLine="723" w:firstLineChars="300"/>
        <w:rPr>
          <w:rFonts w:ascii="宋体" w:hAnsi="宋体" w:cs="宋体"/>
          <w:b/>
          <w:sz w:val="24"/>
          <w:highlight w:val="none"/>
        </w:rPr>
      </w:pPr>
      <w:r>
        <w:rPr>
          <w:rFonts w:hint="eastAsia" w:ascii="宋体" w:hAnsi="宋体" w:cs="宋体"/>
          <w:b/>
          <w:sz w:val="24"/>
          <w:highlight w:val="none"/>
        </w:rPr>
        <w:t>投标文件含有采购人不能接受的附加条件的，投标无效；</w:t>
      </w:r>
    </w:p>
    <w:p>
      <w:pPr>
        <w:spacing w:line="360" w:lineRule="auto"/>
        <w:ind w:firstLine="723" w:firstLineChars="300"/>
        <w:rPr>
          <w:rFonts w:ascii="宋体" w:hAnsi="宋体" w:cs="宋体"/>
          <w:b/>
          <w:sz w:val="24"/>
          <w:szCs w:val="21"/>
          <w:highlight w:val="none"/>
        </w:rPr>
      </w:pPr>
      <w:r>
        <w:rPr>
          <w:rFonts w:hint="eastAsia" w:ascii="宋体" w:hAnsi="宋体" w:cs="宋体"/>
          <w:b/>
          <w:sz w:val="24"/>
          <w:highlight w:val="none"/>
        </w:rPr>
        <w:t>投标人提供虚假材料投标的，投标无效。</w:t>
      </w:r>
    </w:p>
    <w:p>
      <w:pPr>
        <w:pStyle w:val="130"/>
        <w:snapToGrid w:val="0"/>
        <w:spacing w:before="0"/>
        <w:ind w:firstLine="0" w:firstLineChars="0"/>
        <w:outlineLvl w:val="0"/>
        <w:rPr>
          <w:rFonts w:ascii="宋体" w:hAnsi="宋体" w:cs="宋体"/>
          <w:b/>
          <w:szCs w:val="24"/>
          <w:highlight w:val="none"/>
        </w:rPr>
      </w:pPr>
      <w:r>
        <w:rPr>
          <w:rFonts w:hint="eastAsia" w:ascii="宋体" w:hAnsi="宋体" w:cs="宋体"/>
          <w:b/>
          <w:szCs w:val="24"/>
          <w:highlight w:val="none"/>
        </w:rPr>
        <w:t>12</w:t>
      </w:r>
      <w:r>
        <w:rPr>
          <w:rFonts w:hint="eastAsia" w:ascii="宋体" w:hAnsi="宋体" w:cs="宋体"/>
          <w:b/>
          <w:kern w:val="0"/>
          <w:szCs w:val="24"/>
          <w:highlight w:val="none"/>
          <w:lang w:val="zh-CN"/>
        </w:rPr>
        <w:t xml:space="preserve">. </w:t>
      </w:r>
      <w:r>
        <w:rPr>
          <w:rFonts w:hint="eastAsia" w:ascii="宋体" w:hAnsi="宋体" w:cs="宋体"/>
          <w:b/>
          <w:szCs w:val="24"/>
          <w:highlight w:val="none"/>
        </w:rPr>
        <w:t>投标文件的编制</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highlight w:val="none"/>
        </w:rPr>
      </w:pPr>
      <w:r>
        <w:rPr>
          <w:rFonts w:hint="eastAsia" w:ascii="宋体" w:hAnsi="宋体" w:cs="宋体"/>
          <w:b/>
          <w:sz w:val="24"/>
          <w:highlight w:val="none"/>
        </w:rPr>
        <w:t>13.投标文件的签署、盖章</w:t>
      </w:r>
    </w:p>
    <w:p>
      <w:pPr>
        <w:pStyle w:val="130"/>
        <w:snapToGrid w:val="0"/>
        <w:spacing w:before="0"/>
        <w:ind w:firstLine="480"/>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rPr>
        <w:t>★投标人的投标文件未按照招标文件要求签署、盖章的，其投标无效</w:t>
      </w:r>
      <w:r>
        <w:rPr>
          <w:rFonts w:hint="eastAsia" w:ascii="宋体" w:hAnsi="宋体" w:cs="宋体"/>
          <w:szCs w:val="24"/>
          <w:highlight w:val="none"/>
        </w:rPr>
        <w:t>。</w:t>
      </w:r>
    </w:p>
    <w:p>
      <w:pPr>
        <w:pStyle w:val="130"/>
        <w:snapToGrid w:val="0"/>
        <w:spacing w:before="0"/>
        <w:ind w:firstLine="480"/>
        <w:rPr>
          <w:rFonts w:ascii="宋体" w:hAnsi="宋体" w:cs="宋体"/>
          <w:highlight w:val="none"/>
        </w:rPr>
      </w:pPr>
      <w:r>
        <w:rPr>
          <w:rFonts w:hint="eastAsia" w:ascii="宋体" w:hAnsi="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130"/>
        <w:spacing w:before="0"/>
        <w:ind w:firstLine="0" w:firstLineChars="0"/>
        <w:rPr>
          <w:rFonts w:ascii="宋体" w:hAnsi="宋体" w:cs="宋体"/>
          <w:b/>
          <w:szCs w:val="24"/>
          <w:highlight w:val="none"/>
        </w:rPr>
      </w:pPr>
      <w:r>
        <w:rPr>
          <w:rFonts w:hint="eastAsia" w:ascii="宋体" w:hAnsi="宋体" w:cs="宋体"/>
          <w:b/>
          <w:szCs w:val="24"/>
          <w:highlight w:val="none"/>
        </w:rPr>
        <w:t>14. 投标文件的提交、补充、修改、撤回</w:t>
      </w:r>
    </w:p>
    <w:p>
      <w:pPr>
        <w:pStyle w:val="130"/>
        <w:ind w:firstLine="480"/>
        <w:rPr>
          <w:rFonts w:ascii="宋体" w:hAnsi="宋体" w:cs="宋体"/>
          <w:szCs w:val="24"/>
          <w:highlight w:val="none"/>
        </w:rPr>
      </w:pPr>
      <w:r>
        <w:rPr>
          <w:rFonts w:hint="eastAsia" w:ascii="宋体" w:hAnsi="宋体" w:cs="宋体"/>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highlight w:val="none"/>
        </w:rPr>
      </w:pPr>
      <w:r>
        <w:rPr>
          <w:rFonts w:hint="eastAsia" w:ascii="宋体" w:hAnsi="宋体" w:cs="宋体"/>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sz w:val="24"/>
          <w:szCs w:val="24"/>
          <w:highlight w:val="none"/>
        </w:rPr>
      </w:pPr>
      <w:r>
        <w:rPr>
          <w:rFonts w:hint="eastAsia" w:hAnsi="宋体" w:cs="宋体"/>
          <w:b/>
          <w:sz w:val="24"/>
          <w:szCs w:val="24"/>
          <w:highlight w:val="none"/>
        </w:rPr>
        <w:t>15.备份投标文件</w:t>
      </w:r>
    </w:p>
    <w:p>
      <w:pPr>
        <w:pStyle w:val="34"/>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15.1投标人在电子交易平台传输递交投标文件后，还可以在投标截止时间前直接通过电子邮件提交备份投标文件1份，</w:t>
      </w:r>
      <w:r>
        <w:rPr>
          <w:rFonts w:hint="eastAsia" w:hAnsi="宋体" w:cs="宋体"/>
          <w:b/>
          <w:sz w:val="24"/>
          <w:szCs w:val="24"/>
          <w:highlight w:val="none"/>
        </w:rPr>
        <w:t>但采购人、采购代理机构不强制或变相强制投标人提交备份投标文件。</w:t>
      </w:r>
    </w:p>
    <w:p>
      <w:pPr>
        <w:pStyle w:val="34"/>
        <w:spacing w:line="360" w:lineRule="auto"/>
        <w:ind w:firstLine="479" w:firstLineChars="199"/>
        <w:rPr>
          <w:rFonts w:hAnsi="宋体" w:cs="宋体"/>
          <w:b/>
          <w:sz w:val="24"/>
          <w:szCs w:val="24"/>
          <w:highlight w:val="none"/>
        </w:rPr>
      </w:pPr>
      <w:r>
        <w:rPr>
          <w:rFonts w:hint="eastAsia" w:hAnsi="宋体" w:cs="宋体"/>
          <w:b/>
          <w:sz w:val="24"/>
          <w:szCs w:val="24"/>
          <w:highlight w:val="none"/>
        </w:rPr>
        <w:t>15.2投标人仅提交备份投标文件，未在电子交易平台传输递交投标文件的，投标无效。</w:t>
      </w:r>
    </w:p>
    <w:p>
      <w:pPr>
        <w:pStyle w:val="130"/>
        <w:spacing w:before="0"/>
        <w:ind w:firstLine="0" w:firstLineChars="0"/>
        <w:rPr>
          <w:rFonts w:ascii="宋体" w:hAnsi="宋体" w:cs="宋体"/>
          <w:b/>
          <w:szCs w:val="24"/>
          <w:highlight w:val="none"/>
        </w:rPr>
      </w:pPr>
      <w:r>
        <w:rPr>
          <w:rFonts w:hint="eastAsia" w:ascii="宋体" w:hAnsi="宋体" w:cs="宋体"/>
          <w:b/>
          <w:szCs w:val="24"/>
          <w:highlight w:val="none"/>
        </w:rPr>
        <w:t>16.投标文件的无效处理</w:t>
      </w:r>
    </w:p>
    <w:p>
      <w:pPr>
        <w:pStyle w:val="2"/>
        <w:spacing w:line="360" w:lineRule="auto"/>
        <w:ind w:firstLine="360" w:firstLineChars="150"/>
        <w:rPr>
          <w:rFonts w:cs="宋体"/>
          <w:szCs w:val="21"/>
          <w:highlight w:val="none"/>
        </w:rPr>
      </w:pPr>
      <w:r>
        <w:rPr>
          <w:rFonts w:hint="eastAsia" w:cs="宋体"/>
          <w:szCs w:val="21"/>
          <w:highlight w:val="none"/>
        </w:rPr>
        <w:t>有招标文件第四部分</w:t>
      </w:r>
      <w:r>
        <w:rPr>
          <w:rFonts w:hint="eastAsia" w:cs="宋体"/>
          <w:highlight w:val="none"/>
        </w:rPr>
        <w:t>4.2规定</w:t>
      </w:r>
      <w:r>
        <w:rPr>
          <w:rFonts w:hint="eastAsia" w:cs="宋体"/>
          <w:szCs w:val="21"/>
          <w:highlight w:val="none"/>
        </w:rPr>
        <w:t>的情形之一的，投标无效：</w:t>
      </w:r>
    </w:p>
    <w:p>
      <w:pPr>
        <w:pStyle w:val="130"/>
        <w:spacing w:before="0"/>
        <w:ind w:firstLine="0" w:firstLineChars="0"/>
        <w:rPr>
          <w:rFonts w:ascii="宋体" w:hAnsi="宋体" w:cs="宋体"/>
          <w:b/>
          <w:szCs w:val="24"/>
          <w:highlight w:val="none"/>
        </w:rPr>
      </w:pPr>
      <w:r>
        <w:rPr>
          <w:rFonts w:hint="eastAsia" w:ascii="宋体" w:hAnsi="宋体" w:cs="宋体"/>
          <w:b/>
          <w:szCs w:val="24"/>
          <w:highlight w:val="none"/>
        </w:rPr>
        <w:t>17.投标有效期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130"/>
        <w:spacing w:before="0"/>
        <w:ind w:firstLine="480"/>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130"/>
        <w:spacing w:before="0"/>
        <w:ind w:firstLine="480"/>
        <w:rPr>
          <w:rFonts w:ascii="宋体" w:hAnsi="宋体" w:cs="宋体"/>
          <w:highlight w:val="none"/>
        </w:rPr>
      </w:pPr>
      <w:r>
        <w:rPr>
          <w:rFonts w:hint="eastAsia" w:ascii="宋体" w:hAnsi="宋体" w:cs="宋体"/>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sz w:val="32"/>
          <w:highlight w:val="none"/>
        </w:rPr>
      </w:pPr>
    </w:p>
    <w:p>
      <w:pPr>
        <w:pStyle w:val="130"/>
        <w:spacing w:before="0"/>
        <w:ind w:firstLine="1928" w:firstLineChars="600"/>
        <w:rPr>
          <w:rFonts w:ascii="宋体" w:hAnsi="宋体" w:cs="宋体"/>
          <w:b/>
          <w:sz w:val="32"/>
          <w:highlight w:val="none"/>
        </w:rPr>
      </w:pPr>
      <w:r>
        <w:rPr>
          <w:rFonts w:hint="eastAsia" w:ascii="宋体" w:hAnsi="宋体" w:cs="宋体"/>
          <w:b/>
          <w:sz w:val="32"/>
          <w:highlight w:val="none"/>
        </w:rPr>
        <w:t>四、开标、资格审查与信用信息查询</w:t>
      </w:r>
    </w:p>
    <w:p>
      <w:pPr>
        <w:pStyle w:val="556"/>
        <w:spacing w:before="0" w:line="360" w:lineRule="auto"/>
        <w:ind w:left="0" w:firstLine="241" w:firstLineChars="100"/>
        <w:contextualSpacing/>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556"/>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18.1采购代理机构按照招标文件规定的时间通过电子交易平台组织开标，所有投标人均应当准时在线参加。投标人不足3家的，不得开标。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pStyle w:val="556"/>
        <w:spacing w:before="0" w:line="360" w:lineRule="auto"/>
        <w:ind w:left="0" w:firstLine="480" w:firstLineChars="200"/>
        <w:contextualSpacing/>
        <w:rPr>
          <w:rFonts w:ascii="宋体" w:hAnsi="宋体" w:cs="宋体"/>
          <w:b/>
          <w:sz w:val="24"/>
          <w:highlight w:val="none"/>
        </w:rPr>
      </w:pPr>
      <w:r>
        <w:rPr>
          <w:rFonts w:hint="eastAsia" w:ascii="宋体" w:hAnsi="宋体" w:cs="宋体"/>
          <w:sz w:val="24"/>
          <w:highlight w:val="none"/>
        </w:rPr>
        <w:t>18.4</w:t>
      </w:r>
      <w:r>
        <w:rPr>
          <w:rFonts w:hint="eastAsia" w:ascii="宋体" w:hAnsi="宋体" w:cs="宋体"/>
          <w:b/>
          <w:sz w:val="24"/>
          <w:highlight w:val="none"/>
        </w:rPr>
        <w:t>在政府采购云平台同时开启已解密供应商的“资格证明文件、商务技术文件、报价文件”，并做开标记录。</w:t>
      </w:r>
    </w:p>
    <w:p>
      <w:pPr>
        <w:widowControl/>
        <w:spacing w:before="100" w:beforeAutospacing="1" w:after="240" w:line="360" w:lineRule="auto"/>
        <w:jc w:val="left"/>
        <w:rPr>
          <w:rFonts w:ascii="宋体" w:hAnsi="宋体" w:cs="宋体"/>
          <w:b/>
          <w:sz w:val="24"/>
          <w:szCs w:val="20"/>
          <w:highlight w:val="none"/>
        </w:rPr>
      </w:pPr>
      <w:r>
        <w:rPr>
          <w:rFonts w:hint="eastAsia" w:ascii="宋体" w:hAnsi="宋体" w:cs="宋体"/>
          <w:b/>
          <w:sz w:val="24"/>
          <w:szCs w:val="20"/>
          <w:highlight w:val="none"/>
        </w:rPr>
        <w:t>　19、资格审查</w:t>
      </w:r>
    </w:p>
    <w:p>
      <w:pPr>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19.1</w:t>
      </w:r>
      <w:r>
        <w:rPr>
          <w:rFonts w:hint="eastAsia" w:ascii="宋体" w:hAnsi="宋体" w:cs="宋体"/>
          <w:sz w:val="24"/>
          <w:highlight w:val="none"/>
        </w:rPr>
        <w:t>采购人或采购代理机构依据法律法规和招标文件的规定，对投标人的资格进行审查。</w:t>
      </w:r>
    </w:p>
    <w:p>
      <w:pPr>
        <w:pStyle w:val="130"/>
        <w:spacing w:before="0"/>
        <w:ind w:firstLine="480"/>
        <w:rPr>
          <w:rFonts w:ascii="宋体" w:hAnsi="宋体" w:cs="宋体"/>
          <w:highlight w:val="none"/>
        </w:rPr>
      </w:pPr>
      <w:r>
        <w:rPr>
          <w:rFonts w:hint="eastAsia" w:ascii="宋体" w:hAnsi="宋体" w:cs="宋体"/>
          <w:kern w:val="0"/>
          <w:szCs w:val="24"/>
          <w:highlight w:val="none"/>
        </w:rPr>
        <w:t>19.2投标人未按照招标文件要求提供与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130"/>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3对未通过资格审查的投标人，采购人或采购代理机构告知其未通过的原因。</w:t>
      </w:r>
    </w:p>
    <w:p>
      <w:pPr>
        <w:pStyle w:val="130"/>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4合格投标人不足3家的，不再评标。</w:t>
      </w:r>
    </w:p>
    <w:p>
      <w:pPr>
        <w:pStyle w:val="130"/>
        <w:spacing w:before="0"/>
        <w:ind w:firstLine="0" w:firstLineChars="0"/>
        <w:rPr>
          <w:rFonts w:ascii="宋体" w:hAnsi="宋体" w:cs="宋体"/>
          <w:b/>
          <w:szCs w:val="24"/>
          <w:highlight w:val="none"/>
        </w:rPr>
      </w:pPr>
      <w:r>
        <w:rPr>
          <w:rFonts w:hint="eastAsia" w:ascii="宋体" w:hAnsi="宋体" w:cs="宋体"/>
          <w:b/>
          <w:szCs w:val="24"/>
          <w:highlight w:val="none"/>
        </w:rPr>
        <w:t>20、信用信息查询</w:t>
      </w:r>
    </w:p>
    <w:p>
      <w:pPr>
        <w:pStyle w:val="130"/>
        <w:spacing w:before="0"/>
        <w:ind w:firstLine="495" w:firstLineChars="0"/>
        <w:rPr>
          <w:rFonts w:ascii="宋体" w:hAnsi="宋体" w:cs="宋体"/>
          <w:kern w:val="0"/>
          <w:szCs w:val="24"/>
          <w:highlight w:val="none"/>
        </w:rPr>
      </w:pPr>
      <w:r>
        <w:rPr>
          <w:rFonts w:hint="eastAsia" w:ascii="宋体" w:hAnsi="宋体" w:cs="宋体"/>
          <w:kern w:val="0"/>
          <w:szCs w:val="24"/>
          <w:highlight w:val="none"/>
        </w:rPr>
        <w:t>20.1信用信息查询渠道及截止时间：采购代理机构将在资格审查时通过“信用中国”网站(www.creditchina.gov.cn)、中国政府采购网(www.ccgp.gov.cn)渠道查询投标人接受资格审查时的信用记录。</w:t>
      </w:r>
    </w:p>
    <w:p>
      <w:pPr>
        <w:pStyle w:val="130"/>
        <w:spacing w:before="0"/>
        <w:ind w:firstLine="495" w:firstLineChars="0"/>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130"/>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 w:val="24"/>
          <w:highlight w:val="none"/>
        </w:rPr>
      </w:pPr>
      <w:bookmarkStart w:id="19"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2"/>
        <w:spacing w:line="360" w:lineRule="auto"/>
        <w:ind w:left="479" w:hanging="479" w:hangingChars="199"/>
        <w:rPr>
          <w:rFonts w:cs="宋体"/>
          <w:b/>
          <w:highlight w:val="none"/>
        </w:rPr>
      </w:pPr>
      <w:r>
        <w:rPr>
          <w:rFonts w:hint="eastAsia" w:cs="宋体"/>
          <w:b/>
          <w:highlight w:val="none"/>
        </w:rPr>
        <w:t>22. 确定中标供应商</w:t>
      </w:r>
    </w:p>
    <w:p>
      <w:pPr>
        <w:pStyle w:val="130"/>
        <w:snapToGrid w:val="0"/>
        <w:spacing w:before="0"/>
        <w:ind w:firstLine="480"/>
        <w:rPr>
          <w:rFonts w:ascii="宋体" w:hAnsi="宋体" w:cs="宋体"/>
          <w:b/>
          <w:szCs w:val="24"/>
          <w:highlight w:val="none"/>
        </w:rPr>
      </w:pPr>
      <w:r>
        <w:rPr>
          <w:rFonts w:hint="eastAsia" w:ascii="宋体" w:hAnsi="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2" w:firstLineChars="150"/>
        <w:jc w:val="center"/>
        <w:rPr>
          <w:rFonts w:ascii="宋体" w:hAnsi="宋体" w:cs="宋体"/>
          <w:b/>
          <w:sz w:val="32"/>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七、合同授予</w:t>
      </w:r>
    </w:p>
    <w:p>
      <w:pPr>
        <w:pStyle w:val="2"/>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2"/>
        <w:spacing w:line="360" w:lineRule="auto"/>
        <w:ind w:left="479" w:hanging="479" w:hangingChars="199"/>
        <w:rPr>
          <w:rFonts w:cs="宋体"/>
          <w:b/>
          <w:highlight w:val="none"/>
        </w:rPr>
      </w:pPr>
      <w:r>
        <w:rPr>
          <w:rFonts w:hint="eastAsia" w:cs="宋体"/>
          <w:b/>
          <w:highlight w:val="none"/>
        </w:rPr>
        <w:t>25. 合同的签订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w:t>
      </w:r>
    </w:p>
    <w:p>
      <w:pPr>
        <w:pStyle w:val="130"/>
        <w:snapToGrid w:val="0"/>
        <w:spacing w:before="0"/>
        <w:ind w:firstLine="480"/>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highlight w:val="none"/>
        </w:rPr>
      </w:pPr>
      <w:r>
        <w:rPr>
          <w:rFonts w:hint="eastAsia" w:ascii="宋体" w:hAnsi="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w:t>
      </w:r>
    </w:p>
    <w:p>
      <w:pPr>
        <w:pStyle w:val="5"/>
        <w:ind w:left="0" w:firstLine="480" w:firstLineChars="200"/>
        <w:rPr>
          <w:rFonts w:ascii="宋体" w:hAnsi="宋体" w:eastAsia="宋体" w:cs="宋体"/>
          <w:b w:val="0"/>
          <w:bCs w:val="0"/>
          <w:snapToGrid w:val="0"/>
          <w:kern w:val="28"/>
          <w:sz w:val="24"/>
          <w:highlight w:val="none"/>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rFonts w:ascii="宋体" w:hAnsi="宋体" w:eastAsia="宋体" w:cs="宋体"/>
          <w:highlight w:val="none"/>
        </w:rPr>
      </w:pPr>
      <w:r>
        <w:rPr>
          <w:rFonts w:hint="eastAsia" w:ascii="宋体" w:hAnsi="宋体" w:eastAsia="宋体" w:cs="宋体"/>
          <w:sz w:val="24"/>
          <w:highlight w:val="none"/>
          <w:lang w:val="en-US"/>
        </w:rPr>
        <w:t>27.预付款</w:t>
      </w:r>
    </w:p>
    <w:p>
      <w:pPr>
        <w:adjustRightInd/>
        <w:spacing w:line="360" w:lineRule="auto"/>
        <w:ind w:firstLine="480" w:firstLineChars="200"/>
        <w:rPr>
          <w:rFonts w:ascii="宋体" w:hAnsi="宋体" w:cs="宋体"/>
          <w:highlight w:val="none"/>
        </w:rPr>
      </w:pPr>
      <w:r>
        <w:rPr>
          <w:rFonts w:hint="eastAsia" w:ascii="宋体" w:hAnsi="宋体" w:cs="宋体"/>
          <w:sz w:val="24"/>
          <w:highlight w:val="none"/>
        </w:rPr>
        <w:t>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ascii="宋体" w:hAnsi="宋体" w:cs="宋体"/>
          <w:highlight w:val="none"/>
        </w:rPr>
      </w:pPr>
    </w:p>
    <w:p>
      <w:pPr>
        <w:snapToGrid w:val="0"/>
        <w:spacing w:line="360" w:lineRule="auto"/>
        <w:ind w:firstLine="3357" w:firstLineChars="1045"/>
        <w:rPr>
          <w:rFonts w:ascii="宋体" w:hAnsi="宋体" w:cs="宋体"/>
          <w:b/>
          <w:sz w:val="32"/>
          <w:highlight w:val="none"/>
        </w:rPr>
      </w:pPr>
    </w:p>
    <w:p>
      <w:pPr>
        <w:snapToGrid w:val="0"/>
        <w:spacing w:line="360" w:lineRule="auto"/>
        <w:ind w:firstLine="3357" w:firstLineChars="1045"/>
        <w:rPr>
          <w:rFonts w:ascii="宋体" w:hAnsi="宋体" w:cs="宋体"/>
          <w:b/>
          <w:sz w:val="24"/>
          <w:highlight w:val="none"/>
        </w:rPr>
      </w:pPr>
      <w:r>
        <w:rPr>
          <w:rFonts w:hint="eastAsia" w:ascii="宋体" w:hAnsi="宋体" w:cs="宋体"/>
          <w:b/>
          <w:sz w:val="32"/>
          <w:highlight w:val="none"/>
        </w:rPr>
        <w:t>八、电子交易活动的中止</w:t>
      </w:r>
    </w:p>
    <w:p>
      <w:pPr>
        <w:pStyle w:val="130"/>
        <w:snapToGrid w:val="0"/>
        <w:spacing w:before="0"/>
        <w:ind w:firstLine="0" w:firstLineChars="0"/>
        <w:rPr>
          <w:rFonts w:ascii="宋体" w:hAnsi="宋体" w:cs="宋体"/>
          <w:highlight w:val="none"/>
        </w:rPr>
      </w:pPr>
      <w:r>
        <w:rPr>
          <w:rFonts w:hint="eastAsia" w:ascii="宋体" w:hAnsi="宋体" w:cs="宋体"/>
          <w:b/>
          <w:bCs/>
          <w:highlight w:val="none"/>
        </w:rPr>
        <w:t>2</w:t>
      </w:r>
      <w:r>
        <w:rPr>
          <w:rFonts w:hint="eastAsia" w:ascii="宋体" w:hAnsi="宋体" w:cs="宋体"/>
          <w:b/>
          <w:bCs/>
          <w:szCs w:val="24"/>
          <w:highlight w:val="none"/>
        </w:rPr>
        <w:t>8</w:t>
      </w:r>
      <w:r>
        <w:rPr>
          <w:rFonts w:hint="eastAsia" w:ascii="宋体" w:hAnsi="宋体" w:cs="宋体"/>
          <w:b/>
          <w:szCs w:val="24"/>
          <w:highlight w:val="none"/>
        </w:rPr>
        <w:t>. 电子交易活动的中止。</w:t>
      </w:r>
      <w:r>
        <w:rPr>
          <w:rFonts w:hint="eastAsia" w:ascii="宋体" w:hAnsi="宋体" w:cs="宋体"/>
          <w:highlight w:val="none"/>
        </w:rPr>
        <w:t>采购过程中出现以下情形，导致电子交易平台无法正常运行，或者无法保证电子交易的公平、公正和安全时，采购代理机构可中止电子交易活动：</w:t>
      </w:r>
    </w:p>
    <w:p>
      <w:pPr>
        <w:pStyle w:val="130"/>
        <w:snapToGrid w:val="0"/>
        <w:spacing w:before="0"/>
        <w:ind w:firstLine="480"/>
        <w:rPr>
          <w:rFonts w:ascii="宋体" w:hAnsi="宋体" w:cs="宋体"/>
          <w:highlight w:val="none"/>
        </w:rPr>
      </w:pPr>
      <w:r>
        <w:rPr>
          <w:rFonts w:hint="eastAsia" w:ascii="宋体" w:hAnsi="宋体" w:cs="宋体"/>
          <w:highlight w:val="none"/>
        </w:rPr>
        <w:t xml:space="preserve">28.1电子交易平台发生故障而无法登录访问的； </w:t>
      </w:r>
    </w:p>
    <w:p>
      <w:pPr>
        <w:pStyle w:val="130"/>
        <w:snapToGrid w:val="0"/>
        <w:spacing w:before="0"/>
        <w:ind w:firstLine="480"/>
        <w:rPr>
          <w:rFonts w:ascii="宋体" w:hAnsi="宋体" w:cs="宋体"/>
          <w:highlight w:val="none"/>
        </w:rPr>
      </w:pPr>
      <w:r>
        <w:rPr>
          <w:rFonts w:hint="eastAsia" w:ascii="宋体" w:hAnsi="宋体" w:cs="宋体"/>
          <w:highlight w:val="none"/>
        </w:rPr>
        <w:t>28.2电子交易平台应用或数据库出现错误，不能进行正常操作的；</w:t>
      </w:r>
    </w:p>
    <w:p>
      <w:pPr>
        <w:pStyle w:val="130"/>
        <w:snapToGrid w:val="0"/>
        <w:spacing w:before="0"/>
        <w:ind w:firstLine="480"/>
        <w:rPr>
          <w:rFonts w:ascii="宋体" w:hAnsi="宋体" w:cs="宋体"/>
          <w:highlight w:val="none"/>
        </w:rPr>
      </w:pPr>
      <w:r>
        <w:rPr>
          <w:rFonts w:hint="eastAsia" w:ascii="宋体" w:hAnsi="宋体" w:cs="宋体"/>
          <w:highlight w:val="none"/>
        </w:rPr>
        <w:t>28.3电子交易平台发现严重安全漏洞，有潜在泄密危险的；</w:t>
      </w:r>
    </w:p>
    <w:p>
      <w:pPr>
        <w:pStyle w:val="130"/>
        <w:snapToGrid w:val="0"/>
        <w:spacing w:before="0"/>
        <w:ind w:firstLine="480"/>
        <w:rPr>
          <w:rFonts w:ascii="宋体" w:hAnsi="宋体" w:cs="宋体"/>
          <w:highlight w:val="none"/>
        </w:rPr>
      </w:pPr>
      <w:r>
        <w:rPr>
          <w:rFonts w:hint="eastAsia" w:ascii="宋体" w:hAnsi="宋体" w:cs="宋体"/>
          <w:highlight w:val="none"/>
        </w:rPr>
        <w:t xml:space="preserve">28.4病毒发作导致不能进行正常操作的； </w:t>
      </w:r>
    </w:p>
    <w:p>
      <w:pPr>
        <w:pStyle w:val="130"/>
        <w:snapToGrid w:val="0"/>
        <w:spacing w:before="0"/>
        <w:ind w:firstLine="480"/>
        <w:rPr>
          <w:rFonts w:ascii="宋体" w:hAnsi="宋体" w:cs="宋体"/>
          <w:highlight w:val="none"/>
        </w:rPr>
      </w:pPr>
      <w:r>
        <w:rPr>
          <w:rFonts w:hint="eastAsia" w:ascii="宋体" w:hAnsi="宋体" w:cs="宋体"/>
          <w:highlight w:val="none"/>
        </w:rPr>
        <w:t>28.5其他无法保证电子交易的公平、公正和安全的情况。</w:t>
      </w:r>
    </w:p>
    <w:p>
      <w:pPr>
        <w:pStyle w:val="130"/>
        <w:snapToGrid w:val="0"/>
        <w:spacing w:before="0"/>
        <w:ind w:firstLine="0" w:firstLineChars="0"/>
        <w:rPr>
          <w:rFonts w:ascii="宋体" w:hAnsi="宋体" w:cs="宋体"/>
          <w:highlight w:val="none"/>
        </w:rPr>
      </w:pPr>
      <w:r>
        <w:rPr>
          <w:rFonts w:hint="eastAsia" w:ascii="宋体" w:hAnsi="宋体" w:cs="宋体"/>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九、验收</w:t>
      </w:r>
    </w:p>
    <w:p>
      <w:pPr>
        <w:pStyle w:val="2"/>
        <w:spacing w:line="360" w:lineRule="auto"/>
        <w:ind w:firstLine="0" w:firstLineChars="0"/>
        <w:rPr>
          <w:rFonts w:cs="宋体"/>
          <w:b/>
          <w:highlight w:val="none"/>
        </w:rPr>
      </w:pPr>
      <w:r>
        <w:rPr>
          <w:rFonts w:hint="eastAsia" w:cs="宋体"/>
          <w:b/>
          <w:highlight w:val="none"/>
        </w:rPr>
        <w:t>30.验收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30.1采购人组织对供应商履约的验收。如果发现与合同中要求不符，供应商须承担由此发生的一切损失和费用，并接受相应的处理。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9"/>
    <w:p>
      <w:pPr>
        <w:tabs>
          <w:tab w:val="left" w:pos="0"/>
        </w:tabs>
        <w:spacing w:line="360" w:lineRule="auto"/>
        <w:ind w:firstLine="480"/>
        <w:rPr>
          <w:rFonts w:ascii="宋体" w:hAnsi="宋体" w:cs="宋体"/>
          <w:kern w:val="0"/>
          <w:sz w:val="2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680" w:right="1418" w:bottom="468" w:left="1418" w:header="851" w:footer="992" w:gutter="0"/>
          <w:cols w:space="720" w:num="1"/>
          <w:titlePg/>
          <w:docGrid w:linePitch="312" w:charSpace="0"/>
        </w:sectPr>
      </w:pPr>
      <w:bookmarkStart w:id="20" w:name="_Hlt74730295"/>
      <w:bookmarkEnd w:id="20"/>
      <w:bookmarkStart w:id="21" w:name="_Hlt68072998"/>
      <w:bookmarkEnd w:id="21"/>
      <w:bookmarkStart w:id="22" w:name="_Hlt74729768"/>
      <w:bookmarkEnd w:id="22"/>
      <w:bookmarkStart w:id="23" w:name="_Hlt74714665"/>
      <w:bookmarkEnd w:id="23"/>
      <w:bookmarkStart w:id="24" w:name="_Hlt74707468"/>
      <w:bookmarkEnd w:id="24"/>
      <w:bookmarkStart w:id="25" w:name="_Hlt75236290"/>
      <w:bookmarkEnd w:id="25"/>
      <w:bookmarkStart w:id="26" w:name="_Hlt75236101"/>
      <w:bookmarkEnd w:id="26"/>
      <w:bookmarkStart w:id="27" w:name="_Hlt68072990"/>
      <w:bookmarkEnd w:id="27"/>
      <w:bookmarkStart w:id="28" w:name="_Hlt68073093"/>
      <w:bookmarkEnd w:id="28"/>
      <w:bookmarkStart w:id="29" w:name="_Hlt68403820"/>
      <w:bookmarkEnd w:id="29"/>
      <w:bookmarkStart w:id="30" w:name="_Hlt68057669"/>
      <w:bookmarkEnd w:id="30"/>
      <w:bookmarkStart w:id="31" w:name="_Hlt75236011"/>
      <w:bookmarkEnd w:id="31"/>
    </w:p>
    <w:bookmarkEnd w:id="12"/>
    <w:bookmarkEnd w:id="13"/>
    <w:p>
      <w:pPr>
        <w:numPr>
          <w:ilvl w:val="0"/>
          <w:numId w:val="4"/>
        </w:numPr>
        <w:spacing w:line="360" w:lineRule="auto"/>
        <w:jc w:val="center"/>
        <w:outlineLvl w:val="0"/>
        <w:rPr>
          <w:rFonts w:ascii="宋体" w:hAnsi="宋体" w:cs="宋体"/>
          <w:b/>
          <w:sz w:val="36"/>
          <w:szCs w:val="36"/>
          <w:highlight w:val="none"/>
        </w:rPr>
      </w:pPr>
      <w:bookmarkStart w:id="32" w:name="第四部分"/>
      <w:r>
        <w:rPr>
          <w:rFonts w:hint="eastAsia" w:ascii="宋体" w:hAnsi="宋体" w:cs="宋体"/>
          <w:b/>
          <w:sz w:val="36"/>
          <w:szCs w:val="36"/>
          <w:highlight w:val="none"/>
        </w:rPr>
        <w:t xml:space="preserve">  采购需求</w:t>
      </w:r>
    </w:p>
    <w:p>
      <w:pPr>
        <w:spacing w:line="360" w:lineRule="auto"/>
        <w:outlineLvl w:val="0"/>
        <w:rPr>
          <w:rFonts w:ascii="宋体" w:hAnsi="宋体" w:cs="宋体"/>
          <w:b/>
          <w:sz w:val="24"/>
          <w:highlight w:val="none"/>
        </w:rPr>
      </w:pPr>
    </w:p>
    <w:p>
      <w:pPr>
        <w:outlineLvl w:val="0"/>
        <w:rPr>
          <w:rFonts w:hint="eastAsia" w:ascii="宋体" w:hAnsi="宋体" w:cs="宋体"/>
          <w:b/>
          <w:sz w:val="24"/>
          <w:highlight w:val="none"/>
        </w:rPr>
      </w:pPr>
      <w:r>
        <w:rPr>
          <w:rFonts w:hint="eastAsia" w:ascii="宋体" w:hAnsi="宋体" w:cs="宋体"/>
          <w:b/>
          <w:sz w:val="24"/>
          <w:highlight w:val="none"/>
        </w:rPr>
        <w:t xml:space="preserve">              </w:t>
      </w:r>
    </w:p>
    <w:p>
      <w:pPr>
        <w:numPr>
          <w:ilvl w:val="0"/>
          <w:numId w:val="5"/>
        </w:numPr>
        <w:spacing w:line="360" w:lineRule="auto"/>
        <w:outlineLvl w:val="0"/>
        <w:rPr>
          <w:rFonts w:hint="eastAsia" w:ascii="宋体" w:hAnsi="宋体" w:cs="宋体"/>
          <w:b/>
          <w:sz w:val="24"/>
          <w:highlight w:val="none"/>
        </w:rPr>
      </w:pPr>
      <w:r>
        <w:rPr>
          <w:rFonts w:hint="eastAsia" w:ascii="宋体" w:hAnsi="宋体" w:cs="宋体"/>
          <w:b/>
          <w:sz w:val="24"/>
          <w:highlight w:val="none"/>
        </w:rPr>
        <w:t>技术需求</w:t>
      </w:r>
    </w:p>
    <w:p>
      <w:pPr>
        <w:numPr>
          <w:ilvl w:val="0"/>
          <w:numId w:val="0"/>
        </w:numPr>
        <w:spacing w:line="240" w:lineRule="auto"/>
        <w:outlineLvl w:val="0"/>
        <w:rPr>
          <w:rFonts w:hint="eastAsia" w:ascii="宋体" w:hAnsi="宋体" w:eastAsia="宋体" w:cs="宋体"/>
          <w:b/>
          <w:sz w:val="21"/>
          <w:szCs w:val="21"/>
          <w:highlight w:val="none"/>
        </w:rPr>
      </w:pPr>
      <w:r>
        <w:rPr>
          <w:rFonts w:hint="eastAsia" w:ascii="宋体" w:hAnsi="宋体" w:eastAsia="宋体" w:cs="宋体"/>
          <w:b/>
          <w:sz w:val="24"/>
          <w:szCs w:val="24"/>
          <w:highlight w:val="none"/>
        </w:rPr>
        <w:t>标项一：自动发药机（含系统</w:t>
      </w: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rPr>
        <w:t xml:space="preserve">    </w:t>
      </w:r>
      <w:r>
        <w:rPr>
          <w:rFonts w:hint="eastAsia" w:ascii="宋体" w:hAnsi="宋体" w:eastAsia="宋体" w:cs="宋体"/>
          <w:b/>
          <w:sz w:val="21"/>
          <w:szCs w:val="21"/>
          <w:highlight w:val="none"/>
        </w:rPr>
        <w:t xml:space="preserve"> </w:t>
      </w:r>
    </w:p>
    <w:tbl>
      <w:tblPr>
        <w:tblStyle w:val="966"/>
        <w:tblpPr w:leftFromText="180" w:rightFromText="180" w:vertAnchor="text" w:horzAnchor="page" w:tblpXSpec="center" w:tblpY="343"/>
        <w:tblOverlap w:val="never"/>
        <w:tblW w:w="85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5"/>
        <w:gridCol w:w="5918"/>
        <w:gridCol w:w="1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
                <w:snapToGrid w:val="0"/>
                <w:sz w:val="24"/>
                <w:szCs w:val="24"/>
                <w:highlight w:val="none"/>
              </w:rPr>
            </w:pPr>
            <w:r>
              <w:rPr>
                <w:rFonts w:hint="eastAsia" w:ascii="宋体" w:hAnsi="宋体" w:eastAsia="宋体" w:cs="宋体"/>
                <w:b/>
                <w:snapToGrid w:val="0"/>
                <w:sz w:val="24"/>
                <w:szCs w:val="24"/>
                <w:highlight w:val="none"/>
              </w:rPr>
              <w:t>序号</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
                <w:snapToGrid w:val="0"/>
                <w:sz w:val="24"/>
                <w:szCs w:val="24"/>
                <w:highlight w:val="none"/>
              </w:rPr>
            </w:pPr>
            <w:r>
              <w:rPr>
                <w:rFonts w:hint="eastAsia" w:ascii="宋体" w:hAnsi="宋体" w:eastAsia="宋体" w:cs="宋体"/>
                <w:b/>
                <w:snapToGrid w:val="0"/>
                <w:sz w:val="24"/>
                <w:szCs w:val="24"/>
                <w:highlight w:val="none"/>
              </w:rPr>
              <w:t>技术要求</w:t>
            </w:r>
          </w:p>
        </w:tc>
        <w:tc>
          <w:tcPr>
            <w:tcW w:w="1521" w:type="dxa"/>
            <w:tcBorders>
              <w:top w:val="single" w:color="000000" w:sz="2" w:space="0"/>
              <w:bottom w:val="single" w:color="000000" w:sz="2" w:space="0"/>
            </w:tcBorders>
            <w:vAlign w:val="center"/>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
                <w:snapToGrid w:val="0"/>
                <w:sz w:val="24"/>
                <w:szCs w:val="24"/>
                <w:highlight w:val="none"/>
              </w:rPr>
            </w:pPr>
            <w:r>
              <w:rPr>
                <w:rFonts w:hint="eastAsia" w:ascii="宋体" w:hAnsi="宋体" w:eastAsia="宋体" w:cs="宋体"/>
                <w:b/>
                <w:snapToGrid w:val="0"/>
                <w:sz w:val="24"/>
                <w:szCs w:val="24"/>
                <w:highlight w:val="none"/>
              </w:rPr>
              <w:t>响应情况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4"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snapToGrid w:val="0"/>
                <w:sz w:val="24"/>
                <w:szCs w:val="24"/>
                <w:highlight w:val="none"/>
              </w:rPr>
            </w:pPr>
            <w:r>
              <w:rPr>
                <w:rFonts w:hint="eastAsia" w:ascii="宋体" w:hAnsi="宋体" w:eastAsia="宋体" w:cs="宋体"/>
                <w:b/>
                <w:bCs/>
                <w:sz w:val="24"/>
                <w:szCs w:val="24"/>
                <w:highlight w:val="none"/>
              </w:rPr>
              <w:t>一</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snapToGrid w:val="0"/>
                <w:sz w:val="24"/>
                <w:szCs w:val="24"/>
                <w:highlight w:val="none"/>
                <w:lang w:val="en-US" w:eastAsia="zh-CN"/>
              </w:rPr>
            </w:pPr>
            <w:r>
              <w:rPr>
                <w:rFonts w:hint="eastAsia" w:ascii="宋体" w:hAnsi="宋体" w:eastAsia="宋体" w:cs="宋体"/>
                <w:b/>
                <w:bCs/>
                <w:sz w:val="24"/>
                <w:szCs w:val="24"/>
                <w:highlight w:val="none"/>
                <w:lang w:val="en-US" w:eastAsia="zh-CN"/>
              </w:rPr>
              <w:t>基本要求</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r>
              <w:rPr>
                <w:rFonts w:hint="eastAsia" w:ascii="宋体" w:hAnsi="宋体" w:eastAsia="宋体" w:cs="宋体"/>
                <w:b/>
                <w:snapToGrid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snapToGrid w:val="0"/>
                <w:sz w:val="24"/>
                <w:szCs w:val="24"/>
                <w:highlight w:val="none"/>
                <w:lang w:val="en-US" w:eastAsia="zh-CN"/>
              </w:rPr>
            </w:pPr>
            <w:r>
              <w:rPr>
                <w:rFonts w:hint="eastAsia" w:ascii="宋体" w:hAnsi="宋体" w:eastAsia="宋体" w:cs="宋体"/>
                <w:b w:val="0"/>
                <w:bCs w:val="0"/>
                <w:sz w:val="24"/>
                <w:szCs w:val="24"/>
                <w:highlight w:val="none"/>
                <w:lang w:val="en-US" w:eastAsia="zh-CN"/>
              </w:rPr>
              <w:t>1.1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snapToGrid w:val="0"/>
                <w:sz w:val="24"/>
                <w:szCs w:val="24"/>
                <w:highlight w:val="none"/>
              </w:rPr>
            </w:pPr>
            <w:r>
              <w:rPr>
                <w:rFonts w:hint="eastAsia" w:ascii="宋体" w:hAnsi="宋体" w:eastAsia="宋体" w:cs="宋体"/>
                <w:b w:val="0"/>
                <w:bCs w:val="0"/>
                <w:color w:val="000000"/>
                <w:sz w:val="24"/>
                <w:szCs w:val="24"/>
                <w:highlight w:val="none"/>
              </w:rPr>
              <w:t>门急诊发药系统和住院分包系统须与医院HIS实现无缝隙链接，确保医嘱和处方信息无障碍传输，整套设备系统的控制软件操作界面为简体中文。</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sz w:val="24"/>
                <w:szCs w:val="24"/>
                <w:highlight w:val="none"/>
                <w:lang w:val="en-US" w:eastAsia="zh-CN"/>
              </w:rPr>
              <w:t>1.2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color w:val="000000"/>
                <w:sz w:val="24"/>
                <w:szCs w:val="24"/>
                <w:highlight w:val="none"/>
              </w:rPr>
              <w:t>门诊发药系统能够根据HIS指令智能调配处方，可满足各种规格药品的智能调剂发放。整盒的中、西药品处方，可通过传输装置自动传至发药前台。非盒装药品或特殊药品通过规划的集中补药区进行人工半自动调配，通过智能分拣传输手段传输至系统自动分配的窗口。单套整体智能门诊发药系统能够满足医院 2000张/日、高峰4</w:t>
            </w:r>
            <w:r>
              <w:rPr>
                <w:rFonts w:hint="eastAsia" w:ascii="宋体" w:hAnsi="宋体" w:eastAsia="宋体" w:cs="宋体"/>
                <w:b w:val="0"/>
                <w:bCs w:val="0"/>
                <w:color w:val="000000"/>
                <w:sz w:val="24"/>
                <w:szCs w:val="24"/>
                <w:highlight w:val="none"/>
                <w:lang w:val="en-US" w:eastAsia="zh-CN"/>
              </w:rPr>
              <w:t>0</w:t>
            </w:r>
            <w:r>
              <w:rPr>
                <w:rFonts w:hint="eastAsia" w:ascii="宋体" w:hAnsi="宋体" w:eastAsia="宋体" w:cs="宋体"/>
                <w:b w:val="0"/>
                <w:bCs w:val="0"/>
                <w:color w:val="000000"/>
                <w:sz w:val="24"/>
                <w:szCs w:val="24"/>
                <w:highlight w:val="none"/>
              </w:rPr>
              <w:t>0 张/小时处方量的工作需求，同时上药能满足医院药房实际药品补充速度的要求</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1.3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rPr>
            </w:pPr>
            <w:r>
              <w:rPr>
                <w:rFonts w:hint="eastAsia" w:ascii="宋体" w:hAnsi="宋体" w:eastAsia="宋体" w:cs="宋体"/>
                <w:b w:val="0"/>
                <w:bCs w:val="0"/>
                <w:color w:val="000000"/>
                <w:sz w:val="24"/>
                <w:szCs w:val="24"/>
                <w:highlight w:val="none"/>
              </w:rPr>
              <w:t>所有核心产品已经关键技术必须保证产品知识产权和软件著作的合规性和独立性。</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val="0"/>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二</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val="0"/>
                <w:snapToGrid w:val="0"/>
                <w:sz w:val="24"/>
                <w:szCs w:val="24"/>
                <w:highlight w:val="none"/>
              </w:rPr>
            </w:pPr>
            <w:r>
              <w:rPr>
                <w:rFonts w:hint="eastAsia" w:ascii="宋体" w:hAnsi="宋体" w:eastAsia="宋体" w:cs="宋体"/>
                <w:b/>
                <w:bCs w:val="0"/>
                <w:color w:val="000000"/>
                <w:sz w:val="24"/>
                <w:szCs w:val="24"/>
                <w:highlight w:val="none"/>
              </w:rPr>
              <w:t>系统的完整组成配置</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snapToGrid w:val="0"/>
                <w:sz w:val="24"/>
                <w:szCs w:val="24"/>
                <w:highlight w:val="none"/>
                <w:lang w:val="en-US" w:eastAsia="zh-CN"/>
              </w:rPr>
            </w:pPr>
            <w:r>
              <w:rPr>
                <w:rFonts w:hint="eastAsia" w:ascii="宋体" w:hAnsi="宋体" w:cs="宋体"/>
                <w:b/>
                <w:bCs/>
                <w:sz w:val="24"/>
                <w:highlight w:val="none"/>
              </w:rPr>
              <w:t>▲</w:t>
            </w:r>
            <w:r>
              <w:rPr>
                <w:rFonts w:hint="eastAsia" w:ascii="宋体" w:hAnsi="宋体" w:eastAsia="宋体" w:cs="宋体"/>
                <w:b/>
                <w:bCs/>
                <w:snapToGrid w:val="0"/>
                <w:sz w:val="24"/>
                <w:szCs w:val="24"/>
                <w:highlight w:val="none"/>
                <w:lang w:val="en-US" w:eastAsia="zh-CN"/>
              </w:rPr>
              <w:t>2.1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snapToGrid w:val="0"/>
                <w:sz w:val="24"/>
                <w:szCs w:val="24"/>
                <w:highlight w:val="none"/>
                <w:lang w:val="en-US" w:eastAsia="zh-CN"/>
              </w:rPr>
            </w:pPr>
            <w:r>
              <w:rPr>
                <w:rFonts w:hint="eastAsia" w:ascii="宋体" w:hAnsi="宋体" w:eastAsia="宋体" w:cs="宋体"/>
                <w:b w:val="0"/>
                <w:sz w:val="24"/>
                <w:szCs w:val="24"/>
                <w:highlight w:val="none"/>
              </w:rPr>
              <w:t>全自动发药系统、无人补药系统、</w:t>
            </w:r>
            <w:r>
              <w:rPr>
                <w:rFonts w:hint="eastAsia" w:ascii="宋体" w:hAnsi="宋体" w:eastAsia="宋体" w:cs="宋体"/>
                <w:b w:val="0"/>
                <w:sz w:val="24"/>
                <w:szCs w:val="24"/>
                <w:highlight w:val="none"/>
                <w:lang w:val="en-US" w:eastAsia="zh-CN"/>
              </w:rPr>
              <w:t>发筐机</w:t>
            </w:r>
            <w:r>
              <w:rPr>
                <w:rFonts w:hint="eastAsia" w:ascii="宋体" w:hAnsi="宋体" w:eastAsia="宋体" w:cs="宋体"/>
                <w:b w:val="0"/>
                <w:sz w:val="24"/>
                <w:szCs w:val="24"/>
                <w:highlight w:val="none"/>
              </w:rPr>
              <w:t>、</w:t>
            </w:r>
            <w:r>
              <w:rPr>
                <w:rFonts w:hint="eastAsia" w:ascii="宋体" w:hAnsi="宋体" w:eastAsia="宋体" w:cs="宋体"/>
                <w:b w:val="0"/>
                <w:sz w:val="24"/>
                <w:szCs w:val="24"/>
                <w:highlight w:val="none"/>
                <w:lang w:val="en-US" w:eastAsia="zh-CN"/>
              </w:rPr>
              <w:t>整处方</w:t>
            </w:r>
            <w:r>
              <w:rPr>
                <w:rFonts w:hint="eastAsia" w:ascii="宋体" w:hAnsi="宋体" w:eastAsia="宋体" w:cs="宋体"/>
                <w:b w:val="0"/>
                <w:sz w:val="24"/>
                <w:szCs w:val="24"/>
                <w:highlight w:val="none"/>
              </w:rPr>
              <w:t>传送系统、麻精药品管理系统、智能</w:t>
            </w:r>
            <w:r>
              <w:rPr>
                <w:rFonts w:hint="eastAsia" w:ascii="宋体" w:hAnsi="宋体" w:eastAsia="宋体" w:cs="宋体"/>
                <w:b w:val="0"/>
                <w:sz w:val="24"/>
                <w:szCs w:val="24"/>
                <w:highlight w:val="none"/>
                <w:lang w:val="en-US" w:eastAsia="zh-CN"/>
              </w:rPr>
              <w:t>发药系统</w:t>
            </w:r>
            <w:r>
              <w:rPr>
                <w:rFonts w:hint="eastAsia" w:ascii="宋体" w:hAnsi="宋体" w:eastAsia="宋体" w:cs="宋体"/>
                <w:b w:val="0"/>
                <w:sz w:val="24"/>
                <w:szCs w:val="24"/>
                <w:highlight w:val="none"/>
              </w:rPr>
              <w:t>、分包机及</w:t>
            </w:r>
            <w:r>
              <w:rPr>
                <w:rFonts w:hint="eastAsia" w:ascii="宋体" w:hAnsi="宋体" w:eastAsia="宋体" w:cs="宋体"/>
                <w:b w:val="0"/>
                <w:sz w:val="24"/>
                <w:szCs w:val="24"/>
                <w:highlight w:val="none"/>
                <w:lang w:val="en-US" w:eastAsia="zh-CN"/>
              </w:rPr>
              <w:t>满足系统正常运行的</w:t>
            </w:r>
            <w:r>
              <w:rPr>
                <w:rFonts w:hint="eastAsia" w:ascii="宋体" w:hAnsi="宋体" w:eastAsia="宋体" w:cs="宋体"/>
                <w:b w:val="0"/>
                <w:sz w:val="24"/>
                <w:szCs w:val="24"/>
                <w:highlight w:val="none"/>
              </w:rPr>
              <w:t>配套设备等，</w:t>
            </w:r>
            <w:r>
              <w:rPr>
                <w:rFonts w:hint="eastAsia" w:ascii="宋体" w:hAnsi="宋体" w:eastAsia="宋体" w:cs="宋体"/>
                <w:b w:val="0"/>
                <w:bCs/>
                <w:color w:val="000000" w:themeColor="text1"/>
                <w:sz w:val="24"/>
                <w:szCs w:val="24"/>
                <w:highlight w:val="none"/>
                <w14:textFill>
                  <w14:solidFill>
                    <w14:schemeClr w14:val="tx1"/>
                  </w14:solidFill>
                </w14:textFill>
              </w:rPr>
              <w:t>所有配置为同一品牌。</w:t>
            </w:r>
            <w: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t>(投标文件中须</w:t>
            </w:r>
            <w:r>
              <w:rPr>
                <w:rFonts w:hint="eastAsia" w:ascii="宋体" w:hAnsi="宋体" w:eastAsia="宋体" w:cs="宋体"/>
                <w:b/>
                <w:bCs w:val="0"/>
                <w:color w:val="000000" w:themeColor="text1"/>
                <w:sz w:val="24"/>
                <w:szCs w:val="24"/>
                <w:highlight w:val="none"/>
                <w14:textFill>
                  <w14:solidFill>
                    <w14:schemeClr w14:val="tx1"/>
                  </w14:solidFill>
                </w14:textFill>
              </w:rPr>
              <w:t>提供包含本次招标需求产品的配置的合同复印件加盖生产厂家公章</w:t>
            </w:r>
            <w: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val="0"/>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三</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val="0"/>
                <w:snapToGrid w:val="0"/>
                <w:sz w:val="24"/>
                <w:szCs w:val="24"/>
                <w:highlight w:val="none"/>
                <w:lang w:eastAsia="zh-CN"/>
              </w:rPr>
            </w:pPr>
            <w:r>
              <w:rPr>
                <w:rFonts w:hint="eastAsia" w:ascii="宋体" w:hAnsi="宋体" w:eastAsia="宋体" w:cs="宋体"/>
                <w:b/>
                <w:bCs w:val="0"/>
                <w:color w:val="000000"/>
                <w:sz w:val="24"/>
                <w:szCs w:val="24"/>
                <w:highlight w:val="none"/>
              </w:rPr>
              <w:t>药品品种自动化覆盖率</w:t>
            </w:r>
            <w:r>
              <w:rPr>
                <w:rFonts w:hint="eastAsia" w:ascii="宋体" w:hAnsi="宋体" w:eastAsia="宋体" w:cs="宋体"/>
                <w:b/>
                <w:bCs w:val="0"/>
                <w:color w:val="000000"/>
                <w:sz w:val="24"/>
                <w:szCs w:val="24"/>
                <w:highlight w:val="none"/>
                <w:lang w:eastAsia="zh-CN"/>
              </w:rPr>
              <w:t>：</w:t>
            </w:r>
            <w:r>
              <w:rPr>
                <w:rFonts w:hint="eastAsia" w:ascii="宋体" w:hAnsi="宋体" w:eastAsia="宋体" w:cs="宋体"/>
                <w:b/>
                <w:bCs w:val="0"/>
                <w:color w:val="000000"/>
                <w:sz w:val="24"/>
                <w:szCs w:val="24"/>
                <w:highlight w:val="none"/>
              </w:rPr>
              <w:t>90%以上</w:t>
            </w:r>
            <w:r>
              <w:rPr>
                <w:rFonts w:hint="eastAsia" w:ascii="宋体" w:hAnsi="宋体" w:eastAsia="宋体" w:cs="宋体"/>
                <w:b/>
                <w:bCs w:val="0"/>
                <w:color w:val="000000"/>
                <w:sz w:val="24"/>
                <w:szCs w:val="24"/>
                <w:highlight w:val="none"/>
                <w:lang w:eastAsia="zh-CN"/>
              </w:rPr>
              <w:t>；</w:t>
            </w:r>
            <w:r>
              <w:rPr>
                <w:rFonts w:hint="eastAsia" w:ascii="宋体" w:hAnsi="宋体" w:eastAsia="宋体" w:cs="宋体"/>
                <w:b/>
                <w:bCs w:val="0"/>
                <w:color w:val="000000"/>
                <w:sz w:val="24"/>
                <w:szCs w:val="24"/>
                <w:highlight w:val="none"/>
              </w:rPr>
              <w:t xml:space="preserve">  </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val="0"/>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四</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val="0"/>
                <w:snapToGrid w:val="0"/>
                <w:sz w:val="24"/>
                <w:szCs w:val="24"/>
                <w:highlight w:val="none"/>
                <w:lang w:val="en-US" w:eastAsia="zh-CN"/>
              </w:rPr>
            </w:pPr>
            <w:r>
              <w:rPr>
                <w:rFonts w:hint="eastAsia" w:ascii="宋体" w:hAnsi="宋体" w:eastAsia="宋体" w:cs="宋体"/>
                <w:b/>
                <w:bCs w:val="0"/>
                <w:sz w:val="24"/>
                <w:szCs w:val="24"/>
                <w:highlight w:val="none"/>
              </w:rPr>
              <w:t>技术要求</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val="0"/>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4.1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val="0"/>
                <w:snapToGrid w:val="0"/>
                <w:sz w:val="24"/>
                <w:szCs w:val="24"/>
                <w:highlight w:val="none"/>
              </w:rPr>
            </w:pPr>
            <w:r>
              <w:rPr>
                <w:rFonts w:hint="eastAsia" w:ascii="宋体" w:hAnsi="宋体" w:eastAsia="宋体" w:cs="宋体"/>
                <w:b/>
                <w:bCs w:val="0"/>
                <w:sz w:val="24"/>
                <w:szCs w:val="24"/>
                <w:highlight w:val="none"/>
              </w:rPr>
              <w:t>全自动发药系统</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snapToGrid w:val="0"/>
                <w:sz w:val="24"/>
                <w:szCs w:val="24"/>
                <w:highlight w:val="none"/>
                <w:lang w:val="en-US" w:eastAsia="zh-CN"/>
              </w:rPr>
            </w:pPr>
            <w:r>
              <w:rPr>
                <w:rFonts w:hint="eastAsia" w:ascii="宋体" w:hAnsi="宋体" w:eastAsia="宋体" w:cs="宋体"/>
                <w:b w:val="0"/>
                <w:bCs/>
                <w:snapToGrid w:val="0"/>
                <w:sz w:val="24"/>
                <w:szCs w:val="24"/>
                <w:highlight w:val="none"/>
                <w:lang w:val="en-US" w:eastAsia="zh-CN"/>
              </w:rPr>
              <w:t>4.1.1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snapToGrid w:val="0"/>
                <w:sz w:val="24"/>
                <w:szCs w:val="24"/>
                <w:highlight w:val="none"/>
                <w:lang w:eastAsia="zh-CN"/>
              </w:rPr>
            </w:pPr>
            <w:r>
              <w:rPr>
                <w:rFonts w:hint="eastAsia" w:ascii="宋体" w:hAnsi="宋体" w:eastAsia="宋体" w:cs="宋体"/>
                <w:b w:val="0"/>
                <w:bCs w:val="0"/>
                <w:sz w:val="24"/>
                <w:szCs w:val="24"/>
                <w:highlight w:val="none"/>
              </w:rPr>
              <w:t>组成部分</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全自动发药系统主体分为出药、储存、上药三个部分，必须为模组化结构。</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4.1.2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出药方式</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全方位储药槽响应药品批量输出方式，必须为全方位同时落药方式，出药方式采取一次性全屏落药，每个储药槽具有独立的执行机构和计数传感器</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提供实际使用照片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出药口设置</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单台设备可设置多个出药缓存口, 每个缓存后可以设置对应的发药窗口号，并可以正面和侧面出药。</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val="en-US" w:eastAsia="zh-CN"/>
              </w:rPr>
            </w:pPr>
            <w:r>
              <w:rPr>
                <w:rFonts w:hint="eastAsia" w:ascii="宋体" w:hAnsi="宋体" w:eastAsia="宋体" w:cs="宋体"/>
                <w:b w:val="0"/>
                <w:bCs w:val="0"/>
                <w:sz w:val="24"/>
                <w:szCs w:val="24"/>
                <w:highlight w:val="none"/>
              </w:rPr>
              <w:t>处方跟踪</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每侧出药口有显示屏，可对处方进行实时跟踪，随时了解处方的调配进程</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cs="宋体"/>
                <w:b/>
                <w:bCs/>
                <w:sz w:val="24"/>
                <w:highlight w:val="none"/>
              </w:rPr>
              <w:t>▲</w:t>
            </w:r>
            <w:r>
              <w:rPr>
                <w:rFonts w:hint="eastAsia" w:ascii="宋体" w:hAnsi="宋体" w:eastAsia="宋体" w:cs="宋体"/>
                <w:b w:val="0"/>
                <w:bCs w:val="0"/>
                <w:sz w:val="24"/>
                <w:szCs w:val="24"/>
                <w:highlight w:val="none"/>
                <w:lang w:val="en-US" w:eastAsia="zh-CN"/>
              </w:rPr>
              <w:t>4.1.5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发药速度</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平均小于10秒/处方，处方按照3个品种和不少于8盒药品计算</w:t>
            </w:r>
            <w:r>
              <w:rPr>
                <w:rFonts w:hint="eastAsia" w:ascii="宋体" w:hAnsi="宋体" w:eastAsia="宋体" w:cs="宋体"/>
                <w:b w:val="0"/>
                <w:bCs w:val="0"/>
                <w:color w:val="000000" w:themeColor="text1"/>
                <w:sz w:val="24"/>
                <w:szCs w:val="24"/>
                <w:highlight w:val="none"/>
                <w14:textFill>
                  <w14:solidFill>
                    <w14:schemeClr w14:val="tx1"/>
                  </w14:solidFill>
                </w14:textFill>
              </w:rPr>
              <w:t>发药流程为接收指令后发药机分发并传输至发药窗口的过程</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lang w:eastAsia="zh-CN"/>
              </w:rPr>
              <w:t>(</w:t>
            </w:r>
            <w:r>
              <w:rPr>
                <w:rFonts w:hint="eastAsia" w:ascii="宋体" w:hAnsi="宋体" w:cs="宋体"/>
                <w:b/>
                <w:bCs/>
                <w:sz w:val="24"/>
                <w:szCs w:val="24"/>
                <w:highlight w:val="none"/>
                <w:lang w:val="en-US" w:eastAsia="zh-CN"/>
              </w:rPr>
              <w:t>投标文件中须</w:t>
            </w:r>
            <w:r>
              <w:rPr>
                <w:rFonts w:hint="eastAsia" w:ascii="宋体" w:hAnsi="宋体" w:eastAsia="宋体" w:cs="宋体"/>
                <w:b/>
                <w:bCs/>
                <w:sz w:val="24"/>
                <w:szCs w:val="24"/>
                <w:highlight w:val="none"/>
                <w:lang w:eastAsia="zh-CN"/>
              </w:rPr>
              <w:t>提供体现按照要求完整并体现时间效率内容分发的现场视频截图，并加盖公章</w:t>
            </w:r>
            <w:r>
              <w:rPr>
                <w:rFonts w:hint="eastAsia" w:ascii="宋体" w:hAnsi="宋体" w:cs="宋体"/>
                <w:b/>
                <w:bCs/>
                <w:sz w:val="24"/>
                <w:szCs w:val="24"/>
                <w:highlight w:val="none"/>
                <w:lang w:eastAsia="zh-CN"/>
              </w:rPr>
              <w:t>。</w:t>
            </w:r>
            <w:r>
              <w:rPr>
                <w:rFonts w:hint="eastAsia" w:ascii="宋体" w:hAnsi="宋体" w:eastAsia="宋体" w:cs="宋体"/>
                <w:b/>
                <w:bCs/>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储药方式</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药品应按照品种储存在相对独立的药槽中，为了确保药品放置的稳定性，每种药品必须基于药槽平放或立放</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ind w:left="240" w:hanging="240" w:hangingChars="100"/>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处方整体处理速度</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350～500张处方/小时</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计数功能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为了保证出药的准确性每个槽位具有光电计数和电磁铁动作计数双重计数功能</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提供实际使用照片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4.1.9</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val="en-US" w:eastAsia="zh-CN"/>
              </w:rPr>
            </w:pPr>
            <w:r>
              <w:rPr>
                <w:rFonts w:hint="eastAsia" w:ascii="宋体" w:hAnsi="宋体" w:eastAsia="宋体" w:cs="宋体"/>
                <w:b w:val="0"/>
                <w:bCs w:val="0"/>
                <w:sz w:val="24"/>
                <w:szCs w:val="24"/>
                <w:highlight w:val="none"/>
              </w:rPr>
              <w:t>上药保护</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具备保护装置</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4.1.10</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占地面积</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主机占地面积小于18平方米</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4.1.11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储药位</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单台储药轨道不少于950个，单个储位可存储不少于15盒药品（药品长度按常规尺寸长10cm*宽5cm*厚3cm）</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提供实际使用照片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4.1.12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储药槽内部和安装结构</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具备防灰功能，多个尺寸规格，可拆卸自由调整</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4.1.13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存储能力</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密集型存储，储存量不少于14000盒，提供计算公式和计算结果(以常规药盒尺寸10cm*6cm*2cm计算）</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4.1.14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储药槽规格</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储药斜槽有多种规格的，满足不同包装大小的盒装药品</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cs="宋体"/>
                <w:b/>
                <w:bCs/>
                <w:sz w:val="24"/>
                <w:highlight w:val="none"/>
              </w:rPr>
              <w:t>▲</w:t>
            </w:r>
            <w:r>
              <w:rPr>
                <w:rFonts w:hint="eastAsia" w:ascii="宋体" w:hAnsi="宋体" w:eastAsia="宋体" w:cs="宋体"/>
                <w:b w:val="0"/>
                <w:bCs w:val="0"/>
                <w:sz w:val="24"/>
                <w:szCs w:val="24"/>
                <w:highlight w:val="none"/>
                <w:lang w:val="en-US" w:eastAsia="zh-CN"/>
              </w:rPr>
              <w:t>4.1.15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上药机械手</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具备与无人值守补药系统组合使用功能，同时具备上药机械手独立工作，上药过程中不影响发药。多通道同时补药多个品规药品，单次补药不少于40盒</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提供实际使用照片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4.1.16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智能上药数量补差</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半自动补药过程中在上药操作界面上无需修改上药数量，机械手自动识别上药数量。</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提供实际使用照片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4.1.17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储位补药核对方式</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设备通过视觉核对药品存储位置进行核对和定位，保障上药的准确性</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rPr>
              <w:t>（投标文件中须提供实际使用的视觉定位的图片并加盖公章）</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4.1.18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补药速度</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发药机内置的机械手补药速度不低于2000盒/小时</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cs="宋体"/>
                <w:b/>
                <w:bCs/>
                <w:sz w:val="24"/>
                <w:highlight w:val="none"/>
              </w:rPr>
              <w:t>▲</w:t>
            </w:r>
            <w:r>
              <w:rPr>
                <w:rFonts w:hint="eastAsia" w:ascii="宋体" w:hAnsi="宋体" w:eastAsia="宋体" w:cs="宋体"/>
                <w:b w:val="0"/>
                <w:bCs w:val="0"/>
                <w:sz w:val="24"/>
                <w:szCs w:val="24"/>
                <w:highlight w:val="none"/>
                <w:lang w:val="en-US" w:eastAsia="zh-CN"/>
              </w:rPr>
              <w:t>4.1.19</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机械手协同</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发药机机械手与无人补药机械手协同补药，发药机机械手可自行判断选择半自动人工补药工位和无人值守补药工位。两种补药方式可同时交叉运行。</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提供实际使用照片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4.1.20</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传送方式</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独立的药品传送系统，可自由设定出药口。可选用天顶传送和地轨传送两种方式。</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4.1.21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同步功能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盒装药品自动发送系统的发药与上药为两个独立的系统，可同时进行。</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4.1.22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上药信息提示和软件功能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自动提示单次上药数量、药品储存位置、药品上药数量、药品图文等信息。能够智能分析库存信息及报警提示，可以实现药品的库存、效期和批号等信息管理。配备库存补药信息打印功能</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snapToGrid w:val="0"/>
                <w:sz w:val="24"/>
                <w:szCs w:val="24"/>
                <w:highlight w:val="none"/>
                <w:lang w:val="en-US" w:eastAsia="zh-CN"/>
              </w:rPr>
            </w:pPr>
            <w:r>
              <w:rPr>
                <w:rFonts w:hint="eastAsia" w:ascii="宋体" w:hAnsi="宋体" w:eastAsia="宋体" w:cs="宋体"/>
                <w:b w:val="0"/>
                <w:bCs w:val="0"/>
                <w:snapToGrid w:val="0"/>
                <w:sz w:val="24"/>
                <w:szCs w:val="24"/>
                <w:highlight w:val="none"/>
                <w:lang w:val="en-US" w:eastAsia="zh-CN"/>
              </w:rPr>
              <w:t>4.1.23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snapToGrid w:val="0"/>
                <w:sz w:val="24"/>
                <w:szCs w:val="24"/>
                <w:highlight w:val="none"/>
                <w:lang w:eastAsia="zh-CN"/>
              </w:rPr>
            </w:pPr>
            <w:r>
              <w:rPr>
                <w:rFonts w:hint="eastAsia" w:ascii="宋体" w:hAnsi="宋体" w:eastAsia="宋体" w:cs="宋体"/>
                <w:b w:val="0"/>
                <w:bCs w:val="0"/>
                <w:sz w:val="24"/>
                <w:szCs w:val="24"/>
                <w:highlight w:val="none"/>
              </w:rPr>
              <w:t>自动盘库功能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无人值守快速准确盘点，整机盘库时间小于35分钟。多通道盘点功能。</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4.1.24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自动补偿功能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所需药品在出药时，由于槽位库存数量或其它因素不能满足所需数量时，同品规的其它槽位自动补偿发药，以满足处方调剂要求。</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snapToGrid w:val="0"/>
                <w:sz w:val="24"/>
                <w:szCs w:val="24"/>
                <w:highlight w:val="none"/>
                <w:lang w:val="en-US" w:eastAsia="zh-CN"/>
              </w:rPr>
            </w:pPr>
            <w:r>
              <w:rPr>
                <w:rFonts w:hint="eastAsia" w:ascii="宋体" w:hAnsi="宋体" w:eastAsia="宋体" w:cs="宋体"/>
                <w:b w:val="0"/>
                <w:bCs w:val="0"/>
                <w:snapToGrid w:val="0"/>
                <w:sz w:val="24"/>
                <w:szCs w:val="24"/>
                <w:highlight w:val="none"/>
                <w:lang w:val="en-US" w:eastAsia="zh-CN"/>
              </w:rPr>
              <w:t>4.1.25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snapToGrid w:val="0"/>
                <w:sz w:val="24"/>
                <w:szCs w:val="24"/>
                <w:highlight w:val="none"/>
                <w:lang w:eastAsia="zh-CN"/>
              </w:rPr>
            </w:pPr>
            <w:r>
              <w:rPr>
                <w:rFonts w:hint="eastAsia" w:ascii="宋体" w:hAnsi="宋体" w:eastAsia="宋体" w:cs="宋体"/>
                <w:b w:val="0"/>
                <w:bCs w:val="0"/>
                <w:sz w:val="24"/>
                <w:szCs w:val="24"/>
                <w:highlight w:val="none"/>
              </w:rPr>
              <w:t>储存通道智能锁定</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系统针对出现出药数量与需求数量不匹配时，系统具有记忆功能，并针对大于2次以上的通道自动锁定，提高药品自动调剂的准确度，不影响其他通道继续出药，并在软件界面提示检修，再次启用功能</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val="0"/>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4.2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val="0"/>
                <w:snapToGrid w:val="0"/>
                <w:sz w:val="24"/>
                <w:szCs w:val="24"/>
                <w:highlight w:val="none"/>
              </w:rPr>
            </w:pPr>
            <w:r>
              <w:rPr>
                <w:rFonts w:hint="eastAsia" w:ascii="宋体" w:hAnsi="宋体" w:eastAsia="宋体" w:cs="宋体"/>
                <w:b/>
                <w:bCs w:val="0"/>
                <w:sz w:val="24"/>
                <w:szCs w:val="24"/>
                <w:highlight w:val="none"/>
              </w:rPr>
              <w:t>无人补药系统</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r>
              <w:rPr>
                <w:rFonts w:hint="eastAsia" w:ascii="宋体" w:hAnsi="宋体" w:eastAsia="宋体" w:cs="宋体"/>
                <w:b/>
                <w:snapToGrid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4.2.1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设备应用</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该系统可与自动发药机无缝链接药品库存等信息，设备能够根据发药机缺药信息提示，自动补充药品至发药机内</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4.2.2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设备布置</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可随意移动</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4.2.3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val="en-US" w:eastAsia="zh-CN"/>
              </w:rPr>
            </w:pPr>
            <w:r>
              <w:rPr>
                <w:rFonts w:hint="eastAsia" w:ascii="宋体" w:hAnsi="宋体" w:eastAsia="宋体" w:cs="宋体"/>
                <w:b w:val="0"/>
                <w:bCs w:val="0"/>
                <w:sz w:val="24"/>
                <w:szCs w:val="24"/>
                <w:highlight w:val="none"/>
              </w:rPr>
              <w:t>设备组成</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待补药缓存装置、补药拣选机械手、视觉核对装置和人机交互系统</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cs="宋体"/>
                <w:b/>
                <w:bCs/>
                <w:sz w:val="24"/>
                <w:highlight w:val="none"/>
              </w:rPr>
              <w:t>▲</w:t>
            </w:r>
            <w:r>
              <w:rPr>
                <w:rFonts w:hint="eastAsia" w:ascii="宋体" w:hAnsi="宋体" w:eastAsia="宋体" w:cs="宋体"/>
                <w:b w:val="0"/>
                <w:bCs w:val="0"/>
                <w:sz w:val="24"/>
                <w:szCs w:val="24"/>
                <w:highlight w:val="none"/>
                <w:lang w:val="en-US" w:eastAsia="zh-CN"/>
              </w:rPr>
              <w:t>4.2.4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补药方式</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操作人员将待补药品批量倒入待补药缓存装置中，系统自动传输药品至机械手补药工位，经视觉核对后，机械手将药品拣选加入自动发药机，补药缓存通道不低于4个</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提供实际设备照片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4.2.5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无人补药核对方式</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上药核对方式为条码和视觉双核对，同时机械手可以对上药数量进行自动判定修改</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提供实际设备照片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4.2.6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无人补药缓存</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具备无序批量放入药品的缓存装置，该装置和无人补药装置无缝链接，可缓存不少于2000盒药品</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4.2.7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无人补药速度</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不低于300盒/小时</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4.2.8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机械手抓取重量</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不低于2KG</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snapToGrid w:val="0"/>
                <w:sz w:val="24"/>
                <w:szCs w:val="24"/>
                <w:highlight w:val="none"/>
                <w:lang w:val="en-US" w:eastAsia="zh-CN"/>
              </w:rPr>
            </w:pPr>
            <w:r>
              <w:rPr>
                <w:rFonts w:hint="eastAsia" w:ascii="宋体" w:hAnsi="宋体" w:eastAsia="宋体" w:cs="宋体"/>
                <w:b w:val="0"/>
                <w:bCs w:val="0"/>
                <w:snapToGrid w:val="0"/>
                <w:sz w:val="24"/>
                <w:szCs w:val="24"/>
                <w:highlight w:val="none"/>
                <w:lang w:val="en-US" w:eastAsia="zh-CN"/>
              </w:rPr>
              <w:t>4.2.9</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snapToGrid w:val="0"/>
                <w:sz w:val="24"/>
                <w:szCs w:val="24"/>
                <w:highlight w:val="none"/>
                <w:lang w:eastAsia="zh-CN"/>
              </w:rPr>
            </w:pPr>
            <w:r>
              <w:rPr>
                <w:rFonts w:hint="eastAsia" w:ascii="宋体" w:hAnsi="宋体" w:eastAsia="宋体" w:cs="宋体"/>
                <w:b w:val="0"/>
                <w:bCs w:val="0"/>
                <w:sz w:val="24"/>
                <w:szCs w:val="24"/>
                <w:highlight w:val="none"/>
              </w:rPr>
              <w:t>机械手协同</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无人补药机械手与发药机内机械手协同补药</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4.2.10</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无人补药数据记录</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人机交互界面实时反馈补药核对以及补药结果，数据留存记录。</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val="0"/>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4.3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val="0"/>
                <w:snapToGrid w:val="0"/>
                <w:sz w:val="24"/>
                <w:szCs w:val="24"/>
                <w:highlight w:val="none"/>
              </w:rPr>
            </w:pPr>
            <w:r>
              <w:rPr>
                <w:rFonts w:hint="eastAsia" w:ascii="宋体" w:hAnsi="宋体" w:eastAsia="宋体" w:cs="宋体"/>
                <w:b/>
                <w:bCs w:val="0"/>
                <w:sz w:val="24"/>
                <w:szCs w:val="24"/>
                <w:highlight w:val="none"/>
              </w:rPr>
              <w:t>整处方传输系统</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r>
              <w:rPr>
                <w:rFonts w:hint="eastAsia" w:ascii="宋体" w:hAnsi="宋体" w:eastAsia="宋体" w:cs="宋体"/>
                <w:b/>
                <w:snapToGrid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4.3.1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基本功能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系统与HIS无缝连接，负责连接费用。自动接收处方信息，将装有调配完药品的智能药筐传送到指定窗口。整套系统采用地轨传送方式</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w:t>
            </w:r>
            <w:r>
              <w:rPr>
                <w:rFonts w:hint="eastAsia" w:ascii="宋体" w:hAnsi="宋体" w:eastAsia="宋体" w:cs="宋体"/>
                <w:b/>
                <w:bCs/>
                <w:sz w:val="24"/>
                <w:szCs w:val="24"/>
                <w:highlight w:val="none"/>
                <w:lang w:bidi="ar"/>
              </w:rPr>
              <w:t>提供实施案例照片说明</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4.3.2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传送速度</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系统每小时可传送900～1200张处方。</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4.3.3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Cs/>
                <w:snapToGrid w:val="0"/>
                <w:sz w:val="24"/>
                <w:szCs w:val="24"/>
                <w:highlight w:val="none"/>
                <w:lang w:eastAsia="zh-CN"/>
              </w:rPr>
            </w:pPr>
            <w:r>
              <w:rPr>
                <w:rFonts w:hint="eastAsia" w:ascii="宋体" w:hAnsi="宋体" w:eastAsia="宋体" w:cs="宋体"/>
                <w:b w:val="0"/>
                <w:bCs w:val="0"/>
                <w:sz w:val="24"/>
                <w:szCs w:val="24"/>
                <w:highlight w:val="none"/>
              </w:rPr>
              <w:t>缓存要求</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窗口缓存区分为多层摆放智能药筐，存放智能药筐≥15个。具备满筐智能闪灯提示功能。</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snapToGrid w:val="0"/>
                <w:sz w:val="24"/>
                <w:szCs w:val="24"/>
                <w:highlight w:val="none"/>
                <w:lang w:val="en-US" w:eastAsia="zh-CN"/>
              </w:rPr>
            </w:pPr>
            <w:r>
              <w:rPr>
                <w:rFonts w:hint="eastAsia" w:ascii="宋体" w:hAnsi="宋体" w:eastAsia="宋体" w:cs="宋体"/>
                <w:b w:val="0"/>
                <w:bCs w:val="0"/>
                <w:snapToGrid w:val="0"/>
                <w:sz w:val="24"/>
                <w:szCs w:val="24"/>
                <w:highlight w:val="none"/>
                <w:lang w:val="en-US" w:eastAsia="zh-CN"/>
              </w:rPr>
              <w:t>4.3.4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kern w:val="0"/>
                <w:sz w:val="24"/>
                <w:szCs w:val="24"/>
                <w:highlight w:val="none"/>
                <w:lang w:eastAsia="zh-CN"/>
              </w:rPr>
            </w:pPr>
            <w:r>
              <w:rPr>
                <w:rFonts w:hint="eastAsia" w:ascii="宋体" w:hAnsi="宋体" w:eastAsia="宋体" w:cs="宋体"/>
                <w:b w:val="0"/>
                <w:bCs w:val="0"/>
                <w:color w:val="000000"/>
                <w:sz w:val="24"/>
                <w:szCs w:val="24"/>
                <w:highlight w:val="none"/>
              </w:rPr>
              <w:t>药筐读取装置</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药筐放入口端配置读取药筐信息的读写装置</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w:t>
            </w:r>
            <w:r>
              <w:rPr>
                <w:rFonts w:hint="eastAsia" w:ascii="宋体" w:hAnsi="宋体" w:eastAsia="宋体" w:cs="宋体"/>
                <w:b/>
                <w:bCs/>
                <w:color w:val="000000"/>
                <w:sz w:val="24"/>
                <w:szCs w:val="24"/>
                <w:highlight w:val="none"/>
              </w:rPr>
              <w:t>实物照片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snapToGrid w:val="0"/>
                <w:sz w:val="24"/>
                <w:szCs w:val="24"/>
                <w:highlight w:val="none"/>
                <w:lang w:val="en-US" w:eastAsia="zh-CN"/>
              </w:rPr>
            </w:pPr>
            <w:r>
              <w:rPr>
                <w:rFonts w:hint="eastAsia" w:ascii="宋体" w:hAnsi="宋体" w:eastAsia="宋体" w:cs="宋体"/>
                <w:b w:val="0"/>
                <w:bCs/>
                <w:snapToGrid w:val="0"/>
                <w:sz w:val="24"/>
                <w:szCs w:val="24"/>
                <w:highlight w:val="none"/>
                <w:lang w:val="en-US" w:eastAsia="zh-CN"/>
              </w:rPr>
              <w:t>4.3.5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自动匹配功能</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药师无需按顺序绑定智能药筐进行传送，系统能够自动读写智能药筐信息，分配到指定窗口。</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snapToGrid w:val="0"/>
                <w:sz w:val="24"/>
                <w:szCs w:val="24"/>
                <w:highlight w:val="none"/>
                <w:lang w:val="en-US" w:eastAsia="zh-CN"/>
              </w:rPr>
            </w:pPr>
            <w:r>
              <w:rPr>
                <w:rFonts w:hint="eastAsia" w:ascii="宋体" w:hAnsi="宋体" w:eastAsia="宋体" w:cs="宋体"/>
                <w:b w:val="0"/>
                <w:bCs/>
                <w:snapToGrid w:val="0"/>
                <w:sz w:val="24"/>
                <w:szCs w:val="24"/>
                <w:highlight w:val="none"/>
                <w:lang w:val="en-US" w:eastAsia="zh-CN"/>
              </w:rPr>
              <w:t>4.3.6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kern w:val="0"/>
                <w:sz w:val="24"/>
                <w:szCs w:val="24"/>
                <w:highlight w:val="none"/>
                <w:lang w:eastAsia="zh-CN"/>
              </w:rPr>
            </w:pPr>
            <w:r>
              <w:rPr>
                <w:rFonts w:hint="eastAsia" w:ascii="宋体" w:hAnsi="宋体" w:eastAsia="宋体" w:cs="宋体"/>
                <w:b w:val="0"/>
                <w:bCs w:val="0"/>
                <w:color w:val="000000"/>
                <w:sz w:val="24"/>
                <w:szCs w:val="24"/>
                <w:highlight w:val="none"/>
              </w:rPr>
              <w:t>智能分拣</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可将智能药筐自动传输并分拣至各个窗口。</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4.3.7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转接方式及表面处理</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在药筐转弯处，采用90°平板承载升降式进行药筐转弯转向动作，确保药品的安全性。传输系统表面采用防尘防灰材质台面</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w:t>
            </w:r>
            <w:r>
              <w:rPr>
                <w:rFonts w:hint="eastAsia" w:ascii="宋体" w:hAnsi="宋体" w:eastAsia="宋体" w:cs="宋体"/>
                <w:b/>
                <w:bCs/>
                <w:color w:val="000000"/>
                <w:sz w:val="24"/>
                <w:szCs w:val="24"/>
                <w:highlight w:val="none"/>
              </w:rPr>
              <w:t>实物照片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cs="宋体"/>
                <w:b/>
                <w:bCs/>
                <w:sz w:val="24"/>
                <w:highlight w:val="none"/>
              </w:rPr>
              <w:t>▲</w:t>
            </w:r>
            <w:r>
              <w:rPr>
                <w:rFonts w:hint="eastAsia" w:ascii="宋体" w:hAnsi="宋体" w:eastAsia="宋体" w:cs="宋体"/>
                <w:b w:val="0"/>
                <w:bCs w:val="0"/>
                <w:color w:val="000000"/>
                <w:sz w:val="24"/>
                <w:szCs w:val="24"/>
                <w:highlight w:val="none"/>
                <w:lang w:val="en-US" w:eastAsia="zh-CN" w:bidi="ar"/>
              </w:rPr>
              <w:t>4.3.8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一体化交互和显示</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设备主传输机构需配置交互一体机，实时显示药筐传输状态和分拣数据</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w:t>
            </w:r>
            <w:r>
              <w:rPr>
                <w:rFonts w:hint="eastAsia" w:ascii="宋体" w:hAnsi="宋体" w:eastAsia="宋体" w:cs="宋体"/>
                <w:b/>
                <w:bCs/>
                <w:color w:val="000000"/>
                <w:sz w:val="24"/>
                <w:szCs w:val="24"/>
                <w:highlight w:val="none"/>
              </w:rPr>
              <w:t>实物照片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val="0"/>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4.4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val="0"/>
                <w:kern w:val="0"/>
                <w:sz w:val="24"/>
                <w:szCs w:val="24"/>
                <w:highlight w:val="none"/>
              </w:rPr>
            </w:pPr>
            <w:r>
              <w:rPr>
                <w:rFonts w:hint="eastAsia" w:ascii="宋体" w:hAnsi="宋体" w:eastAsia="宋体" w:cs="宋体"/>
                <w:b/>
                <w:bCs w:val="0"/>
                <w:sz w:val="24"/>
                <w:szCs w:val="24"/>
                <w:highlight w:val="none"/>
              </w:rPr>
              <w:t>自动发筐机</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r>
              <w:rPr>
                <w:rFonts w:hint="eastAsia" w:ascii="宋体" w:hAnsi="宋体" w:eastAsia="宋体" w:cs="宋体"/>
                <w:b/>
                <w:snapToGrid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基本功能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接到处方后，可自动发送配药智能药筐，同时智能药筐自动绑定处方信息，使药品、药筐、处方信息一一对应，保证准确性。</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cs="宋体"/>
                <w:b/>
                <w:bCs/>
                <w:sz w:val="24"/>
                <w:highlight w:val="none"/>
              </w:rPr>
              <w:t>▲</w:t>
            </w:r>
            <w:r>
              <w:rPr>
                <w:rFonts w:hint="eastAsia" w:ascii="宋体" w:hAnsi="宋体" w:eastAsia="宋体" w:cs="宋体"/>
                <w:b w:val="0"/>
                <w:bCs w:val="0"/>
                <w:sz w:val="24"/>
                <w:szCs w:val="24"/>
                <w:highlight w:val="none"/>
                <w:lang w:val="en-US" w:eastAsia="zh-CN" w:bidi="ar"/>
              </w:rPr>
              <w:t>4.4.2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设备构成</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多通道储存药筐装置，智能控制操作一体机和多通道</w:t>
            </w:r>
            <w:r>
              <w:rPr>
                <w:rFonts w:hint="eastAsia" w:ascii="宋体" w:hAnsi="宋体" w:eastAsia="宋体" w:cs="宋体"/>
                <w:b w:val="0"/>
                <w:bCs w:val="0"/>
                <w:color w:val="000000"/>
                <w:sz w:val="24"/>
                <w:szCs w:val="24"/>
                <w:highlight w:val="none"/>
              </w:rPr>
              <w:t>的出筐和缓存药筐机构</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提供设备界面照片说明</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控制方式</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MCU＋无线射频，系统操作软件为简体中文。</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操作方式</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电脑软件操作，</w:t>
            </w:r>
            <w:r>
              <w:rPr>
                <w:rFonts w:hint="eastAsia" w:ascii="宋体" w:hAnsi="宋体" w:eastAsia="宋体" w:cs="宋体"/>
                <w:b w:val="0"/>
                <w:bCs w:val="0"/>
                <w:color w:val="000000"/>
                <w:sz w:val="24"/>
                <w:szCs w:val="24"/>
                <w:highlight w:val="none"/>
              </w:rPr>
              <w:t>权限登录操作</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开机自检功能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具备开机自检功能</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多工号登录功能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具备多工号登录功能，至少同时满足4个工号登录需求</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提供设备界面照片说明</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具备处方查询功能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设备需具备处方查询功能，可显示待发、待配的处方信息。可以查找已配处方，并进行标签重新打印</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药筐补充提示功能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当自动发筐机上没有药筐时，界面会提示相应信息，及时补筐。</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4.4.9</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处方优先处理功能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设备需具备处方优先处理功能，可选择待配处方提前发筐、处方标签重新打印等操作</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4.4.10</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出筐绑筐功能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可自动将药筐和处方进行一对一绑定，自动出筐过程中医嘱单据自动打印，医嘱调剂单打印后自动裁剪落筐</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提供设备照片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4.4.11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调配打印系统</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具备调配清单打印系统，接到打印命令后自动打印并完成切纸</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4.4.12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软件及操作功能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可以多人同时操作，可实现权限登录，工作量绩效考核。药师及时判断处方的处理过程，提高配药效率</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提供设备照片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4.4.13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绑筐状态提示功能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设备应具备绑筐状态提示功能</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4.4.14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处方状态颜色区分</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设备操作界面需具备处方区分功能，不同状态处方需具备颜色区分功能</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4.4.15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设备运行监测</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设备需具备运行监测功能，当机械手出现问题时，在操作界面提示故障类型，并提示操作人员及时排除故障</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4.4.16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安全保护功能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具备安全保护功能，当发生紧急状况时，具有急停按钮</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val="0"/>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4.5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val="0"/>
                <w:kern w:val="0"/>
                <w:sz w:val="24"/>
                <w:szCs w:val="24"/>
                <w:highlight w:val="none"/>
              </w:rPr>
            </w:pPr>
            <w:r>
              <w:rPr>
                <w:rFonts w:hint="eastAsia" w:ascii="宋体" w:hAnsi="宋体" w:eastAsia="宋体" w:cs="宋体"/>
                <w:b/>
                <w:bCs w:val="0"/>
                <w:sz w:val="24"/>
                <w:szCs w:val="24"/>
                <w:highlight w:val="none"/>
              </w:rPr>
              <w:t>智能发药系统</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r>
              <w:rPr>
                <w:rFonts w:hint="eastAsia" w:ascii="宋体" w:hAnsi="宋体" w:eastAsia="宋体" w:cs="宋体"/>
                <w:b/>
                <w:snapToGrid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4.5.1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基本要求</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智能药筐与系统无线连接，自动接收系统信息，显示药筐所在位置，并且提示药师取药。</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4.5.2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自动匹配功能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智能药筐与发药机可实现信息同步，在处方药品放入智能药筐后，智能药筐自动录入处方信息，使药品、药筐、处方信息一一对应，保证准确性。</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4.5.3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val="en-US" w:eastAsia="zh-CN"/>
              </w:rPr>
            </w:pPr>
            <w:r>
              <w:rPr>
                <w:rFonts w:hint="eastAsia" w:ascii="宋体" w:hAnsi="宋体" w:eastAsia="宋体" w:cs="宋体"/>
                <w:b w:val="0"/>
                <w:bCs w:val="0"/>
                <w:sz w:val="24"/>
                <w:szCs w:val="24"/>
                <w:highlight w:val="none"/>
              </w:rPr>
              <w:t>自动提示功能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发药口收方后，系统自动提示该处方药品所在的位置，提示药师取药。</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4.5.4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摆放要求</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智能药筐可以随意摆放，不受固定位置的限制，</w:t>
            </w:r>
            <w:r>
              <w:rPr>
                <w:rFonts w:hint="eastAsia" w:ascii="宋体" w:hAnsi="宋体" w:eastAsia="宋体" w:cs="宋体"/>
                <w:b w:val="0"/>
                <w:bCs w:val="0"/>
                <w:color w:val="000000"/>
                <w:sz w:val="24"/>
                <w:szCs w:val="24"/>
                <w:highlight w:val="none"/>
              </w:rPr>
              <w:t>无需使用药架与药筐绑定信息操作。</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4.5.5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处方和药筐自动绑定</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药筐和处方进行一对一绑定，同时辅助发药系统提示，药师及时判断处方的处理过程，提高配药效率。</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4.5.6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系统软件功能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系统界面需包含处方信息、窗口管理、药筐管理等功能</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提供软件界面照片说明</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4.5.7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电池使用周期和充电模式</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智能药筐电池可持续使用15天以上</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4.5.8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组成部分</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每套配置智能药筐150个，控制器4个，充电站2个。每个充电站可同时充电不少于12个智能药筐</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4.5.9</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节能功能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药房下班后，药筐电源自动切断，节约电池</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4.5.10</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控制方式</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MCU＋无线射频，系统操作软件为简体中文</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4.5.11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sz w:val="24"/>
                <w:szCs w:val="24"/>
                <w:highlight w:val="none"/>
              </w:rPr>
              <w:t>通讯方式</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RS232＋无线射频传送数据，ID编码识别</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rPr>
            </w:pPr>
            <w:r>
              <w:rPr>
                <w:rFonts w:hint="eastAsia" w:ascii="宋体" w:hAnsi="宋体" w:eastAsia="宋体" w:cs="宋体"/>
                <w:b/>
                <w:bCs/>
                <w:color w:val="000000"/>
                <w:sz w:val="24"/>
                <w:szCs w:val="24"/>
                <w:highlight w:val="none"/>
              </w:rPr>
              <w:t>智能调配机</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r>
              <w:rPr>
                <w:rFonts w:hint="eastAsia" w:ascii="宋体" w:hAnsi="宋体" w:eastAsia="宋体" w:cs="宋体"/>
                <w:b/>
                <w:snapToGrid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基本要求</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系统接收处方信息后，自动将药品送至药师面前，并智能提示所在位置</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cs="宋体"/>
                <w:b/>
                <w:bCs/>
                <w:sz w:val="24"/>
                <w:highlight w:val="none"/>
              </w:rPr>
              <w:t>▲</w:t>
            </w:r>
            <w:r>
              <w:rPr>
                <w:rFonts w:hint="eastAsia" w:ascii="宋体" w:hAnsi="宋体" w:eastAsia="宋体" w:cs="宋体"/>
                <w:b w:val="0"/>
                <w:bCs w:val="0"/>
                <w:sz w:val="24"/>
                <w:szCs w:val="24"/>
                <w:highlight w:val="none"/>
                <w:lang w:val="en-US" w:eastAsia="zh-CN" w:bidi="ar"/>
              </w:rPr>
              <w:t>4.6.2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设备结构形式</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采用上下垂直运止结构，四组通道模块可独立运作，每单元模块具备颜色区分，为节省使用场地面积，节省空间，设备本身厚度不大于1M</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提供照片说明</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val="en-US" w:eastAsia="zh-CN"/>
              </w:rPr>
            </w:pPr>
            <w:r>
              <w:rPr>
                <w:rFonts w:hint="eastAsia" w:ascii="宋体" w:hAnsi="宋体" w:eastAsia="宋体" w:cs="宋体"/>
                <w:b w:val="0"/>
                <w:bCs w:val="0"/>
                <w:color w:val="000000"/>
                <w:sz w:val="24"/>
                <w:szCs w:val="24"/>
                <w:highlight w:val="none"/>
              </w:rPr>
              <w:t>储药位</w:t>
            </w:r>
            <w:r>
              <w:rPr>
                <w:rFonts w:hint="eastAsia" w:ascii="宋体" w:hAnsi="宋体" w:eastAsia="宋体" w:cs="宋体"/>
                <w:b w:val="0"/>
                <w:bCs w:val="0"/>
                <w:color w:val="000000"/>
                <w:sz w:val="24"/>
                <w:szCs w:val="24"/>
                <w:highlight w:val="none"/>
                <w:lang w:val="en-US" w:eastAsia="zh-CN"/>
              </w:rPr>
              <w:t>:</w:t>
            </w:r>
            <w:r>
              <w:rPr>
                <w:rFonts w:hint="eastAsia" w:ascii="宋体" w:hAnsi="宋体" w:eastAsia="宋体" w:cs="宋体"/>
                <w:b w:val="0"/>
                <w:bCs w:val="0"/>
                <w:color w:val="000000"/>
                <w:sz w:val="24"/>
                <w:szCs w:val="24"/>
                <w:highlight w:val="none"/>
              </w:rPr>
              <w:t>不少于108个，可扩展至数量不少于216个</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储存形式</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可储存各种包装形式的药品（盒装药、针剂、软膏、输液等）</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连接方式</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要求与医院HIS实现无缝隙连接, 系统接收处方信息后，自动将药品送至药师面前，并提示所在位置</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储存量</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≥6000盒常规药品</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控制方式</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具有联机、手动两种控制方式，自动接收医嘱信息</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snapToGrid/>
              <w:spacing w:line="300" w:lineRule="auto"/>
              <w:ind w:left="-2" w:leftChars="-1"/>
              <w:jc w:val="left"/>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rPr>
              <w:t>出药方式</w:t>
            </w:r>
            <w:r>
              <w:rPr>
                <w:rFonts w:hint="eastAsia" w:ascii="宋体" w:hAnsi="宋体" w:eastAsia="宋体" w:cs="宋体"/>
                <w:b w:val="0"/>
                <w:bCs w:val="0"/>
                <w:color w:val="000000"/>
                <w:sz w:val="24"/>
                <w:szCs w:val="24"/>
                <w:highlight w:val="none"/>
                <w:lang w:eastAsia="zh-CN"/>
              </w:rPr>
              <w:t>：</w:t>
            </w:r>
          </w:p>
          <w:p>
            <w:pPr>
              <w:keepNext w:val="0"/>
              <w:keepLines w:val="0"/>
              <w:pageBreakBefore w:val="0"/>
              <w:kinsoku/>
              <w:wordWrap/>
              <w:overflowPunct/>
              <w:topLinePunct w:val="0"/>
              <w:bidi w:val="0"/>
              <w:snapToGrid/>
              <w:spacing w:line="300" w:lineRule="auto"/>
              <w:ind w:left="-2" w:leftChars="-1"/>
              <w:jc w:val="left"/>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rPr>
              <w:t>垂直旋转自动寻址，提示药师取药</w:t>
            </w:r>
            <w:r>
              <w:rPr>
                <w:rFonts w:hint="eastAsia" w:ascii="宋体" w:hAnsi="宋体" w:eastAsia="宋体" w:cs="宋体"/>
                <w:b w:val="0"/>
                <w:bCs w:val="0"/>
                <w:color w:val="000000"/>
                <w:sz w:val="24"/>
                <w:szCs w:val="24"/>
                <w:highlight w:val="none"/>
                <w:lang w:eastAsia="zh-CN"/>
              </w:rPr>
              <w:t>；</w:t>
            </w:r>
          </w:p>
          <w:p>
            <w:pPr>
              <w:keepNext w:val="0"/>
              <w:keepLines w:val="0"/>
              <w:pageBreakBefore w:val="0"/>
              <w:kinsoku/>
              <w:wordWrap/>
              <w:overflowPunct/>
              <w:topLinePunct w:val="0"/>
              <w:bidi w:val="0"/>
              <w:snapToGrid/>
              <w:spacing w:line="300" w:lineRule="auto"/>
              <w:ind w:left="-2" w:leftChars="-1"/>
              <w:jc w:val="left"/>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rPr>
              <w:t>手动出药</w:t>
            </w:r>
            <w:r>
              <w:rPr>
                <w:rFonts w:hint="eastAsia" w:ascii="宋体" w:hAnsi="宋体" w:eastAsia="宋体" w:cs="宋体"/>
                <w:b w:val="0"/>
                <w:bCs w:val="0"/>
                <w:color w:val="000000"/>
                <w:sz w:val="24"/>
                <w:szCs w:val="24"/>
                <w:highlight w:val="none"/>
                <w:lang w:eastAsia="zh-CN"/>
              </w:rPr>
              <w:t>；</w:t>
            </w:r>
          </w:p>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智能指定位置出药</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4.6.9</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进药方式</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自动定位并提示入库位置</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4.6.10</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占地面积、高度</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高度≤2.75米，占地面积≤2.3平方米</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4.6.11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取药方式</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按最优路径取药</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4.6.12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标准化药盒</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注明药品名称，并可贴附条形码，药盒分隔区间。</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4.6.13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可盘点药盒</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可选配具备自动盘点库存功能的药盒（可配合盘点机使用）。</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4.6.14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储存方式</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封闭式存储，窗口均有滑门</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4.6.15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射灯定位</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直接指示药盒，触摸屏上也将显示药品位置与取药数量</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4.6.16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红外线光幕保护装置</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具备，发生误操作时，设备立刻自动停止，报警系统将自动提示错误原因</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4.6.17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安全防护</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开机自检功能/急停保护/取药口光幕保护/电机过热、过流、过载保护</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4.6.18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设备运行监测系统</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设备运行监测系统能记录全天设备运行的状态，可直接在系统软件界面上显示</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提供照片说明</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
                <w:bCs w:val="0"/>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4.7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b/>
                <w:bCs w:val="0"/>
                <w:kern w:val="0"/>
                <w:sz w:val="24"/>
                <w:szCs w:val="24"/>
                <w:highlight w:val="none"/>
              </w:rPr>
            </w:pPr>
            <w:bookmarkStart w:id="33" w:name="_Toc5027"/>
            <w:r>
              <w:rPr>
                <w:rFonts w:hint="eastAsia" w:ascii="宋体" w:hAnsi="宋体" w:eastAsia="宋体" w:cs="宋体"/>
                <w:b/>
                <w:bCs w:val="0"/>
                <w:color w:val="000000"/>
                <w:sz w:val="24"/>
                <w:szCs w:val="24"/>
                <w:highlight w:val="none"/>
              </w:rPr>
              <w:t>麻精药品智能管理系统</w:t>
            </w:r>
            <w:bookmarkEnd w:id="33"/>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r>
              <w:rPr>
                <w:rFonts w:hint="eastAsia" w:ascii="宋体" w:hAnsi="宋体" w:eastAsia="宋体" w:cs="宋体"/>
                <w:b/>
                <w:snapToGrid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4.7.1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基本要求</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设备具有IC卡、用户密码、指纹等多级安全登陆方式，适用于麻精药品的管理。系统接收处方信息后，设备需要确认取药人身份并审核通过后，根据处方信息自动将药品推出，并通过LED灯提示药品所在位置，通过人工按钮打开对应的药品存储单元，完成取药过程，未在处方内的药品无法打开，确保安全性,取药全过程拍照、摄像头视频记录，同时根据处方信息可快速查询。柜体为立式柜体</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提供照片说明</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4.7.2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安全防护</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多方位摄像头监控操作环境以及药品出入库，可追溯查询。</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提供软件界面照片说明</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cs="宋体"/>
                <w:b/>
                <w:bCs/>
                <w:sz w:val="24"/>
                <w:highlight w:val="none"/>
              </w:rPr>
              <w:t>▲</w:t>
            </w:r>
            <w:r>
              <w:rPr>
                <w:rFonts w:hint="eastAsia" w:ascii="宋体" w:hAnsi="宋体" w:eastAsia="宋体" w:cs="宋体"/>
                <w:b w:val="0"/>
                <w:bCs w:val="0"/>
                <w:color w:val="000000"/>
                <w:sz w:val="24"/>
                <w:szCs w:val="24"/>
                <w:highlight w:val="none"/>
                <w:lang w:val="en-US" w:eastAsia="zh-CN"/>
              </w:rPr>
              <w:t>4.7.3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val="en-US" w:eastAsia="zh-CN"/>
              </w:rPr>
            </w:pPr>
            <w:r>
              <w:rPr>
                <w:rFonts w:hint="eastAsia" w:ascii="宋体" w:hAnsi="宋体" w:eastAsia="宋体" w:cs="宋体"/>
                <w:b w:val="0"/>
                <w:bCs w:val="0"/>
                <w:color w:val="000000"/>
                <w:sz w:val="24"/>
                <w:szCs w:val="24"/>
                <w:highlight w:val="none"/>
              </w:rPr>
              <w:t>发药要求</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接受处方信息后，对药品进行单品种独立处理，管控装置自动弹开存取该类药品，确保药品发放和保管安全</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4.7.4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安装方式</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落地式</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4.7.5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储药规格</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抽屉式，可定制储药格，单台设备不低于54个独立控制单元格</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4.7.6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单抽屉最大容积</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≥15.00L</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4.7.7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操作方式</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特有物品查询与LED定位指示系统，可以帮助使用者准确快速取得所需要的麻精药品。全触屏的操作界面直观高效。</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4.7.8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五专管理</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用实际使用照片说明设备的“五专管理”功能</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4.7.9</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报表功能</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可根据处方信息，自动完成麻精药品登记报表，并可导出打印，替代纸质人工登记，提高登记信息的准确度以及及时性</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4.7.10</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lang w:eastAsia="zh-CN"/>
              </w:rPr>
            </w:pPr>
            <w:r>
              <w:rPr>
                <w:rFonts w:hint="eastAsia" w:ascii="宋体" w:hAnsi="宋体" w:eastAsia="宋体" w:cs="宋体"/>
                <w:b w:val="0"/>
                <w:bCs w:val="0"/>
                <w:color w:val="000000"/>
                <w:sz w:val="24"/>
                <w:szCs w:val="24"/>
                <w:highlight w:val="none"/>
              </w:rPr>
              <w:t>应急方案</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在停电、设备故障等应急状态下，通过授权后，可通过物理锁，打开每个单元格，取出药品，满足紧急状况下用药的需求</w:t>
            </w:r>
            <w:r>
              <w:rPr>
                <w:rFonts w:hint="eastAsia" w:ascii="宋体" w:hAnsi="宋体" w:eastAsia="宋体" w:cs="宋体"/>
                <w:b w:val="0"/>
                <w:bCs w:val="0"/>
                <w:color w:val="00000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rPr>
            </w:pPr>
            <w:r>
              <w:rPr>
                <w:rFonts w:hint="eastAsia" w:ascii="宋体" w:hAnsi="宋体" w:eastAsia="宋体" w:cs="宋体"/>
                <w:b/>
                <w:bCs/>
                <w:sz w:val="24"/>
                <w:szCs w:val="24"/>
                <w:highlight w:val="none"/>
              </w:rPr>
              <w:t>分包机</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r>
              <w:rPr>
                <w:rFonts w:hint="eastAsia" w:ascii="宋体" w:hAnsi="宋体" w:eastAsia="宋体" w:cs="宋体"/>
                <w:b/>
                <w:snapToGrid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rPr>
            </w:pPr>
            <w:r>
              <w:rPr>
                <w:rFonts w:hint="eastAsia" w:ascii="宋体" w:hAnsi="宋体" w:eastAsia="宋体" w:cs="宋体"/>
                <w:b w:val="0"/>
                <w:bCs w:val="0"/>
                <w:sz w:val="24"/>
                <w:szCs w:val="24"/>
                <w:highlight w:val="none"/>
                <w:lang w:val="zh-CN"/>
              </w:rPr>
              <w:t>全自动药品分包机标配独立带RFID芯片药盒</w:t>
            </w:r>
            <w:r>
              <w:rPr>
                <w:rFonts w:hint="eastAsia" w:ascii="宋体" w:hAnsi="宋体" w:eastAsia="宋体" w:cs="宋体"/>
                <w:b w:val="0"/>
                <w:bCs w:val="0"/>
                <w:sz w:val="24"/>
                <w:szCs w:val="24"/>
                <w:highlight w:val="none"/>
                <w:lang w:val="en-US" w:eastAsia="zh-CN"/>
              </w:rPr>
              <w:t>不少于</w:t>
            </w:r>
            <w:r>
              <w:rPr>
                <w:rFonts w:hint="eastAsia" w:ascii="宋体" w:hAnsi="宋体" w:eastAsia="宋体" w:cs="宋体"/>
                <w:b w:val="0"/>
                <w:bCs w:val="0"/>
                <w:sz w:val="24"/>
                <w:szCs w:val="24"/>
                <w:highlight w:val="none"/>
                <w:lang w:val="zh-CN"/>
              </w:rPr>
              <w:t>320个，机内可装储</w:t>
            </w:r>
            <w:r>
              <w:rPr>
                <w:rFonts w:hint="eastAsia" w:ascii="宋体" w:hAnsi="宋体" w:eastAsia="宋体" w:cs="宋体"/>
                <w:b w:val="0"/>
                <w:bCs w:val="0"/>
                <w:sz w:val="24"/>
                <w:szCs w:val="24"/>
                <w:highlight w:val="none"/>
                <w:lang w:val="en-US" w:eastAsia="zh-CN"/>
              </w:rPr>
              <w:t>不少于</w:t>
            </w:r>
            <w:r>
              <w:rPr>
                <w:rFonts w:hint="eastAsia" w:ascii="宋体" w:hAnsi="宋体" w:eastAsia="宋体" w:cs="宋体"/>
                <w:b w:val="0"/>
                <w:bCs w:val="0"/>
                <w:sz w:val="24"/>
                <w:szCs w:val="24"/>
                <w:highlight w:val="none"/>
                <w:lang w:val="zh-CN"/>
              </w:rPr>
              <w:t>320种不同片剂、胶囊药品。</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rPr>
                <w:rFonts w:hint="eastAsia" w:ascii="宋体" w:hAnsi="宋体" w:eastAsia="宋体" w:cs="宋体"/>
                <w:kern w:val="0"/>
                <w:sz w:val="24"/>
                <w:szCs w:val="24"/>
                <w:highlight w:val="none"/>
              </w:rPr>
            </w:pPr>
            <w:r>
              <w:rPr>
                <w:rFonts w:hint="eastAsia" w:ascii="宋体" w:hAnsi="宋体" w:eastAsia="宋体" w:cs="宋体"/>
                <w:b w:val="0"/>
                <w:bCs w:val="0"/>
                <w:sz w:val="24"/>
                <w:szCs w:val="24"/>
                <w:highlight w:val="none"/>
                <w:lang w:val="zh-CN"/>
              </w:rPr>
              <w:t>具有非机储药、半片药外摆药托盘不少于60格，双托盘结构，可交替使用。</w:t>
            </w:r>
            <w:r>
              <w:rPr>
                <w:rFonts w:hint="eastAsia" w:ascii="宋体" w:hAnsi="宋体" w:eastAsia="宋体" w:cs="宋体"/>
                <w:b/>
                <w:bCs/>
                <w:sz w:val="24"/>
                <w:szCs w:val="24"/>
                <w:highlight w:val="none"/>
                <w:lang w:val="zh-CN"/>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lang w:val="zh-CN"/>
              </w:rPr>
              <w:t>提供设备实际照片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lang w:val="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sz w:val="24"/>
                <w:szCs w:val="24"/>
                <w:highlight w:val="none"/>
                <w:lang w:val="zh-CN"/>
              </w:rPr>
              <w:t>全中文操作系统，支持一维条码和二维条码的识别。</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sz w:val="24"/>
                <w:szCs w:val="24"/>
                <w:highlight w:val="none"/>
                <w:lang w:val="zh-CN"/>
              </w:rPr>
              <w:t>最高分包可达到65包/分。</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sz w:val="24"/>
                <w:szCs w:val="24"/>
                <w:highlight w:val="none"/>
                <w:lang w:val="zh-CN"/>
              </w:rPr>
              <w:t>设备内带电脑主机及及中文液晶操作面板且操作面板为不少于15英寸的超大液晶触摸屏</w:t>
            </w:r>
            <w:r>
              <w:rPr>
                <w:rFonts w:hint="eastAsia" w:ascii="宋体" w:hAnsi="宋体" w:eastAsia="宋体" w:cs="宋体"/>
                <w:b w:val="0"/>
                <w:bCs w:val="0"/>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设备自带除湿、恒温功能，在潮湿环境下防止药品受潮、变质。</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设备带有自动检测功能，能通过屏幕界面及语音提示错包信息并在不停机的情况下自动分补。</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主机自带紧急停止按钮</w:t>
            </w:r>
            <w:r>
              <w:rPr>
                <w:rFonts w:hint="eastAsia" w:ascii="宋体" w:hAnsi="宋体" w:eastAsia="宋体" w:cs="宋体"/>
                <w:b w:val="0"/>
                <w:bCs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4.8.9</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zh-CN"/>
              </w:rPr>
              <w:t>可定制出药口</w:t>
            </w:r>
            <w:r>
              <w:rPr>
                <w:rFonts w:hint="eastAsia" w:ascii="宋体" w:hAnsi="宋体" w:eastAsia="宋体" w:cs="宋体"/>
                <w:b w:val="0"/>
                <w:bCs w:val="0"/>
                <w:sz w:val="24"/>
                <w:szCs w:val="24"/>
                <w:highlight w:val="none"/>
                <w:lang w:val="en-US" w:eastAsia="zh-CN"/>
              </w:rPr>
              <w:t>方向；</w:t>
            </w:r>
            <w:r>
              <w:rPr>
                <w:rFonts w:hint="eastAsia" w:ascii="宋体" w:hAnsi="宋体" w:eastAsia="宋体" w:cs="宋体"/>
                <w:b/>
                <w:bCs/>
                <w:sz w:val="24"/>
                <w:szCs w:val="24"/>
                <w:highlight w:val="none"/>
                <w:lang w:val="zh-CN"/>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lang w:val="zh-CN"/>
              </w:rPr>
              <w:t>提供设备实际照片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4.8.10</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安全性能符合相关设备安全标准，产品质量可靠</w:t>
            </w:r>
            <w:r>
              <w:rPr>
                <w:rFonts w:hint="eastAsia" w:ascii="宋体" w:hAnsi="宋体" w:eastAsia="宋体" w:cs="宋体"/>
                <w:b w:val="0"/>
                <w:bCs w:val="0"/>
                <w:sz w:val="24"/>
                <w:szCs w:val="24"/>
                <w:highlight w:val="none"/>
                <w:lang w:val="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4.8.11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侧面开窗透明设计，可以实现包药过程中取放药盒，不停机加药功能。</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4.8.12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整机采用避光设计，保证药品安全性。</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cs="宋体"/>
                <w:b/>
                <w:bCs/>
                <w:sz w:val="24"/>
                <w:highlight w:val="none"/>
              </w:rPr>
              <w:t>▲</w:t>
            </w:r>
            <w:r>
              <w:rPr>
                <w:rFonts w:hint="eastAsia" w:ascii="宋体" w:hAnsi="宋体" w:eastAsia="宋体" w:cs="宋体"/>
                <w:b w:val="0"/>
                <w:bCs w:val="0"/>
                <w:sz w:val="24"/>
                <w:szCs w:val="24"/>
                <w:highlight w:val="none"/>
                <w:lang w:val="en-US" w:eastAsia="zh-CN"/>
              </w:rPr>
              <w:t>4.8.13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配置临时药盒双预摆盘，在设备摆药过程中，可以在不停机的情况下，预加临时药品，从而提高摆药效率。且一次性最大可以加入90格临时药品</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lang w:val="zh-CN"/>
              </w:rPr>
              <w:t>（</w:t>
            </w:r>
            <w:r>
              <w:rPr>
                <w:rFonts w:hint="eastAsia" w:ascii="宋体" w:hAnsi="宋体" w:eastAsia="宋体" w:cs="宋体"/>
                <w:b/>
                <w:bCs/>
                <w:sz w:val="24"/>
                <w:szCs w:val="24"/>
                <w:highlight w:val="none"/>
                <w:lang w:val="en-US" w:eastAsia="zh-CN"/>
              </w:rPr>
              <w:t>投标文件须</w:t>
            </w:r>
            <w:r>
              <w:rPr>
                <w:rFonts w:hint="eastAsia" w:ascii="宋体" w:hAnsi="宋体" w:eastAsia="宋体" w:cs="宋体"/>
                <w:b/>
                <w:bCs/>
                <w:sz w:val="24"/>
                <w:szCs w:val="24"/>
                <w:highlight w:val="none"/>
                <w:lang w:val="zh-CN"/>
              </w:rPr>
              <w:t>提供设备实际照片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4.8.14</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机储药品药盒采用抽屉式结构容纳，</w:t>
            </w:r>
            <w:r>
              <w:rPr>
                <w:rFonts w:hint="eastAsia" w:ascii="宋体" w:hAnsi="宋体" w:eastAsia="宋体" w:cs="宋体"/>
                <w:b w:val="0"/>
                <w:bCs w:val="0"/>
                <w:sz w:val="24"/>
                <w:szCs w:val="24"/>
                <w:highlight w:val="none"/>
                <w:lang w:val="zh-CN"/>
              </w:rPr>
              <w:t>药品可以分区摆放，防止药品交叉感染。</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4.8.15</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zh-CN"/>
              </w:rPr>
              <w:t>储药盒前段需具备LED灯显示储位信息。</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4.8.16</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机储药品落药通道为开放式结构，方便日常设备清洁。</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4.8.17</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可根据药品的形状、重量、质地等设置该药片的个性化落药参数，以保证药品分包过程中同一处方同一餐的药品落入一个包装袋内，避免错包和串包现象发生。</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4.8.18</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可根据医院调剂习惯，自主设置按照病区病人分包或按照同一分餐分包。</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4.8.19</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一个医嘱单剂量药品颗粒数过多时，可自动拆分成两包或多包。</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300" w:lineRule="auto"/>
              <w:jc w:val="center"/>
              <w:rPr>
                <w:rFonts w:hint="eastAsia" w:ascii="宋体" w:hAnsi="宋体" w:eastAsia="宋体" w:cs="宋体"/>
                <w:bCs/>
                <w:snapToGrid w:val="0"/>
                <w:sz w:val="24"/>
                <w:szCs w:val="24"/>
                <w:highlight w:val="none"/>
                <w:lang w:val="en-US" w:eastAsia="zh-CN"/>
              </w:rPr>
            </w:pPr>
            <w:r>
              <w:rPr>
                <w:rFonts w:hint="eastAsia" w:ascii="宋体" w:hAnsi="宋体" w:eastAsia="宋体" w:cs="宋体"/>
                <w:bCs/>
                <w:snapToGrid w:val="0"/>
                <w:sz w:val="24"/>
                <w:szCs w:val="24"/>
                <w:highlight w:val="none"/>
                <w:lang w:val="en-US" w:eastAsia="zh-CN"/>
              </w:rPr>
              <w:t>4.8.20</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具有单品种片剂或胶囊单独分包的功能，可设置单独分包药品标记，设备可自动记忆单独分包；单独分包药品的打印信息可单独编辑，单独存储和查询、统计。</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cs="宋体"/>
                <w:b/>
                <w:bCs/>
                <w:sz w:val="24"/>
                <w:highlight w:val="none"/>
              </w:rPr>
              <w:t>▲</w:t>
            </w:r>
            <w:r>
              <w:rPr>
                <w:rFonts w:hint="eastAsia" w:ascii="宋体" w:hAnsi="宋体" w:eastAsia="宋体" w:cs="宋体"/>
                <w:b w:val="0"/>
                <w:bCs w:val="0"/>
                <w:sz w:val="24"/>
                <w:szCs w:val="24"/>
                <w:highlight w:val="none"/>
                <w:lang w:val="en-US" w:eastAsia="zh-CN"/>
              </w:rPr>
              <w:t>4.8.21</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设备自带在线运功摄像头监控功能，保证药品在彻底落地停止运动后进行药品分包，根据药品数量不同而造成的包装时长，实时调整包装时间</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提供监控采集的照片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4.8.22</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视觉摄像头可以全程记录药仓落药及药包出药情况，并且包药过程中可以实时查看，便于药师核对</w:t>
            </w:r>
            <w:r>
              <w:rPr>
                <w:rFonts w:hint="eastAsia" w:ascii="宋体" w:hAnsi="宋体" w:eastAsia="宋体" w:cs="宋体"/>
                <w:b w:val="0"/>
                <w:bCs w:val="0"/>
                <w:sz w:val="24"/>
                <w:szCs w:val="24"/>
                <w:highlight w:val="none"/>
                <w:lang w:eastAsia="zh-CN"/>
              </w:rPr>
              <w:t>。</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投标文件须</w:t>
            </w:r>
            <w:r>
              <w:rPr>
                <w:rFonts w:hint="eastAsia" w:ascii="宋体" w:hAnsi="宋体" w:eastAsia="宋体" w:cs="宋体"/>
                <w:b/>
                <w:bCs/>
                <w:sz w:val="24"/>
                <w:szCs w:val="24"/>
                <w:highlight w:val="none"/>
              </w:rPr>
              <w:t>提供视觉核对采集</w:t>
            </w:r>
            <w:r>
              <w:rPr>
                <w:rFonts w:hint="eastAsia" w:ascii="宋体" w:hAnsi="宋体" w:eastAsia="宋体" w:cs="宋体"/>
                <w:b/>
                <w:bCs/>
                <w:color w:val="000000" w:themeColor="text1"/>
                <w:sz w:val="24"/>
                <w:szCs w:val="24"/>
                <w:highlight w:val="none"/>
                <w14:textFill>
                  <w14:solidFill>
                    <w14:schemeClr w14:val="tx1"/>
                  </w14:solidFill>
                </w14:textFill>
              </w:rPr>
              <w:t>的照片</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4.8.23</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具备自动纠错功能，利用分包尾端运动捕捉及自动识别传感器等技术，能在分包错误袋之后的第一或第二个药袋的整个打印范围内打印醒目标识，且能在不停机的状态下打印：“分包错误”字样或者“X”的标识进行提示，且显示屏上会发出提示和询问；并可设置自动分补，或者询问确认后再分补，自动对错误的分包袋进行重新包装，从而不会改变原来的包药顺序。</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4.8.24</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具备药包阻断检测功能，摆药过程中，药包如果在非正常因素影响下出现的卡包、药包阻断等现象会被检测系统实时侦测到，并在触摸屏显示告警和语音提示，并自动暂停放药动作，等待工作人员检查和处理故障。</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cs="宋体"/>
                <w:b/>
                <w:bCs/>
                <w:sz w:val="24"/>
                <w:highlight w:val="none"/>
              </w:rPr>
              <w:t>▲</w:t>
            </w:r>
            <w:r>
              <w:rPr>
                <w:rFonts w:hint="eastAsia" w:ascii="宋体" w:hAnsi="宋体" w:eastAsia="宋体" w:cs="宋体"/>
                <w:b w:val="0"/>
                <w:bCs w:val="0"/>
                <w:sz w:val="24"/>
                <w:szCs w:val="24"/>
                <w:highlight w:val="none"/>
                <w:lang w:val="en-US" w:eastAsia="zh-CN"/>
              </w:rPr>
              <w:t>4.8.25</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放药装置配备异常落药检测，可以实时检测放药装置在放药处理异常时出现漏药、溢药及时反应，及时在触摸屏输出落药告警并语音提示，暂停放药动作，等待工作人员检查和处理故障。</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2</w:t>
            </w:r>
            <w:r>
              <w:rPr>
                <w:rFonts w:hint="eastAsia" w:ascii="宋体" w:hAnsi="宋体" w:eastAsia="宋体" w:cs="宋体"/>
                <w:b w:val="0"/>
                <w:bCs w:val="0"/>
                <w:sz w:val="24"/>
                <w:szCs w:val="24"/>
                <w:highlight w:val="none"/>
                <w:lang w:val="en-US" w:eastAsia="zh-CN"/>
              </w:rPr>
              <w:t>6</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药盒规格≥2种。</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2</w:t>
            </w:r>
            <w:r>
              <w:rPr>
                <w:rFonts w:hint="eastAsia" w:ascii="宋体" w:hAnsi="宋体" w:eastAsia="宋体" w:cs="宋体"/>
                <w:b w:val="0"/>
                <w:bCs w:val="0"/>
                <w:sz w:val="24"/>
                <w:szCs w:val="24"/>
                <w:highlight w:val="none"/>
                <w:lang w:val="en-US" w:eastAsia="zh-CN"/>
              </w:rPr>
              <w:t>7</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药盒为透明、避光设计，具有防潮、防尘、防紫外线功能。</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2</w:t>
            </w:r>
            <w:r>
              <w:rPr>
                <w:rFonts w:hint="eastAsia" w:ascii="宋体" w:hAnsi="宋体" w:eastAsia="宋体" w:cs="宋体"/>
                <w:b w:val="0"/>
                <w:bCs w:val="0"/>
                <w:sz w:val="24"/>
                <w:szCs w:val="24"/>
                <w:highlight w:val="none"/>
                <w:lang w:val="en-US" w:eastAsia="zh-CN"/>
              </w:rPr>
              <w:t>8</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sz w:val="24"/>
                <w:szCs w:val="24"/>
                <w:highlight w:val="none"/>
                <w:lang w:val="zh-CN"/>
              </w:rPr>
              <w:t>所有药盒为RFID智能芯片药盒，药盒可任意摆放从而避免药盒位置放错,所有药盒在运行过程中可随意更换位置，系统会做出提示，不影响药品分包。</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4.8.29</w:t>
            </w:r>
          </w:p>
        </w:tc>
        <w:tc>
          <w:tcPr>
            <w:tcW w:w="5918" w:type="dxa"/>
            <w:tcBorders>
              <w:top w:val="single" w:color="000000" w:sz="2" w:space="0"/>
              <w:bottom w:val="single" w:color="000000" w:sz="2" w:space="0"/>
            </w:tcBorders>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sz w:val="24"/>
                <w:szCs w:val="24"/>
                <w:highlight w:val="none"/>
                <w:lang w:val="zh-CN"/>
              </w:rPr>
              <w:t>多药盒级联功能，用药量大的药品可分装于多个药盒内，系统自动分配多药盒同时并准确发药。</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lang w:val="en-US" w:eastAsia="zh-CN"/>
              </w:rPr>
              <w:t>0</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sz w:val="24"/>
                <w:szCs w:val="24"/>
                <w:highlight w:val="none"/>
                <w:lang w:val="zh-CN"/>
              </w:rPr>
              <w:t>药盒底部采用RFID数字识别显示器技术，使得药品位置更容易识别。</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lang w:val="en-US" w:eastAsia="zh-CN"/>
              </w:rPr>
              <w:t>1</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具有特殊形状自由包装技术，可以将半片药、特殊形状的药品和临时添加的药品做全自动分包，不需提前定制药品模具，节省时间，并且处理单元的增加或减少不会影响机储药品存储数量。</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lang w:val="en-US" w:eastAsia="zh-CN"/>
              </w:rPr>
              <w:t>2</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每个药盒有独立防潮层，免费提供药盒及最快捷的药盒调整服务，免费数量不超过所售机型的最大药盒摆放数。</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lang w:val="en-US" w:eastAsia="zh-CN"/>
              </w:rPr>
              <w:t>3</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处方信息中有非机储药品需要添加时，外摆药槽可自动弹出，方便药师按照提示添加非机储药品。</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4.8.34</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非机储药品添加信息在分包机悬臂式的液晶触摸屏中显示，屏幕仰角大小可调，方便药师按照触摸屏的提示添加非机储药品，且无需打印出加药提示单，满足医院无纸化办公需要，节省办公用品支出，符合国家倡导的低碳环保政策。</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4.8.35</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可以选装外置热敏打印机，且采用无线互联技术，可以按照医院要求随意摆放位置，实现非机储药品添加信息实时打印，且方便装订存档。实现医院标准化管理记录流程。</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lang w:val="en-US" w:eastAsia="zh-CN"/>
              </w:rPr>
              <w:t>6</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sz w:val="24"/>
                <w:szCs w:val="24"/>
                <w:highlight w:val="none"/>
                <w:lang w:val="zh-CN"/>
              </w:rPr>
              <w:t>临时药盒外摆药品，可一次性多病区满格加药，减少外摆药盘弹出次数，减少工作量，提升工作效率。也可选择分病区加药模式，方便医院加药管理，满足医院使用需求。</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lang w:val="en-US" w:eastAsia="zh-CN"/>
              </w:rPr>
              <w:t>7</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sz w:val="24"/>
                <w:szCs w:val="24"/>
                <w:highlight w:val="none"/>
                <w:lang w:val="zh-CN"/>
              </w:rPr>
              <w:t>分包袋采用可降解环保材料，印字面覆哑膜，包装好的药袋在保证韧性的同时不用剪刀即可撕开。</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lang w:val="en-US" w:eastAsia="zh-CN"/>
              </w:rPr>
              <w:t>8</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zh-CN"/>
              </w:rPr>
              <w:t>使用图形打印技术,可在包装袋表面任意编辑打印内容。以简体中文在药袋上打印服药信息〔包括：病区、病房、病床、患者ID、厂家等），可选择不同字体、图标及打印方向。</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4.8.39</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分包袋采用半透明医用级材料制成，可打印患者信息、医嘱信息和药品信息便于核对，打印内容也可根据医院需求进行自由设定。</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4.8.40</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可在药品包装袋上自动打印患者信息、医嘱信息、药品信息，其内容可自行编辑。</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val="en-US" w:eastAsia="zh-CN"/>
              </w:rPr>
              <w:t>1</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字体可打印在不透明的一面，打印字体清晰不掉色。</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val="en-US" w:eastAsia="zh-CN"/>
              </w:rPr>
              <w:t>2</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设备携带的操作和信息显示系统为液晶触摸屏，直观、方便操作。</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val="en-US" w:eastAsia="zh-CN"/>
              </w:rPr>
              <w:t>3</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操作界面为中文显示。</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val="en-US" w:eastAsia="zh-CN"/>
              </w:rPr>
              <w:t>4</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各种预警以图文方式显示于操作界面。</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top"/>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val="en-US" w:eastAsia="zh-CN"/>
              </w:rPr>
              <w:t>5</w:t>
            </w:r>
          </w:p>
        </w:tc>
        <w:tc>
          <w:tcPr>
            <w:tcW w:w="5918" w:type="dxa"/>
            <w:vAlign w:val="top"/>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使用悬臂式多角度可调节电脑触摸屏操作，操作人员能及时了解机器的运行情况，以及错误提示、补充药品提示、掌握半片剂特殊形状药品投放。</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val="en-US" w:eastAsia="zh-CN"/>
              </w:rPr>
              <w:t>6</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药品种类、数量显示</w:t>
            </w:r>
            <w:r>
              <w:rPr>
                <w:rFonts w:hint="eastAsia" w:ascii="宋体" w:hAnsi="宋体" w:eastAsia="宋体" w:cs="宋体"/>
                <w:b w:val="0"/>
                <w:bCs w:val="0"/>
                <w:sz w:val="24"/>
                <w:szCs w:val="24"/>
                <w:highlight w:val="none"/>
                <w:lang w:eastAsia="zh-CN"/>
              </w:rPr>
              <w:t>。</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val="en-US" w:eastAsia="zh-CN"/>
              </w:rPr>
              <w:t>7</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药品实时盘点，药品消耗统计</w:t>
            </w:r>
            <w:r>
              <w:rPr>
                <w:rFonts w:hint="eastAsia" w:ascii="宋体" w:hAnsi="宋体" w:eastAsia="宋体" w:cs="宋体"/>
                <w:b w:val="0"/>
                <w:bCs w:val="0"/>
                <w:sz w:val="24"/>
                <w:szCs w:val="24"/>
                <w:highlight w:val="none"/>
                <w:lang w:eastAsia="zh-CN"/>
              </w:rPr>
              <w:t>。</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val="en-US" w:eastAsia="zh-CN"/>
              </w:rPr>
              <w:t>8</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药品种类、存量、用量、批次等信息管理</w:t>
            </w:r>
            <w:r>
              <w:rPr>
                <w:rFonts w:hint="eastAsia" w:ascii="宋体" w:hAnsi="宋体" w:eastAsia="宋体" w:cs="宋体"/>
                <w:b w:val="0"/>
                <w:bCs w:val="0"/>
                <w:sz w:val="24"/>
                <w:szCs w:val="24"/>
                <w:highlight w:val="none"/>
                <w:lang w:eastAsia="zh-CN"/>
              </w:rPr>
              <w:t>。</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4.8.49</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可设置最低储药量预警值</w:t>
            </w:r>
            <w:r>
              <w:rPr>
                <w:rFonts w:hint="eastAsia" w:ascii="宋体" w:hAnsi="宋体" w:eastAsia="宋体" w:cs="宋体"/>
                <w:b w:val="0"/>
                <w:bCs w:val="0"/>
                <w:sz w:val="24"/>
                <w:szCs w:val="24"/>
                <w:highlight w:val="none"/>
                <w:lang w:eastAsia="zh-CN"/>
              </w:rPr>
              <w:t>。</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4.8.50</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开机自检功能，</w:t>
            </w:r>
            <w:r>
              <w:rPr>
                <w:rFonts w:hint="eastAsia" w:ascii="宋体" w:hAnsi="宋体" w:eastAsia="宋体" w:cs="宋体"/>
                <w:b w:val="0"/>
                <w:bCs w:val="0"/>
                <w:sz w:val="24"/>
                <w:szCs w:val="24"/>
                <w:highlight w:val="none"/>
                <w:lang w:val="zh-CN"/>
              </w:rPr>
              <w:t>分包机内部各部件之间在运转之中的异常监测警报。</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5</w:t>
            </w:r>
            <w:r>
              <w:rPr>
                <w:rFonts w:hint="eastAsia" w:ascii="宋体" w:hAnsi="宋体" w:eastAsia="宋体" w:cs="宋体"/>
                <w:b w:val="0"/>
                <w:bCs w:val="0"/>
                <w:sz w:val="24"/>
                <w:szCs w:val="24"/>
                <w:highlight w:val="none"/>
                <w:lang w:val="en-US" w:eastAsia="zh-CN"/>
              </w:rPr>
              <w:t>1</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分包袋少纸报警提示及碳带缺少报警提示</w:t>
            </w:r>
            <w:r>
              <w:rPr>
                <w:rFonts w:hint="eastAsia" w:ascii="宋体" w:hAnsi="宋体" w:eastAsia="宋体" w:cs="宋体"/>
                <w:b w:val="0"/>
                <w:bCs w:val="0"/>
                <w:sz w:val="24"/>
                <w:szCs w:val="24"/>
                <w:highlight w:val="none"/>
                <w:lang w:eastAsia="zh-CN"/>
              </w:rPr>
              <w:t>。</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5</w:t>
            </w:r>
            <w:r>
              <w:rPr>
                <w:rFonts w:hint="eastAsia" w:ascii="宋体" w:hAnsi="宋体" w:eastAsia="宋体" w:cs="宋体"/>
                <w:b w:val="0"/>
                <w:bCs w:val="0"/>
                <w:sz w:val="24"/>
                <w:szCs w:val="24"/>
                <w:highlight w:val="none"/>
                <w:lang w:val="en-US" w:eastAsia="zh-CN"/>
              </w:rPr>
              <w:t>2</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药盒缺药报警提示</w:t>
            </w:r>
            <w:r>
              <w:rPr>
                <w:rFonts w:hint="eastAsia" w:ascii="宋体" w:hAnsi="宋体" w:eastAsia="宋体" w:cs="宋体"/>
                <w:b w:val="0"/>
                <w:bCs w:val="0"/>
                <w:sz w:val="24"/>
                <w:szCs w:val="24"/>
                <w:highlight w:val="none"/>
                <w:lang w:eastAsia="zh-CN"/>
              </w:rPr>
              <w:t>。</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5</w:t>
            </w:r>
            <w:r>
              <w:rPr>
                <w:rFonts w:hint="eastAsia" w:ascii="宋体" w:hAnsi="宋体" w:eastAsia="宋体" w:cs="宋体"/>
                <w:b w:val="0"/>
                <w:bCs w:val="0"/>
                <w:sz w:val="24"/>
                <w:szCs w:val="24"/>
                <w:highlight w:val="none"/>
                <w:lang w:val="en-US" w:eastAsia="zh-CN"/>
              </w:rPr>
              <w:t>3</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具有分包药品信息自动存储功能，并具有分包药品信息统计功能</w:t>
            </w:r>
            <w:r>
              <w:rPr>
                <w:rFonts w:hint="eastAsia" w:ascii="宋体" w:hAnsi="宋体" w:eastAsia="宋体" w:cs="宋体"/>
                <w:b w:val="0"/>
                <w:bCs w:val="0"/>
                <w:sz w:val="24"/>
                <w:szCs w:val="24"/>
                <w:highlight w:val="none"/>
                <w:lang w:eastAsia="zh-CN"/>
              </w:rPr>
              <w:t>。</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4.8.</w:t>
            </w:r>
            <w:r>
              <w:rPr>
                <w:rFonts w:hint="eastAsia" w:ascii="宋体" w:hAnsi="宋体" w:eastAsia="宋体" w:cs="宋体"/>
                <w:b w:val="0"/>
                <w:bCs w:val="0"/>
                <w:sz w:val="24"/>
                <w:szCs w:val="24"/>
                <w:highlight w:val="none"/>
              </w:rPr>
              <w:t>5</w:t>
            </w:r>
            <w:r>
              <w:rPr>
                <w:rFonts w:hint="eastAsia" w:ascii="宋体" w:hAnsi="宋体" w:eastAsia="宋体" w:cs="宋体"/>
                <w:b w:val="0"/>
                <w:bCs w:val="0"/>
                <w:sz w:val="24"/>
                <w:szCs w:val="24"/>
                <w:highlight w:val="none"/>
                <w:lang w:val="en-US" w:eastAsia="zh-CN"/>
              </w:rPr>
              <w:t>4</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医嘱信息、患者信息、药品信息等可以永久保存于数据库，也可以导出存储，便于日后查询</w:t>
            </w:r>
            <w:r>
              <w:rPr>
                <w:rFonts w:hint="eastAsia" w:ascii="宋体" w:hAnsi="宋体" w:eastAsia="宋体" w:cs="宋体"/>
                <w:b w:val="0"/>
                <w:bCs w:val="0"/>
                <w:sz w:val="24"/>
                <w:szCs w:val="24"/>
                <w:highlight w:val="none"/>
                <w:lang w:eastAsia="zh-CN"/>
              </w:rPr>
              <w:t>。</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4.9</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系统组成</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r>
              <w:rPr>
                <w:rFonts w:hint="eastAsia" w:ascii="宋体" w:hAnsi="宋体" w:eastAsia="宋体" w:cs="宋体"/>
                <w:b/>
                <w:snapToGrid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4.9.1</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全自动发药系统</w:t>
            </w: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sz w:val="24"/>
                <w:szCs w:val="24"/>
                <w:highlight w:val="none"/>
              </w:rPr>
              <w:t>1套</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4.9.2</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无人补药系统</w:t>
            </w: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sz w:val="24"/>
                <w:szCs w:val="24"/>
                <w:highlight w:val="none"/>
              </w:rPr>
              <w:t>1套</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4.9.3</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 xml:space="preserve">整处方传送系统 </w:t>
            </w:r>
            <w:r>
              <w:rPr>
                <w:rFonts w:hint="eastAsia" w:ascii="宋体" w:hAnsi="宋体" w:eastAsia="宋体" w:cs="宋体"/>
                <w:b w:val="0"/>
                <w:bCs w:val="0"/>
                <w:sz w:val="24"/>
                <w:szCs w:val="24"/>
                <w:highlight w:val="none"/>
              </w:rPr>
              <w:t>1套</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4.9.4</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发筐机</w:t>
            </w: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sz w:val="24"/>
                <w:szCs w:val="24"/>
                <w:highlight w:val="none"/>
              </w:rPr>
              <w:t>1台</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4.9.5</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智能发药系统</w:t>
            </w: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sz w:val="24"/>
                <w:szCs w:val="24"/>
                <w:highlight w:val="none"/>
              </w:rPr>
              <w:t>1套（含1</w:t>
            </w:r>
            <w:r>
              <w:rPr>
                <w:rFonts w:hint="eastAsia" w:ascii="宋体" w:hAnsi="宋体" w:eastAsia="宋体" w:cs="宋体"/>
                <w:b w:val="0"/>
                <w:bCs w:val="0"/>
                <w:sz w:val="24"/>
                <w:szCs w:val="24"/>
                <w:highlight w:val="none"/>
                <w:lang w:val="en-US" w:eastAsia="zh-CN"/>
              </w:rPr>
              <w:t>0</w:t>
            </w:r>
            <w:r>
              <w:rPr>
                <w:rFonts w:hint="eastAsia" w:ascii="宋体" w:hAnsi="宋体" w:eastAsia="宋体" w:cs="宋体"/>
                <w:b w:val="0"/>
                <w:bCs w:val="0"/>
                <w:sz w:val="24"/>
                <w:szCs w:val="24"/>
                <w:highlight w:val="none"/>
              </w:rPr>
              <w:t>0个智能药筐）</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4.9.6</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智能调配系统</w:t>
            </w: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sz w:val="24"/>
                <w:szCs w:val="24"/>
                <w:highlight w:val="none"/>
              </w:rPr>
              <w:t>2台</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4.9.7</w:t>
            </w:r>
          </w:p>
        </w:tc>
        <w:tc>
          <w:tcPr>
            <w:tcW w:w="5918" w:type="dxa"/>
            <w:vAlign w:val="center"/>
          </w:tcPr>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麻精药品管理系统</w:t>
            </w: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sz w:val="24"/>
                <w:szCs w:val="24"/>
                <w:highlight w:val="none"/>
              </w:rPr>
              <w:t>1台</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4.9.8</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分包机</w:t>
            </w: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sz w:val="24"/>
                <w:szCs w:val="24"/>
                <w:highlight w:val="none"/>
              </w:rPr>
              <w:t>1台</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4.10</w:t>
            </w:r>
          </w:p>
        </w:tc>
        <w:tc>
          <w:tcPr>
            <w:tcW w:w="5918" w:type="dxa"/>
            <w:vAlign w:val="center"/>
          </w:tcPr>
          <w:p>
            <w:pPr>
              <w:keepNext w:val="0"/>
              <w:keepLines w:val="0"/>
              <w:pageBreakBefore w:val="0"/>
              <w:kinsoku/>
              <w:wordWrap/>
              <w:overflowPunct/>
              <w:topLinePunct w:val="0"/>
              <w:bidi w:val="0"/>
              <w:snapToGrid/>
              <w:spacing w:line="30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其他要求</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r>
              <w:rPr>
                <w:rFonts w:hint="eastAsia" w:ascii="宋体" w:hAnsi="宋体" w:eastAsia="宋体" w:cs="宋体"/>
                <w:b/>
                <w:snapToGrid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4.10.1</w:t>
            </w:r>
          </w:p>
        </w:tc>
        <w:tc>
          <w:tcPr>
            <w:tcW w:w="5918" w:type="dxa"/>
            <w:vAlign w:val="center"/>
          </w:tcPr>
          <w:p>
            <w:pPr>
              <w:pStyle w:val="25"/>
              <w:keepNext w:val="0"/>
              <w:keepLines w:val="0"/>
              <w:pageBreakBefore w:val="0"/>
              <w:kinsoku/>
              <w:wordWrap/>
              <w:overflowPunct/>
              <w:topLinePunct w:val="0"/>
              <w:bidi w:val="0"/>
              <w:snapToGrid/>
              <w:spacing w:before="117" w:line="300" w:lineRule="auto"/>
              <w:rPr>
                <w:rFonts w:hint="eastAsia" w:ascii="宋体" w:hAnsi="宋体" w:eastAsia="宋体" w:cs="宋体"/>
                <w:b w:val="0"/>
                <w:bCs w:val="0"/>
                <w:color w:val="FF0000"/>
                <w:sz w:val="24"/>
                <w:szCs w:val="24"/>
                <w:highlight w:val="none"/>
              </w:rPr>
            </w:pPr>
            <w:r>
              <w:rPr>
                <w:rFonts w:hint="eastAsia" w:ascii="宋体" w:hAnsi="宋体" w:eastAsia="宋体" w:cs="宋体"/>
                <w:bCs/>
                <w:sz w:val="24"/>
                <w:szCs w:val="24"/>
                <w:highlight w:val="none"/>
              </w:rPr>
              <w:t>投标人根据采购文件提供的相关参数</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rPr>
              <w:t>平面图</w:t>
            </w:r>
            <w:r>
              <w:rPr>
                <w:rFonts w:hint="eastAsia" w:ascii="宋体" w:hAnsi="宋体" w:eastAsia="宋体" w:cs="宋体"/>
                <w:bCs/>
                <w:color w:val="auto"/>
                <w:sz w:val="24"/>
                <w:szCs w:val="24"/>
                <w:highlight w:val="none"/>
              </w:rPr>
              <w:t>并结合场地实际条件，自行设计</w:t>
            </w:r>
            <w:r>
              <w:rPr>
                <w:rFonts w:hint="eastAsia" w:ascii="宋体" w:hAnsi="宋体" w:eastAsia="宋体" w:cs="宋体"/>
                <w:b w:val="0"/>
                <w:bCs w:val="0"/>
                <w:color w:val="auto"/>
                <w:sz w:val="24"/>
                <w:szCs w:val="24"/>
                <w:highlight w:val="none"/>
              </w:rPr>
              <w:t>方案（</w:t>
            </w:r>
            <w:r>
              <w:rPr>
                <w:rFonts w:hint="eastAsia" w:ascii="宋体" w:hAnsi="宋体" w:eastAsia="宋体" w:cs="宋体"/>
                <w:b w:val="0"/>
                <w:bCs w:val="0"/>
                <w:color w:val="auto"/>
                <w:sz w:val="24"/>
                <w:szCs w:val="24"/>
                <w:highlight w:val="none"/>
                <w:lang w:val="en-US" w:eastAsia="zh-CN"/>
              </w:rPr>
              <w:t>投标文件中</w:t>
            </w:r>
            <w:r>
              <w:rPr>
                <w:rFonts w:hint="eastAsia" w:ascii="宋体" w:hAnsi="宋体" w:eastAsia="宋体" w:cs="宋体"/>
                <w:b w:val="0"/>
                <w:bCs w:val="0"/>
                <w:color w:val="auto"/>
                <w:sz w:val="24"/>
                <w:szCs w:val="24"/>
                <w:highlight w:val="none"/>
              </w:rPr>
              <w:t>提供平面尺寸布置图、设备布局尺寸图和效果图）。</w:t>
            </w:r>
            <w:r>
              <w:rPr>
                <w:rFonts w:hint="eastAsia" w:ascii="宋体" w:hAnsi="宋体" w:eastAsia="宋体" w:cs="宋体"/>
                <w:b w:val="0"/>
                <w:bCs w:val="0"/>
                <w:color w:val="000000"/>
                <w:sz w:val="24"/>
                <w:szCs w:val="24"/>
                <w:highlight w:val="none"/>
              </w:rPr>
              <w:t>在满足工作流程和总体功能要求的前提下，对药房空间及人流、物流进行最优化设计。</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4.10.2</w:t>
            </w:r>
          </w:p>
        </w:tc>
        <w:tc>
          <w:tcPr>
            <w:tcW w:w="5918" w:type="dxa"/>
            <w:vAlign w:val="center"/>
          </w:tcPr>
          <w:p>
            <w:pPr>
              <w:pStyle w:val="3"/>
              <w:keepNext w:val="0"/>
              <w:keepLines w:val="0"/>
              <w:pageBreakBefore w:val="0"/>
              <w:kinsoku/>
              <w:wordWrap/>
              <w:overflowPunct/>
              <w:topLinePunct w:val="0"/>
              <w:bidi w:val="0"/>
              <w:snapToGrid/>
              <w:spacing w:line="300" w:lineRule="auto"/>
              <w:ind w:left="0" w:leftChars="0" w:firstLine="0" w:firstLineChars="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具体参数及图纸如下：</w:t>
            </w:r>
          </w:p>
          <w:p>
            <w:pPr>
              <w:pStyle w:val="25"/>
              <w:keepNext w:val="0"/>
              <w:keepLines w:val="0"/>
              <w:pageBreakBefore w:val="0"/>
              <w:kinsoku/>
              <w:wordWrap/>
              <w:overflowPunct/>
              <w:topLinePunct w:val="0"/>
              <w:bidi w:val="0"/>
              <w:snapToGrid/>
              <w:spacing w:before="49" w:line="300" w:lineRule="auto"/>
              <w:ind w:right="102"/>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rPr>
              <w:t>本次项目采购自动发药机（含系统），安装地点位于丽水市水阁卫生院一楼西药房位置。</w:t>
            </w:r>
          </w:p>
          <w:p>
            <w:pPr>
              <w:pStyle w:val="25"/>
              <w:keepNext w:val="0"/>
              <w:keepLines w:val="0"/>
              <w:pageBreakBefore w:val="0"/>
              <w:kinsoku/>
              <w:wordWrap/>
              <w:overflowPunct/>
              <w:topLinePunct w:val="0"/>
              <w:bidi w:val="0"/>
              <w:snapToGrid/>
              <w:spacing w:before="49" w:line="300" w:lineRule="auto"/>
              <w:ind w:right="102"/>
              <w:rPr>
                <w:rFonts w:hint="eastAsia" w:ascii="宋体" w:hAnsi="宋体" w:eastAsia="宋体" w:cs="宋体"/>
                <w:b w:val="0"/>
                <w:bCs w:val="0"/>
                <w:color w:val="auto"/>
                <w:spacing w:val="6"/>
                <w:sz w:val="24"/>
                <w:szCs w:val="24"/>
                <w:highlight w:val="none"/>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rPr>
              <w:t>具体空间尺寸、内部情况、</w:t>
            </w:r>
            <w:r>
              <w:rPr>
                <w:rFonts w:hint="eastAsia" w:ascii="宋体" w:hAnsi="宋体" w:eastAsia="宋体" w:cs="宋体"/>
                <w:b w:val="0"/>
                <w:bCs w:val="0"/>
                <w:color w:val="auto"/>
                <w:spacing w:val="6"/>
                <w:sz w:val="24"/>
                <w:szCs w:val="24"/>
                <w:highlight w:val="none"/>
              </w:rPr>
              <w:t>面积</w:t>
            </w:r>
            <w:r>
              <w:rPr>
                <w:rFonts w:hint="eastAsia" w:ascii="宋体" w:hAnsi="宋体" w:eastAsia="宋体" w:cs="宋体"/>
                <w:b w:val="0"/>
                <w:bCs w:val="0"/>
                <w:color w:val="auto"/>
                <w:spacing w:val="6"/>
                <w:sz w:val="24"/>
                <w:szCs w:val="24"/>
                <w:highlight w:val="none"/>
                <w:lang w:val="en-US"/>
              </w:rPr>
              <w:t>等详细信息见附件：丽水市水阁卫生院一楼西药房位置平面图。</w:t>
            </w:r>
          </w:p>
          <w:p>
            <w:pPr>
              <w:pStyle w:val="25"/>
              <w:keepNext w:val="0"/>
              <w:keepLines w:val="0"/>
              <w:pageBreakBefore w:val="0"/>
              <w:kinsoku/>
              <w:wordWrap/>
              <w:overflowPunct/>
              <w:topLinePunct w:val="0"/>
              <w:bidi w:val="0"/>
              <w:snapToGrid/>
              <w:spacing w:before="49" w:line="300" w:lineRule="auto"/>
              <w:ind w:right="102"/>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pacing w:val="6"/>
                <w:sz w:val="24"/>
                <w:szCs w:val="24"/>
                <w:highlight w:val="none"/>
                <w:lang w:val="en-US"/>
              </w:rPr>
              <w:t>3</w:t>
            </w:r>
            <w:r>
              <w:rPr>
                <w:rFonts w:hint="eastAsia" w:ascii="宋体" w:hAnsi="宋体" w:eastAsia="宋体" w:cs="宋体"/>
                <w:b w:val="0"/>
                <w:bCs w:val="0"/>
                <w:color w:val="auto"/>
                <w:spacing w:val="6"/>
                <w:sz w:val="24"/>
                <w:szCs w:val="24"/>
                <w:highlight w:val="none"/>
                <w:lang w:val="en-US" w:eastAsia="zh-CN"/>
              </w:rPr>
              <w:t>）</w:t>
            </w:r>
            <w:r>
              <w:rPr>
                <w:rFonts w:hint="eastAsia" w:ascii="宋体" w:hAnsi="宋体" w:eastAsia="宋体" w:cs="宋体"/>
                <w:b w:val="0"/>
                <w:bCs w:val="0"/>
                <w:color w:val="auto"/>
                <w:spacing w:val="-5"/>
                <w:sz w:val="24"/>
                <w:szCs w:val="24"/>
                <w:highlight w:val="none"/>
              </w:rPr>
              <w:t xml:space="preserve">提供 </w:t>
            </w:r>
            <w:r>
              <w:rPr>
                <w:rFonts w:hint="eastAsia" w:ascii="宋体" w:hAnsi="宋体" w:eastAsia="宋体" w:cs="宋体"/>
                <w:b w:val="0"/>
                <w:bCs w:val="0"/>
                <w:color w:val="auto"/>
                <w:sz w:val="24"/>
                <w:szCs w:val="24"/>
                <w:highlight w:val="none"/>
                <w:u w:val="single"/>
              </w:rPr>
              <w:t>220V</w:t>
            </w:r>
            <w:r>
              <w:rPr>
                <w:rFonts w:hint="eastAsia" w:ascii="宋体" w:hAnsi="宋体" w:eastAsia="宋体" w:cs="宋体"/>
                <w:b w:val="0"/>
                <w:bCs w:val="0"/>
                <w:color w:val="auto"/>
                <w:spacing w:val="-7"/>
                <w:sz w:val="24"/>
                <w:szCs w:val="24"/>
                <w:highlight w:val="none"/>
                <w:u w:val="single"/>
              </w:rPr>
              <w:t xml:space="preserve"> </w:t>
            </w:r>
            <w:r>
              <w:rPr>
                <w:rFonts w:hint="eastAsia" w:ascii="宋体" w:hAnsi="宋体" w:eastAsia="宋体" w:cs="宋体"/>
                <w:b w:val="0"/>
                <w:bCs w:val="0"/>
                <w:color w:val="auto"/>
                <w:spacing w:val="-7"/>
                <w:sz w:val="24"/>
                <w:szCs w:val="24"/>
                <w:highlight w:val="none"/>
              </w:rPr>
              <w:t>市电供电。</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4.10.3</w:t>
            </w:r>
          </w:p>
        </w:tc>
        <w:tc>
          <w:tcPr>
            <w:tcW w:w="5918" w:type="dxa"/>
            <w:vAlign w:val="center"/>
          </w:tcPr>
          <w:p>
            <w:pPr>
              <w:keepNext w:val="0"/>
              <w:keepLines w:val="0"/>
              <w:pageBreakBefore w:val="0"/>
              <w:kinsoku/>
              <w:wordWrap/>
              <w:overflowPunct/>
              <w:topLinePunct w:val="0"/>
              <w:bidi w:val="0"/>
              <w:snapToGrid/>
              <w:spacing w:line="300" w:lineRule="auto"/>
              <w:ind w:left="0" w:leftChars="0"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投标文件中须提供</w:t>
            </w:r>
            <w:r>
              <w:rPr>
                <w:rFonts w:hint="eastAsia" w:ascii="宋体" w:hAnsi="宋体" w:eastAsia="宋体" w:cs="宋体"/>
                <w:sz w:val="24"/>
                <w:szCs w:val="24"/>
                <w:highlight w:val="none"/>
              </w:rPr>
              <w:t>出保后原厂的年维护费</w:t>
            </w:r>
            <w:r>
              <w:rPr>
                <w:rFonts w:hint="eastAsia" w:ascii="宋体" w:hAnsi="宋体" w:eastAsia="宋体" w:cs="宋体"/>
                <w:sz w:val="24"/>
                <w:szCs w:val="24"/>
                <w:highlight w:val="none"/>
                <w:lang w:eastAsia="zh-CN"/>
              </w:rPr>
              <w:t>。</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4.10.4</w:t>
            </w:r>
          </w:p>
        </w:tc>
        <w:tc>
          <w:tcPr>
            <w:tcW w:w="5918" w:type="dxa"/>
            <w:vAlign w:val="center"/>
          </w:tcPr>
          <w:p>
            <w:pPr>
              <w:keepNext w:val="0"/>
              <w:keepLines w:val="0"/>
              <w:pageBreakBefore w:val="0"/>
              <w:kinsoku/>
              <w:wordWrap/>
              <w:overflowPunct/>
              <w:topLinePunct w:val="0"/>
              <w:bidi w:val="0"/>
              <w:snapToGrid/>
              <w:spacing w:line="300" w:lineRule="auto"/>
              <w:ind w:left="0" w:leftChars="0"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投标文件中须提供</w:t>
            </w:r>
            <w:r>
              <w:rPr>
                <w:rFonts w:hint="eastAsia" w:ascii="宋体" w:hAnsi="宋体" w:eastAsia="宋体" w:cs="宋体"/>
                <w:sz w:val="24"/>
                <w:szCs w:val="24"/>
                <w:highlight w:val="none"/>
              </w:rPr>
              <w:t>智能药筐的单价</w:t>
            </w:r>
            <w:r>
              <w:rPr>
                <w:rFonts w:hint="eastAsia" w:ascii="宋体" w:hAnsi="宋体" w:eastAsia="宋体" w:cs="宋体"/>
                <w:sz w:val="24"/>
                <w:szCs w:val="24"/>
                <w:highlight w:val="none"/>
                <w:lang w:eastAsia="zh-CN"/>
              </w:rPr>
              <w:t>。</w:t>
            </w:r>
          </w:p>
        </w:tc>
        <w:tc>
          <w:tcPr>
            <w:tcW w:w="1521" w:type="dxa"/>
          </w:tcPr>
          <w:p>
            <w:pPr>
              <w:keepNext w:val="0"/>
              <w:keepLines w:val="0"/>
              <w:pageBreakBefore w:val="0"/>
              <w:widowControl/>
              <w:kinsoku/>
              <w:wordWrap/>
              <w:overflowPunct/>
              <w:topLinePunct w:val="0"/>
              <w:bidi w:val="0"/>
              <w:snapToGrid/>
              <w:spacing w:line="300" w:lineRule="auto"/>
              <w:jc w:val="center"/>
              <w:textAlignment w:val="bottom"/>
              <w:rPr>
                <w:rFonts w:hint="eastAsia" w:ascii="宋体" w:hAnsi="宋体" w:eastAsia="宋体" w:cs="宋体"/>
                <w:bCs/>
                <w:snapToGrid w:val="0"/>
                <w:sz w:val="24"/>
                <w:szCs w:val="24"/>
                <w:highlight w:val="none"/>
              </w:rPr>
            </w:pPr>
          </w:p>
        </w:tc>
      </w:tr>
    </w:tbl>
    <w:p>
      <w:pPr>
        <w:rPr>
          <w:rFonts w:hint="eastAsia" w:ascii="宋体" w:hAnsi="宋体" w:eastAsia="宋体" w:cs="宋体"/>
          <w:b/>
          <w:sz w:val="24"/>
          <w:szCs w:val="24"/>
          <w:highlight w:val="none"/>
        </w:rPr>
      </w:pPr>
    </w:p>
    <w:p>
      <w:pPr>
        <w:spacing w:line="240" w:lineRule="auto"/>
        <w:rPr>
          <w:rFonts w:hint="eastAsia" w:ascii="宋体" w:hAnsi="宋体" w:eastAsia="宋体" w:cs="宋体"/>
          <w:b/>
          <w:bCs/>
          <w:sz w:val="21"/>
          <w:szCs w:val="21"/>
          <w:highlight w:val="none"/>
          <w:lang w:val="en-US" w:eastAsia="zh-CN"/>
        </w:rPr>
      </w:pPr>
      <w:r>
        <w:rPr>
          <w:rFonts w:hint="eastAsia" w:ascii="宋体" w:hAnsi="宋体" w:eastAsia="宋体" w:cs="宋体"/>
          <w:b/>
          <w:sz w:val="24"/>
          <w:szCs w:val="24"/>
          <w:highlight w:val="none"/>
        </w:rPr>
        <w:t xml:space="preserve">标项二：体外冲击波碎石机   </w:t>
      </w:r>
      <w:r>
        <w:rPr>
          <w:rFonts w:hint="eastAsia" w:ascii="宋体" w:hAnsi="宋体" w:eastAsia="宋体" w:cs="宋体"/>
          <w:b/>
          <w:sz w:val="21"/>
          <w:szCs w:val="21"/>
          <w:highlight w:val="none"/>
        </w:rPr>
        <w:t xml:space="preserve">                             </w:t>
      </w:r>
    </w:p>
    <w:tbl>
      <w:tblPr>
        <w:tblStyle w:val="966"/>
        <w:tblpPr w:leftFromText="180" w:rightFromText="180" w:vertAnchor="text" w:horzAnchor="page" w:tblpXSpec="center" w:tblpY="343"/>
        <w:tblOverlap w:val="never"/>
        <w:tblW w:w="85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5"/>
        <w:gridCol w:w="5918"/>
        <w:gridCol w:w="1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
                <w:snapToGrid w:val="0"/>
                <w:sz w:val="24"/>
                <w:szCs w:val="24"/>
                <w:highlight w:val="none"/>
              </w:rPr>
            </w:pPr>
            <w:r>
              <w:rPr>
                <w:rFonts w:hint="eastAsia" w:ascii="宋体" w:hAnsi="宋体" w:eastAsia="宋体" w:cs="宋体"/>
                <w:b/>
                <w:snapToGrid w:val="0"/>
                <w:sz w:val="24"/>
                <w:szCs w:val="24"/>
                <w:highlight w:val="none"/>
              </w:rPr>
              <w:t>序号</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
                <w:snapToGrid w:val="0"/>
                <w:sz w:val="24"/>
                <w:szCs w:val="24"/>
                <w:highlight w:val="none"/>
              </w:rPr>
            </w:pPr>
            <w:r>
              <w:rPr>
                <w:rFonts w:hint="eastAsia" w:ascii="宋体" w:hAnsi="宋体" w:eastAsia="宋体" w:cs="宋体"/>
                <w:b/>
                <w:snapToGrid w:val="0"/>
                <w:sz w:val="24"/>
                <w:szCs w:val="24"/>
                <w:highlight w:val="none"/>
              </w:rPr>
              <w:t>技术要求</w:t>
            </w:r>
          </w:p>
        </w:tc>
        <w:tc>
          <w:tcPr>
            <w:tcW w:w="1521"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
                <w:snapToGrid w:val="0"/>
                <w:sz w:val="24"/>
                <w:szCs w:val="24"/>
                <w:highlight w:val="none"/>
              </w:rPr>
            </w:pPr>
            <w:r>
              <w:rPr>
                <w:rFonts w:hint="eastAsia" w:ascii="宋体" w:hAnsi="宋体" w:eastAsia="宋体" w:cs="宋体"/>
                <w:b/>
                <w:snapToGrid w:val="0"/>
                <w:sz w:val="24"/>
                <w:szCs w:val="24"/>
                <w:highlight w:val="none"/>
              </w:rPr>
              <w:t>响应情况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一</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b/>
                <w:sz w:val="24"/>
                <w:szCs w:val="24"/>
                <w:highlight w:val="none"/>
              </w:rPr>
              <w:t>主机</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r>
              <w:rPr>
                <w:rFonts w:hint="eastAsia" w:ascii="宋体" w:hAnsi="宋体" w:eastAsia="宋体" w:cs="宋体"/>
                <w:b/>
                <w:snapToGrid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1.1</w:t>
            </w:r>
          </w:p>
        </w:tc>
        <w:tc>
          <w:tcPr>
            <w:tcW w:w="5918" w:type="dxa"/>
            <w:tcBorders>
              <w:top w:val="single" w:color="000000" w:sz="2" w:space="0"/>
              <w:bottom w:val="single" w:color="000000" w:sz="2" w:space="0"/>
            </w:tcBorders>
            <w:vAlign w:val="center"/>
          </w:tcPr>
          <w:p>
            <w:pPr>
              <w:keepNext w:val="0"/>
              <w:keepLines w:val="0"/>
              <w:pageBreakBefore w:val="0"/>
              <w:widowControl/>
              <w:shd w:val="clear" w:color="auto" w:fill="FFFFFF"/>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用途：用于</w:t>
            </w:r>
            <w:r>
              <w:rPr>
                <w:rFonts w:hint="eastAsia" w:ascii="宋体" w:hAnsi="宋体" w:eastAsia="宋体" w:cs="宋体"/>
                <w:sz w:val="24"/>
                <w:szCs w:val="24"/>
                <w:highlight w:val="none"/>
                <w:lang w:val="zh-CN"/>
              </w:rPr>
              <w:t>泌尿系统结石碎石治疗，</w:t>
            </w:r>
            <w:r>
              <w:rPr>
                <w:rFonts w:hint="eastAsia" w:ascii="宋体" w:hAnsi="宋体" w:eastAsia="宋体" w:cs="宋体"/>
                <w:sz w:val="24"/>
                <w:szCs w:val="24"/>
                <w:highlight w:val="none"/>
              </w:rPr>
              <w:t>B超X线双定位机型</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caps/>
                <w:kern w:val="2"/>
                <w:sz w:val="24"/>
                <w:szCs w:val="24"/>
                <w:highlight w:val="none"/>
                <w:lang w:val="en-US" w:eastAsia="zh-CN" w:bidi="ar-SA"/>
              </w:rPr>
            </w:pPr>
            <w:r>
              <w:rPr>
                <w:rFonts w:hint="eastAsia" w:ascii="宋体" w:hAnsi="宋体" w:eastAsia="宋体" w:cs="宋体"/>
                <w:sz w:val="24"/>
                <w:szCs w:val="24"/>
                <w:highlight w:val="none"/>
              </w:rPr>
              <w:t>机型要求：所投机型为该公司最新机型</w:t>
            </w:r>
            <w:r>
              <w:rPr>
                <w:rFonts w:hint="eastAsia" w:ascii="宋体" w:hAnsi="宋体" w:eastAsia="宋体" w:cs="宋体"/>
                <w:sz w:val="24"/>
                <w:szCs w:val="24"/>
                <w:highlight w:val="none"/>
                <w:lang w:val="en-US" w:eastAsia="zh-CN"/>
              </w:rPr>
              <w:t>并</w:t>
            </w:r>
            <w:r>
              <w:rPr>
                <w:rFonts w:hint="eastAsia" w:ascii="宋体" w:hAnsi="宋体" w:eastAsia="宋体" w:cs="宋体"/>
                <w:sz w:val="24"/>
                <w:szCs w:val="24"/>
                <w:highlight w:val="none"/>
              </w:rPr>
              <w:t>提供型号</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b w:val="0"/>
                <w:bCs w:val="0"/>
                <w:sz w:val="24"/>
                <w:szCs w:val="24"/>
                <w:highlight w:val="none"/>
              </w:rPr>
              <w:t>★</w:t>
            </w:r>
            <w:r>
              <w:rPr>
                <w:rFonts w:hint="eastAsia" w:ascii="宋体" w:hAnsi="宋体" w:eastAsia="宋体" w:cs="宋体"/>
                <w:sz w:val="24"/>
                <w:szCs w:val="24"/>
                <w:highlight w:val="none"/>
              </w:rPr>
              <w:t>1.3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caps/>
                <w:kern w:val="2"/>
                <w:sz w:val="24"/>
                <w:szCs w:val="24"/>
                <w:highlight w:val="none"/>
                <w:lang w:val="en-US" w:eastAsia="zh-CN" w:bidi="ar-SA"/>
              </w:rPr>
            </w:pPr>
            <w:r>
              <w:rPr>
                <w:rFonts w:hint="eastAsia" w:ascii="宋体" w:hAnsi="宋体" w:eastAsia="宋体" w:cs="宋体"/>
                <w:sz w:val="24"/>
                <w:szCs w:val="24"/>
                <w:highlight w:val="none"/>
              </w:rPr>
              <w:t>冲击波源：透镜折射式电磁冲击波源（</w:t>
            </w:r>
            <w:r>
              <w:rPr>
                <w:rFonts w:hint="eastAsia" w:ascii="宋体" w:hAnsi="宋体" w:eastAsia="宋体" w:cs="宋体"/>
                <w:sz w:val="24"/>
                <w:szCs w:val="24"/>
                <w:highlight w:val="none"/>
                <w:shd w:val="clear" w:color="auto" w:fill="F8F8F8"/>
              </w:rPr>
              <w:t>震波膜与电磁盘一体化设计，而非无透镜波源</w:t>
            </w:r>
            <w:r>
              <w:rPr>
                <w:rFonts w:hint="eastAsia" w:ascii="宋体" w:hAnsi="宋体" w:eastAsia="宋体" w:cs="宋体"/>
                <w:sz w:val="24"/>
                <w:szCs w:val="24"/>
                <w:highlight w:val="none"/>
              </w:rPr>
              <w:t xml:space="preserve">）；高压放电范围：10～18KV,高压放电电容最大储能: 50～162J,治疗深度：130mm </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caps/>
                <w:kern w:val="2"/>
                <w:sz w:val="24"/>
                <w:szCs w:val="24"/>
                <w:highlight w:val="none"/>
                <w:lang w:val="en-US" w:eastAsia="zh-CN" w:bidi="ar-SA"/>
              </w:rPr>
            </w:pPr>
            <w:r>
              <w:rPr>
                <w:rFonts w:hint="eastAsia" w:ascii="宋体" w:hAnsi="宋体" w:eastAsia="宋体" w:cs="宋体"/>
                <w:sz w:val="24"/>
                <w:szCs w:val="24"/>
                <w:highlight w:val="none"/>
              </w:rPr>
              <w:t>脉冲击波的脉宽：≤1μs，冲击波的前沿：≤0.5μs；冲击波聚焦范围：径向≤±7mm；轴向：-35～50mm</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caps/>
                <w:kern w:val="2"/>
                <w:sz w:val="24"/>
                <w:szCs w:val="24"/>
                <w:highlight w:val="none"/>
                <w:lang w:val="en-US" w:eastAsia="zh-CN" w:bidi="ar-SA"/>
              </w:rPr>
            </w:pPr>
            <w:r>
              <w:rPr>
                <w:rFonts w:hint="eastAsia" w:ascii="宋体" w:hAnsi="宋体" w:eastAsia="宋体" w:cs="宋体"/>
                <w:sz w:val="24"/>
                <w:szCs w:val="24"/>
                <w:highlight w:val="none"/>
              </w:rPr>
              <w:t>冲击波源采用故障报警功能，自动切断高压系统，提高安全性能</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b/>
                <w:kern w:val="2"/>
                <w:sz w:val="24"/>
                <w:szCs w:val="24"/>
                <w:highlight w:val="none"/>
                <w:lang w:val="en-US" w:eastAsia="zh-CN" w:bidi="ar-SA"/>
              </w:rPr>
            </w:pPr>
            <w:r>
              <w:rPr>
                <w:rFonts w:hint="eastAsia" w:ascii="宋体" w:hAnsi="宋体" w:eastAsia="宋体" w:cs="宋体"/>
                <w:sz w:val="24"/>
                <w:szCs w:val="24"/>
                <w:highlight w:val="none"/>
              </w:rPr>
              <w:t>冲击波源具有负压系统，可自动抽真空等功能，实现低能量低剂量碎石。</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冲击波源、高压开关、高压电容可独立维修更换，非使用电容箱的整体更换</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b w:val="0"/>
                <w:bCs w:val="0"/>
                <w:sz w:val="24"/>
                <w:szCs w:val="24"/>
                <w:highlight w:val="none"/>
              </w:rPr>
              <w:t>★</w:t>
            </w:r>
            <w:r>
              <w:rPr>
                <w:rFonts w:hint="eastAsia" w:ascii="宋体" w:hAnsi="宋体" w:eastAsia="宋体" w:cs="宋体"/>
                <w:sz w:val="24"/>
                <w:szCs w:val="24"/>
                <w:highlight w:val="none"/>
              </w:rPr>
              <w:t>1.8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主机（带冲击波波源及大C臂）和治疗床可独立分开设计，方便移动。治疗床单独移动可作为泌尿外科检查床。</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二</w:t>
            </w:r>
          </w:p>
        </w:tc>
        <w:tc>
          <w:tcPr>
            <w:tcW w:w="5918" w:type="dxa"/>
            <w:tcBorders>
              <w:top w:val="single" w:color="000000" w:sz="2" w:space="0"/>
              <w:bottom w:val="single" w:color="000000" w:sz="2" w:space="0"/>
            </w:tcBorders>
            <w:vAlign w:val="center"/>
          </w:tcPr>
          <w:p>
            <w:pPr>
              <w:keepNext w:val="0"/>
              <w:keepLines w:val="0"/>
              <w:pageBreakBefore w:val="0"/>
              <w:tabs>
                <w:tab w:val="left" w:pos="284"/>
                <w:tab w:val="left" w:pos="567"/>
              </w:tabs>
              <w:kinsoku/>
              <w:wordWrap/>
              <w:overflowPunct/>
              <w:topLinePunct w:val="0"/>
              <w:autoSpaceDE/>
              <w:autoSpaceDN/>
              <w:bidi w:val="0"/>
              <w:adjustRightInd w:val="0"/>
              <w:snapToGrid w:val="0"/>
              <w:spacing w:line="300" w:lineRule="auto"/>
              <w:jc w:val="left"/>
              <w:rPr>
                <w:rFonts w:hint="eastAsia" w:ascii="宋体" w:hAnsi="宋体" w:eastAsia="宋体" w:cs="宋体"/>
                <w:caps/>
                <w:kern w:val="2"/>
                <w:sz w:val="24"/>
                <w:szCs w:val="24"/>
                <w:highlight w:val="none"/>
                <w:lang w:val="en-US" w:eastAsia="zh-CN" w:bidi="ar-SA"/>
              </w:rPr>
            </w:pPr>
            <w:r>
              <w:rPr>
                <w:rFonts w:hint="eastAsia" w:ascii="宋体" w:hAnsi="宋体" w:eastAsia="宋体" w:cs="宋体"/>
                <w:b/>
                <w:sz w:val="24"/>
                <w:szCs w:val="24"/>
                <w:highlight w:val="none"/>
              </w:rPr>
              <w:t>X线影像系统:</w:t>
            </w:r>
            <w:r>
              <w:rPr>
                <w:rFonts w:hint="eastAsia" w:ascii="宋体" w:hAnsi="宋体" w:eastAsia="宋体" w:cs="宋体"/>
                <w:sz w:val="24"/>
                <w:szCs w:val="24"/>
                <w:highlight w:val="none"/>
              </w:rPr>
              <w:t>含球管、高压发生器、CCD摄像机、影像增强器</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三</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caps/>
                <w:kern w:val="2"/>
                <w:sz w:val="24"/>
                <w:szCs w:val="24"/>
                <w:highlight w:val="none"/>
                <w:lang w:val="en-US" w:eastAsia="zh-CN" w:bidi="ar-SA"/>
              </w:rPr>
            </w:pPr>
            <w:r>
              <w:rPr>
                <w:rFonts w:hint="eastAsia" w:ascii="宋体" w:hAnsi="宋体" w:eastAsia="宋体" w:cs="宋体"/>
                <w:b/>
                <w:sz w:val="24"/>
                <w:szCs w:val="24"/>
                <w:highlight w:val="none"/>
              </w:rPr>
              <w:t>定位系统：</w:t>
            </w:r>
            <w:r>
              <w:rPr>
                <w:rFonts w:hint="eastAsia" w:ascii="宋体" w:hAnsi="宋体" w:eastAsia="宋体" w:cs="宋体"/>
                <w:sz w:val="24"/>
                <w:szCs w:val="24"/>
                <w:highlight w:val="none"/>
              </w:rPr>
              <w:t>具备X线和B超双定位系统</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3.1</w:t>
            </w:r>
          </w:p>
        </w:tc>
        <w:tc>
          <w:tcPr>
            <w:tcW w:w="5918" w:type="dxa"/>
            <w:tcBorders>
              <w:top w:val="single" w:color="000000" w:sz="2" w:space="0"/>
              <w:bottom w:val="single" w:color="000000" w:sz="2" w:space="0"/>
            </w:tcBorders>
            <w:vAlign w:val="center"/>
          </w:tcPr>
          <w:p>
            <w:pPr>
              <w:keepNext w:val="0"/>
              <w:keepLines w:val="0"/>
              <w:pageBreakBefore w:val="0"/>
              <w:widowControl/>
              <w:shd w:val="clear" w:color="auto" w:fill="FFFFFF"/>
              <w:kinsoku/>
              <w:wordWrap/>
              <w:overflowPunct/>
              <w:topLinePunct w:val="0"/>
              <w:autoSpaceDE/>
              <w:autoSpaceDN/>
              <w:bidi w:val="0"/>
              <w:adjustRightInd w:val="0"/>
              <w:spacing w:line="300" w:lineRule="auto"/>
              <w:rPr>
                <w:rFonts w:hint="eastAsia" w:ascii="宋体" w:hAnsi="宋体" w:eastAsia="宋体" w:cs="宋体"/>
                <w:b/>
                <w:bCs/>
                <w:kern w:val="0"/>
                <w:sz w:val="24"/>
                <w:szCs w:val="24"/>
                <w:highlight w:val="none"/>
                <w:lang w:val="en-US" w:eastAsia="zh-CN" w:bidi="ar-SA"/>
              </w:rPr>
            </w:pPr>
            <w:r>
              <w:rPr>
                <w:rFonts w:hint="eastAsia" w:ascii="宋体" w:hAnsi="宋体" w:eastAsia="宋体" w:cs="宋体"/>
                <w:sz w:val="24"/>
                <w:szCs w:val="24"/>
                <w:highlight w:val="none"/>
              </w:rPr>
              <w:t>X定位系统</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3.1.1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采用C臂单X线双向透视定位；</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3.1.2</w:t>
            </w:r>
          </w:p>
        </w:tc>
        <w:tc>
          <w:tcPr>
            <w:tcW w:w="5918" w:type="dxa"/>
            <w:tcBorders>
              <w:top w:val="single" w:color="000000" w:sz="2" w:space="0"/>
              <w:bottom w:val="single" w:color="000000" w:sz="2" w:space="0"/>
            </w:tcBorders>
            <w:vAlign w:val="center"/>
          </w:tcPr>
          <w:p>
            <w:pPr>
              <w:keepNext w:val="0"/>
              <w:keepLines w:val="0"/>
              <w:pageBreakBefore w:val="0"/>
              <w:widowControl/>
              <w:shd w:val="clear" w:color="auto" w:fill="FFFFFF"/>
              <w:kinsoku/>
              <w:wordWrap/>
              <w:overflowPunct/>
              <w:topLinePunct w:val="0"/>
              <w:autoSpaceDE/>
              <w:autoSpaceDN/>
              <w:bidi w:val="0"/>
              <w:adjustRightInd w:val="0"/>
              <w:spacing w:line="30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sz w:val="24"/>
                <w:szCs w:val="24"/>
                <w:highlight w:val="none"/>
              </w:rPr>
              <w:t>球管</w:t>
            </w:r>
            <w:r>
              <w:rPr>
                <w:rFonts w:hint="eastAsia" w:ascii="宋体" w:hAnsi="宋体" w:eastAsia="宋体" w:cs="宋体"/>
                <w:sz w:val="24"/>
                <w:szCs w:val="24"/>
                <w:highlight w:val="none"/>
                <w:lang w:val="en-US" w:eastAsia="zh-CN"/>
              </w:rPr>
              <w:t>使用电压</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50KV</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3.1.3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高分辨率≥6寸影像增强器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和CCD摄像机≥40万像素，图象清晰度≥14线对 / cm。</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3.2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辅助B超定位系统</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3.2.1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B超探头定位装置环冲击波源锥形</w:t>
            </w:r>
            <w:r>
              <w:rPr>
                <w:rFonts w:hint="eastAsia" w:ascii="宋体" w:hAnsi="宋体" w:eastAsia="宋体" w:cs="宋体"/>
                <w:sz w:val="24"/>
                <w:szCs w:val="24"/>
                <w:highlight w:val="none"/>
                <w:lang w:val="en-US" w:eastAsia="zh-CN"/>
              </w:rPr>
              <w:t>多角度</w:t>
            </w:r>
            <w:r>
              <w:rPr>
                <w:rFonts w:hint="eastAsia" w:ascii="宋体" w:hAnsi="宋体" w:eastAsia="宋体" w:cs="宋体"/>
                <w:sz w:val="24"/>
                <w:szCs w:val="24"/>
                <w:highlight w:val="none"/>
              </w:rPr>
              <w:t>运动</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3.2.2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探头定位误差≤±</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mm；探头表面与第二焦点测距误差≤±</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mm。</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3.2.3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shd w:val="clear" w:color="auto" w:fill="F8F8F8"/>
              </w:rPr>
              <w:t>小C臂（带冲击波源）</w:t>
            </w:r>
            <w:r>
              <w:rPr>
                <w:rFonts w:hint="eastAsia" w:ascii="宋体" w:hAnsi="宋体" w:eastAsia="宋体" w:cs="宋体"/>
                <w:sz w:val="24"/>
                <w:szCs w:val="24"/>
                <w:highlight w:val="none"/>
              </w:rPr>
              <w:t>可上下翻转180°，</w:t>
            </w:r>
            <w:r>
              <w:rPr>
                <w:rFonts w:hint="eastAsia" w:ascii="宋体" w:hAnsi="宋体" w:eastAsia="宋体" w:cs="宋体"/>
                <w:sz w:val="24"/>
                <w:szCs w:val="24"/>
                <w:highlight w:val="none"/>
                <w:shd w:val="clear" w:color="auto" w:fill="F8F8F8"/>
              </w:rPr>
              <w:t>治疗头可以各上、下定位</w:t>
            </w:r>
            <w:r>
              <w:rPr>
                <w:rFonts w:hint="eastAsia" w:ascii="宋体" w:hAnsi="宋体" w:eastAsia="宋体" w:cs="宋体"/>
                <w:sz w:val="24"/>
                <w:szCs w:val="24"/>
                <w:highlight w:val="none"/>
              </w:rPr>
              <w:t>；小C臂（带冲击波源）沿圆弧滑轨滑动角度范围≥45°。</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四</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b/>
                <w:sz w:val="24"/>
                <w:szCs w:val="24"/>
                <w:highlight w:val="none"/>
              </w:rPr>
              <w:t>操作系统</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r>
              <w:rPr>
                <w:rFonts w:hint="eastAsia" w:ascii="宋体" w:hAnsi="宋体" w:eastAsia="宋体" w:cs="宋体"/>
                <w:b/>
                <w:snapToGrid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4.1</w:t>
            </w:r>
          </w:p>
        </w:tc>
        <w:tc>
          <w:tcPr>
            <w:tcW w:w="5918" w:type="dxa"/>
            <w:tcBorders>
              <w:top w:val="single" w:color="000000" w:sz="2" w:space="0"/>
              <w:bottom w:val="single" w:color="000000" w:sz="2" w:space="0"/>
            </w:tcBorders>
            <w:vAlign w:val="center"/>
          </w:tcPr>
          <w:p>
            <w:pPr>
              <w:pStyle w:val="790"/>
              <w:keepNext w:val="0"/>
              <w:keepLines w:val="0"/>
              <w:pageBreakBefore w:val="0"/>
              <w:kinsoku/>
              <w:wordWrap/>
              <w:overflowPunct/>
              <w:topLinePunct w:val="0"/>
              <w:autoSpaceDE/>
              <w:autoSpaceDN/>
              <w:bidi w:val="0"/>
              <w:adjustRightInd w:val="0"/>
              <w:snapToGrid w:val="0"/>
              <w:spacing w:before="156" w:beforeLines="50" w:after="156" w:afterLines="50" w:line="300" w:lineRule="auto"/>
              <w:ind w:right="105" w:rightChars="50"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1：带隔离室操作及床边≥7寸可移动彩色液晶触摸屏；</w:t>
            </w:r>
          </w:p>
          <w:p>
            <w:pPr>
              <w:pStyle w:val="790"/>
              <w:keepNext w:val="0"/>
              <w:keepLines w:val="0"/>
              <w:pageBreakBefore w:val="0"/>
              <w:kinsoku/>
              <w:wordWrap/>
              <w:overflowPunct/>
              <w:topLinePunct w:val="0"/>
              <w:autoSpaceDE/>
              <w:autoSpaceDN/>
              <w:bidi w:val="0"/>
              <w:adjustRightInd w:val="0"/>
              <w:snapToGrid w:val="0"/>
              <w:spacing w:before="156" w:beforeLines="50" w:after="156" w:afterLines="50" w:line="300" w:lineRule="auto"/>
              <w:ind w:right="105" w:rightChars="50" w:firstLine="0" w:firstLineChars="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2：主控制台≥10寸彩色液晶触摸屏，双屏同步显示，符合人因工程学的友好用户交互和体验</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4.2</w:t>
            </w:r>
          </w:p>
        </w:tc>
        <w:tc>
          <w:tcPr>
            <w:tcW w:w="5918" w:type="dxa"/>
            <w:tcBorders>
              <w:top w:val="single" w:color="000000" w:sz="2" w:space="0"/>
              <w:bottom w:val="single" w:color="000000" w:sz="2" w:space="0"/>
            </w:tcBorders>
            <w:vAlign w:val="center"/>
          </w:tcPr>
          <w:p>
            <w:pPr>
              <w:pStyle w:val="790"/>
              <w:keepNext w:val="0"/>
              <w:keepLines w:val="0"/>
              <w:pageBreakBefore w:val="0"/>
              <w:kinsoku/>
              <w:wordWrap/>
              <w:overflowPunct/>
              <w:topLinePunct w:val="0"/>
              <w:autoSpaceDE/>
              <w:autoSpaceDN/>
              <w:bidi w:val="0"/>
              <w:adjustRightInd w:val="0"/>
              <w:snapToGrid w:val="0"/>
              <w:spacing w:before="156" w:beforeLines="50" w:after="156" w:afterLines="50" w:line="300" w:lineRule="auto"/>
              <w:ind w:right="105" w:rightChars="50" w:firstLine="0" w:firstLineChars="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≥14寸监视器</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b w:val="0"/>
                <w:bCs w:val="0"/>
                <w:sz w:val="24"/>
                <w:szCs w:val="24"/>
                <w:highlight w:val="none"/>
              </w:rPr>
              <w:t>★</w:t>
            </w:r>
            <w:r>
              <w:rPr>
                <w:rFonts w:hint="eastAsia" w:ascii="宋体" w:hAnsi="宋体" w:eastAsia="宋体" w:cs="宋体"/>
                <w:sz w:val="24"/>
                <w:szCs w:val="24"/>
                <w:highlight w:val="none"/>
              </w:rPr>
              <w:t>4.3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整机采用内嵌式计算机模块控制（非单片机，非PLC编程），触发技术采用递减倒计数自动停止触发，电压自动跟踪调压，高压表显示稳定，真彩触摸屏操作</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4.4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声光报警和文字显示故障；</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4.5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触摸屏可关闭背光电源，延长屏的使用寿命；</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4.7</w:t>
            </w:r>
          </w:p>
        </w:tc>
        <w:tc>
          <w:tcPr>
            <w:tcW w:w="5918" w:type="dxa"/>
            <w:tcBorders>
              <w:top w:val="single" w:color="000000" w:sz="2" w:space="0"/>
              <w:bottom w:val="single" w:color="000000" w:sz="2" w:space="0"/>
            </w:tcBorders>
            <w:vAlign w:val="center"/>
          </w:tcPr>
          <w:p>
            <w:pPr>
              <w:keepNext w:val="0"/>
              <w:keepLines w:val="0"/>
              <w:pageBreakBefore w:val="0"/>
              <w:tabs>
                <w:tab w:val="left" w:pos="360"/>
              </w:tabs>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治疗床：治疗床可以进行X、Y、Z三个方向的运动，运动幅度分别为</w:t>
            </w:r>
            <w:r>
              <w:rPr>
                <w:rFonts w:hint="eastAsia" w:ascii="宋体" w:hAnsi="宋体" w:eastAsia="宋体" w:cs="宋体"/>
                <w:sz w:val="24"/>
                <w:szCs w:val="24"/>
                <w:highlight w:val="none"/>
                <w:lang w:val="en-US" w:eastAsia="zh-CN"/>
              </w:rPr>
              <w:t>X方向</w:t>
            </w:r>
            <w:r>
              <w:rPr>
                <w:rFonts w:hint="eastAsia" w:ascii="宋体" w:hAnsi="宋体" w:eastAsia="宋体" w:cs="宋体"/>
                <w:sz w:val="24"/>
                <w:szCs w:val="24"/>
                <w:highlight w:val="none"/>
              </w:rPr>
              <w:t>≥150 mm、</w:t>
            </w:r>
            <w:r>
              <w:rPr>
                <w:rFonts w:hint="eastAsia" w:ascii="宋体" w:hAnsi="宋体" w:eastAsia="宋体" w:cs="宋体"/>
                <w:sz w:val="24"/>
                <w:szCs w:val="24"/>
                <w:highlight w:val="none"/>
                <w:lang w:val="en-US" w:eastAsia="zh-CN"/>
              </w:rPr>
              <w:t>Y方向</w:t>
            </w:r>
            <w:r>
              <w:rPr>
                <w:rFonts w:hint="eastAsia" w:ascii="宋体" w:hAnsi="宋体" w:eastAsia="宋体" w:cs="宋体"/>
                <w:sz w:val="24"/>
                <w:szCs w:val="24"/>
                <w:highlight w:val="none"/>
              </w:rPr>
              <w:t>≥150 mm、</w:t>
            </w:r>
            <w:r>
              <w:rPr>
                <w:rFonts w:hint="eastAsia" w:ascii="宋体" w:hAnsi="宋体" w:eastAsia="宋体" w:cs="宋体"/>
                <w:sz w:val="24"/>
                <w:szCs w:val="24"/>
                <w:highlight w:val="none"/>
                <w:lang w:val="en-US" w:eastAsia="zh-CN"/>
              </w:rPr>
              <w:t>Z方向</w:t>
            </w:r>
            <w:r>
              <w:rPr>
                <w:rFonts w:hint="eastAsia" w:ascii="宋体" w:hAnsi="宋体" w:eastAsia="宋体" w:cs="宋体"/>
                <w:sz w:val="24"/>
                <w:szCs w:val="24"/>
                <w:highlight w:val="none"/>
              </w:rPr>
              <w:t>≥200 mm，整机带轮，主机可与治疗床分别带轮可分开轻松移动，可单独作为泌尿外科手术床使用。</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4.8</w:t>
            </w:r>
          </w:p>
        </w:tc>
        <w:tc>
          <w:tcPr>
            <w:tcW w:w="5918" w:type="dxa"/>
            <w:tcBorders>
              <w:top w:val="single" w:color="000000" w:sz="2" w:space="0"/>
              <w:bottom w:val="single" w:color="000000" w:sz="2" w:space="0"/>
            </w:tcBorders>
            <w:vAlign w:val="center"/>
          </w:tcPr>
          <w:p>
            <w:pPr>
              <w:keepNext w:val="0"/>
              <w:keepLines w:val="0"/>
              <w:pageBreakBefore w:val="0"/>
              <w:tabs>
                <w:tab w:val="left" w:pos="360"/>
              </w:tabs>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治疗床高度≥7</w:t>
            </w:r>
            <w:r>
              <w:rPr>
                <w:rFonts w:hint="eastAsia" w:ascii="宋体" w:hAnsi="宋体" w:eastAsia="宋体" w:cs="宋体"/>
                <w:sz w:val="24"/>
                <w:szCs w:val="24"/>
                <w:highlight w:val="none"/>
                <w:lang w:val="en-US" w:eastAsia="zh-CN"/>
              </w:rPr>
              <w:t>50</w:t>
            </w:r>
            <w:r>
              <w:rPr>
                <w:rFonts w:hint="eastAsia" w:ascii="宋体" w:hAnsi="宋体" w:eastAsia="宋体" w:cs="宋体"/>
                <w:sz w:val="24"/>
                <w:szCs w:val="24"/>
                <w:highlight w:val="none"/>
              </w:rPr>
              <w:t>mm</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4.9</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C臂机运动要求</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4.9.1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大C臂旋转角度范围：顺时针≥30°逆时针≥25°</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4.9.2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C臂、小C臂运动时引起的第二焦点定位误差≤</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mm</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bl>
    <w:p>
      <w:pPr>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 xml:space="preserve">  </w:t>
      </w:r>
    </w:p>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br w:type="page"/>
      </w:r>
    </w:p>
    <w:p>
      <w:pPr>
        <w:outlineLvl w:val="0"/>
        <w:rPr>
          <w:rFonts w:hint="eastAsia" w:ascii="宋体" w:hAnsi="宋体" w:eastAsia="宋体" w:cs="宋体"/>
          <w:b/>
          <w:bCs/>
          <w:sz w:val="21"/>
          <w:szCs w:val="21"/>
          <w:highlight w:val="none"/>
          <w:lang w:val="en-US" w:eastAsia="zh-CN"/>
        </w:rPr>
      </w:pPr>
      <w:r>
        <w:rPr>
          <w:rFonts w:hint="eastAsia" w:ascii="宋体" w:hAnsi="宋体" w:eastAsia="宋体" w:cs="宋体"/>
          <w:b/>
          <w:sz w:val="24"/>
          <w:szCs w:val="24"/>
          <w:highlight w:val="none"/>
        </w:rPr>
        <w:t>标项</w:t>
      </w:r>
      <w:r>
        <w:rPr>
          <w:rFonts w:hint="eastAsia" w:ascii="宋体" w:hAnsi="宋体" w:eastAsia="宋体" w:cs="宋体"/>
          <w:b/>
          <w:sz w:val="24"/>
          <w:szCs w:val="24"/>
          <w:highlight w:val="none"/>
          <w:lang w:val="en-US" w:eastAsia="zh-CN"/>
        </w:rPr>
        <w:t>三</w:t>
      </w:r>
      <w:r>
        <w:rPr>
          <w:rFonts w:hint="eastAsia" w:ascii="宋体" w:hAnsi="宋体" w:eastAsia="宋体" w:cs="宋体"/>
          <w:b/>
          <w:sz w:val="24"/>
          <w:szCs w:val="24"/>
          <w:highlight w:val="none"/>
        </w:rPr>
        <w:t xml:space="preserve">：脑电图仪      </w:t>
      </w:r>
      <w:r>
        <w:rPr>
          <w:rFonts w:hint="eastAsia" w:ascii="宋体" w:hAnsi="宋体" w:eastAsia="宋体" w:cs="宋体"/>
          <w:b/>
          <w:sz w:val="21"/>
          <w:szCs w:val="21"/>
          <w:highlight w:val="none"/>
        </w:rPr>
        <w:t xml:space="preserve">                         </w:t>
      </w:r>
    </w:p>
    <w:tbl>
      <w:tblPr>
        <w:tblStyle w:val="966"/>
        <w:tblpPr w:leftFromText="180" w:rightFromText="180" w:vertAnchor="text" w:horzAnchor="page" w:tblpXSpec="center" w:tblpY="343"/>
        <w:tblOverlap w:val="never"/>
        <w:tblW w:w="85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5"/>
        <w:gridCol w:w="5918"/>
        <w:gridCol w:w="1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
                <w:snapToGrid w:val="0"/>
                <w:sz w:val="24"/>
                <w:szCs w:val="24"/>
                <w:highlight w:val="none"/>
              </w:rPr>
            </w:pPr>
            <w:r>
              <w:rPr>
                <w:rFonts w:hint="eastAsia" w:ascii="宋体" w:hAnsi="宋体" w:eastAsia="宋体" w:cs="宋体"/>
                <w:b/>
                <w:snapToGrid w:val="0"/>
                <w:sz w:val="24"/>
                <w:szCs w:val="24"/>
                <w:highlight w:val="none"/>
              </w:rPr>
              <w:t>序号</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
                <w:snapToGrid w:val="0"/>
                <w:sz w:val="24"/>
                <w:szCs w:val="24"/>
                <w:highlight w:val="none"/>
              </w:rPr>
            </w:pPr>
            <w:r>
              <w:rPr>
                <w:rFonts w:hint="eastAsia" w:ascii="宋体" w:hAnsi="宋体" w:eastAsia="宋体" w:cs="宋体"/>
                <w:b/>
                <w:snapToGrid w:val="0"/>
                <w:sz w:val="24"/>
                <w:szCs w:val="24"/>
                <w:highlight w:val="none"/>
              </w:rPr>
              <w:t>技术要求</w:t>
            </w:r>
          </w:p>
        </w:tc>
        <w:tc>
          <w:tcPr>
            <w:tcW w:w="1521"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
                <w:snapToGrid w:val="0"/>
                <w:sz w:val="24"/>
                <w:szCs w:val="24"/>
                <w:highlight w:val="none"/>
              </w:rPr>
            </w:pPr>
            <w:r>
              <w:rPr>
                <w:rFonts w:hint="eastAsia" w:ascii="宋体" w:hAnsi="宋体" w:eastAsia="宋体" w:cs="宋体"/>
                <w:b/>
                <w:snapToGrid w:val="0"/>
                <w:sz w:val="24"/>
                <w:szCs w:val="24"/>
                <w:highlight w:val="none"/>
              </w:rPr>
              <w:t>响应情况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一</w:t>
            </w:r>
          </w:p>
        </w:tc>
        <w:tc>
          <w:tcPr>
            <w:tcW w:w="5918" w:type="dxa"/>
            <w:tcBorders>
              <w:top w:val="single" w:color="000000" w:sz="2" w:space="0"/>
              <w:bottom w:val="single" w:color="000000" w:sz="2" w:space="0"/>
            </w:tcBorders>
            <w:vAlign w:val="center"/>
          </w:tcPr>
          <w:p>
            <w:pPr>
              <w:keepNext w:val="0"/>
              <w:keepLines w:val="0"/>
              <w:pageBreakBefore w:val="0"/>
              <w:numPr>
                <w:ilvl w:val="0"/>
                <w:numId w:val="0"/>
              </w:numPr>
              <w:kinsoku/>
              <w:wordWrap/>
              <w:overflowPunct/>
              <w:topLinePunct w:val="0"/>
              <w:autoSpaceDE/>
              <w:autoSpaceDN/>
              <w:bidi w:val="0"/>
              <w:adjustRightInd w:val="0"/>
              <w:spacing w:line="300" w:lineRule="auto"/>
              <w:ind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b/>
                <w:sz w:val="24"/>
                <w:szCs w:val="24"/>
                <w:highlight w:val="none"/>
              </w:rPr>
              <w:t>软件系统功能描述</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中英文采集回放分析软件，可根据需求自由选择</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1.2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caps/>
                <w:kern w:val="2"/>
                <w:sz w:val="24"/>
                <w:szCs w:val="24"/>
                <w:highlight w:val="none"/>
                <w:lang w:val="en-US" w:eastAsia="zh-CN" w:bidi="ar-SA"/>
              </w:rPr>
            </w:pPr>
            <w:r>
              <w:rPr>
                <w:rFonts w:hint="eastAsia" w:ascii="宋体" w:hAnsi="宋体" w:eastAsia="宋体" w:cs="宋体"/>
                <w:sz w:val="24"/>
                <w:szCs w:val="24"/>
                <w:highlight w:val="none"/>
              </w:rPr>
              <w:t>ECG滤波功能：在脑电图采集及回放时均可使用ECG滤波功能，排除ECG对脑电图的干扰，并有自动和手动滤除功能</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提供软件截图证明</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caps/>
                <w:kern w:val="2"/>
                <w:sz w:val="24"/>
                <w:szCs w:val="24"/>
                <w:highlight w:val="none"/>
                <w:lang w:val="en-US" w:eastAsia="zh-CN" w:bidi="ar-SA"/>
              </w:rPr>
            </w:pPr>
            <w:r>
              <w:rPr>
                <w:rFonts w:hint="eastAsia" w:ascii="宋体" w:hAnsi="宋体" w:eastAsia="宋体" w:cs="宋体"/>
                <w:sz w:val="24"/>
                <w:szCs w:val="24"/>
                <w:highlight w:val="none"/>
              </w:rPr>
              <w:t>肌电滤波：50RP快速肌电滤波功能,能快速滤除此之外由于病人紧张等引出的肌电干扰</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专用参考电极：多种专用参考电极可随时切换，方式最少包括：</w:t>
            </w:r>
            <w:r>
              <w:rPr>
                <w:rFonts w:hint="eastAsia" w:ascii="宋体" w:hAnsi="宋体" w:eastAsia="宋体" w:cs="宋体"/>
                <w:kern w:val="0"/>
                <w:sz w:val="24"/>
                <w:szCs w:val="24"/>
                <w:highlight w:val="none"/>
              </w:rPr>
              <w:t>平均参考法（</w:t>
            </w:r>
            <w:r>
              <w:rPr>
                <w:rFonts w:hint="eastAsia" w:ascii="宋体" w:hAnsi="宋体" w:eastAsia="宋体" w:cs="宋体"/>
                <w:sz w:val="24"/>
                <w:szCs w:val="24"/>
                <w:highlight w:val="none"/>
              </w:rPr>
              <w:t>AV）</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 Aav, 顶参考法（Vx）, </w:t>
            </w:r>
            <w:r>
              <w:rPr>
                <w:rFonts w:hint="eastAsia" w:ascii="宋体" w:hAnsi="宋体" w:eastAsia="宋体" w:cs="宋体"/>
                <w:kern w:val="0"/>
                <w:sz w:val="24"/>
                <w:szCs w:val="24"/>
                <w:highlight w:val="none"/>
              </w:rPr>
              <w:t>源参考法（</w:t>
            </w:r>
            <w:r>
              <w:rPr>
                <w:rFonts w:hint="eastAsia" w:ascii="宋体" w:hAnsi="宋体" w:eastAsia="宋体" w:cs="宋体"/>
                <w:sz w:val="24"/>
                <w:szCs w:val="24"/>
                <w:highlight w:val="none"/>
              </w:rPr>
              <w:t>SD）</w:t>
            </w:r>
            <w:r>
              <w:rPr>
                <w:rFonts w:hint="eastAsia" w:ascii="宋体" w:hAnsi="宋体" w:eastAsia="宋体" w:cs="宋体"/>
                <w:sz w:val="24"/>
                <w:szCs w:val="24"/>
                <w:highlight w:val="none"/>
                <w:lang w:eastAsia="zh-CN"/>
              </w:rPr>
              <w:t>，</w:t>
            </w:r>
            <w:r>
              <w:rPr>
                <w:rFonts w:hint="eastAsia" w:ascii="宋体" w:hAnsi="宋体" w:eastAsia="宋体" w:cs="宋体"/>
                <w:kern w:val="0"/>
                <w:sz w:val="24"/>
                <w:szCs w:val="24"/>
                <w:highlight w:val="none"/>
              </w:rPr>
              <w:t>系统参考（</w:t>
            </w:r>
            <w:r>
              <w:rPr>
                <w:rFonts w:hint="eastAsia" w:ascii="宋体" w:hAnsi="宋体" w:eastAsia="宋体" w:cs="宋体"/>
                <w:sz w:val="24"/>
                <w:szCs w:val="24"/>
                <w:highlight w:val="none"/>
              </w:rPr>
              <w:t>Org），双A1→A2, A1←A2, A1←→A2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A1+A2等模式</w:t>
            </w:r>
            <w:r>
              <w:rPr>
                <w:rFonts w:hint="eastAsia" w:ascii="宋体" w:hAnsi="宋体" w:eastAsia="宋体" w:cs="宋体"/>
                <w:sz w:val="24"/>
                <w:szCs w:val="24"/>
                <w:highlight w:val="none"/>
                <w:lang w:eastAsia="zh-CN"/>
              </w:rPr>
              <w:t>。</w:t>
            </w:r>
          </w:p>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caps/>
                <w:kern w:val="2"/>
                <w:sz w:val="24"/>
                <w:szCs w:val="24"/>
                <w:highlight w:val="none"/>
                <w:lang w:val="en-US" w:eastAsia="zh-CN" w:bidi="ar-SA"/>
              </w:rPr>
            </w:pPr>
            <w:r>
              <w:rPr>
                <w:rFonts w:hint="eastAsia" w:ascii="宋体" w:hAnsi="宋体" w:eastAsia="宋体" w:cs="宋体"/>
                <w:sz w:val="24"/>
                <w:szCs w:val="24"/>
                <w:highlight w:val="none"/>
              </w:rPr>
              <w:t>导DSA：采集和回放时快速显示脑电的频率分布和振幅值趋势，可自定导联、振幅范围</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提供软件截图证明</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caps/>
                <w:kern w:val="2"/>
                <w:sz w:val="24"/>
                <w:szCs w:val="24"/>
                <w:highlight w:val="none"/>
                <w:lang w:val="en-US" w:eastAsia="zh-CN" w:bidi="ar-SA"/>
              </w:rPr>
            </w:pPr>
            <w:r>
              <w:rPr>
                <w:rFonts w:hint="eastAsia" w:ascii="宋体" w:hAnsi="宋体" w:eastAsia="宋体" w:cs="宋体"/>
                <w:sz w:val="24"/>
                <w:szCs w:val="24"/>
                <w:highlight w:val="none"/>
              </w:rPr>
              <w:t>动态地形图;在采集过程中实时分析各部位振幅的变化，并以图形形式表现，直观提示脑功能的变化情况。</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1.6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b/>
                <w:kern w:val="2"/>
                <w:sz w:val="24"/>
                <w:szCs w:val="24"/>
                <w:highlight w:val="none"/>
                <w:lang w:val="en-US" w:eastAsia="zh-CN" w:bidi="ar-SA"/>
              </w:rPr>
            </w:pPr>
            <w:r>
              <w:rPr>
                <w:rFonts w:hint="eastAsia" w:ascii="宋体" w:hAnsi="宋体" w:eastAsia="宋体" w:cs="宋体"/>
                <w:sz w:val="24"/>
                <w:szCs w:val="24"/>
                <w:highlight w:val="none"/>
              </w:rPr>
              <w:t>三维地形图:三维电压地形图快速分析，显示尖刺波最早出现的部位和方向，病灶源定侧定位，提供软件截图证明</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中文自动报告：病人信息与脑电共享数据库，可预置术语，快速选用，报告自动保存备份，一页A4纸完成波形、诊断、脑电及地形图测量数据等的打印。</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波形局部放大和自动测量：对选择的波形进行局部放大和自动测量其波幅、时程、频率、波间期并计算其各项的平均值。</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1.9</w:t>
            </w:r>
          </w:p>
        </w:tc>
        <w:tc>
          <w:tcPr>
            <w:tcW w:w="5918" w:type="dxa"/>
            <w:tcBorders>
              <w:top w:val="single" w:color="000000" w:sz="2" w:space="0"/>
              <w:bottom w:val="single" w:color="000000" w:sz="2" w:space="0"/>
            </w:tcBorders>
            <w:vAlign w:val="center"/>
          </w:tcPr>
          <w:p>
            <w:pPr>
              <w:keepNext w:val="0"/>
              <w:keepLines w:val="0"/>
              <w:pageBreakBefore w:val="0"/>
              <w:tabs>
                <w:tab w:val="left" w:pos="284"/>
                <w:tab w:val="left" w:pos="567"/>
              </w:tabs>
              <w:kinsoku/>
              <w:wordWrap/>
              <w:overflowPunct/>
              <w:topLinePunct w:val="0"/>
              <w:autoSpaceDE/>
              <w:autoSpaceDN/>
              <w:bidi w:val="0"/>
              <w:adjustRightInd w:val="0"/>
              <w:snapToGrid w:val="0"/>
              <w:spacing w:line="300" w:lineRule="auto"/>
              <w:jc w:val="left"/>
              <w:rPr>
                <w:rFonts w:hint="eastAsia" w:ascii="宋体" w:hAnsi="宋体" w:eastAsia="宋体" w:cs="宋体"/>
                <w:caps/>
                <w:kern w:val="2"/>
                <w:sz w:val="24"/>
                <w:szCs w:val="24"/>
                <w:highlight w:val="none"/>
                <w:lang w:val="en-US" w:eastAsia="zh-CN" w:bidi="ar-SA"/>
              </w:rPr>
            </w:pPr>
            <w:r>
              <w:rPr>
                <w:rFonts w:hint="eastAsia" w:ascii="宋体" w:hAnsi="宋体" w:eastAsia="宋体" w:cs="宋体"/>
                <w:sz w:val="24"/>
                <w:szCs w:val="24"/>
                <w:highlight w:val="none"/>
              </w:rPr>
              <w:t>自动剪辑：可预置剪辑条件（包括目标、间隔、前后时间等），计算机自动对感兴趣部份脑电及其同步视频进行剪辑，并生成新文件。</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1.10</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caps/>
                <w:kern w:val="2"/>
                <w:sz w:val="24"/>
                <w:szCs w:val="24"/>
                <w:highlight w:val="none"/>
                <w:lang w:val="en-US" w:eastAsia="zh-CN" w:bidi="ar-SA"/>
              </w:rPr>
            </w:pPr>
            <w:r>
              <w:rPr>
                <w:rFonts w:hint="eastAsia" w:ascii="宋体" w:hAnsi="宋体" w:eastAsia="宋体" w:cs="宋体"/>
                <w:sz w:val="24"/>
                <w:szCs w:val="24"/>
                <w:highlight w:val="none"/>
              </w:rPr>
              <w:t>叠加显示：左右对侧对应导联叠加显示，快速进行对称性分析。</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1.11</w:t>
            </w:r>
          </w:p>
        </w:tc>
        <w:tc>
          <w:tcPr>
            <w:tcW w:w="5918" w:type="dxa"/>
            <w:tcBorders>
              <w:top w:val="single" w:color="000000" w:sz="2" w:space="0"/>
              <w:bottom w:val="single" w:color="000000" w:sz="2" w:space="0"/>
            </w:tcBorders>
            <w:vAlign w:val="center"/>
          </w:tcPr>
          <w:p>
            <w:pPr>
              <w:keepNext w:val="0"/>
              <w:keepLines w:val="0"/>
              <w:pageBreakBefore w:val="0"/>
              <w:widowControl/>
              <w:shd w:val="clear" w:color="auto" w:fill="FFFFFF"/>
              <w:kinsoku/>
              <w:wordWrap/>
              <w:overflowPunct/>
              <w:topLinePunct w:val="0"/>
              <w:autoSpaceDE/>
              <w:autoSpaceDN/>
              <w:bidi w:val="0"/>
              <w:adjustRightInd w:val="0"/>
              <w:spacing w:line="300" w:lineRule="auto"/>
              <w:rPr>
                <w:rFonts w:hint="eastAsia" w:ascii="宋体" w:hAnsi="宋体" w:eastAsia="宋体" w:cs="宋体"/>
                <w:b/>
                <w:bCs/>
                <w:kern w:val="0"/>
                <w:sz w:val="24"/>
                <w:szCs w:val="24"/>
                <w:highlight w:val="none"/>
                <w:lang w:val="en-US" w:eastAsia="zh-CN" w:bidi="ar-SA"/>
              </w:rPr>
            </w:pPr>
            <w:r>
              <w:rPr>
                <w:rFonts w:hint="eastAsia" w:ascii="宋体" w:hAnsi="宋体" w:eastAsia="宋体" w:cs="宋体"/>
                <w:sz w:val="24"/>
                <w:szCs w:val="24"/>
                <w:highlight w:val="none"/>
              </w:rPr>
              <w:t>棘尖波对比： 自主选出棘尖波，并可与原图进行前后波形的对比分析。</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1.12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头部蒙太奇示图：可显示蒙太奇示图</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1.13</w:t>
            </w:r>
          </w:p>
        </w:tc>
        <w:tc>
          <w:tcPr>
            <w:tcW w:w="5918" w:type="dxa"/>
            <w:tcBorders>
              <w:top w:val="single" w:color="000000" w:sz="2" w:space="0"/>
              <w:bottom w:val="single" w:color="000000" w:sz="2" w:space="0"/>
            </w:tcBorders>
            <w:vAlign w:val="center"/>
          </w:tcPr>
          <w:p>
            <w:pPr>
              <w:keepNext w:val="0"/>
              <w:keepLines w:val="0"/>
              <w:pageBreakBefore w:val="0"/>
              <w:widowControl/>
              <w:shd w:val="clear" w:color="auto" w:fill="FFFFFF"/>
              <w:kinsoku/>
              <w:wordWrap/>
              <w:overflowPunct/>
              <w:topLinePunct w:val="0"/>
              <w:autoSpaceDE/>
              <w:autoSpaceDN/>
              <w:bidi w:val="0"/>
              <w:adjustRightInd w:val="0"/>
              <w:spacing w:line="30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sz w:val="24"/>
                <w:szCs w:val="24"/>
                <w:highlight w:val="none"/>
              </w:rPr>
              <w:t>自动备份：可设定自动备份时间，确保计算机异常故障时，数据不丢失</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1.14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幻灯回放：可定义感兴趣波形以幻灯方式回放</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二</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sz w:val="24"/>
                <w:szCs w:val="24"/>
                <w:highlight w:val="none"/>
              </w:rPr>
              <w:t>放大器技术参数</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放大器接口：采用USB接口与主机连接</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2.2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放大器供电模式：采用USB接口于主机相连，数据传输与供电采用同一个USB接口，不需要独立供电，减少交流干扰</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投标文件中须</w:t>
            </w:r>
            <w:r>
              <w:rPr>
                <w:rFonts w:hint="eastAsia" w:ascii="宋体" w:hAnsi="宋体" w:eastAsia="宋体" w:cs="宋体"/>
                <w:b/>
                <w:bCs/>
                <w:sz w:val="24"/>
                <w:szCs w:val="24"/>
                <w:highlight w:val="none"/>
              </w:rPr>
              <w:t>提供检测报告图片证明</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放大器输入孔：45个。EEG导联：32导；DC输入：4导；</w:t>
            </w:r>
            <w:r>
              <w:rPr>
                <w:rFonts w:hint="eastAsia" w:ascii="宋体" w:hAnsi="宋体" w:eastAsia="宋体" w:cs="宋体"/>
                <w:kern w:val="0"/>
                <w:sz w:val="24"/>
                <w:szCs w:val="24"/>
                <w:highlight w:val="none"/>
              </w:rPr>
              <w:t>SpO</w:t>
            </w:r>
            <w:r>
              <w:rPr>
                <w:rFonts w:hint="eastAsia" w:ascii="宋体" w:hAnsi="宋体" w:eastAsia="宋体" w:cs="宋体"/>
                <w:kern w:val="0"/>
                <w:sz w:val="24"/>
                <w:szCs w:val="24"/>
                <w:highlight w:val="none"/>
                <w:vertAlign w:val="subscript"/>
              </w:rPr>
              <w:t>2</w:t>
            </w:r>
            <w:r>
              <w:rPr>
                <w:rFonts w:hint="eastAsia" w:ascii="宋体" w:hAnsi="宋体" w:eastAsia="宋体" w:cs="宋体"/>
                <w:kern w:val="0"/>
                <w:sz w:val="24"/>
                <w:szCs w:val="24"/>
                <w:highlight w:val="none"/>
              </w:rPr>
              <w:t>：1导；CO2：1导；呼吸：3导；多用途DC输入：4导</w:t>
            </w:r>
            <w:r>
              <w:rPr>
                <w:rFonts w:hint="eastAsia" w:ascii="宋体" w:hAnsi="宋体" w:eastAsia="宋体" w:cs="宋体"/>
                <w:kern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val="0"/>
                <w:bCs/>
                <w:kern w:val="2"/>
                <w:sz w:val="24"/>
                <w:szCs w:val="24"/>
                <w:highlight w:val="none"/>
                <w:lang w:val="en-US" w:eastAsia="zh-CN" w:bidi="ar-SA"/>
              </w:rPr>
              <w:t>2.4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 xml:space="preserve">输入漏电流：&lt; </w:t>
            </w:r>
            <w:r>
              <w:rPr>
                <w:rFonts w:hint="eastAsia" w:ascii="宋体" w:hAnsi="宋体" w:eastAsia="宋体" w:cs="宋体"/>
                <w:kern w:val="0"/>
                <w:sz w:val="24"/>
                <w:szCs w:val="24"/>
                <w:highlight w:val="none"/>
              </w:rPr>
              <w:t>5nA</w:t>
            </w:r>
            <w:r>
              <w:rPr>
                <w:rFonts w:hint="eastAsia" w:ascii="宋体" w:hAnsi="宋体" w:eastAsia="宋体" w:cs="宋体"/>
                <w:kern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2.5</w:t>
            </w:r>
          </w:p>
        </w:tc>
        <w:tc>
          <w:tcPr>
            <w:tcW w:w="5918" w:type="dxa"/>
            <w:tcBorders>
              <w:top w:val="single" w:color="000000" w:sz="2" w:space="0"/>
              <w:bottom w:val="single" w:color="000000" w:sz="2" w:space="0"/>
            </w:tcBorders>
            <w:vAlign w:val="center"/>
          </w:tcPr>
          <w:p>
            <w:pPr>
              <w:pStyle w:val="790"/>
              <w:keepNext w:val="0"/>
              <w:keepLines w:val="0"/>
              <w:pageBreakBefore w:val="0"/>
              <w:kinsoku/>
              <w:wordWrap/>
              <w:overflowPunct/>
              <w:topLinePunct w:val="0"/>
              <w:autoSpaceDE/>
              <w:autoSpaceDN/>
              <w:bidi w:val="0"/>
              <w:adjustRightInd w:val="0"/>
              <w:snapToGrid w:val="0"/>
              <w:spacing w:before="156" w:beforeLines="50" w:after="156" w:afterLines="50" w:line="300" w:lineRule="auto"/>
              <w:ind w:right="105" w:rightChars="50" w:firstLine="0" w:firstLineChars="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极化电压</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±750mV</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2.6</w:t>
            </w:r>
          </w:p>
        </w:tc>
        <w:tc>
          <w:tcPr>
            <w:tcW w:w="5918" w:type="dxa"/>
            <w:tcBorders>
              <w:top w:val="single" w:color="000000" w:sz="2" w:space="0"/>
              <w:bottom w:val="single" w:color="000000" w:sz="2" w:space="0"/>
            </w:tcBorders>
            <w:vAlign w:val="center"/>
          </w:tcPr>
          <w:p>
            <w:pPr>
              <w:pStyle w:val="790"/>
              <w:keepNext w:val="0"/>
              <w:keepLines w:val="0"/>
              <w:pageBreakBefore w:val="0"/>
              <w:kinsoku/>
              <w:wordWrap/>
              <w:overflowPunct/>
              <w:topLinePunct w:val="0"/>
              <w:autoSpaceDE/>
              <w:autoSpaceDN/>
              <w:bidi w:val="0"/>
              <w:adjustRightInd w:val="0"/>
              <w:snapToGrid w:val="0"/>
              <w:spacing w:before="156" w:beforeLines="50" w:after="156" w:afterLines="50" w:line="300" w:lineRule="auto"/>
              <w:ind w:right="105" w:rightChars="50" w:firstLine="0" w:firstLineChars="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输入阻抗：100MΩ</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峰峰值噪声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＜1.5μVp-p（频率范围0.53~120HZ）</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bCs/>
                <w:sz w:val="24"/>
                <w:szCs w:val="24"/>
                <w:highlight w:val="none"/>
              </w:rPr>
              <w:t>共模抑制比：＞120dB</w:t>
            </w:r>
            <w:r>
              <w:rPr>
                <w:rFonts w:hint="eastAsia" w:ascii="宋体" w:hAnsi="宋体" w:eastAsia="宋体" w:cs="宋体"/>
                <w:bCs/>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2.9</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低频滤波：0.08-158 HZ</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2.10</w:t>
            </w:r>
          </w:p>
        </w:tc>
        <w:tc>
          <w:tcPr>
            <w:tcW w:w="5918" w:type="dxa"/>
            <w:tcBorders>
              <w:top w:val="single" w:color="000000" w:sz="2" w:space="0"/>
              <w:bottom w:val="single" w:color="000000" w:sz="2" w:space="0"/>
            </w:tcBorders>
            <w:vAlign w:val="center"/>
          </w:tcPr>
          <w:p>
            <w:pPr>
              <w:keepNext w:val="0"/>
              <w:keepLines w:val="0"/>
              <w:pageBreakBefore w:val="0"/>
              <w:tabs>
                <w:tab w:val="left" w:pos="360"/>
              </w:tabs>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高频滤波：15</w:t>
            </w:r>
            <w:r>
              <w:rPr>
                <w:rFonts w:hint="eastAsia" w:ascii="宋体" w:hAnsi="宋体" w:eastAsia="宋体" w:cs="宋体"/>
                <w:sz w:val="24"/>
                <w:szCs w:val="24"/>
                <w:highlight w:val="none"/>
              </w:rPr>
              <w:softHyphen/>
            </w:r>
            <w:r>
              <w:rPr>
                <w:rFonts w:hint="eastAsia" w:ascii="宋体" w:hAnsi="宋体" w:eastAsia="宋体" w:cs="宋体"/>
                <w:sz w:val="24"/>
                <w:szCs w:val="24"/>
                <w:highlight w:val="none"/>
              </w:rPr>
              <w:t>-300HZ</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分频斜率:-18dB/oct</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2.11</w:t>
            </w:r>
          </w:p>
        </w:tc>
        <w:tc>
          <w:tcPr>
            <w:tcW w:w="5918" w:type="dxa"/>
            <w:tcBorders>
              <w:top w:val="single" w:color="000000" w:sz="2" w:space="0"/>
              <w:bottom w:val="single" w:color="000000" w:sz="2" w:space="0"/>
            </w:tcBorders>
            <w:vAlign w:val="center"/>
          </w:tcPr>
          <w:p>
            <w:pPr>
              <w:keepNext w:val="0"/>
              <w:keepLines w:val="0"/>
              <w:pageBreakBefore w:val="0"/>
              <w:tabs>
                <w:tab w:val="left" w:pos="360"/>
              </w:tabs>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bCs/>
                <w:sz w:val="24"/>
                <w:szCs w:val="24"/>
                <w:highlight w:val="none"/>
              </w:rPr>
              <w:t>A/D转换：18bit</w:t>
            </w:r>
            <w:r>
              <w:rPr>
                <w:rFonts w:hint="eastAsia" w:ascii="宋体" w:hAnsi="宋体" w:eastAsia="宋体" w:cs="宋体"/>
                <w:bCs/>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2.12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bCs/>
                <w:sz w:val="24"/>
                <w:szCs w:val="24"/>
                <w:highlight w:val="none"/>
              </w:rPr>
              <w:t>采样频率</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100，200，500，1000Hz可调</w:t>
            </w:r>
            <w:r>
              <w:rPr>
                <w:rFonts w:hint="eastAsia" w:ascii="宋体" w:hAnsi="宋体" w:eastAsia="宋体" w:cs="宋体"/>
                <w:bCs/>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2.13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bCs/>
                <w:sz w:val="24"/>
                <w:szCs w:val="24"/>
                <w:highlight w:val="none"/>
              </w:rPr>
              <w:t>ＡＣ滤波</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50Hz、60Hz切换, 衰减1/25以上</w:t>
            </w:r>
            <w:r>
              <w:rPr>
                <w:rFonts w:hint="eastAsia" w:ascii="宋体" w:hAnsi="宋体" w:eastAsia="宋体" w:cs="宋体"/>
                <w:bCs/>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2.14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bCs/>
                <w:sz w:val="24"/>
                <w:szCs w:val="24"/>
                <w:highlight w:val="none"/>
              </w:rPr>
              <w:t>采样方式：所有电极同步采样</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(硬件同步)</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2.15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灵敏度：</w:t>
            </w:r>
          </w:p>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EEG输入: 0-200 uV/mm</w:t>
            </w:r>
            <w:r>
              <w:rPr>
                <w:rFonts w:hint="eastAsia" w:ascii="宋体" w:hAnsi="宋体" w:eastAsia="宋体" w:cs="宋体"/>
                <w:sz w:val="24"/>
                <w:szCs w:val="24"/>
                <w:highlight w:val="none"/>
                <w:lang w:eastAsia="zh-CN"/>
              </w:rPr>
              <w:t>；</w:t>
            </w:r>
          </w:p>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DC 输入: 0-200mV/mm</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2.16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预置蒙太奇：36套导联组合</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三</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sz w:val="24"/>
                <w:szCs w:val="24"/>
                <w:highlight w:val="none"/>
              </w:rPr>
              <w:t>脑电同步视频参数</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default" w:ascii="宋体" w:hAnsi="宋体" w:eastAsia="宋体" w:cs="宋体"/>
                <w:bCs/>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0"/>
                <w:sz w:val="24"/>
                <w:szCs w:val="24"/>
                <w:highlight w:val="none"/>
              </w:rPr>
              <w:t>视频同步采集回放软件</w:t>
            </w:r>
            <w:r>
              <w:rPr>
                <w:rFonts w:hint="eastAsia" w:ascii="宋体" w:hAnsi="宋体" w:eastAsia="宋体" w:cs="宋体"/>
                <w:kern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高分辨率：1920*1080P</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日夜自动转换</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23倍光学变焦 [f=3.5mm~98mm，F1.5(广角)，F3.4（远景）]</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XDI芯片独有的EIS数字防抖功能</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XDI芯片独有的HSBLC超强光抑制功能</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四</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b/>
                <w:sz w:val="24"/>
                <w:szCs w:val="24"/>
                <w:highlight w:val="none"/>
              </w:rPr>
              <w:t>原装进口闪光刺激装置参数</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4.1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独立强闪光刺激电源,12焦耳能量强度,提供检测报告截图证明</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气体闪光刺激器</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闪光强度</w:t>
            </w:r>
            <w:r>
              <w:rPr>
                <w:rFonts w:hint="eastAsia" w:ascii="宋体" w:hAnsi="宋体" w:eastAsia="宋体" w:cs="宋体"/>
                <w:sz w:val="24"/>
                <w:szCs w:val="24"/>
                <w:highlight w:val="none"/>
                <w:lang w:eastAsia="zh-CN"/>
              </w:rPr>
              <w:t>：</w:t>
            </w:r>
            <w:r>
              <w:rPr>
                <w:rFonts w:hint="eastAsia" w:ascii="宋体" w:hAnsi="宋体" w:eastAsia="宋体" w:cs="宋体"/>
                <w:kern w:val="0"/>
                <w:sz w:val="24"/>
                <w:szCs w:val="24"/>
                <w:highlight w:val="none"/>
              </w:rPr>
              <w:t>4.0 lx</w:t>
            </w:r>
            <w:r>
              <w:rPr>
                <w:rFonts w:hint="eastAsia" w:ascii="宋体" w:hAnsi="宋体" w:eastAsia="宋体" w:cs="宋体"/>
                <w:kern w:val="0"/>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闪光模式：自动</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手动可调</w:t>
            </w:r>
            <w:r>
              <w:rPr>
                <w:rFonts w:hint="eastAsia" w:ascii="宋体" w:hAnsi="宋体" w:eastAsia="宋体" w:cs="宋体"/>
                <w:sz w:val="24"/>
                <w:szCs w:val="24"/>
                <w:highlight w:val="none"/>
                <w:lang w:eastAsia="zh-CN"/>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五</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sz w:val="24"/>
                <w:szCs w:val="24"/>
                <w:highlight w:val="none"/>
              </w:rPr>
              <w:t>系统配置清单</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DELL专业级高速计算机</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 ≥2.8GHz主频，内存≥4G，硬盘≥2000G，Win10专业版操作系统，内置高速网卡。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 xml:space="preserve"> . 1套；</w:t>
            </w:r>
            <w:r>
              <w:rPr>
                <w:rFonts w:hint="eastAsia" w:ascii="宋体" w:hAnsi="宋体" w:eastAsia="宋体" w:cs="宋体"/>
                <w:sz w:val="24"/>
                <w:szCs w:val="24"/>
                <w:highlight w:val="none"/>
              </w:rPr>
              <w:t xml:space="preserve">      </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隔离净化电源装置</w:t>
            </w:r>
            <w:r>
              <w:rPr>
                <w:rFonts w:hint="eastAsia" w:ascii="宋体" w:hAnsi="宋体" w:eastAsia="宋体" w:cs="宋体"/>
                <w:sz w:val="24"/>
                <w:szCs w:val="24"/>
                <w:highlight w:val="none"/>
                <w:lang w:val="en-US" w:eastAsia="zh-CN"/>
              </w:rPr>
              <w:t>1台；</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19吋液晶彩色显示器（国内采购）</w:t>
            </w:r>
            <w:r>
              <w:rPr>
                <w:rFonts w:hint="eastAsia" w:ascii="宋体" w:hAnsi="宋体" w:eastAsia="宋体" w:cs="宋体"/>
                <w:sz w:val="24"/>
                <w:szCs w:val="24"/>
                <w:highlight w:val="none"/>
                <w:lang w:val="en-US" w:eastAsia="zh-CN"/>
              </w:rPr>
              <w:t>1台；</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HP打印机（国内采购）</w:t>
            </w:r>
            <w:r>
              <w:rPr>
                <w:rFonts w:hint="eastAsia" w:ascii="宋体" w:hAnsi="宋体" w:eastAsia="宋体" w:cs="宋体"/>
                <w:sz w:val="24"/>
                <w:szCs w:val="24"/>
                <w:highlight w:val="none"/>
                <w:lang w:val="en-US" w:eastAsia="zh-CN"/>
              </w:rPr>
              <w:t>1台；</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数字化智能型电极输入盒JE-921A</w:t>
            </w:r>
            <w:r>
              <w:rPr>
                <w:rFonts w:hint="eastAsia" w:ascii="宋体" w:hAnsi="宋体" w:eastAsia="宋体" w:cs="宋体"/>
                <w:sz w:val="24"/>
                <w:szCs w:val="24"/>
                <w:highlight w:val="none"/>
                <w:lang w:val="en-US" w:eastAsia="zh-CN"/>
              </w:rPr>
              <w:t>1个；</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脑电</w:t>
            </w:r>
            <w:r>
              <w:rPr>
                <w:rFonts w:hint="eastAsia" w:ascii="宋体" w:hAnsi="宋体" w:eastAsia="宋体" w:cs="宋体"/>
                <w:sz w:val="24"/>
                <w:szCs w:val="24"/>
                <w:highlight w:val="none"/>
                <w:lang w:val="en-US" w:eastAsia="zh-CN"/>
              </w:rPr>
              <w:t>柱</w:t>
            </w:r>
            <w:r>
              <w:rPr>
                <w:rFonts w:hint="eastAsia" w:ascii="宋体" w:hAnsi="宋体" w:eastAsia="宋体" w:cs="宋体"/>
                <w:sz w:val="24"/>
                <w:szCs w:val="24"/>
                <w:highlight w:val="none"/>
              </w:rPr>
              <w:t>状电极</w:t>
            </w:r>
            <w:r>
              <w:rPr>
                <w:rFonts w:hint="eastAsia" w:ascii="宋体" w:hAnsi="宋体" w:eastAsia="宋体" w:cs="宋体"/>
                <w:sz w:val="24"/>
                <w:szCs w:val="24"/>
                <w:highlight w:val="none"/>
                <w:lang w:val="en-US" w:eastAsia="zh-CN"/>
              </w:rPr>
              <w:t>线24根；</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5.7</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脑电膏180g</w:t>
            </w:r>
            <w:r>
              <w:rPr>
                <w:rFonts w:hint="eastAsia" w:ascii="宋体" w:hAnsi="宋体" w:eastAsia="宋体" w:cs="宋体"/>
                <w:sz w:val="24"/>
                <w:szCs w:val="24"/>
                <w:highlight w:val="none"/>
                <w:lang w:val="en-US" w:eastAsia="zh-CN"/>
              </w:rPr>
              <w:t>1盒；</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5.8</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标记控制线（病人自主加入标记）</w:t>
            </w:r>
            <w:r>
              <w:rPr>
                <w:rFonts w:hint="eastAsia" w:ascii="宋体" w:hAnsi="宋体" w:eastAsia="宋体" w:cs="宋体"/>
                <w:sz w:val="24"/>
                <w:szCs w:val="24"/>
                <w:highlight w:val="none"/>
                <w:lang w:val="en-US" w:eastAsia="zh-CN"/>
              </w:rPr>
              <w:t>1条；</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5.9</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电源线</w:t>
            </w:r>
            <w:r>
              <w:rPr>
                <w:rFonts w:hint="eastAsia" w:ascii="宋体" w:hAnsi="宋体" w:eastAsia="宋体" w:cs="宋体"/>
                <w:sz w:val="24"/>
                <w:szCs w:val="24"/>
                <w:highlight w:val="none"/>
                <w:lang w:val="en-US" w:eastAsia="zh-CN"/>
              </w:rPr>
              <w:t>1条；</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5.10</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地线</w:t>
            </w:r>
            <w:r>
              <w:rPr>
                <w:rFonts w:hint="eastAsia" w:ascii="宋体" w:hAnsi="宋体" w:eastAsia="宋体" w:cs="宋体"/>
                <w:sz w:val="24"/>
                <w:szCs w:val="24"/>
                <w:highlight w:val="none"/>
                <w:lang w:val="en-US" w:eastAsia="zh-CN"/>
              </w:rPr>
              <w:t>1条；</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5.11</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脑电系统软件（脑电采集、回放）</w:t>
            </w:r>
            <w:r>
              <w:rPr>
                <w:rFonts w:hint="eastAsia" w:ascii="宋体" w:hAnsi="宋体" w:eastAsia="宋体" w:cs="宋体"/>
                <w:sz w:val="24"/>
                <w:szCs w:val="24"/>
                <w:highlight w:val="none"/>
                <w:lang w:val="en-US" w:eastAsia="zh-CN"/>
              </w:rPr>
              <w:t>1套；</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5.12</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EEG PortaView软件</w:t>
            </w:r>
            <w:r>
              <w:rPr>
                <w:rFonts w:hint="eastAsia" w:ascii="宋体" w:hAnsi="宋体" w:eastAsia="宋体" w:cs="宋体"/>
                <w:sz w:val="24"/>
                <w:szCs w:val="24"/>
                <w:highlight w:val="none"/>
                <w:lang w:val="en-US" w:eastAsia="zh-CN"/>
              </w:rPr>
              <w:t>1套；</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5.13</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脑电地形图分析软件</w:t>
            </w:r>
            <w:r>
              <w:rPr>
                <w:rFonts w:hint="eastAsia" w:ascii="宋体" w:hAnsi="宋体" w:eastAsia="宋体" w:cs="宋体"/>
                <w:sz w:val="24"/>
                <w:szCs w:val="24"/>
                <w:highlight w:val="none"/>
                <w:lang w:val="en-US" w:eastAsia="zh-CN"/>
              </w:rPr>
              <w:t>1套；</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5.14</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仪器推车（国产）</w:t>
            </w:r>
            <w:r>
              <w:rPr>
                <w:rFonts w:hint="eastAsia" w:ascii="宋体" w:hAnsi="宋体" w:eastAsia="宋体" w:cs="宋体"/>
                <w:sz w:val="24"/>
                <w:szCs w:val="24"/>
                <w:highlight w:val="none"/>
                <w:lang w:val="en-US" w:eastAsia="zh-CN"/>
              </w:rPr>
              <w:t>1台；</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5.15</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 xml:space="preserve">脑电图闪光灯LS-703A </w:t>
            </w:r>
            <w:r>
              <w:rPr>
                <w:rFonts w:hint="eastAsia" w:ascii="宋体" w:hAnsi="宋体" w:eastAsia="宋体" w:cs="宋体"/>
                <w:sz w:val="24"/>
                <w:szCs w:val="24"/>
                <w:highlight w:val="none"/>
                <w:lang w:val="en-US" w:eastAsia="zh-CN"/>
              </w:rPr>
              <w:t>1套；</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5.16</w:t>
            </w:r>
          </w:p>
        </w:tc>
        <w:tc>
          <w:tcPr>
            <w:tcW w:w="5918"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pacing w:line="30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高清摄像头像素1920*1080</w:t>
            </w:r>
            <w:r>
              <w:rPr>
                <w:rFonts w:hint="eastAsia" w:ascii="宋体" w:hAnsi="宋体" w:eastAsia="宋体" w:cs="宋体"/>
                <w:sz w:val="24"/>
                <w:szCs w:val="24"/>
                <w:highlight w:val="none"/>
                <w:lang w:val="en-US" w:eastAsia="zh-CN"/>
              </w:rPr>
              <w:t>1套；</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pacing w:line="300" w:lineRule="auto"/>
              <w:jc w:val="center"/>
              <w:textAlignment w:val="bottom"/>
              <w:rPr>
                <w:rFonts w:hint="eastAsia" w:ascii="宋体" w:hAnsi="宋体" w:eastAsia="宋体" w:cs="宋体"/>
                <w:bCs/>
                <w:snapToGrid w:val="0"/>
                <w:sz w:val="24"/>
                <w:szCs w:val="24"/>
                <w:highlight w:val="none"/>
              </w:rPr>
            </w:pPr>
          </w:p>
        </w:tc>
      </w:tr>
    </w:tbl>
    <w:p>
      <w:pPr>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 xml:space="preserve">  </w:t>
      </w:r>
    </w:p>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br w:type="page"/>
      </w:r>
    </w:p>
    <w:p>
      <w:pPr>
        <w:outlineLvl w:val="0"/>
        <w:rPr>
          <w:rFonts w:hint="eastAsia" w:ascii="宋体" w:hAnsi="宋体" w:eastAsia="宋体" w:cs="宋体"/>
          <w:b/>
          <w:bCs/>
          <w:sz w:val="21"/>
          <w:szCs w:val="21"/>
          <w:highlight w:val="none"/>
          <w:lang w:val="en-US" w:eastAsia="zh-CN"/>
        </w:rPr>
      </w:pPr>
      <w:r>
        <w:rPr>
          <w:rFonts w:hint="eastAsia" w:ascii="宋体" w:hAnsi="宋体" w:eastAsia="宋体" w:cs="宋体"/>
          <w:b/>
          <w:sz w:val="24"/>
          <w:szCs w:val="24"/>
          <w:highlight w:val="none"/>
        </w:rPr>
        <w:t>标项</w:t>
      </w:r>
      <w:r>
        <w:rPr>
          <w:rFonts w:hint="eastAsia" w:ascii="宋体" w:hAnsi="宋体" w:eastAsia="宋体" w:cs="宋体"/>
          <w:b/>
          <w:sz w:val="24"/>
          <w:szCs w:val="24"/>
          <w:highlight w:val="none"/>
          <w:lang w:val="en-US" w:eastAsia="zh-CN"/>
        </w:rPr>
        <w:t>四</w:t>
      </w:r>
      <w:r>
        <w:rPr>
          <w:rFonts w:hint="eastAsia" w:ascii="宋体" w:hAnsi="宋体" w:eastAsia="宋体" w:cs="宋体"/>
          <w:b/>
          <w:sz w:val="24"/>
          <w:szCs w:val="24"/>
          <w:highlight w:val="none"/>
        </w:rPr>
        <w:t xml:space="preserve">：肌电图诱发电位仪    </w:t>
      </w:r>
      <w:r>
        <w:rPr>
          <w:rFonts w:hint="eastAsia" w:ascii="宋体" w:hAnsi="宋体" w:eastAsia="宋体" w:cs="宋体"/>
          <w:b/>
          <w:sz w:val="21"/>
          <w:szCs w:val="21"/>
          <w:highlight w:val="none"/>
        </w:rPr>
        <w:t xml:space="preserve">                          </w:t>
      </w:r>
    </w:p>
    <w:tbl>
      <w:tblPr>
        <w:tblStyle w:val="966"/>
        <w:tblpPr w:leftFromText="180" w:rightFromText="180" w:vertAnchor="text" w:horzAnchor="page" w:tblpXSpec="center" w:tblpY="343"/>
        <w:tblOverlap w:val="never"/>
        <w:tblW w:w="85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5"/>
        <w:gridCol w:w="5918"/>
        <w:gridCol w:w="1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
                <w:snapToGrid w:val="0"/>
                <w:sz w:val="24"/>
                <w:szCs w:val="24"/>
                <w:highlight w:val="none"/>
              </w:rPr>
            </w:pPr>
            <w:r>
              <w:rPr>
                <w:rFonts w:hint="eastAsia" w:ascii="宋体" w:hAnsi="宋体" w:eastAsia="宋体" w:cs="宋体"/>
                <w:b/>
                <w:snapToGrid w:val="0"/>
                <w:sz w:val="24"/>
                <w:szCs w:val="24"/>
                <w:highlight w:val="none"/>
              </w:rPr>
              <w:t>序号</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
                <w:snapToGrid w:val="0"/>
                <w:sz w:val="24"/>
                <w:szCs w:val="24"/>
                <w:highlight w:val="none"/>
              </w:rPr>
            </w:pPr>
            <w:r>
              <w:rPr>
                <w:rFonts w:hint="eastAsia" w:ascii="宋体" w:hAnsi="宋体" w:eastAsia="宋体" w:cs="宋体"/>
                <w:b/>
                <w:snapToGrid w:val="0"/>
                <w:sz w:val="24"/>
                <w:szCs w:val="24"/>
                <w:highlight w:val="none"/>
              </w:rPr>
              <w:t>技术要求</w:t>
            </w:r>
          </w:p>
        </w:tc>
        <w:tc>
          <w:tcPr>
            <w:tcW w:w="1521"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
                <w:snapToGrid w:val="0"/>
                <w:sz w:val="24"/>
                <w:szCs w:val="24"/>
                <w:highlight w:val="none"/>
              </w:rPr>
            </w:pPr>
            <w:r>
              <w:rPr>
                <w:rFonts w:hint="eastAsia" w:ascii="宋体" w:hAnsi="宋体" w:eastAsia="宋体" w:cs="宋体"/>
                <w:b/>
                <w:snapToGrid w:val="0"/>
                <w:sz w:val="24"/>
                <w:szCs w:val="24"/>
                <w:highlight w:val="none"/>
              </w:rPr>
              <w:t>响应情况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一</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b/>
                <w:bCs/>
                <w:color w:val="000000" w:themeColor="text1"/>
                <w:sz w:val="24"/>
                <w:szCs w:val="24"/>
                <w:highlight w:val="none"/>
                <w:lang w:bidi="ar"/>
                <w14:textFill>
                  <w14:solidFill>
                    <w14:schemeClr w14:val="tx1"/>
                  </w14:solidFill>
                </w14:textFill>
              </w:rPr>
              <w:t>总体要求</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w:t>
            </w:r>
            <w:r>
              <w:rPr>
                <w:rFonts w:hint="eastAsia" w:ascii="宋体" w:hAnsi="宋体" w:eastAsia="宋体" w:cs="宋体"/>
                <w:color w:val="000000" w:themeColor="text1"/>
                <w:kern w:val="0"/>
                <w:sz w:val="24"/>
                <w:szCs w:val="24"/>
                <w:highlight w:val="none"/>
                <w:lang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highlight w:val="none"/>
                <w:lang w:bidi="ar"/>
                <w14:textFill>
                  <w14:solidFill>
                    <w14:schemeClr w14:val="tx1"/>
                  </w14:solidFill>
                </w14:textFill>
              </w:rPr>
              <w:t>具备FDA或CE国际认证</w:t>
            </w:r>
            <w:r>
              <w:rPr>
                <w:rFonts w:hint="eastAsia" w:ascii="宋体" w:hAnsi="宋体" w:eastAsia="宋体" w:cs="宋体"/>
                <w:b/>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b/>
                <w:color w:val="000000" w:themeColor="text1"/>
                <w:kern w:val="0"/>
                <w:sz w:val="24"/>
                <w:szCs w:val="24"/>
                <w:highlight w:val="none"/>
                <w:lang w:val="en-US" w:eastAsia="zh-CN" w:bidi="ar"/>
                <w14:textFill>
                  <w14:solidFill>
                    <w14:schemeClr w14:val="tx1"/>
                  </w14:solidFill>
                </w14:textFill>
              </w:rPr>
              <w:t>投标文件中须提供证书扫描件并加盖公章</w:t>
            </w:r>
            <w:r>
              <w:rPr>
                <w:rFonts w:hint="eastAsia" w:ascii="宋体" w:hAnsi="宋体" w:eastAsia="宋体" w:cs="宋体"/>
                <w:b/>
                <w:color w:val="000000" w:themeColor="text1"/>
                <w:kern w:val="0"/>
                <w:sz w:val="24"/>
                <w:szCs w:val="24"/>
                <w:highlight w:val="none"/>
                <w:lang w:eastAsia="zh-CN" w:bidi="ar"/>
                <w14:textFill>
                  <w14:solidFill>
                    <w14:schemeClr w14:val="tx1"/>
                  </w14:solidFill>
                </w14:textFill>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center"/>
              <w:rPr>
                <w:rFonts w:hint="eastAsia" w:ascii="宋体" w:hAnsi="宋体" w:eastAsia="宋体" w:cs="宋体"/>
                <w:color w:val="000000" w:themeColor="text1"/>
                <w:kern w:val="0"/>
                <w:sz w:val="24"/>
                <w:szCs w:val="24"/>
                <w:highlight w:val="none"/>
                <w:lang w:bidi="ar"/>
                <w14:textFill>
                  <w14:solidFill>
                    <w14:schemeClr w14:val="tx1"/>
                  </w14:solidFill>
                </w14:textFill>
              </w:rPr>
            </w:pP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color w:val="000000" w:themeColor="text1"/>
                <w:kern w:val="0"/>
                <w:sz w:val="24"/>
                <w:szCs w:val="24"/>
                <w:highlight w:val="none"/>
                <w:lang w:bidi="ar"/>
                <w14:textFill>
                  <w14:solidFill>
                    <w14:schemeClr w14:val="tx1"/>
                  </w14:solidFill>
                </w14:textFill>
              </w:rPr>
            </w:pPr>
            <w:r>
              <w:rPr>
                <w:rFonts w:hint="eastAsia" w:ascii="宋体" w:hAnsi="宋体" w:eastAsia="宋体" w:cs="宋体"/>
                <w:b/>
                <w:color w:val="000000" w:themeColor="text1"/>
                <w:kern w:val="0"/>
                <w:sz w:val="24"/>
                <w:szCs w:val="24"/>
                <w:highlight w:val="none"/>
                <w:lang w:bidi="ar"/>
                <w14:textFill>
                  <w14:solidFill>
                    <w14:schemeClr w14:val="tx1"/>
                  </w14:solidFill>
                </w14:textFill>
              </w:rPr>
              <w:t>具备SFDA认证；</w:t>
            </w:r>
            <w:r>
              <w:rPr>
                <w:rFonts w:hint="eastAsia" w:ascii="宋体" w:hAnsi="宋体" w:eastAsia="宋体" w:cs="宋体"/>
                <w:b/>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b/>
                <w:color w:val="000000" w:themeColor="text1"/>
                <w:kern w:val="0"/>
                <w:sz w:val="24"/>
                <w:szCs w:val="24"/>
                <w:highlight w:val="none"/>
                <w:lang w:val="en-US" w:eastAsia="zh-CN" w:bidi="ar"/>
                <w14:textFill>
                  <w14:solidFill>
                    <w14:schemeClr w14:val="tx1"/>
                  </w14:solidFill>
                </w14:textFill>
              </w:rPr>
              <w:t>投标文件中须提供证书扫描件并加盖公章</w:t>
            </w:r>
            <w:r>
              <w:rPr>
                <w:rFonts w:hint="eastAsia" w:ascii="宋体" w:hAnsi="宋体" w:eastAsia="宋体" w:cs="宋体"/>
                <w:b/>
                <w:color w:val="000000" w:themeColor="text1"/>
                <w:kern w:val="0"/>
                <w:sz w:val="24"/>
                <w:szCs w:val="24"/>
                <w:highlight w:val="none"/>
                <w:lang w:eastAsia="zh-CN" w:bidi="ar"/>
                <w14:textFill>
                  <w14:solidFill>
                    <w14:schemeClr w14:val="tx1"/>
                  </w14:solidFill>
                </w14:textFill>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w:t>
            </w:r>
            <w:r>
              <w:rPr>
                <w:rFonts w:hint="eastAsia" w:ascii="宋体" w:hAnsi="宋体" w:eastAsia="宋体" w:cs="宋体"/>
                <w:color w:val="000000" w:themeColor="text1"/>
                <w:kern w:val="0"/>
                <w:sz w:val="24"/>
                <w:szCs w:val="24"/>
                <w:highlight w:val="none"/>
                <w:lang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highlight w:val="none"/>
                <w:lang w:bidi="ar"/>
                <w14:textFill>
                  <w14:solidFill>
                    <w14:schemeClr w14:val="tx1"/>
                  </w14:solidFill>
                </w14:textFill>
              </w:rPr>
              <w:t>具备低噪声、高抗干扰能力的一体化设计台式系统和专用控制键盘，能够完成神经电图、肌电图、诱发电位等检测项目；</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w:t>
            </w:r>
            <w:r>
              <w:rPr>
                <w:rFonts w:hint="eastAsia" w:ascii="宋体" w:hAnsi="宋体" w:eastAsia="宋体" w:cs="宋体"/>
                <w:color w:val="000000" w:themeColor="text1"/>
                <w:kern w:val="0"/>
                <w:sz w:val="24"/>
                <w:szCs w:val="24"/>
                <w:highlight w:val="none"/>
                <w:lang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提供中国人正常值数据库；</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w:t>
            </w:r>
            <w:r>
              <w:rPr>
                <w:rFonts w:hint="eastAsia" w:ascii="宋体" w:hAnsi="宋体" w:eastAsia="宋体" w:cs="宋体"/>
                <w:color w:val="000000" w:themeColor="text1"/>
                <w:kern w:val="0"/>
                <w:sz w:val="24"/>
                <w:szCs w:val="24"/>
                <w:highlight w:val="none"/>
                <w:lang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4</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提供原厂全中文软件及报告系统，可自定义检测流程和检测方案；</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二</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b/>
                <w:bCs/>
                <w:color w:val="000000" w:themeColor="text1"/>
                <w:sz w:val="24"/>
                <w:szCs w:val="24"/>
                <w:highlight w:val="none"/>
                <w:lang w:bidi="ar"/>
                <w14:textFill>
                  <w14:solidFill>
                    <w14:schemeClr w14:val="tx1"/>
                  </w14:solidFill>
                </w14:textFill>
              </w:rPr>
              <w:t>设备技术规格及配置要求</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
                <w:bCs w:val="0"/>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b/>
                <w:bCs/>
                <w:color w:val="000000" w:themeColor="text1"/>
                <w:kern w:val="0"/>
                <w:sz w:val="24"/>
                <w:szCs w:val="24"/>
                <w:highlight w:val="none"/>
                <w:lang w:bidi="ar"/>
                <w14:textFill>
                  <w14:solidFill>
                    <w14:schemeClr w14:val="tx1"/>
                  </w14:solidFill>
                </w14:textFill>
              </w:rPr>
              <w:t>.1</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b/>
                <w:bCs/>
                <w:color w:val="000000" w:themeColor="text1"/>
                <w:sz w:val="24"/>
                <w:szCs w:val="24"/>
                <w:highlight w:val="none"/>
                <w:lang w:bidi="ar"/>
                <w14:textFill>
                  <w14:solidFill>
                    <w14:schemeClr w14:val="tx1"/>
                  </w14:solidFill>
                </w14:textFill>
              </w:rPr>
              <w:t>硬件技术规格</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
                <w:bCs w:val="0"/>
                <w:snapToGrid w:val="0"/>
                <w:sz w:val="24"/>
                <w:szCs w:val="24"/>
                <w:highlight w:val="none"/>
                <w:lang w:val="en-US" w:eastAsia="zh-CN"/>
              </w:rPr>
            </w:pPr>
            <w:r>
              <w:rPr>
                <w:rFonts w:hint="eastAsia" w:ascii="宋体" w:hAnsi="宋体" w:eastAsia="宋体" w:cs="宋体"/>
                <w:b/>
                <w:bCs w:val="0"/>
                <w:snapToGrid w:val="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b/>
                <w:bCs/>
                <w:color w:val="000000" w:themeColor="text1"/>
                <w:kern w:val="0"/>
                <w:sz w:val="24"/>
                <w:szCs w:val="24"/>
                <w:highlight w:val="none"/>
                <w:lang w:bidi="ar"/>
                <w14:textFill>
                  <w14:solidFill>
                    <w14:schemeClr w14:val="tx1"/>
                  </w14:solidFill>
                </w14:textFill>
              </w:rPr>
              <w:t>.1.1</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default"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bidi="ar"/>
                <w14:textFill>
                  <w14:solidFill>
                    <w14:schemeClr w14:val="tx1"/>
                  </w14:solidFill>
                </w14:textFill>
              </w:rPr>
              <w:t>放大器</w:t>
            </w:r>
            <w:r>
              <w:rPr>
                <w:rFonts w:hint="eastAsia" w:ascii="宋体" w:hAnsi="宋体" w:eastAsia="宋体" w:cs="宋体"/>
                <w:b/>
                <w:bCs/>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1</w:t>
            </w: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个</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sz w:val="24"/>
                <w:szCs w:val="24"/>
                <w:highlight w:val="none"/>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.1.1.1</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bidi="ar"/>
                <w14:textFill>
                  <w14:solidFill>
                    <w14:schemeClr w14:val="tx1"/>
                  </w14:solidFill>
                </w14:textFill>
              </w:rPr>
              <w:t>肌电图通道数：≥</w:t>
            </w:r>
            <w:r>
              <w:rPr>
                <w:rFonts w:hint="eastAsia"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3</w:t>
            </w:r>
            <w:r>
              <w:rPr>
                <w:rFonts w:hint="eastAsia" w:ascii="宋体" w:hAnsi="宋体" w:eastAsia="宋体" w:cs="宋体"/>
                <w:b w:val="0"/>
                <w:bCs w:val="0"/>
                <w:color w:val="000000" w:themeColor="text1"/>
                <w:kern w:val="0"/>
                <w:sz w:val="24"/>
                <w:szCs w:val="24"/>
                <w:highlight w:val="none"/>
                <w:lang w:bidi="ar"/>
                <w14:textFill>
                  <w14:solidFill>
                    <w14:schemeClr w14:val="tx1"/>
                  </w14:solidFill>
                </w14:textFill>
              </w:rPr>
              <w:t>通道，放大器内置标准5芯DIN插孔≥</w:t>
            </w:r>
            <w:r>
              <w:rPr>
                <w:rFonts w:hint="eastAsia"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3</w:t>
            </w:r>
            <w:r>
              <w:rPr>
                <w:rFonts w:hint="eastAsia" w:ascii="宋体" w:hAnsi="宋体" w:eastAsia="宋体" w:cs="宋体"/>
                <w:b w:val="0"/>
                <w:bCs w:val="0"/>
                <w:color w:val="000000" w:themeColor="text1"/>
                <w:kern w:val="0"/>
                <w:sz w:val="24"/>
                <w:szCs w:val="24"/>
                <w:highlight w:val="none"/>
                <w:lang w:bidi="ar"/>
                <w14:textFill>
                  <w14:solidFill>
                    <w14:schemeClr w14:val="tx1"/>
                  </w14:solidFill>
                </w14:textFill>
              </w:rPr>
              <w:t>个；</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.1.1.2</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bidi="ar"/>
                <w14:textFill>
                  <w14:solidFill>
                    <w14:schemeClr w14:val="tx1"/>
                  </w14:solidFill>
                </w14:textFill>
              </w:rPr>
              <w:t>输入阻抗：≥1000MΩ；</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.1.1.3</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bidi="ar"/>
                <w14:textFill>
                  <w14:solidFill>
                    <w14:schemeClr w14:val="tx1"/>
                  </w14:solidFill>
                </w14:textFill>
              </w:rPr>
              <w:t>噪声水平：≤0.4uV；</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sz w:val="24"/>
                <w:szCs w:val="24"/>
                <w:highlight w:val="none"/>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.1.1.4</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bidi="ar"/>
                <w14:textFill>
                  <w14:solidFill>
                    <w14:schemeClr w14:val="tx1"/>
                  </w14:solidFill>
                </w14:textFill>
              </w:rPr>
              <w:t>共模抑制比：≥124dB；</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.1.1.5</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低通滤波：20Hz-10KHz；</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.1.1.6</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高通滤波：0.01Hz-3KHz；</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val="en-US" w:eastAsia="zh-CN" w:bidi="ar"/>
                <w14:textFill>
                  <w14:solidFill>
                    <w14:schemeClr w14:val="tx1"/>
                  </w14:solidFill>
                </w14:textFill>
              </w:rPr>
              <w:t>2</w:t>
            </w:r>
            <w:r>
              <w:rPr>
                <w:rStyle w:val="265"/>
                <w:rFonts w:hint="eastAsia" w:ascii="宋体" w:hAnsi="宋体" w:eastAsia="宋体" w:cs="宋体"/>
                <w:color w:val="000000" w:themeColor="text1"/>
                <w:sz w:val="24"/>
                <w:szCs w:val="24"/>
                <w:highlight w:val="none"/>
                <w:lang w:bidi="ar"/>
                <w14:textFill>
                  <w14:solidFill>
                    <w14:schemeClr w14:val="tx1"/>
                  </w14:solidFill>
                </w14:textFill>
              </w:rPr>
              <w:t>.1.1.7</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bidi="ar"/>
                <w14:textFill>
                  <w14:solidFill>
                    <w14:schemeClr w14:val="tx1"/>
                  </w14:solidFill>
                </w14:textFill>
              </w:rPr>
              <w:t>内置阻抗测试</w:t>
            </w:r>
            <w:r>
              <w:rPr>
                <w:rStyle w:val="330"/>
                <w:rFonts w:hint="eastAsia" w:ascii="宋体" w:hAnsi="宋体" w:eastAsia="宋体" w:cs="宋体"/>
                <w:color w:val="000000" w:themeColor="text1"/>
                <w:sz w:val="24"/>
                <w:szCs w:val="24"/>
                <w:highlight w:val="none"/>
                <w:lang w:eastAsia="zh-CN" w:bidi="ar"/>
                <w14:textFill>
                  <w14:solidFill>
                    <w14:schemeClr w14:val="tx1"/>
                  </w14:solidFill>
                </w14:textFill>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.1.1.8</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内置定标信号：</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.1.1.9</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内置扬声器；</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val="en-US" w:eastAsia="zh-CN" w:bidi="ar"/>
                <w14:textFill>
                  <w14:solidFill>
                    <w14:schemeClr w14:val="tx1"/>
                  </w14:solidFill>
                </w14:textFill>
              </w:rPr>
              <w:t>2</w:t>
            </w:r>
            <w:r>
              <w:rPr>
                <w:rStyle w:val="265"/>
                <w:rFonts w:hint="eastAsia" w:ascii="宋体" w:hAnsi="宋体" w:eastAsia="宋体" w:cs="宋体"/>
                <w:color w:val="000000" w:themeColor="text1"/>
                <w:sz w:val="24"/>
                <w:szCs w:val="24"/>
                <w:highlight w:val="none"/>
                <w:lang w:bidi="ar"/>
                <w14:textFill>
                  <w14:solidFill>
                    <w14:schemeClr w14:val="tx1"/>
                  </w14:solidFill>
                </w14:textFill>
              </w:rPr>
              <w:t>.1.1.10</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121"/>
                <w:rFonts w:hint="eastAsia" w:ascii="宋体" w:hAnsi="宋体" w:eastAsia="宋体" w:cs="宋体"/>
                <w:color w:val="000000" w:themeColor="text1"/>
                <w:sz w:val="24"/>
                <w:szCs w:val="24"/>
                <w:highlight w:val="none"/>
                <w:lang w:bidi="ar"/>
                <w14:textFill>
                  <w14:solidFill>
                    <w14:schemeClr w14:val="tx1"/>
                  </w14:solidFill>
                </w14:textFill>
              </w:rPr>
              <w:t>内置参考电极并联电路，从而不需要外接跳线并联不同通道的参考电极。</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val="en-US" w:eastAsia="zh-CN" w:bidi="ar"/>
                <w14:textFill>
                  <w14:solidFill>
                    <w14:schemeClr w14:val="tx1"/>
                  </w14:solidFill>
                </w14:textFill>
              </w:rPr>
              <w:t>2</w:t>
            </w:r>
            <w:r>
              <w:rPr>
                <w:rStyle w:val="265"/>
                <w:rFonts w:hint="eastAsia" w:ascii="宋体" w:hAnsi="宋体" w:eastAsia="宋体" w:cs="宋体"/>
                <w:color w:val="000000" w:themeColor="text1"/>
                <w:sz w:val="24"/>
                <w:szCs w:val="24"/>
                <w:highlight w:val="none"/>
                <w:lang w:bidi="ar"/>
                <w14:textFill>
                  <w14:solidFill>
                    <w14:schemeClr w14:val="tx1"/>
                  </w14:solidFill>
                </w14:textFill>
              </w:rPr>
              <w:t>.1.1.11</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121"/>
                <w:rFonts w:hint="eastAsia" w:ascii="宋体" w:hAnsi="宋体" w:eastAsia="宋体" w:cs="宋体"/>
                <w:color w:val="000000" w:themeColor="text1"/>
                <w:sz w:val="24"/>
                <w:szCs w:val="24"/>
                <w:highlight w:val="none"/>
                <w:lang w:bidi="ar"/>
                <w14:textFill>
                  <w14:solidFill>
                    <w14:schemeClr w14:val="tx1"/>
                  </w14:solidFill>
                </w14:textFill>
              </w:rPr>
              <w:t>带有专用测试电缆，可通过此电缆完成放大器自动校准定标功能。</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b/>
                <w:bCs/>
                <w:color w:val="000000" w:themeColor="text1"/>
                <w:kern w:val="0"/>
                <w:sz w:val="24"/>
                <w:szCs w:val="24"/>
                <w:highlight w:val="none"/>
                <w:lang w:bidi="ar"/>
                <w14:textFill>
                  <w14:solidFill>
                    <w14:schemeClr w14:val="tx1"/>
                  </w14:solidFill>
                </w14:textFill>
              </w:rPr>
              <w:t>.1.2</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bidi="ar"/>
                <w14:textFill>
                  <w14:solidFill>
                    <w14:schemeClr w14:val="tx1"/>
                  </w14:solidFill>
                </w14:textFill>
              </w:rPr>
              <w:t>电刺激器</w:t>
            </w:r>
            <w:r>
              <w:rPr>
                <w:rFonts w:hint="eastAsia" w:ascii="宋体" w:hAnsi="宋体" w:eastAsia="宋体" w:cs="宋体"/>
                <w:b/>
                <w:bCs/>
                <w:color w:val="000000" w:themeColor="text1"/>
                <w:kern w:val="0"/>
                <w:sz w:val="24"/>
                <w:szCs w:val="24"/>
                <w:highlight w:val="none"/>
                <w:lang w:eastAsia="zh-CN" w:bidi="ar"/>
                <w14:textFill>
                  <w14:solidFill>
                    <w14:schemeClr w14:val="tx1"/>
                  </w14:solidFill>
                </w14:textFill>
              </w:rPr>
              <w:t>：</w:t>
            </w:r>
            <w:r>
              <w:rPr>
                <w:rStyle w:val="372"/>
                <w:rFonts w:hint="eastAsia" w:ascii="宋体" w:hAnsi="宋体" w:eastAsia="宋体" w:cs="宋体"/>
                <w:b/>
                <w:bCs/>
                <w:color w:val="000000" w:themeColor="text1"/>
                <w:sz w:val="24"/>
                <w:szCs w:val="24"/>
                <w:highlight w:val="none"/>
                <w:lang w:bidi="ar"/>
                <w14:textFill>
                  <w14:solidFill>
                    <w14:schemeClr w14:val="tx1"/>
                  </w14:solidFill>
                </w14:textFill>
              </w:rPr>
              <w:t>1个</w:t>
            </w:r>
            <w:r>
              <w:rPr>
                <w:rStyle w:val="330"/>
                <w:rFonts w:hint="eastAsia" w:ascii="宋体" w:hAnsi="宋体" w:eastAsia="宋体" w:cs="宋体"/>
                <w:b/>
                <w:bCs/>
                <w:color w:val="000000" w:themeColor="text1"/>
                <w:sz w:val="24"/>
                <w:szCs w:val="24"/>
                <w:highlight w:val="none"/>
                <w:lang w:bidi="ar"/>
                <w14:textFill>
                  <w14:solidFill>
                    <w14:schemeClr w14:val="tx1"/>
                  </w14:solidFill>
                </w14:textFill>
              </w:rPr>
              <w:t>；</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.1.2.</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刺激类型：恒流；</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.1.2.</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刺激强度：0-100mA；</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val="en-US" w:eastAsia="zh-CN" w:bidi="ar"/>
                <w14:textFill>
                  <w14:solidFill>
                    <w14:schemeClr w14:val="tx1"/>
                  </w14:solidFill>
                </w14:textFill>
              </w:rPr>
              <w:t>2</w:t>
            </w:r>
            <w:r>
              <w:rPr>
                <w:rStyle w:val="265"/>
                <w:rFonts w:hint="eastAsia" w:ascii="宋体" w:hAnsi="宋体" w:eastAsia="宋体" w:cs="宋体"/>
                <w:color w:val="000000" w:themeColor="text1"/>
                <w:sz w:val="24"/>
                <w:szCs w:val="24"/>
                <w:highlight w:val="none"/>
                <w:lang w:bidi="ar"/>
                <w14:textFill>
                  <w14:solidFill>
                    <w14:schemeClr w14:val="tx1"/>
                  </w14:solidFill>
                </w14:textFill>
              </w:rPr>
              <w:t>.1.2.</w:t>
            </w:r>
            <w:r>
              <w:rPr>
                <w:rStyle w:val="265"/>
                <w:rFonts w:hint="eastAsia" w:ascii="宋体" w:hAnsi="宋体" w:eastAsia="宋体" w:cs="宋体"/>
                <w:color w:val="000000" w:themeColor="text1"/>
                <w:sz w:val="24"/>
                <w:szCs w:val="24"/>
                <w:highlight w:val="none"/>
                <w:lang w:val="en-US" w:eastAsia="zh-CN" w:bidi="ar"/>
                <w14:textFill>
                  <w14:solidFill>
                    <w14:schemeClr w14:val="tx1"/>
                  </w14:solidFill>
                </w14:textFill>
              </w:rPr>
              <w:t>3</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bidi="ar"/>
                <w14:textFill>
                  <w14:solidFill>
                    <w14:schemeClr w14:val="tx1"/>
                  </w14:solidFill>
                </w14:textFill>
              </w:rPr>
              <w:t>刺激频率：</w:t>
            </w:r>
            <w:r>
              <w:rPr>
                <w:rStyle w:val="121"/>
                <w:rFonts w:hint="eastAsia" w:ascii="宋体" w:hAnsi="宋体" w:eastAsia="宋体" w:cs="宋体"/>
                <w:color w:val="000000" w:themeColor="text1"/>
                <w:sz w:val="24"/>
                <w:szCs w:val="24"/>
                <w:highlight w:val="none"/>
                <w:lang w:bidi="ar"/>
                <w14:textFill>
                  <w14:solidFill>
                    <w14:schemeClr w14:val="tx1"/>
                  </w14:solidFill>
                </w14:textFill>
              </w:rPr>
              <w:t>0.1Hz</w:t>
            </w:r>
            <w:r>
              <w:rPr>
                <w:rStyle w:val="265"/>
                <w:rFonts w:hint="eastAsia" w:ascii="宋体" w:hAnsi="宋体" w:eastAsia="宋体" w:cs="宋体"/>
                <w:color w:val="000000" w:themeColor="text1"/>
                <w:sz w:val="24"/>
                <w:szCs w:val="24"/>
                <w:highlight w:val="none"/>
                <w:lang w:bidi="ar"/>
                <w14:textFill>
                  <w14:solidFill>
                    <w14:schemeClr w14:val="tx1"/>
                  </w14:solidFill>
                </w14:textFill>
              </w:rPr>
              <w:t>～200Hz；</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val="en-US" w:eastAsia="zh-CN" w:bidi="ar"/>
                <w14:textFill>
                  <w14:solidFill>
                    <w14:schemeClr w14:val="tx1"/>
                  </w14:solidFill>
                </w14:textFill>
              </w:rPr>
              <w:t>2</w:t>
            </w:r>
            <w:r>
              <w:rPr>
                <w:rStyle w:val="265"/>
                <w:rFonts w:hint="eastAsia" w:ascii="宋体" w:hAnsi="宋体" w:eastAsia="宋体" w:cs="宋体"/>
                <w:color w:val="000000" w:themeColor="text1"/>
                <w:sz w:val="24"/>
                <w:szCs w:val="24"/>
                <w:highlight w:val="none"/>
                <w:lang w:bidi="ar"/>
                <w14:textFill>
                  <w14:solidFill>
                    <w14:schemeClr w14:val="tx1"/>
                  </w14:solidFill>
                </w14:textFill>
              </w:rPr>
              <w:t>.1.2.</w:t>
            </w:r>
            <w:r>
              <w:rPr>
                <w:rStyle w:val="265"/>
                <w:rFonts w:hint="eastAsia" w:ascii="宋体" w:hAnsi="宋体" w:eastAsia="宋体" w:cs="宋体"/>
                <w:color w:val="000000" w:themeColor="text1"/>
                <w:sz w:val="24"/>
                <w:szCs w:val="24"/>
                <w:highlight w:val="none"/>
                <w:lang w:val="en-US" w:eastAsia="zh-CN" w:bidi="ar"/>
                <w14:textFill>
                  <w14:solidFill>
                    <w14:schemeClr w14:val="tx1"/>
                  </w14:solidFill>
                </w14:textFill>
              </w:rPr>
              <w:t>4</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bidi="ar"/>
                <w14:textFill>
                  <w14:solidFill>
                    <w14:schemeClr w14:val="tx1"/>
                  </w14:solidFill>
                </w14:textFill>
              </w:rPr>
              <w:t>刺激时限：</w:t>
            </w:r>
            <w:r>
              <w:rPr>
                <w:rStyle w:val="121"/>
                <w:rFonts w:hint="eastAsia" w:ascii="宋体" w:hAnsi="宋体" w:eastAsia="宋体" w:cs="宋体"/>
                <w:color w:val="000000" w:themeColor="text1"/>
                <w:sz w:val="24"/>
                <w:szCs w:val="24"/>
                <w:highlight w:val="none"/>
                <w:lang w:bidi="ar"/>
                <w14:textFill>
                  <w14:solidFill>
                    <w14:schemeClr w14:val="tx1"/>
                  </w14:solidFill>
                </w14:textFill>
              </w:rPr>
              <w:t>0.02</w:t>
            </w:r>
            <w:r>
              <w:rPr>
                <w:rStyle w:val="265"/>
                <w:rFonts w:hint="eastAsia" w:ascii="宋体" w:hAnsi="宋体" w:eastAsia="宋体" w:cs="宋体"/>
                <w:color w:val="000000" w:themeColor="text1"/>
                <w:sz w:val="24"/>
                <w:szCs w:val="24"/>
                <w:highlight w:val="none"/>
                <w:lang w:bidi="ar"/>
                <w14:textFill>
                  <w14:solidFill>
                    <w14:schemeClr w14:val="tx1"/>
                  </w14:solidFill>
                </w14:textFill>
              </w:rPr>
              <w:t>～1ms；</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.1.2.</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5</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刺激分辨率：0.1mA/0.02mA；</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.1.2.</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6</w:t>
            </w:r>
          </w:p>
        </w:tc>
        <w:tc>
          <w:tcPr>
            <w:tcW w:w="5918"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输出极性：正相、负相、双相；</w:t>
            </w:r>
          </w:p>
        </w:tc>
        <w:tc>
          <w:tcPr>
            <w:tcW w:w="1521" w:type="dxa"/>
            <w:tcBorders>
              <w:top w:val="single" w:color="000000" w:sz="2" w:space="0"/>
              <w:bottom w:val="single" w:color="000000" w:sz="2" w:space="0"/>
            </w:tcBorders>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.1.2.</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7</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输出模式：单刺激、串刺激、带有预刺激的复杂串刺激；</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b/>
                <w:bCs/>
                <w:color w:val="000000" w:themeColor="text1"/>
                <w:kern w:val="0"/>
                <w:sz w:val="24"/>
                <w:szCs w:val="24"/>
                <w:highlight w:val="none"/>
                <w:lang w:bidi="ar"/>
                <w14:textFill>
                  <w14:solidFill>
                    <w14:schemeClr w14:val="tx1"/>
                  </w14:solidFill>
                </w14:textFill>
              </w:rPr>
              <w:t>.1.3</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bidi="ar"/>
                <w14:textFill>
                  <w14:solidFill>
                    <w14:schemeClr w14:val="tx1"/>
                  </w14:solidFill>
                </w14:textFill>
              </w:rPr>
              <w:t>听觉刺激器：1套</w:t>
            </w:r>
            <w:r>
              <w:rPr>
                <w:rFonts w:hint="eastAsia" w:ascii="宋体" w:hAnsi="宋体" w:eastAsia="宋体" w:cs="宋体"/>
                <w:b/>
                <w:bCs/>
                <w:color w:val="000000" w:themeColor="text1"/>
                <w:kern w:val="0"/>
                <w:sz w:val="24"/>
                <w:szCs w:val="24"/>
                <w:highlight w:val="none"/>
                <w:lang w:eastAsia="zh-CN" w:bidi="ar"/>
                <w14:textFill>
                  <w14:solidFill>
                    <w14:schemeClr w14:val="tx1"/>
                  </w14:solidFill>
                </w14:textFill>
              </w:rPr>
              <w:t>；</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.1.3.1</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刺激器输出：标准声学耳机</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.1.3.</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刺激极性：疏音、密音、交替音；</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.1.3.</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刺激波形：喀喇音、纯音、爆发音、Pips、半正弦、全正弦；</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b/>
                <w:bCs/>
                <w:color w:val="000000" w:themeColor="text1"/>
                <w:kern w:val="0"/>
                <w:sz w:val="24"/>
                <w:szCs w:val="24"/>
                <w:highlight w:val="none"/>
                <w:lang w:bidi="ar"/>
                <w14:textFill>
                  <w14:solidFill>
                    <w14:schemeClr w14:val="tx1"/>
                  </w14:solidFill>
                </w14:textFill>
              </w:rPr>
              <w:t>.1.4</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default"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bidi="ar"/>
                <w14:textFill>
                  <w14:solidFill>
                    <w14:schemeClr w14:val="tx1"/>
                  </w14:solidFill>
                </w14:textFill>
              </w:rPr>
              <w:t>视觉刺激器</w:t>
            </w:r>
            <w:r>
              <w:rPr>
                <w:rFonts w:hint="eastAsia" w:ascii="宋体" w:hAnsi="宋体" w:eastAsia="宋体" w:cs="宋体"/>
                <w:b/>
                <w:bCs/>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1</w:t>
            </w: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台</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.1.4.1</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刺激模式：棋盘格翻转、水平条栅、垂直条栅；</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val="en-US" w:eastAsia="zh-CN" w:bidi="ar"/>
                <w14:textFill>
                  <w14:solidFill>
                    <w14:schemeClr w14:val="tx1"/>
                  </w14:solidFill>
                </w14:textFill>
              </w:rPr>
              <w:t>2</w:t>
            </w:r>
            <w:r>
              <w:rPr>
                <w:rStyle w:val="265"/>
                <w:rFonts w:hint="eastAsia" w:ascii="宋体" w:hAnsi="宋体" w:eastAsia="宋体" w:cs="宋体"/>
                <w:color w:val="000000" w:themeColor="text1"/>
                <w:sz w:val="24"/>
                <w:szCs w:val="24"/>
                <w:highlight w:val="none"/>
                <w:lang w:bidi="ar"/>
                <w14:textFill>
                  <w14:solidFill>
                    <w14:schemeClr w14:val="tx1"/>
                  </w14:solidFill>
                </w14:textFill>
              </w:rPr>
              <w:t>.1.4.2</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bidi="ar"/>
                <w14:textFill>
                  <w14:solidFill>
                    <w14:schemeClr w14:val="tx1"/>
                  </w14:solidFill>
                </w14:textFill>
              </w:rPr>
              <w:t>刺激输出：</w:t>
            </w:r>
            <w:r>
              <w:rPr>
                <w:rStyle w:val="121"/>
                <w:rFonts w:hint="eastAsia" w:ascii="宋体" w:hAnsi="宋体" w:eastAsia="宋体" w:cs="宋体"/>
                <w:color w:val="000000" w:themeColor="text1"/>
                <w:sz w:val="24"/>
                <w:szCs w:val="24"/>
                <w:highlight w:val="none"/>
                <w:lang w:bidi="ar"/>
                <w14:textFill>
                  <w14:solidFill>
                    <w14:schemeClr w14:val="tx1"/>
                  </w14:solidFill>
                </w14:textFill>
              </w:rPr>
              <w:t>22</w:t>
            </w:r>
            <w:r>
              <w:rPr>
                <w:rStyle w:val="265"/>
                <w:rFonts w:hint="eastAsia" w:ascii="宋体" w:hAnsi="宋体" w:eastAsia="宋体" w:cs="宋体"/>
                <w:color w:val="000000" w:themeColor="text1"/>
                <w:sz w:val="24"/>
                <w:szCs w:val="24"/>
                <w:highlight w:val="none"/>
                <w:lang w:bidi="ar"/>
                <w14:textFill>
                  <w14:solidFill>
                    <w14:schemeClr w14:val="tx1"/>
                  </w14:solidFill>
                </w14:textFill>
              </w:rPr>
              <w:t>寸视觉刺激器；</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.1.4.3</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刺激视野：全视野、半视野、1/4视野；</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.1.4.4</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注视点：2种以上，可自定义位置；</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.1.4.5</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刺激格大小：刺激格大小：3x4，6x8，12x16，24x32，48x64，96x128；</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.1.4.6</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背景色：黑、白；</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.1.4</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计算机系统要求</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val="en-US" w:eastAsia="zh-CN" w:bidi="ar"/>
                <w14:textFill>
                  <w14:solidFill>
                    <w14:schemeClr w14:val="tx1"/>
                  </w14:solidFill>
                </w14:textFill>
              </w:rPr>
              <w:t>2</w:t>
            </w:r>
            <w:r>
              <w:rPr>
                <w:rStyle w:val="265"/>
                <w:rFonts w:hint="eastAsia" w:ascii="宋体" w:hAnsi="宋体" w:eastAsia="宋体" w:cs="宋体"/>
                <w:color w:val="000000" w:themeColor="text1"/>
                <w:sz w:val="24"/>
                <w:szCs w:val="24"/>
                <w:highlight w:val="none"/>
                <w:lang w:bidi="ar"/>
                <w14:textFill>
                  <w14:solidFill>
                    <w14:schemeClr w14:val="tx1"/>
                  </w14:solidFill>
                </w14:textFill>
              </w:rPr>
              <w:t>.1.4.1</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bidi="ar"/>
                <w14:textFill>
                  <w14:solidFill>
                    <w14:schemeClr w14:val="tx1"/>
                  </w14:solidFill>
                </w14:textFill>
              </w:rPr>
              <w:t>原厂主机：不低于酷睿3.0 GHz，8G内存，硬盘≥</w:t>
            </w:r>
            <w:r>
              <w:rPr>
                <w:rStyle w:val="121"/>
                <w:rFonts w:hint="eastAsia" w:ascii="宋体" w:hAnsi="宋体" w:eastAsia="宋体" w:cs="宋体"/>
                <w:color w:val="000000" w:themeColor="text1"/>
                <w:sz w:val="24"/>
                <w:szCs w:val="24"/>
                <w:highlight w:val="none"/>
                <w:lang w:bidi="ar"/>
                <w14:textFill>
                  <w14:solidFill>
                    <w14:schemeClr w14:val="tx1"/>
                  </w14:solidFill>
                </w14:textFill>
              </w:rPr>
              <w:t>1T</w:t>
            </w:r>
            <w:r>
              <w:rPr>
                <w:rStyle w:val="265"/>
                <w:rFonts w:hint="eastAsia" w:ascii="宋体" w:hAnsi="宋体" w:eastAsia="宋体" w:cs="宋体"/>
                <w:color w:val="000000" w:themeColor="text1"/>
                <w:sz w:val="24"/>
                <w:szCs w:val="24"/>
                <w:highlight w:val="none"/>
                <w:lang w:bidi="ar"/>
                <w14:textFill>
                  <w14:solidFill>
                    <w14:schemeClr w14:val="tx1"/>
                  </w14:solidFill>
                </w14:textFill>
              </w:rPr>
              <w:t>，光驱刻录机；</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val="en-US" w:eastAsia="zh-CN" w:bidi="ar"/>
                <w14:textFill>
                  <w14:solidFill>
                    <w14:schemeClr w14:val="tx1"/>
                  </w14:solidFill>
                </w14:textFill>
              </w:rPr>
              <w:t>2</w:t>
            </w:r>
            <w:r>
              <w:rPr>
                <w:rStyle w:val="265"/>
                <w:rFonts w:hint="eastAsia" w:ascii="宋体" w:hAnsi="宋体" w:eastAsia="宋体" w:cs="宋体"/>
                <w:color w:val="000000" w:themeColor="text1"/>
                <w:sz w:val="24"/>
                <w:szCs w:val="24"/>
                <w:highlight w:val="none"/>
                <w:lang w:bidi="ar"/>
                <w14:textFill>
                  <w14:solidFill>
                    <w14:schemeClr w14:val="tx1"/>
                  </w14:solidFill>
                </w14:textFill>
              </w:rPr>
              <w:t>.1.4.2</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bidi="ar"/>
                <w14:textFill>
                  <w14:solidFill>
                    <w14:schemeClr w14:val="tx1"/>
                  </w14:solidFill>
                </w14:textFill>
              </w:rPr>
              <w:t xml:space="preserve">Windows </w:t>
            </w:r>
            <w:r>
              <w:rPr>
                <w:rStyle w:val="121"/>
                <w:rFonts w:hint="eastAsia" w:ascii="宋体" w:hAnsi="宋体" w:eastAsia="宋体" w:cs="宋体"/>
                <w:color w:val="000000" w:themeColor="text1"/>
                <w:sz w:val="24"/>
                <w:szCs w:val="24"/>
                <w:highlight w:val="none"/>
                <w:lang w:bidi="ar"/>
                <w14:textFill>
                  <w14:solidFill>
                    <w14:schemeClr w14:val="tx1"/>
                  </w14:solidFill>
                </w14:textFill>
              </w:rPr>
              <w:t>10</w:t>
            </w:r>
            <w:r>
              <w:rPr>
                <w:rStyle w:val="265"/>
                <w:rFonts w:hint="eastAsia" w:ascii="宋体" w:hAnsi="宋体" w:eastAsia="宋体" w:cs="宋体"/>
                <w:color w:val="000000" w:themeColor="text1"/>
                <w:sz w:val="24"/>
                <w:szCs w:val="24"/>
                <w:highlight w:val="none"/>
                <w:lang w:bidi="ar"/>
                <w14:textFill>
                  <w14:solidFill>
                    <w14:schemeClr w14:val="tx1"/>
                  </w14:solidFill>
                </w14:textFill>
              </w:rPr>
              <w:t>操作系统；</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.1.4.3</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主机内置监听扬声器和音量控制；</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val="en-US" w:eastAsia="zh-CN" w:bidi="ar"/>
                <w14:textFill>
                  <w14:solidFill>
                    <w14:schemeClr w14:val="tx1"/>
                  </w14:solidFill>
                </w14:textFill>
              </w:rPr>
              <w:t>2</w:t>
            </w:r>
            <w:r>
              <w:rPr>
                <w:rStyle w:val="265"/>
                <w:rFonts w:hint="eastAsia" w:ascii="宋体" w:hAnsi="宋体" w:eastAsia="宋体" w:cs="宋体"/>
                <w:color w:val="000000" w:themeColor="text1"/>
                <w:sz w:val="24"/>
                <w:szCs w:val="24"/>
                <w:highlight w:val="none"/>
                <w:lang w:bidi="ar"/>
                <w14:textFill>
                  <w14:solidFill>
                    <w14:schemeClr w14:val="tx1"/>
                  </w14:solidFill>
                </w14:textFill>
              </w:rPr>
              <w:t>.1.4.4</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bidi="ar"/>
                <w14:textFill>
                  <w14:solidFill>
                    <w14:schemeClr w14:val="tx1"/>
                  </w14:solidFill>
                </w14:textFill>
              </w:rPr>
              <w:t>独立的专用</w:t>
            </w:r>
            <w:r>
              <w:rPr>
                <w:rStyle w:val="121"/>
                <w:rFonts w:hint="eastAsia" w:ascii="宋体" w:hAnsi="宋体" w:eastAsia="宋体" w:cs="宋体"/>
                <w:color w:val="000000" w:themeColor="text1"/>
                <w:sz w:val="24"/>
                <w:szCs w:val="24"/>
                <w:highlight w:val="none"/>
                <w:lang w:bidi="ar"/>
                <w14:textFill>
                  <w14:solidFill>
                    <w14:schemeClr w14:val="tx1"/>
                  </w14:solidFill>
                </w14:textFill>
              </w:rPr>
              <w:t>防水</w:t>
            </w:r>
            <w:r>
              <w:rPr>
                <w:rStyle w:val="265"/>
                <w:rFonts w:hint="eastAsia" w:ascii="宋体" w:hAnsi="宋体" w:eastAsia="宋体" w:cs="宋体"/>
                <w:color w:val="000000" w:themeColor="text1"/>
                <w:sz w:val="24"/>
                <w:szCs w:val="24"/>
                <w:highlight w:val="none"/>
                <w:lang w:bidi="ar"/>
                <w14:textFill>
                  <w14:solidFill>
                    <w14:schemeClr w14:val="tx1"/>
                  </w14:solidFill>
                </w14:textFill>
              </w:rPr>
              <w:t>控制键盘，内置刺激输出调节及数字输入键盘功能。</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val="en-US" w:eastAsia="zh-CN" w:bidi="ar"/>
                <w14:textFill>
                  <w14:solidFill>
                    <w14:schemeClr w14:val="tx1"/>
                  </w14:solidFill>
                </w14:textFill>
              </w:rPr>
              <w:t>2</w:t>
            </w:r>
            <w:r>
              <w:rPr>
                <w:rStyle w:val="265"/>
                <w:rFonts w:hint="eastAsia" w:ascii="宋体" w:hAnsi="宋体" w:eastAsia="宋体" w:cs="宋体"/>
                <w:color w:val="000000" w:themeColor="text1"/>
                <w:sz w:val="24"/>
                <w:szCs w:val="24"/>
                <w:highlight w:val="none"/>
                <w:lang w:bidi="ar"/>
                <w14:textFill>
                  <w14:solidFill>
                    <w14:schemeClr w14:val="tx1"/>
                  </w14:solidFill>
                </w14:textFill>
              </w:rPr>
              <w:t>.1.4.5</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bidi="ar"/>
                <w14:textFill>
                  <w14:solidFill>
                    <w14:schemeClr w14:val="tx1"/>
                  </w14:solidFill>
                </w14:textFill>
              </w:rPr>
              <w:t>键盘、鼠标；</w:t>
            </w:r>
            <w:r>
              <w:rPr>
                <w:rStyle w:val="121"/>
                <w:rFonts w:hint="eastAsia" w:ascii="宋体" w:hAnsi="宋体" w:eastAsia="宋体" w:cs="宋体"/>
                <w:color w:val="000000" w:themeColor="text1"/>
                <w:sz w:val="24"/>
                <w:szCs w:val="24"/>
                <w:highlight w:val="none"/>
                <w:lang w:bidi="ar"/>
                <w14:textFill>
                  <w14:solidFill>
                    <w14:schemeClr w14:val="tx1"/>
                  </w14:solidFill>
                </w14:textFill>
              </w:rPr>
              <w:t>22</w:t>
            </w:r>
            <w:r>
              <w:rPr>
                <w:rStyle w:val="265"/>
                <w:rFonts w:hint="eastAsia" w:ascii="宋体" w:hAnsi="宋体" w:eastAsia="宋体" w:cs="宋体"/>
                <w:color w:val="000000" w:themeColor="text1"/>
                <w:sz w:val="24"/>
                <w:szCs w:val="24"/>
                <w:highlight w:val="none"/>
                <w:lang w:bidi="ar"/>
                <w14:textFill>
                  <w14:solidFill>
                    <w14:schemeClr w14:val="tx1"/>
                  </w14:solidFill>
                </w14:textFill>
              </w:rPr>
              <w:t>寸液晶显示屏；</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b/>
                <w:bCs/>
                <w:color w:val="000000" w:themeColor="text1"/>
                <w:kern w:val="0"/>
                <w:sz w:val="24"/>
                <w:szCs w:val="24"/>
                <w:highlight w:val="none"/>
                <w:lang w:bidi="ar"/>
                <w14:textFill>
                  <w14:solidFill>
                    <w14:schemeClr w14:val="tx1"/>
                  </w14:solidFill>
                </w14:textFill>
              </w:rPr>
              <w:t>.2</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bidi="ar"/>
                <w14:textFill>
                  <w14:solidFill>
                    <w14:schemeClr w14:val="tx1"/>
                  </w14:solidFill>
                </w14:textFill>
              </w:rPr>
              <w:t>软件功能要求</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b/>
                <w:bCs/>
                <w:color w:val="000000" w:themeColor="text1"/>
                <w:kern w:val="0"/>
                <w:sz w:val="24"/>
                <w:szCs w:val="24"/>
                <w:highlight w:val="none"/>
                <w:lang w:bidi="ar"/>
                <w14:textFill>
                  <w14:solidFill>
                    <w14:schemeClr w14:val="tx1"/>
                  </w14:solidFill>
                </w14:textFill>
              </w:rPr>
              <w:t>.2.1</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bidi="ar"/>
                <w14:textFill>
                  <w14:solidFill>
                    <w14:schemeClr w14:val="tx1"/>
                  </w14:solidFill>
                </w14:textFill>
              </w:rPr>
              <w:t>神经电图</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.2.1.1</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运动传导速度测定</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.2.1.2</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感觉传导速度测定</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.2.1.3</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微移定位</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.2.1.4</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F-波</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.2.1.5</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H-反射</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.2.1.6</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重复频率电刺激</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.2.1.7</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瞬目反射</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b/>
                <w:bCs/>
                <w:color w:val="000000" w:themeColor="text1"/>
                <w:kern w:val="0"/>
                <w:sz w:val="24"/>
                <w:szCs w:val="24"/>
                <w:highlight w:val="none"/>
                <w:lang w:bidi="ar"/>
                <w14:textFill>
                  <w14:solidFill>
                    <w14:schemeClr w14:val="tx1"/>
                  </w14:solidFill>
                </w14:textFill>
              </w:rPr>
              <w:t>.2.2</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bidi="ar"/>
                <w14:textFill>
                  <w14:solidFill>
                    <w14:schemeClr w14:val="tx1"/>
                  </w14:solidFill>
                </w14:textFill>
              </w:rPr>
              <w:t>肌电图</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.2.2.1</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定量肌电图分析：静息电位、单MUP、多MUP自动及手动分析、干扰相(重收缩)自动分析；</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val="en-US" w:eastAsia="zh-CN" w:bidi="ar"/>
                <w14:textFill>
                  <w14:solidFill>
                    <w14:schemeClr w14:val="tx1"/>
                  </w14:solidFill>
                </w14:textFill>
              </w:rPr>
              <w:t>2</w:t>
            </w:r>
            <w:r>
              <w:rPr>
                <w:rStyle w:val="265"/>
                <w:rFonts w:hint="eastAsia" w:ascii="宋体" w:hAnsi="宋体" w:eastAsia="宋体" w:cs="宋体"/>
                <w:color w:val="000000" w:themeColor="text1"/>
                <w:sz w:val="24"/>
                <w:szCs w:val="24"/>
                <w:highlight w:val="none"/>
                <w:lang w:bidi="ar"/>
                <w14:textFill>
                  <w14:solidFill>
                    <w14:schemeClr w14:val="tx1"/>
                  </w14:solidFill>
                </w14:textFill>
              </w:rPr>
              <w:t>.2.2.2</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265"/>
                <w:rFonts w:hint="eastAsia" w:ascii="宋体" w:hAnsi="宋体" w:eastAsia="宋体" w:cs="宋体"/>
                <w:color w:val="000000" w:themeColor="text1"/>
                <w:sz w:val="24"/>
                <w:szCs w:val="24"/>
                <w:highlight w:val="none"/>
                <w:lang w:bidi="ar"/>
                <w14:textFill>
                  <w14:solidFill>
                    <w14:schemeClr w14:val="tx1"/>
                  </w14:solidFill>
                </w14:textFill>
              </w:rPr>
              <w:t>全自动运动单位电位MUP高速提取，</w:t>
            </w:r>
            <w:r>
              <w:rPr>
                <w:rStyle w:val="121"/>
                <w:rFonts w:hint="eastAsia" w:ascii="宋体" w:hAnsi="宋体" w:eastAsia="宋体" w:cs="宋体"/>
                <w:color w:val="000000" w:themeColor="text1"/>
                <w:sz w:val="24"/>
                <w:szCs w:val="24"/>
                <w:highlight w:val="none"/>
                <w:lang w:bidi="ar"/>
                <w14:textFill>
                  <w14:solidFill>
                    <w14:schemeClr w14:val="tx1"/>
                  </w14:solidFill>
                </w14:textFill>
              </w:rPr>
              <w:t>一次可提取上百个MUP电位，并且可以将不同形态的MUP自动分组并自动平均。</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.2.2.3</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T/A、NSS分析</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b/>
                <w:bCs/>
                <w:color w:val="000000" w:themeColor="text1"/>
                <w:kern w:val="0"/>
                <w:sz w:val="24"/>
                <w:szCs w:val="24"/>
                <w:highlight w:val="none"/>
                <w:lang w:bidi="ar"/>
                <w14:textFill>
                  <w14:solidFill>
                    <w14:schemeClr w14:val="tx1"/>
                  </w14:solidFill>
                </w14:textFill>
              </w:rPr>
              <w:t>.2.3</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bidi="ar"/>
                <w14:textFill>
                  <w14:solidFill>
                    <w14:schemeClr w14:val="tx1"/>
                  </w14:solidFill>
                </w14:textFill>
              </w:rPr>
              <w:t>诱发电位</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.2.3.1</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听觉诱发电位（脑干诱发电位、耳蜗电图、40Hz、客观测听等）</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.2.3.2</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视觉诱发电位，具有模式翻转模式和眼罩模式</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.2.3.3</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事件相关电位（P300、MMN、CNV等）</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lang w:bidi="ar"/>
                <w14:textFill>
                  <w14:solidFill>
                    <w14:schemeClr w14:val="tx1"/>
                  </w14:solidFill>
                </w14:textFill>
              </w:rPr>
              <w:t>.2.3.4</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前庭诱发肌源性电位</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sz w:val="24"/>
                <w:szCs w:val="24"/>
                <w:highlight w:val="none"/>
              </w:rPr>
              <w:t>▲</w:t>
            </w:r>
            <w:r>
              <w:rPr>
                <w:rStyle w:val="330"/>
                <w:rFonts w:hint="eastAsia" w:ascii="宋体" w:hAnsi="宋体" w:eastAsia="宋体" w:cs="宋体"/>
                <w:b/>
                <w:bCs/>
                <w:color w:val="000000" w:themeColor="text1"/>
                <w:sz w:val="24"/>
                <w:szCs w:val="24"/>
                <w:highlight w:val="none"/>
                <w:lang w:val="en-US" w:eastAsia="zh-CN" w:bidi="ar"/>
                <w14:textFill>
                  <w14:solidFill>
                    <w14:schemeClr w14:val="tx1"/>
                  </w14:solidFill>
                </w14:textFill>
              </w:rPr>
              <w:t>2</w:t>
            </w:r>
            <w:r>
              <w:rPr>
                <w:rStyle w:val="330"/>
                <w:rFonts w:hint="eastAsia" w:ascii="宋体" w:hAnsi="宋体" w:eastAsia="宋体" w:cs="宋体"/>
                <w:b/>
                <w:bCs/>
                <w:color w:val="000000" w:themeColor="text1"/>
                <w:sz w:val="24"/>
                <w:szCs w:val="24"/>
                <w:highlight w:val="none"/>
                <w:lang w:bidi="ar"/>
                <w14:textFill>
                  <w14:solidFill>
                    <w14:schemeClr w14:val="tx1"/>
                  </w14:solidFill>
                </w14:textFill>
              </w:rPr>
              <w:t>.2.4</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Style w:val="330"/>
                <w:rFonts w:hint="eastAsia" w:ascii="宋体" w:hAnsi="宋体" w:eastAsia="宋体" w:cs="宋体"/>
                <w:b/>
                <w:bCs/>
                <w:color w:val="000000" w:themeColor="text1"/>
                <w:sz w:val="24"/>
                <w:szCs w:val="24"/>
                <w:highlight w:val="none"/>
                <w:lang w:bidi="ar"/>
                <w14:textFill>
                  <w14:solidFill>
                    <w14:schemeClr w14:val="tx1"/>
                  </w14:solidFill>
                </w14:textFill>
              </w:rPr>
              <w:t>原始肌电信号及声音同步存储和回放再分析功能，每块肌肉可存储多个片段，每个片段可连续记录15分钟原始的肌电图波形和声音信号，可同步回放和再分析处理，</w:t>
            </w:r>
            <w:r>
              <w:rPr>
                <w:rStyle w:val="372"/>
                <w:rFonts w:hint="eastAsia" w:ascii="宋体" w:hAnsi="宋体" w:eastAsia="宋体" w:cs="宋体"/>
                <w:b/>
                <w:bCs/>
                <w:color w:val="000000" w:themeColor="text1"/>
                <w:sz w:val="24"/>
                <w:szCs w:val="24"/>
                <w:highlight w:val="none"/>
                <w:lang w:bidi="ar"/>
                <w14:textFill>
                  <w14:solidFill>
                    <w14:schemeClr w14:val="tx1"/>
                  </w14:solidFill>
                </w14:textFill>
              </w:rPr>
              <w:t>回放时也可以自动提取分析MUP。</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155" w:type="dxa"/>
            <w:vAlign w:val="center"/>
          </w:tcPr>
          <w:p>
            <w:pPr>
              <w:keepNext w:val="0"/>
              <w:keepLines w:val="0"/>
              <w:pageBreakBefore w:val="0"/>
              <w:kinsoku/>
              <w:wordWrap/>
              <w:overflowPunct/>
              <w:topLinePunct w:val="0"/>
              <w:autoSpaceDE/>
              <w:autoSpaceDN/>
              <w:bidi w:val="0"/>
              <w:adjustRightInd w:val="0"/>
              <w:snapToGrid/>
              <w:spacing w:line="30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2</w:t>
            </w:r>
            <w:r>
              <w:rPr>
                <w:rFonts w:hint="eastAsia" w:ascii="宋体" w:hAnsi="宋体" w:eastAsia="宋体" w:cs="宋体"/>
                <w:b/>
                <w:bCs/>
                <w:color w:val="000000" w:themeColor="text1"/>
                <w:kern w:val="0"/>
                <w:sz w:val="24"/>
                <w:szCs w:val="24"/>
                <w:highlight w:val="none"/>
                <w:lang w:bidi="ar"/>
                <w14:textFill>
                  <w14:solidFill>
                    <w14:schemeClr w14:val="tx1"/>
                  </w14:solidFill>
                </w14:textFill>
              </w:rPr>
              <w:t>.2.</w:t>
            </w: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5</w:t>
            </w:r>
          </w:p>
        </w:tc>
        <w:tc>
          <w:tcPr>
            <w:tcW w:w="5918" w:type="dxa"/>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bidi="ar"/>
                <w14:textFill>
                  <w14:solidFill>
                    <w14:schemeClr w14:val="tx1"/>
                  </w14:solidFill>
                </w14:textFill>
              </w:rPr>
              <w:t>原厂全中文软件系统及全中文报告系统(包括中文神经、肌肉名称)，可根据需要自定义报告格式，表格、数据、图形自动进入中文报告系统，不需要手工输入数据或屏幕抓图粘贴完成中文报告。报告结果可转入微软办公软件读取分析。</w:t>
            </w:r>
          </w:p>
        </w:tc>
        <w:tc>
          <w:tcPr>
            <w:tcW w:w="0" w:type="auto"/>
          </w:tcPr>
          <w:p>
            <w:pPr>
              <w:keepNext w:val="0"/>
              <w:keepLines w:val="0"/>
              <w:pageBreakBefore w:val="0"/>
              <w:widowControl/>
              <w:kinsoku/>
              <w:wordWrap/>
              <w:overflowPunct/>
              <w:topLinePunct w:val="0"/>
              <w:autoSpaceDE/>
              <w:autoSpaceDN/>
              <w:bidi w:val="0"/>
              <w:adjustRightInd w:val="0"/>
              <w:snapToGrid/>
              <w:spacing w:line="300" w:lineRule="auto"/>
              <w:jc w:val="center"/>
              <w:textAlignment w:val="bottom"/>
              <w:rPr>
                <w:rFonts w:hint="eastAsia" w:ascii="宋体" w:hAnsi="宋体" w:eastAsia="宋体" w:cs="宋体"/>
                <w:bCs/>
                <w:snapToGrid w:val="0"/>
                <w:sz w:val="24"/>
                <w:szCs w:val="24"/>
                <w:highlight w:val="none"/>
              </w:rPr>
            </w:pPr>
          </w:p>
        </w:tc>
      </w:tr>
    </w:tbl>
    <w:p>
      <w:pPr>
        <w:outlineLvl w:val="0"/>
        <w:rPr>
          <w:rFonts w:ascii="宋体" w:hAnsi="宋体" w:cs="宋体"/>
          <w:b/>
          <w:sz w:val="24"/>
          <w:highlight w:val="none"/>
        </w:rPr>
      </w:pPr>
    </w:p>
    <w:p>
      <w:pPr>
        <w:outlineLvl w:val="0"/>
        <w:rPr>
          <w:rFonts w:ascii="宋体" w:hAnsi="宋体" w:cs="宋体"/>
          <w:b/>
          <w:sz w:val="24"/>
          <w:highlight w:val="none"/>
        </w:rPr>
      </w:pPr>
    </w:p>
    <w:p>
      <w:pPr>
        <w:rPr>
          <w:rFonts w:ascii="宋体" w:hAnsi="宋体" w:cs="宋体"/>
          <w:b/>
          <w:sz w:val="24"/>
          <w:highlight w:val="none"/>
        </w:rPr>
      </w:pPr>
      <w:r>
        <w:rPr>
          <w:rFonts w:hint="eastAsia" w:ascii="宋体" w:hAnsi="宋体" w:cs="宋体"/>
          <w:b/>
          <w:sz w:val="24"/>
          <w:highlight w:val="none"/>
        </w:rPr>
        <w:br w:type="page"/>
      </w:r>
    </w:p>
    <w:p>
      <w:pPr>
        <w:spacing w:line="360" w:lineRule="auto"/>
        <w:outlineLvl w:val="0"/>
        <w:rPr>
          <w:rFonts w:ascii="宋体" w:hAnsi="宋体" w:cs="宋体"/>
          <w:b/>
          <w:sz w:val="24"/>
          <w:highlight w:val="none"/>
        </w:rPr>
      </w:pPr>
      <w:r>
        <w:rPr>
          <w:rFonts w:hint="eastAsia" w:ascii="宋体" w:hAnsi="宋体" w:cs="宋体"/>
          <w:b/>
          <w:sz w:val="24"/>
          <w:highlight w:val="none"/>
        </w:rPr>
        <w:t>二、商务需求</w:t>
      </w:r>
    </w:p>
    <w:tbl>
      <w:tblPr>
        <w:tblStyle w:val="63"/>
        <w:tblW w:w="8528" w:type="dxa"/>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6905"/>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3"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售后服务</w:t>
            </w:r>
          </w:p>
        </w:tc>
        <w:tc>
          <w:tcPr>
            <w:tcW w:w="6905" w:type="dxa"/>
            <w:tcBorders>
              <w:tl2br w:val="nil"/>
              <w:tr2bl w:val="nil"/>
            </w:tcBorders>
            <w:vAlign w:val="center"/>
          </w:tcPr>
          <w:p>
            <w:pPr>
              <w:pStyle w:val="25"/>
              <w:numPr>
                <w:ilvl w:val="0"/>
                <w:numId w:val="6"/>
              </w:numPr>
              <w:rPr>
                <w:rFonts w:hAnsi="宋体" w:cs="宋体"/>
                <w:szCs w:val="24"/>
                <w:highlight w:val="none"/>
                <w:lang w:val="en-US"/>
              </w:rPr>
            </w:pPr>
            <w:r>
              <w:rPr>
                <w:rFonts w:hint="eastAsia" w:hAnsi="宋体" w:cs="宋体"/>
                <w:szCs w:val="24"/>
                <w:highlight w:val="none"/>
                <w:lang w:val="en-US"/>
              </w:rPr>
              <w:t>保修期外免收人工费、维修费、差旅费，承诺先维修后付款，要求原厂或原厂授权维修服务机构承诺。</w:t>
            </w:r>
          </w:p>
          <w:p>
            <w:pPr>
              <w:pStyle w:val="25"/>
              <w:numPr>
                <w:ilvl w:val="0"/>
                <w:numId w:val="6"/>
              </w:numPr>
              <w:rPr>
                <w:rFonts w:hAnsi="宋体" w:cs="宋体"/>
                <w:szCs w:val="24"/>
                <w:highlight w:val="none"/>
                <w:lang w:val="en-US"/>
              </w:rPr>
            </w:pPr>
            <w:r>
              <w:rPr>
                <w:rFonts w:hint="eastAsia" w:hAnsi="宋体" w:cs="宋体"/>
                <w:szCs w:val="24"/>
                <w:highlight w:val="none"/>
                <w:lang w:val="en-US"/>
              </w:rPr>
              <w:t>提供保修期内每年至少4次巡视、保养与检测，并提交相关检测报告。</w:t>
            </w:r>
          </w:p>
          <w:p>
            <w:pPr>
              <w:pStyle w:val="25"/>
              <w:numPr>
                <w:ilvl w:val="0"/>
                <w:numId w:val="6"/>
              </w:numPr>
              <w:rPr>
                <w:rFonts w:hAnsi="宋体" w:cs="宋体"/>
                <w:szCs w:val="24"/>
                <w:highlight w:val="none"/>
                <w:lang w:val="en-US"/>
              </w:rPr>
            </w:pPr>
            <w:r>
              <w:rPr>
                <w:rFonts w:hint="eastAsia" w:hAnsi="宋体" w:cs="宋体"/>
                <w:szCs w:val="24"/>
                <w:highlight w:val="none"/>
                <w:lang w:val="en-US"/>
              </w:rPr>
              <w:t>保修期内必须提供整机原厂免费保修，保修期内开机率须达到95%（除非特殊声明，按365天计），每年故障率不得超过14天，否则，每超过一天保修期相应延长10天。投标人须提供原厂商售后服务承诺书。保质期内因设备本身缺陷造成各种故障应由卖方免费技术服务和维修。</w:t>
            </w:r>
            <w:r>
              <w:rPr>
                <w:rFonts w:hint="eastAsia" w:ascii="宋体" w:hAnsi="宋体" w:cs="宋体"/>
                <w:color w:val="auto"/>
                <w:kern w:val="0"/>
                <w:highlight w:val="none"/>
              </w:rPr>
              <w:t>保修期内，确保设备通过浙江省卫生厅的质控检查和技术监督局等有关部门的技术检测。如不合格，承担重检费用，直至通过检测。</w:t>
            </w:r>
          </w:p>
          <w:p>
            <w:pPr>
              <w:pStyle w:val="25"/>
              <w:rPr>
                <w:rFonts w:hAnsi="宋体" w:cs="宋体"/>
                <w:szCs w:val="24"/>
                <w:highlight w:val="none"/>
                <w:lang w:val="en-US"/>
              </w:rPr>
            </w:pPr>
            <w:r>
              <w:rPr>
                <w:rFonts w:hint="eastAsia" w:hAnsi="宋体" w:cs="宋体"/>
                <w:szCs w:val="24"/>
                <w:highlight w:val="none"/>
                <w:lang w:val="en-US" w:eastAsia="zh-CN"/>
              </w:rPr>
              <w:t>4</w:t>
            </w:r>
            <w:r>
              <w:rPr>
                <w:rFonts w:hint="eastAsia" w:hAnsi="宋体" w:cs="宋体"/>
                <w:szCs w:val="24"/>
                <w:highlight w:val="none"/>
                <w:lang w:val="en-US"/>
              </w:rPr>
              <w:t>.配合负责连入医院HIS系统，设备有信息系统接口，则全部免费开放。</w:t>
            </w:r>
          </w:p>
          <w:p>
            <w:pPr>
              <w:pStyle w:val="25"/>
              <w:rPr>
                <w:rFonts w:hAnsi="宋体" w:cs="宋体"/>
                <w:szCs w:val="24"/>
                <w:highlight w:val="none"/>
                <w:lang w:val="en-US"/>
              </w:rPr>
            </w:pPr>
            <w:r>
              <w:rPr>
                <w:rFonts w:hint="eastAsia" w:hAnsi="宋体" w:cs="宋体"/>
                <w:szCs w:val="24"/>
                <w:highlight w:val="none"/>
                <w:lang w:val="en-US" w:eastAsia="zh-CN"/>
              </w:rPr>
              <w:t>5</w:t>
            </w:r>
            <w:r>
              <w:rPr>
                <w:rFonts w:hint="eastAsia" w:hAnsi="宋体" w:cs="宋体"/>
                <w:szCs w:val="24"/>
                <w:highlight w:val="none"/>
                <w:lang w:val="en-US"/>
              </w:rPr>
              <w:t>.提供终生免费软件升级</w:t>
            </w:r>
          </w:p>
          <w:p>
            <w:pPr>
              <w:pStyle w:val="25"/>
              <w:rPr>
                <w:rFonts w:hAnsi="宋体" w:cs="宋体"/>
                <w:szCs w:val="24"/>
                <w:highlight w:val="none"/>
                <w:lang w:val="en-US"/>
              </w:rPr>
            </w:pPr>
            <w:r>
              <w:rPr>
                <w:rFonts w:hint="eastAsia" w:hAnsi="宋体" w:cs="宋体"/>
                <w:szCs w:val="24"/>
                <w:highlight w:val="none"/>
                <w:lang w:val="en-US" w:eastAsia="zh-CN"/>
              </w:rPr>
              <w:t>6</w:t>
            </w:r>
            <w:r>
              <w:rPr>
                <w:rFonts w:hint="eastAsia" w:hAnsi="宋体" w:cs="宋体"/>
                <w:szCs w:val="24"/>
                <w:highlight w:val="none"/>
                <w:lang w:val="en-US"/>
              </w:rPr>
              <w:t>.详细列出配置清单(主要配置必须符合标书)及单价和必需的耗材清单，未在招标文件单独列出选配件都视为标准配置（软件，硬件）</w:t>
            </w:r>
          </w:p>
          <w:p>
            <w:pPr>
              <w:pStyle w:val="25"/>
              <w:rPr>
                <w:rFonts w:hAnsi="宋体" w:cs="宋体"/>
                <w:szCs w:val="24"/>
                <w:highlight w:val="none"/>
                <w:lang w:val="en-US"/>
              </w:rPr>
            </w:pPr>
            <w:r>
              <w:rPr>
                <w:rFonts w:hint="eastAsia" w:hAnsi="宋体" w:cs="宋体"/>
                <w:szCs w:val="24"/>
                <w:highlight w:val="none"/>
                <w:lang w:val="en-US" w:eastAsia="zh-CN"/>
              </w:rPr>
              <w:t>7</w:t>
            </w:r>
            <w:r>
              <w:rPr>
                <w:rFonts w:hint="eastAsia" w:hAnsi="宋体" w:cs="宋体"/>
                <w:szCs w:val="24"/>
                <w:highlight w:val="none"/>
                <w:lang w:val="en-US"/>
              </w:rPr>
              <w:t>.提供用户操作手册和维修手册（全套用于安装、操作、维护技术文件，提供使用说明书，维修保养说明书，提供软件操作手册，提供电子版说明书）。</w:t>
            </w:r>
          </w:p>
          <w:p>
            <w:pPr>
              <w:pStyle w:val="25"/>
              <w:rPr>
                <w:rFonts w:hint="eastAsia" w:hAnsi="宋体" w:cs="宋体"/>
                <w:szCs w:val="24"/>
                <w:highlight w:val="none"/>
                <w:lang w:val="en-US"/>
              </w:rPr>
            </w:pPr>
            <w:r>
              <w:rPr>
                <w:rFonts w:hint="eastAsia" w:hAnsi="宋体" w:cs="宋体"/>
                <w:szCs w:val="24"/>
                <w:highlight w:val="none"/>
                <w:lang w:val="en-US" w:eastAsia="zh-CN"/>
              </w:rPr>
              <w:t>8.</w:t>
            </w:r>
            <w:r>
              <w:rPr>
                <w:rFonts w:hint="eastAsia" w:hAnsi="宋体" w:cs="宋体"/>
                <w:szCs w:val="24"/>
                <w:highlight w:val="none"/>
                <w:lang w:val="en-US"/>
              </w:rPr>
              <w:t>免费提供操作培训和工程师的维修培训（列出具体的培训方案，如提供院外培训，供方负责需方人员培训期间的一切费用(包括差旅费、食宿费用等），具体细节由院方定。</w:t>
            </w:r>
          </w:p>
          <w:p>
            <w:pPr>
              <w:pStyle w:val="25"/>
              <w:rPr>
                <w:rFonts w:hint="eastAsia" w:ascii="宋体" w:hAnsi="宋体" w:cs="宋体"/>
                <w:color w:val="auto"/>
                <w:kern w:val="0"/>
                <w:highlight w:val="none"/>
              </w:rPr>
            </w:pPr>
            <w:r>
              <w:rPr>
                <w:rFonts w:hint="eastAsia" w:ascii="宋体" w:hAnsi="宋体" w:cs="宋体"/>
                <w:color w:val="auto"/>
                <w:kern w:val="0"/>
                <w:highlight w:val="none"/>
                <w:lang w:val="en-US" w:eastAsia="zh-CN"/>
              </w:rPr>
              <w:t>9.</w:t>
            </w:r>
            <w:r>
              <w:rPr>
                <w:rFonts w:hint="eastAsia" w:ascii="宋体" w:hAnsi="宋体" w:cs="宋体"/>
                <w:color w:val="auto"/>
                <w:kern w:val="0"/>
                <w:highlight w:val="none"/>
              </w:rPr>
              <w:t>提供各类必要证件（书），包括但不限于进字号注册证、医疗器械注册证和消毒产品卫生安全评价报告。全套设备必须为全新，未曾使用过的原装产品，软件版本为最新版本（投标文件中须注明设备进入市场时间及软件最新版本号）。</w:t>
            </w:r>
          </w:p>
          <w:p>
            <w:pPr>
              <w:pStyle w:val="25"/>
              <w:rPr>
                <w:rFonts w:hAnsi="宋体" w:cs="宋体"/>
                <w:szCs w:val="24"/>
                <w:highlight w:val="none"/>
                <w:lang w:val="en-US"/>
              </w:rPr>
            </w:pPr>
            <w:r>
              <w:rPr>
                <w:rFonts w:hint="eastAsia" w:ascii="宋体" w:hAnsi="宋体" w:cs="宋体"/>
                <w:color w:val="auto"/>
                <w:kern w:val="0"/>
                <w:highlight w:val="none"/>
                <w:lang w:val="en-US" w:eastAsia="zh-CN"/>
              </w:rPr>
              <w:t>10.</w:t>
            </w:r>
            <w:r>
              <w:rPr>
                <w:rFonts w:hint="eastAsia" w:ascii="宋体" w:hAnsi="宋体" w:cs="宋体"/>
                <w:color w:val="auto"/>
                <w:kern w:val="0"/>
                <w:highlight w:val="none"/>
              </w:rPr>
              <w:t>提供近三年内国内医院的用户名单、联系电话。（同规格型号的用户）</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3"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安装调试及验收</w:t>
            </w:r>
          </w:p>
        </w:tc>
        <w:tc>
          <w:tcPr>
            <w:tcW w:w="6905" w:type="dxa"/>
            <w:tcBorders>
              <w:tl2br w:val="nil"/>
              <w:tr2bl w:val="nil"/>
            </w:tcBorders>
            <w:vAlign w:val="center"/>
          </w:tcPr>
          <w:p>
            <w:pPr>
              <w:spacing w:line="360" w:lineRule="auto"/>
              <w:rPr>
                <w:rFonts w:ascii="宋体" w:hAnsi="宋体" w:cs="宋体"/>
                <w:sz w:val="24"/>
                <w:highlight w:val="none"/>
              </w:rPr>
            </w:pPr>
            <w:r>
              <w:rPr>
                <w:rFonts w:hint="eastAsia" w:ascii="宋体" w:hAnsi="宋体" w:cs="宋体"/>
                <w:sz w:val="24"/>
                <w:highlight w:val="none"/>
              </w:rPr>
              <w:t>安装、验收前所产生的一切费用及风险（包括运输费、保险费、装卸及搬运费用等）由供方负责提供。</w:t>
            </w:r>
          </w:p>
          <w:p>
            <w:pPr>
              <w:spacing w:line="360" w:lineRule="auto"/>
              <w:rPr>
                <w:rFonts w:ascii="宋体" w:hAnsi="宋体" w:cs="宋体"/>
                <w:sz w:val="24"/>
                <w:highlight w:val="none"/>
              </w:rPr>
            </w:pPr>
            <w:r>
              <w:rPr>
                <w:rFonts w:hint="eastAsia" w:ascii="宋体" w:hAnsi="宋体" w:cs="宋体"/>
                <w:sz w:val="24"/>
                <w:highlight w:val="none"/>
              </w:rPr>
              <w:t>验收标准：符合我国国家有关技术规范和技术标准，应与产品原始样本技术资料及标书技术文件一致</w:t>
            </w:r>
          </w:p>
          <w:p>
            <w:pPr>
              <w:spacing w:line="360" w:lineRule="auto"/>
              <w:rPr>
                <w:rFonts w:ascii="宋体" w:hAnsi="宋体" w:cs="宋体"/>
                <w:sz w:val="24"/>
                <w:highlight w:val="none"/>
              </w:rPr>
            </w:pPr>
            <w:r>
              <w:rPr>
                <w:rFonts w:hint="eastAsia" w:ascii="宋体" w:hAnsi="宋体" w:cs="宋体"/>
                <w:sz w:val="24"/>
                <w:highlight w:val="none"/>
              </w:rPr>
              <w:t>注：1.提供规范的安装验收报告。</w:t>
            </w:r>
          </w:p>
          <w:p>
            <w:pPr>
              <w:spacing w:line="360" w:lineRule="auto"/>
              <w:rPr>
                <w:rFonts w:ascii="宋体" w:hAnsi="宋体" w:cs="宋体"/>
                <w:sz w:val="24"/>
                <w:highlight w:val="none"/>
              </w:rPr>
            </w:pPr>
            <w:r>
              <w:rPr>
                <w:rFonts w:hint="eastAsia" w:ascii="宋体" w:hAnsi="宋体" w:cs="宋体"/>
                <w:sz w:val="24"/>
                <w:highlight w:val="none"/>
              </w:rPr>
              <w:t>2.提供电子版和纸质简明操作规程（至少包括使用前检查准备、操作步骤、注意事项、适用范围或禁忌证，日常维护、应急处理方案等）。</w:t>
            </w:r>
          </w:p>
          <w:p>
            <w:pPr>
              <w:spacing w:line="360" w:lineRule="auto"/>
              <w:rPr>
                <w:rFonts w:ascii="宋体" w:hAnsi="宋体" w:cs="宋体"/>
                <w:sz w:val="24"/>
                <w:highlight w:val="none"/>
              </w:rPr>
            </w:pPr>
            <w:r>
              <w:rPr>
                <w:rFonts w:hint="eastAsia" w:ascii="宋体" w:hAnsi="宋体" w:cs="宋体"/>
                <w:sz w:val="24"/>
                <w:highlight w:val="none"/>
              </w:rPr>
              <w:t>提供厂家标准维保（PM）内容。</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3"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★交货时间及地点</w:t>
            </w:r>
          </w:p>
        </w:tc>
        <w:tc>
          <w:tcPr>
            <w:tcW w:w="6905" w:type="dxa"/>
            <w:tcBorders>
              <w:tl2br w:val="nil"/>
              <w:tr2bl w:val="nil"/>
            </w:tcBorders>
            <w:vAlign w:val="center"/>
          </w:tcPr>
          <w:p>
            <w:pPr>
              <w:spacing w:line="360" w:lineRule="auto"/>
              <w:rPr>
                <w:rFonts w:ascii="宋体" w:hAnsi="宋体" w:cs="宋体"/>
                <w:sz w:val="24"/>
                <w:highlight w:val="none"/>
              </w:rPr>
            </w:pPr>
            <w:r>
              <w:rPr>
                <w:rFonts w:hint="eastAsia" w:ascii="宋体" w:hAnsi="宋体" w:cs="宋体"/>
                <w:sz w:val="24"/>
                <w:highlight w:val="none"/>
              </w:rPr>
              <w:t>交货及安装时间：接采购人通知后</w:t>
            </w:r>
            <w:r>
              <w:rPr>
                <w:rFonts w:hint="eastAsia" w:ascii="宋体" w:hAnsi="宋体" w:cs="宋体"/>
                <w:sz w:val="24"/>
                <w:highlight w:val="none"/>
                <w:u w:val="single"/>
              </w:rPr>
              <w:t>60天</w:t>
            </w:r>
            <w:r>
              <w:rPr>
                <w:rFonts w:hint="eastAsia" w:ascii="宋体" w:hAnsi="宋体" w:cs="宋体"/>
                <w:sz w:val="24"/>
                <w:highlight w:val="none"/>
              </w:rPr>
              <w:t>内完成交货并安装完毕。</w:t>
            </w:r>
          </w:p>
          <w:p>
            <w:pPr>
              <w:spacing w:line="360" w:lineRule="auto"/>
              <w:rPr>
                <w:rFonts w:ascii="宋体" w:hAnsi="宋体" w:cs="宋体"/>
                <w:sz w:val="24"/>
                <w:highlight w:val="none"/>
              </w:rPr>
            </w:pPr>
            <w:r>
              <w:rPr>
                <w:rFonts w:hint="eastAsia" w:ascii="宋体" w:hAnsi="宋体" w:cs="宋体"/>
                <w:sz w:val="24"/>
                <w:highlight w:val="none"/>
              </w:rPr>
              <w:t>交货地点：采购人指定地点。</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3"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付款条件</w:t>
            </w:r>
          </w:p>
        </w:tc>
        <w:tc>
          <w:tcPr>
            <w:tcW w:w="6905" w:type="dxa"/>
            <w:tcBorders>
              <w:tl2br w:val="nil"/>
              <w:tr2bl w:val="nil"/>
            </w:tcBorders>
            <w:vAlign w:val="center"/>
          </w:tcPr>
          <w:p>
            <w:pPr>
              <w:spacing w:line="360" w:lineRule="auto"/>
              <w:rPr>
                <w:rFonts w:ascii="宋体" w:hAnsi="宋体" w:cs="宋体"/>
                <w:sz w:val="24"/>
                <w:highlight w:val="none"/>
              </w:rPr>
            </w:pPr>
            <w:r>
              <w:rPr>
                <w:rFonts w:hint="eastAsia" w:ascii="宋体" w:hAnsi="宋体" w:cs="宋体"/>
                <w:sz w:val="24"/>
                <w:highlight w:val="none"/>
              </w:rPr>
              <w:t>合同生效并具备实施条件后7个工作日内支付合同金额的40%作为预付款（供应商为《政府采购促进中小企业发展管理办法》（财库﹝2020﹞46号）第四条认定的大型企业无预付款，不适用该条款）；项目验收合格并收到中标人正式发票之日起7个工作日内付清合同款。</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3"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质保期</w:t>
            </w:r>
          </w:p>
        </w:tc>
        <w:tc>
          <w:tcPr>
            <w:tcW w:w="6905" w:type="dxa"/>
            <w:tcBorders>
              <w:tl2br w:val="nil"/>
              <w:tr2bl w:val="nil"/>
            </w:tcBorders>
            <w:vAlign w:val="center"/>
          </w:tcPr>
          <w:p>
            <w:pPr>
              <w:spacing w:line="360" w:lineRule="auto"/>
              <w:rPr>
                <w:rFonts w:ascii="宋体" w:hAnsi="宋体" w:cs="宋体"/>
                <w:sz w:val="24"/>
                <w:highlight w:val="none"/>
              </w:rPr>
            </w:pPr>
            <w:r>
              <w:rPr>
                <w:rFonts w:hint="eastAsia" w:ascii="宋体" w:hAnsi="宋体" w:cs="宋体"/>
                <w:b/>
                <w:bCs/>
                <w:sz w:val="24"/>
                <w:highlight w:val="none"/>
              </w:rPr>
              <w:t>设备安装验收合格后整机保修期：</w:t>
            </w:r>
            <w:r>
              <w:rPr>
                <w:rFonts w:hint="eastAsia" w:ascii="宋体" w:hAnsi="宋体" w:cs="宋体"/>
                <w:b/>
                <w:bCs/>
                <w:sz w:val="24"/>
                <w:highlight w:val="none"/>
                <w:u w:val="single"/>
              </w:rPr>
              <w:t>标项一≥</w:t>
            </w:r>
            <w:r>
              <w:rPr>
                <w:rFonts w:hint="eastAsia" w:ascii="宋体" w:hAnsi="宋体" w:cs="宋体"/>
                <w:b/>
                <w:bCs/>
                <w:sz w:val="24"/>
                <w:highlight w:val="none"/>
                <w:u w:val="single"/>
                <w:lang w:val="en-US" w:eastAsia="zh-CN"/>
              </w:rPr>
              <w:t>1</w:t>
            </w:r>
            <w:r>
              <w:rPr>
                <w:rFonts w:hint="eastAsia" w:ascii="宋体" w:hAnsi="宋体" w:cs="宋体"/>
                <w:b/>
                <w:bCs/>
                <w:sz w:val="24"/>
                <w:highlight w:val="none"/>
                <w:u w:val="single"/>
              </w:rPr>
              <w:t>年；标项二≥1年</w:t>
            </w:r>
            <w:r>
              <w:rPr>
                <w:rFonts w:hint="eastAsia" w:ascii="宋体" w:hAnsi="宋体" w:cs="宋体"/>
                <w:b/>
                <w:bCs/>
                <w:sz w:val="24"/>
                <w:highlight w:val="none"/>
                <w:u w:val="single"/>
                <w:lang w:eastAsia="zh-CN"/>
              </w:rPr>
              <w:t>；</w:t>
            </w:r>
            <w:r>
              <w:rPr>
                <w:rFonts w:hint="eastAsia" w:ascii="宋体" w:hAnsi="宋体" w:cs="宋体"/>
                <w:b/>
                <w:bCs/>
                <w:sz w:val="24"/>
                <w:highlight w:val="none"/>
                <w:u w:val="single"/>
              </w:rPr>
              <w:t>标项</w:t>
            </w:r>
            <w:r>
              <w:rPr>
                <w:rFonts w:hint="eastAsia" w:ascii="宋体" w:hAnsi="宋体" w:cs="宋体"/>
                <w:b/>
                <w:bCs/>
                <w:sz w:val="24"/>
                <w:highlight w:val="none"/>
                <w:u w:val="single"/>
                <w:lang w:val="en-US" w:eastAsia="zh-CN"/>
              </w:rPr>
              <w:t>三</w:t>
            </w:r>
            <w:r>
              <w:rPr>
                <w:rFonts w:hint="eastAsia" w:ascii="宋体" w:hAnsi="宋体" w:cs="宋体"/>
                <w:b/>
                <w:bCs/>
                <w:sz w:val="24"/>
                <w:highlight w:val="none"/>
                <w:u w:val="single"/>
              </w:rPr>
              <w:t>≥</w:t>
            </w:r>
            <w:r>
              <w:rPr>
                <w:rFonts w:hint="eastAsia" w:ascii="宋体" w:hAnsi="宋体" w:cs="宋体"/>
                <w:b/>
                <w:bCs/>
                <w:sz w:val="24"/>
                <w:highlight w:val="none"/>
                <w:u w:val="single"/>
                <w:lang w:val="en-US" w:eastAsia="zh-CN"/>
              </w:rPr>
              <w:t>1</w:t>
            </w:r>
            <w:r>
              <w:rPr>
                <w:rFonts w:hint="eastAsia" w:ascii="宋体" w:hAnsi="宋体" w:cs="宋体"/>
                <w:b/>
                <w:bCs/>
                <w:sz w:val="24"/>
                <w:highlight w:val="none"/>
                <w:u w:val="single"/>
              </w:rPr>
              <w:t>年；标项</w:t>
            </w:r>
            <w:r>
              <w:rPr>
                <w:rFonts w:hint="eastAsia" w:ascii="宋体" w:hAnsi="宋体" w:cs="宋体"/>
                <w:b/>
                <w:bCs/>
                <w:sz w:val="24"/>
                <w:highlight w:val="none"/>
                <w:u w:val="single"/>
                <w:lang w:val="en-US" w:eastAsia="zh-CN"/>
              </w:rPr>
              <w:t>四</w:t>
            </w:r>
            <w:r>
              <w:rPr>
                <w:rFonts w:hint="eastAsia" w:ascii="宋体" w:hAnsi="宋体" w:cs="宋体"/>
                <w:b/>
                <w:bCs/>
                <w:sz w:val="24"/>
                <w:highlight w:val="none"/>
                <w:u w:val="single"/>
              </w:rPr>
              <w:t>≥1年。</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3"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履约保证金</w:t>
            </w:r>
          </w:p>
        </w:tc>
        <w:tc>
          <w:tcPr>
            <w:tcW w:w="6905" w:type="dxa"/>
            <w:tcBorders>
              <w:tl2br w:val="nil"/>
              <w:tr2bl w:val="nil"/>
            </w:tcBorders>
            <w:vAlign w:val="center"/>
          </w:tcPr>
          <w:p>
            <w:pPr>
              <w:pStyle w:val="25"/>
              <w:rPr>
                <w:rFonts w:hAnsi="宋体" w:cs="宋体"/>
                <w:b/>
                <w:bCs/>
                <w:szCs w:val="24"/>
                <w:highlight w:val="none"/>
              </w:rPr>
            </w:pPr>
            <w:r>
              <w:rPr>
                <w:rFonts w:hint="eastAsia" w:hAnsi="宋体" w:cs="宋体"/>
                <w:szCs w:val="24"/>
                <w:highlight w:val="none"/>
              </w:rPr>
              <w:t>无须提交履约保证金</w:t>
            </w:r>
          </w:p>
        </w:tc>
      </w:tr>
    </w:tbl>
    <w:p>
      <w:pPr>
        <w:snapToGrid w:val="0"/>
        <w:spacing w:line="300" w:lineRule="auto"/>
        <w:jc w:val="left"/>
        <w:rPr>
          <w:rFonts w:ascii="宋体" w:hAnsi="宋体" w:cs="宋体"/>
          <w:b/>
          <w:bCs/>
          <w:sz w:val="24"/>
          <w:highlight w:val="none"/>
        </w:rPr>
      </w:pPr>
    </w:p>
    <w:p>
      <w:pPr>
        <w:spacing w:line="360" w:lineRule="auto"/>
        <w:jc w:val="center"/>
        <w:outlineLvl w:val="0"/>
        <w:rPr>
          <w:rFonts w:ascii="宋体" w:hAnsi="宋体" w:cs="宋体"/>
          <w:b/>
          <w:sz w:val="36"/>
          <w:szCs w:val="36"/>
          <w:highlight w:val="none"/>
        </w:rPr>
      </w:pPr>
    </w:p>
    <w:p>
      <w:pPr>
        <w:spacing w:line="360" w:lineRule="auto"/>
        <w:jc w:val="center"/>
        <w:outlineLvl w:val="0"/>
        <w:rPr>
          <w:rFonts w:ascii="宋体" w:hAnsi="宋体" w:cs="宋体"/>
          <w:b/>
          <w:sz w:val="36"/>
          <w:szCs w:val="36"/>
          <w:highlight w:val="none"/>
        </w:rPr>
      </w:pPr>
    </w:p>
    <w:p>
      <w:pPr>
        <w:spacing w:line="360" w:lineRule="auto"/>
        <w:jc w:val="center"/>
        <w:outlineLvl w:val="0"/>
        <w:rPr>
          <w:rFonts w:ascii="宋体" w:hAnsi="宋体" w:cs="宋体"/>
          <w:b/>
          <w:sz w:val="36"/>
          <w:szCs w:val="36"/>
          <w:highlight w:val="none"/>
        </w:rPr>
        <w:sectPr>
          <w:pgSz w:w="11907" w:h="16840"/>
          <w:pgMar w:top="1474" w:right="1814" w:bottom="1474" w:left="1814" w:header="851" w:footer="851" w:gutter="0"/>
          <w:cols w:space="720" w:num="1"/>
        </w:sectPr>
      </w:pPr>
    </w:p>
    <w:p>
      <w:pPr>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 xml:space="preserve">第四部分   </w:t>
      </w:r>
      <w:bookmarkStart w:id="34" w:name="_Toc184313274"/>
      <w:bookmarkEnd w:id="34"/>
      <w:bookmarkStart w:id="35" w:name="_Toc184310317"/>
      <w:bookmarkEnd w:id="35"/>
      <w:bookmarkStart w:id="36" w:name="_Toc184314460"/>
      <w:bookmarkEnd w:id="36"/>
      <w:bookmarkStart w:id="37" w:name="_Toc184308068"/>
      <w:bookmarkEnd w:id="37"/>
      <w:bookmarkStart w:id="38" w:name="_Toc184310323"/>
      <w:bookmarkEnd w:id="38"/>
      <w:bookmarkStart w:id="39" w:name="_Toc184312109"/>
      <w:bookmarkEnd w:id="39"/>
      <w:bookmarkStart w:id="40" w:name="_Toc184308049"/>
      <w:bookmarkEnd w:id="40"/>
      <w:bookmarkStart w:id="41" w:name="_Toc184312106"/>
      <w:bookmarkEnd w:id="41"/>
      <w:bookmarkStart w:id="42" w:name="_Toc184310305"/>
      <w:bookmarkEnd w:id="42"/>
      <w:bookmarkStart w:id="43" w:name="_Toc184310285"/>
      <w:bookmarkEnd w:id="43"/>
      <w:bookmarkStart w:id="44" w:name="_Toc184314481"/>
      <w:bookmarkEnd w:id="44"/>
      <w:bookmarkStart w:id="45" w:name="_Toc184314438"/>
      <w:bookmarkEnd w:id="45"/>
      <w:bookmarkStart w:id="46" w:name="_Toc184313290"/>
      <w:bookmarkEnd w:id="46"/>
      <w:bookmarkStart w:id="47" w:name="_Toc184308047"/>
      <w:bookmarkEnd w:id="47"/>
      <w:bookmarkStart w:id="48" w:name="_Toc184310311"/>
      <w:bookmarkEnd w:id="48"/>
      <w:bookmarkStart w:id="49" w:name="_Toc184308095"/>
      <w:bookmarkEnd w:id="49"/>
      <w:bookmarkStart w:id="50" w:name="_Toc184310330"/>
      <w:bookmarkEnd w:id="50"/>
      <w:bookmarkStart w:id="51" w:name="_Toc184312074"/>
      <w:bookmarkEnd w:id="51"/>
      <w:bookmarkStart w:id="52" w:name="_Toc184308102"/>
      <w:bookmarkEnd w:id="52"/>
      <w:bookmarkStart w:id="53" w:name="_Toc184313275"/>
      <w:bookmarkEnd w:id="53"/>
      <w:bookmarkStart w:id="54" w:name="_Toc184310306"/>
      <w:bookmarkEnd w:id="54"/>
      <w:bookmarkStart w:id="55" w:name="_Toc184314429"/>
      <w:bookmarkEnd w:id="55"/>
      <w:bookmarkStart w:id="56" w:name="_Toc184310272"/>
      <w:bookmarkEnd w:id="56"/>
      <w:bookmarkStart w:id="57" w:name="_Toc184312085"/>
      <w:bookmarkEnd w:id="57"/>
      <w:bookmarkStart w:id="58" w:name="_Toc184310291"/>
      <w:bookmarkEnd w:id="58"/>
      <w:bookmarkStart w:id="59" w:name="_Toc184310286"/>
      <w:bookmarkEnd w:id="59"/>
      <w:bookmarkStart w:id="60" w:name="_Toc184313247"/>
      <w:bookmarkEnd w:id="60"/>
      <w:bookmarkStart w:id="61" w:name="_Toc184308089"/>
      <w:bookmarkEnd w:id="61"/>
      <w:bookmarkStart w:id="62" w:name="_Toc184312125"/>
      <w:bookmarkEnd w:id="62"/>
      <w:bookmarkStart w:id="63" w:name="_Toc184310334"/>
      <w:bookmarkEnd w:id="63"/>
      <w:bookmarkStart w:id="64" w:name="_Toc184312111"/>
      <w:bookmarkEnd w:id="64"/>
      <w:bookmarkStart w:id="65" w:name="_Toc184314474"/>
      <w:bookmarkEnd w:id="65"/>
      <w:bookmarkStart w:id="66" w:name="_Toc184313301"/>
      <w:bookmarkEnd w:id="66"/>
      <w:bookmarkStart w:id="67" w:name="_Toc184308041"/>
      <w:bookmarkEnd w:id="67"/>
      <w:bookmarkStart w:id="68" w:name="_Toc184314425"/>
      <w:bookmarkEnd w:id="68"/>
      <w:bookmarkStart w:id="69" w:name="_Toc184313291"/>
      <w:bookmarkEnd w:id="69"/>
      <w:bookmarkStart w:id="70" w:name="_Toc184308059"/>
      <w:bookmarkEnd w:id="70"/>
      <w:bookmarkStart w:id="71" w:name="_Toc184313277"/>
      <w:bookmarkEnd w:id="71"/>
      <w:bookmarkStart w:id="72" w:name="_Toc184308083"/>
      <w:bookmarkEnd w:id="72"/>
      <w:bookmarkStart w:id="73" w:name="_Toc184312131"/>
      <w:bookmarkEnd w:id="73"/>
      <w:bookmarkStart w:id="74" w:name="_Toc184310322"/>
      <w:bookmarkEnd w:id="74"/>
      <w:bookmarkStart w:id="75" w:name="_Toc184314462"/>
      <w:bookmarkEnd w:id="75"/>
      <w:bookmarkStart w:id="76" w:name="_Toc184310295"/>
      <w:bookmarkEnd w:id="76"/>
      <w:bookmarkStart w:id="77" w:name="_Toc184308088"/>
      <w:bookmarkEnd w:id="77"/>
      <w:bookmarkStart w:id="78" w:name="_Toc184313276"/>
      <w:bookmarkEnd w:id="78"/>
      <w:bookmarkStart w:id="79" w:name="_Toc184314454"/>
      <w:bookmarkEnd w:id="79"/>
      <w:bookmarkStart w:id="80" w:name="_Toc184312075"/>
      <w:bookmarkEnd w:id="80"/>
      <w:bookmarkStart w:id="81" w:name="_Toc184310274"/>
      <w:bookmarkEnd w:id="81"/>
      <w:bookmarkStart w:id="82" w:name="_Toc184314461"/>
      <w:bookmarkEnd w:id="82"/>
      <w:bookmarkStart w:id="83" w:name="_Toc184310284"/>
      <w:bookmarkEnd w:id="83"/>
      <w:bookmarkStart w:id="84" w:name="_Toc184312089"/>
      <w:bookmarkEnd w:id="84"/>
      <w:bookmarkStart w:id="85" w:name="_Toc184312115"/>
      <w:bookmarkEnd w:id="85"/>
      <w:bookmarkStart w:id="86" w:name="_Toc184313269"/>
      <w:bookmarkEnd w:id="86"/>
      <w:bookmarkStart w:id="87" w:name="_Toc184312124"/>
      <w:bookmarkEnd w:id="87"/>
      <w:bookmarkStart w:id="88" w:name="_Toc184314422"/>
      <w:bookmarkEnd w:id="88"/>
      <w:bookmarkStart w:id="89" w:name="_Toc184312071"/>
      <w:bookmarkEnd w:id="89"/>
      <w:bookmarkStart w:id="90" w:name="_Toc184312083"/>
      <w:bookmarkEnd w:id="90"/>
      <w:bookmarkStart w:id="91" w:name="_Toc184314439"/>
      <w:bookmarkEnd w:id="91"/>
      <w:bookmarkStart w:id="92" w:name="_Toc184313238"/>
      <w:bookmarkEnd w:id="92"/>
      <w:bookmarkStart w:id="93" w:name="_Toc184308100"/>
      <w:bookmarkEnd w:id="93"/>
      <w:bookmarkStart w:id="94" w:name="_Toc184312084"/>
      <w:bookmarkEnd w:id="94"/>
      <w:bookmarkStart w:id="95" w:name="_Toc184314431"/>
      <w:bookmarkEnd w:id="95"/>
      <w:bookmarkStart w:id="96" w:name="_Toc184308058"/>
      <w:bookmarkEnd w:id="96"/>
      <w:bookmarkStart w:id="97" w:name="_Toc184314456"/>
      <w:bookmarkEnd w:id="97"/>
      <w:bookmarkStart w:id="98" w:name="_Toc184314465"/>
      <w:bookmarkEnd w:id="98"/>
      <w:bookmarkStart w:id="99" w:name="_Toc184313309"/>
      <w:bookmarkEnd w:id="99"/>
      <w:bookmarkStart w:id="100" w:name="_Toc184314473"/>
      <w:bookmarkEnd w:id="100"/>
      <w:bookmarkStart w:id="101" w:name="_Toc184314428"/>
      <w:bookmarkEnd w:id="101"/>
      <w:bookmarkStart w:id="102" w:name="_Toc184312139"/>
      <w:bookmarkEnd w:id="102"/>
      <w:bookmarkStart w:id="103" w:name="_Toc184308065"/>
      <w:bookmarkEnd w:id="103"/>
      <w:bookmarkStart w:id="104" w:name="_Toc184314446"/>
      <w:bookmarkEnd w:id="104"/>
      <w:bookmarkStart w:id="105" w:name="_Toc184310301"/>
      <w:bookmarkEnd w:id="105"/>
      <w:bookmarkStart w:id="106" w:name="_Toc184313246"/>
      <w:bookmarkEnd w:id="106"/>
      <w:bookmarkStart w:id="107" w:name="_Toc184308037"/>
      <w:bookmarkEnd w:id="107"/>
      <w:bookmarkStart w:id="108" w:name="_Toc184310343"/>
      <w:bookmarkEnd w:id="108"/>
      <w:bookmarkStart w:id="109" w:name="_Toc184308090"/>
      <w:bookmarkEnd w:id="109"/>
      <w:bookmarkStart w:id="110" w:name="_Toc184312101"/>
      <w:bookmarkEnd w:id="110"/>
      <w:bookmarkStart w:id="111" w:name="_Toc184312069"/>
      <w:bookmarkEnd w:id="111"/>
      <w:bookmarkStart w:id="112" w:name="_Toc184310296"/>
      <w:bookmarkEnd w:id="112"/>
      <w:bookmarkStart w:id="113" w:name="_Toc184314464"/>
      <w:bookmarkEnd w:id="113"/>
      <w:bookmarkStart w:id="114" w:name="_Toc184312103"/>
      <w:bookmarkEnd w:id="114"/>
      <w:bookmarkStart w:id="115" w:name="_Toc184310341"/>
      <w:bookmarkEnd w:id="115"/>
      <w:bookmarkStart w:id="116" w:name="_Toc184308106"/>
      <w:bookmarkEnd w:id="116"/>
      <w:bookmarkStart w:id="117" w:name="_Toc184310332"/>
      <w:bookmarkEnd w:id="117"/>
      <w:bookmarkStart w:id="118" w:name="_Toc184308063"/>
      <w:bookmarkEnd w:id="118"/>
      <w:bookmarkStart w:id="119" w:name="_Toc184308036"/>
      <w:bookmarkEnd w:id="119"/>
      <w:bookmarkStart w:id="120" w:name="_Toc184314412"/>
      <w:bookmarkEnd w:id="120"/>
      <w:bookmarkStart w:id="121" w:name="_Toc184308038"/>
      <w:bookmarkEnd w:id="121"/>
      <w:bookmarkStart w:id="122" w:name="_Toc184312118"/>
      <w:bookmarkEnd w:id="122"/>
      <w:bookmarkStart w:id="123" w:name="_Toc184308050"/>
      <w:bookmarkEnd w:id="123"/>
      <w:bookmarkStart w:id="124" w:name="_Toc184310299"/>
      <w:bookmarkEnd w:id="124"/>
      <w:bookmarkStart w:id="125" w:name="_Toc184308042"/>
      <w:bookmarkEnd w:id="125"/>
      <w:bookmarkStart w:id="126" w:name="_Toc184313251"/>
      <w:bookmarkEnd w:id="126"/>
      <w:bookmarkStart w:id="127" w:name="_Toc184308082"/>
      <w:bookmarkEnd w:id="127"/>
      <w:bookmarkStart w:id="128" w:name="_Toc184312117"/>
      <w:bookmarkEnd w:id="128"/>
      <w:bookmarkStart w:id="129" w:name="_Toc184313307"/>
      <w:bookmarkEnd w:id="129"/>
      <w:bookmarkStart w:id="130" w:name="_Toc184314478"/>
      <w:bookmarkEnd w:id="130"/>
      <w:bookmarkStart w:id="131" w:name="_Toc184312092"/>
      <w:bookmarkEnd w:id="131"/>
      <w:bookmarkStart w:id="132" w:name="_Toc184312107"/>
      <w:bookmarkEnd w:id="132"/>
      <w:bookmarkStart w:id="133" w:name="_Toc184314453"/>
      <w:bookmarkEnd w:id="133"/>
      <w:bookmarkStart w:id="134" w:name="_Toc184310308"/>
      <w:bookmarkEnd w:id="134"/>
      <w:bookmarkStart w:id="135" w:name="_Toc184313280"/>
      <w:bookmarkEnd w:id="135"/>
      <w:bookmarkStart w:id="136" w:name="_Toc184312070"/>
      <w:bookmarkEnd w:id="136"/>
      <w:bookmarkStart w:id="137" w:name="_Toc184308080"/>
      <w:bookmarkEnd w:id="137"/>
      <w:bookmarkStart w:id="138" w:name="_Toc184314441"/>
      <w:bookmarkEnd w:id="138"/>
      <w:bookmarkStart w:id="139" w:name="_Toc184313300"/>
      <w:bookmarkEnd w:id="139"/>
      <w:bookmarkStart w:id="140" w:name="_Toc184308067"/>
      <w:bookmarkEnd w:id="140"/>
      <w:bookmarkStart w:id="141" w:name="_Toc184310293"/>
      <w:bookmarkEnd w:id="141"/>
      <w:bookmarkStart w:id="142" w:name="_Toc184314479"/>
      <w:bookmarkEnd w:id="142"/>
      <w:bookmarkStart w:id="143" w:name="_Toc184310304"/>
      <w:bookmarkEnd w:id="143"/>
      <w:bookmarkStart w:id="144" w:name="_Toc184313245"/>
      <w:bookmarkEnd w:id="144"/>
      <w:bookmarkStart w:id="145" w:name="_Toc184313248"/>
      <w:bookmarkEnd w:id="145"/>
      <w:bookmarkStart w:id="146" w:name="_Toc184312112"/>
      <w:bookmarkEnd w:id="146"/>
      <w:bookmarkStart w:id="147" w:name="_Toc184310331"/>
      <w:bookmarkEnd w:id="147"/>
      <w:bookmarkStart w:id="148" w:name="_Toc184312099"/>
      <w:bookmarkEnd w:id="148"/>
      <w:bookmarkStart w:id="149" w:name="_Toc184310298"/>
      <w:bookmarkEnd w:id="149"/>
      <w:bookmarkStart w:id="150" w:name="_Toc184310294"/>
      <w:bookmarkEnd w:id="150"/>
      <w:bookmarkStart w:id="151" w:name="_Toc184308070"/>
      <w:bookmarkEnd w:id="151"/>
      <w:bookmarkStart w:id="152" w:name="_Toc184314475"/>
      <w:bookmarkEnd w:id="152"/>
      <w:bookmarkStart w:id="153" w:name="_Toc184310292"/>
      <w:bookmarkEnd w:id="153"/>
      <w:bookmarkStart w:id="154" w:name="_Toc184312086"/>
      <w:bookmarkEnd w:id="154"/>
      <w:bookmarkStart w:id="155" w:name="_Toc184314469"/>
      <w:bookmarkEnd w:id="155"/>
      <w:bookmarkStart w:id="156" w:name="_Toc184308045"/>
      <w:bookmarkEnd w:id="156"/>
      <w:bookmarkStart w:id="157" w:name="_Toc184310283"/>
      <w:bookmarkEnd w:id="157"/>
      <w:bookmarkStart w:id="158" w:name="_Toc184310326"/>
      <w:bookmarkEnd w:id="158"/>
      <w:bookmarkStart w:id="159" w:name="_Toc184310288"/>
      <w:bookmarkEnd w:id="159"/>
      <w:bookmarkStart w:id="160" w:name="_Toc184314434"/>
      <w:bookmarkEnd w:id="160"/>
      <w:bookmarkStart w:id="161" w:name="_Toc184312079"/>
      <w:bookmarkEnd w:id="161"/>
      <w:bookmarkStart w:id="162" w:name="_Toc184314480"/>
      <w:bookmarkEnd w:id="162"/>
      <w:bookmarkStart w:id="163" w:name="_Toc184313253"/>
      <w:bookmarkEnd w:id="163"/>
      <w:bookmarkStart w:id="164" w:name="_Toc184308075"/>
      <w:bookmarkEnd w:id="164"/>
      <w:bookmarkStart w:id="165" w:name="_Toc184308107"/>
      <w:bookmarkEnd w:id="165"/>
      <w:bookmarkStart w:id="166" w:name="_Toc184313306"/>
      <w:bookmarkEnd w:id="166"/>
      <w:bookmarkStart w:id="167" w:name="_Toc184313298"/>
      <w:bookmarkEnd w:id="167"/>
      <w:bookmarkStart w:id="168" w:name="_Toc184314433"/>
      <w:bookmarkEnd w:id="168"/>
      <w:bookmarkStart w:id="169" w:name="_Toc184310329"/>
      <w:bookmarkEnd w:id="169"/>
      <w:bookmarkStart w:id="170" w:name="_Toc184308103"/>
      <w:bookmarkEnd w:id="170"/>
      <w:bookmarkStart w:id="171" w:name="_Toc184312072"/>
      <w:bookmarkEnd w:id="171"/>
      <w:bookmarkStart w:id="172" w:name="_Toc184313285"/>
      <w:bookmarkEnd w:id="172"/>
      <w:bookmarkStart w:id="173" w:name="_Toc184313263"/>
      <w:bookmarkEnd w:id="173"/>
      <w:bookmarkStart w:id="174" w:name="_Toc184310321"/>
      <w:bookmarkEnd w:id="174"/>
      <w:bookmarkStart w:id="175" w:name="_Toc184314430"/>
      <w:bookmarkEnd w:id="175"/>
      <w:bookmarkStart w:id="176" w:name="_Toc184313299"/>
      <w:bookmarkEnd w:id="176"/>
      <w:bookmarkStart w:id="177" w:name="_Toc184310314"/>
      <w:bookmarkEnd w:id="177"/>
      <w:bookmarkStart w:id="178" w:name="_Toc184310339"/>
      <w:bookmarkEnd w:id="178"/>
      <w:bookmarkStart w:id="179" w:name="_Toc184310303"/>
      <w:bookmarkEnd w:id="179"/>
      <w:bookmarkStart w:id="180" w:name="_Toc184314427"/>
      <w:bookmarkEnd w:id="180"/>
      <w:bookmarkStart w:id="181" w:name="_Toc184308046"/>
      <w:bookmarkEnd w:id="181"/>
      <w:bookmarkStart w:id="182" w:name="_Toc184308091"/>
      <w:bookmarkEnd w:id="182"/>
      <w:bookmarkStart w:id="183" w:name="_Toc184313305"/>
      <w:bookmarkEnd w:id="183"/>
      <w:bookmarkStart w:id="184" w:name="_Toc184310281"/>
      <w:bookmarkEnd w:id="184"/>
      <w:bookmarkStart w:id="185" w:name="_Toc184308066"/>
      <w:bookmarkEnd w:id="185"/>
      <w:bookmarkStart w:id="186" w:name="_Toc184310327"/>
      <w:bookmarkEnd w:id="186"/>
      <w:bookmarkStart w:id="187" w:name="_Toc184310333"/>
      <w:bookmarkEnd w:id="187"/>
      <w:bookmarkStart w:id="188" w:name="_Toc184314449"/>
      <w:bookmarkEnd w:id="188"/>
      <w:bookmarkStart w:id="189" w:name="_Toc184312127"/>
      <w:bookmarkEnd w:id="189"/>
      <w:bookmarkStart w:id="190" w:name="_Toc184313295"/>
      <w:bookmarkEnd w:id="190"/>
      <w:bookmarkStart w:id="191" w:name="_Toc184308039"/>
      <w:bookmarkEnd w:id="191"/>
      <w:bookmarkStart w:id="192" w:name="_Toc184310297"/>
      <w:bookmarkEnd w:id="192"/>
      <w:bookmarkStart w:id="193" w:name="_Toc184312104"/>
      <w:bookmarkEnd w:id="193"/>
      <w:bookmarkStart w:id="194" w:name="_Toc184308104"/>
      <w:bookmarkEnd w:id="194"/>
      <w:bookmarkStart w:id="195" w:name="_Toc184312135"/>
      <w:bookmarkEnd w:id="195"/>
      <w:bookmarkStart w:id="196" w:name="_Toc184314413"/>
      <w:bookmarkEnd w:id="196"/>
      <w:bookmarkStart w:id="197" w:name="_Toc184314467"/>
      <w:bookmarkEnd w:id="197"/>
      <w:bookmarkStart w:id="198" w:name="_Toc184310273"/>
      <w:bookmarkEnd w:id="198"/>
      <w:bookmarkStart w:id="199" w:name="_Toc184308054"/>
      <w:bookmarkEnd w:id="199"/>
      <w:bookmarkStart w:id="200" w:name="_Toc184312129"/>
      <w:bookmarkEnd w:id="200"/>
      <w:bookmarkStart w:id="201" w:name="_Toc184313284"/>
      <w:bookmarkEnd w:id="201"/>
      <w:bookmarkStart w:id="202" w:name="_Toc184312105"/>
      <w:bookmarkEnd w:id="202"/>
      <w:bookmarkStart w:id="203" w:name="_Toc184313279"/>
      <w:bookmarkEnd w:id="203"/>
      <w:bookmarkStart w:id="204" w:name="_Toc184310337"/>
      <w:bookmarkEnd w:id="204"/>
      <w:bookmarkStart w:id="205" w:name="_Toc184314432"/>
      <w:bookmarkEnd w:id="205"/>
      <w:bookmarkStart w:id="206" w:name="_Toc184312098"/>
      <w:bookmarkEnd w:id="206"/>
      <w:bookmarkStart w:id="207" w:name="_Toc184314470"/>
      <w:bookmarkEnd w:id="207"/>
      <w:bookmarkStart w:id="208" w:name="_Toc184312110"/>
      <w:bookmarkEnd w:id="208"/>
      <w:bookmarkStart w:id="209" w:name="_Toc184313267"/>
      <w:bookmarkEnd w:id="209"/>
      <w:bookmarkStart w:id="210" w:name="_Toc184310324"/>
      <w:bookmarkEnd w:id="210"/>
      <w:bookmarkStart w:id="211" w:name="_Toc184310290"/>
      <w:bookmarkEnd w:id="211"/>
      <w:bookmarkStart w:id="212" w:name="_Toc184312080"/>
      <w:bookmarkEnd w:id="212"/>
      <w:bookmarkStart w:id="213" w:name="_Toc184310278"/>
      <w:bookmarkEnd w:id="213"/>
      <w:bookmarkStart w:id="214" w:name="_Toc184314423"/>
      <w:bookmarkEnd w:id="214"/>
      <w:bookmarkStart w:id="215" w:name="_Toc184310280"/>
      <w:bookmarkEnd w:id="215"/>
      <w:bookmarkStart w:id="216" w:name="_Toc184308043"/>
      <w:bookmarkEnd w:id="216"/>
      <w:bookmarkStart w:id="217" w:name="_Toc184314476"/>
      <w:bookmarkEnd w:id="217"/>
      <w:bookmarkStart w:id="218" w:name="_Toc184312123"/>
      <w:bookmarkEnd w:id="218"/>
      <w:bookmarkStart w:id="219" w:name="_Toc184308097"/>
      <w:bookmarkEnd w:id="219"/>
      <w:bookmarkStart w:id="220" w:name="_Toc184313303"/>
      <w:bookmarkEnd w:id="220"/>
      <w:bookmarkStart w:id="221" w:name="_Toc184308081"/>
      <w:bookmarkEnd w:id="221"/>
      <w:bookmarkStart w:id="222" w:name="_Toc184313260"/>
      <w:bookmarkEnd w:id="222"/>
      <w:bookmarkStart w:id="223" w:name="_Toc184310309"/>
      <w:bookmarkEnd w:id="223"/>
      <w:bookmarkStart w:id="224" w:name="_Toc184310325"/>
      <w:bookmarkEnd w:id="224"/>
      <w:bookmarkStart w:id="225" w:name="_Toc184310300"/>
      <w:bookmarkEnd w:id="225"/>
      <w:bookmarkStart w:id="226" w:name="_Toc184313308"/>
      <w:bookmarkEnd w:id="226"/>
      <w:bookmarkStart w:id="227" w:name="_Toc184310277"/>
      <w:bookmarkEnd w:id="227"/>
      <w:bookmarkStart w:id="228" w:name="_Toc184308069"/>
      <w:bookmarkEnd w:id="228"/>
      <w:bookmarkStart w:id="229" w:name="_Toc184312078"/>
      <w:bookmarkEnd w:id="229"/>
      <w:bookmarkStart w:id="230" w:name="_Toc184314410"/>
      <w:bookmarkEnd w:id="230"/>
      <w:bookmarkStart w:id="231" w:name="_Toc184308093"/>
      <w:bookmarkEnd w:id="231"/>
      <w:bookmarkStart w:id="232" w:name="_Toc184310289"/>
      <w:bookmarkEnd w:id="232"/>
      <w:bookmarkStart w:id="233" w:name="_Toc184313261"/>
      <w:bookmarkEnd w:id="233"/>
      <w:bookmarkStart w:id="234" w:name="_Toc184313270"/>
      <w:bookmarkEnd w:id="234"/>
      <w:bookmarkStart w:id="235" w:name="_Toc184314411"/>
      <w:bookmarkEnd w:id="235"/>
      <w:bookmarkStart w:id="236" w:name="_Toc184314477"/>
      <w:bookmarkEnd w:id="236"/>
      <w:bookmarkStart w:id="237" w:name="_Toc184308074"/>
      <w:bookmarkEnd w:id="237"/>
      <w:bookmarkStart w:id="238" w:name="_Toc184308077"/>
      <w:bookmarkEnd w:id="238"/>
      <w:bookmarkStart w:id="239" w:name="_Toc184313244"/>
      <w:bookmarkEnd w:id="239"/>
      <w:bookmarkStart w:id="240" w:name="_Toc184308108"/>
      <w:bookmarkEnd w:id="240"/>
      <w:bookmarkStart w:id="241" w:name="_Toc184314418"/>
      <w:bookmarkEnd w:id="241"/>
      <w:bookmarkStart w:id="242" w:name="_Toc184308051"/>
      <w:bookmarkEnd w:id="242"/>
      <w:bookmarkStart w:id="243" w:name="_Toc184312134"/>
      <w:bookmarkEnd w:id="243"/>
      <w:bookmarkStart w:id="244" w:name="_Toc184313302"/>
      <w:bookmarkEnd w:id="244"/>
      <w:bookmarkStart w:id="245" w:name="_Toc184313296"/>
      <w:bookmarkEnd w:id="245"/>
      <w:bookmarkStart w:id="246" w:name="_Toc184312126"/>
      <w:bookmarkEnd w:id="246"/>
      <w:bookmarkStart w:id="247" w:name="_Toc184308099"/>
      <w:bookmarkEnd w:id="247"/>
      <w:bookmarkStart w:id="248" w:name="_Toc184314414"/>
      <w:bookmarkEnd w:id="248"/>
      <w:bookmarkStart w:id="249" w:name="_Toc184314417"/>
      <w:bookmarkEnd w:id="249"/>
      <w:bookmarkStart w:id="250" w:name="_Toc184308060"/>
      <w:bookmarkEnd w:id="250"/>
      <w:bookmarkStart w:id="251" w:name="_Toc184310342"/>
      <w:bookmarkEnd w:id="251"/>
      <w:bookmarkStart w:id="252" w:name="_Toc184313292"/>
      <w:bookmarkEnd w:id="252"/>
      <w:bookmarkStart w:id="253" w:name="_Toc184314424"/>
      <w:bookmarkEnd w:id="253"/>
      <w:bookmarkStart w:id="254" w:name="_Toc184314420"/>
      <w:bookmarkEnd w:id="254"/>
      <w:bookmarkStart w:id="255" w:name="_Toc184308076"/>
      <w:bookmarkEnd w:id="255"/>
      <w:bookmarkStart w:id="256" w:name="_Toc184308105"/>
      <w:bookmarkEnd w:id="256"/>
      <w:bookmarkStart w:id="257" w:name="_Toc184308092"/>
      <w:bookmarkEnd w:id="257"/>
      <w:bookmarkStart w:id="258" w:name="_Toc184313288"/>
      <w:bookmarkEnd w:id="258"/>
      <w:bookmarkStart w:id="259" w:name="_Toc184308071"/>
      <w:bookmarkEnd w:id="259"/>
      <w:bookmarkStart w:id="260" w:name="_Toc184313282"/>
      <w:bookmarkEnd w:id="260"/>
      <w:bookmarkStart w:id="261" w:name="_Toc184312090"/>
      <w:bookmarkEnd w:id="261"/>
      <w:bookmarkStart w:id="262" w:name="_Toc184312116"/>
      <w:bookmarkEnd w:id="262"/>
      <w:bookmarkStart w:id="263" w:name="_Toc184308055"/>
      <w:bookmarkEnd w:id="263"/>
      <w:bookmarkStart w:id="264" w:name="_Toc184312108"/>
      <w:bookmarkEnd w:id="264"/>
      <w:bookmarkStart w:id="265" w:name="_Toc184313294"/>
      <w:bookmarkEnd w:id="265"/>
      <w:bookmarkStart w:id="266" w:name="_Toc184308044"/>
      <w:bookmarkEnd w:id="266"/>
      <w:bookmarkStart w:id="267" w:name="_Toc184312122"/>
      <w:bookmarkEnd w:id="267"/>
      <w:bookmarkStart w:id="268" w:name="_Toc184312094"/>
      <w:bookmarkEnd w:id="268"/>
      <w:bookmarkStart w:id="269" w:name="_Toc184314471"/>
      <w:bookmarkEnd w:id="269"/>
      <w:bookmarkStart w:id="270" w:name="_Toc184312102"/>
      <w:bookmarkEnd w:id="270"/>
      <w:bookmarkStart w:id="271" w:name="_Toc184313271"/>
      <w:bookmarkEnd w:id="271"/>
      <w:bookmarkStart w:id="272" w:name="_Toc184313241"/>
      <w:bookmarkEnd w:id="272"/>
      <w:bookmarkStart w:id="273" w:name="_Toc184310335"/>
      <w:bookmarkEnd w:id="273"/>
      <w:bookmarkStart w:id="274" w:name="_Toc184314459"/>
      <w:bookmarkEnd w:id="274"/>
      <w:bookmarkStart w:id="275" w:name="_Toc184314463"/>
      <w:bookmarkEnd w:id="275"/>
      <w:bookmarkStart w:id="276" w:name="_Toc184313255"/>
      <w:bookmarkEnd w:id="276"/>
      <w:bookmarkStart w:id="277" w:name="_Toc184312119"/>
      <w:bookmarkEnd w:id="277"/>
      <w:bookmarkStart w:id="278" w:name="_Toc184314445"/>
      <w:bookmarkEnd w:id="278"/>
      <w:bookmarkStart w:id="279" w:name="_Toc184314435"/>
      <w:bookmarkEnd w:id="279"/>
      <w:bookmarkStart w:id="280" w:name="_Toc184312100"/>
      <w:bookmarkEnd w:id="280"/>
      <w:bookmarkStart w:id="281" w:name="_Toc184313287"/>
      <w:bookmarkEnd w:id="281"/>
      <w:bookmarkStart w:id="282" w:name="_Toc184313286"/>
      <w:bookmarkEnd w:id="282"/>
      <w:bookmarkStart w:id="283" w:name="_Toc184312096"/>
      <w:bookmarkEnd w:id="283"/>
      <w:bookmarkStart w:id="284" w:name="_Toc184308056"/>
      <w:bookmarkEnd w:id="284"/>
      <w:bookmarkStart w:id="285" w:name="_Toc184314416"/>
      <w:bookmarkEnd w:id="285"/>
      <w:bookmarkStart w:id="286" w:name="_Toc184310275"/>
      <w:bookmarkEnd w:id="286"/>
      <w:bookmarkStart w:id="287" w:name="_Toc184312068"/>
      <w:bookmarkEnd w:id="287"/>
      <w:bookmarkStart w:id="288" w:name="_Toc184314421"/>
      <w:bookmarkEnd w:id="288"/>
      <w:bookmarkStart w:id="289" w:name="_Toc184313272"/>
      <w:bookmarkEnd w:id="289"/>
      <w:bookmarkStart w:id="290" w:name="_Toc184312121"/>
      <w:bookmarkEnd w:id="290"/>
      <w:bookmarkStart w:id="291" w:name="_Toc184314436"/>
      <w:bookmarkEnd w:id="291"/>
      <w:bookmarkStart w:id="292" w:name="_Toc184312120"/>
      <w:bookmarkEnd w:id="292"/>
      <w:bookmarkStart w:id="293" w:name="_Toc184313262"/>
      <w:bookmarkEnd w:id="293"/>
      <w:bookmarkStart w:id="294" w:name="_Toc184312133"/>
      <w:bookmarkEnd w:id="294"/>
      <w:bookmarkStart w:id="295" w:name="_Toc184308073"/>
      <w:bookmarkEnd w:id="295"/>
      <w:bookmarkStart w:id="296" w:name="_Toc184312130"/>
      <w:bookmarkEnd w:id="296"/>
      <w:bookmarkStart w:id="297" w:name="_Toc184313249"/>
      <w:bookmarkEnd w:id="297"/>
      <w:bookmarkStart w:id="298" w:name="_Toc184312073"/>
      <w:bookmarkEnd w:id="298"/>
      <w:bookmarkStart w:id="299" w:name="_Toc184312087"/>
      <w:bookmarkEnd w:id="299"/>
      <w:bookmarkStart w:id="300" w:name="_Toc184313278"/>
      <w:bookmarkEnd w:id="300"/>
      <w:bookmarkStart w:id="301" w:name="_Toc184314419"/>
      <w:bookmarkEnd w:id="301"/>
      <w:bookmarkStart w:id="302" w:name="_Toc184312128"/>
      <w:bookmarkEnd w:id="302"/>
      <w:bookmarkStart w:id="303" w:name="_Toc184308085"/>
      <w:bookmarkEnd w:id="303"/>
      <w:bookmarkStart w:id="304" w:name="_Toc184314415"/>
      <w:bookmarkEnd w:id="304"/>
      <w:bookmarkStart w:id="305" w:name="_Toc184310313"/>
      <w:bookmarkEnd w:id="305"/>
      <w:bookmarkStart w:id="306" w:name="_Toc184310319"/>
      <w:bookmarkEnd w:id="306"/>
      <w:bookmarkStart w:id="307" w:name="_Toc184312077"/>
      <w:bookmarkEnd w:id="307"/>
      <w:bookmarkStart w:id="308" w:name="_Toc184313273"/>
      <w:bookmarkEnd w:id="308"/>
      <w:bookmarkStart w:id="309" w:name="_Toc184313240"/>
      <w:bookmarkEnd w:id="309"/>
      <w:bookmarkStart w:id="310" w:name="_Toc184312081"/>
      <w:bookmarkEnd w:id="310"/>
      <w:bookmarkStart w:id="311" w:name="_Toc184312095"/>
      <w:bookmarkEnd w:id="311"/>
      <w:bookmarkStart w:id="312" w:name="_Toc184308094"/>
      <w:bookmarkEnd w:id="312"/>
      <w:bookmarkStart w:id="313" w:name="_Toc184312113"/>
      <w:bookmarkEnd w:id="313"/>
      <w:bookmarkStart w:id="314" w:name="_Toc184314442"/>
      <w:bookmarkEnd w:id="314"/>
      <w:bookmarkStart w:id="315" w:name="_Toc184310312"/>
      <w:bookmarkEnd w:id="315"/>
      <w:bookmarkStart w:id="316" w:name="_Toc184308052"/>
      <w:bookmarkEnd w:id="316"/>
      <w:bookmarkStart w:id="317" w:name="_Toc184310340"/>
      <w:bookmarkEnd w:id="317"/>
      <w:bookmarkStart w:id="318" w:name="_Toc184313239"/>
      <w:bookmarkEnd w:id="318"/>
      <w:bookmarkStart w:id="319" w:name="_Toc184314452"/>
      <w:bookmarkEnd w:id="319"/>
      <w:bookmarkStart w:id="320" w:name="_Toc184310282"/>
      <w:bookmarkEnd w:id="320"/>
      <w:bookmarkStart w:id="321" w:name="_Toc184313242"/>
      <w:bookmarkEnd w:id="321"/>
      <w:bookmarkStart w:id="322" w:name="_Toc184308057"/>
      <w:bookmarkEnd w:id="322"/>
      <w:bookmarkStart w:id="323" w:name="_Toc184308040"/>
      <w:bookmarkEnd w:id="323"/>
      <w:bookmarkStart w:id="324" w:name="_Toc184314426"/>
      <w:bookmarkEnd w:id="324"/>
      <w:bookmarkStart w:id="325" w:name="_Toc184314482"/>
      <w:bookmarkEnd w:id="325"/>
      <w:bookmarkStart w:id="326" w:name="_Toc184313243"/>
      <w:bookmarkEnd w:id="326"/>
      <w:bookmarkStart w:id="327" w:name="_Toc184313283"/>
      <w:bookmarkEnd w:id="327"/>
      <w:bookmarkStart w:id="328" w:name="_Toc184313297"/>
      <w:bookmarkEnd w:id="328"/>
      <w:bookmarkStart w:id="329" w:name="_Toc184312136"/>
      <w:bookmarkEnd w:id="329"/>
      <w:bookmarkStart w:id="330" w:name="_Toc184308101"/>
      <w:bookmarkEnd w:id="330"/>
      <w:bookmarkStart w:id="331" w:name="_Toc184310315"/>
      <w:bookmarkEnd w:id="331"/>
      <w:bookmarkStart w:id="332" w:name="_Toc184314440"/>
      <w:bookmarkEnd w:id="332"/>
      <w:bookmarkStart w:id="333" w:name="_Toc184312132"/>
      <w:bookmarkEnd w:id="333"/>
      <w:bookmarkStart w:id="334" w:name="_Toc184310302"/>
      <w:bookmarkEnd w:id="334"/>
      <w:bookmarkStart w:id="335" w:name="_Toc184314443"/>
      <w:bookmarkEnd w:id="335"/>
      <w:bookmarkStart w:id="336" w:name="_Toc184308084"/>
      <w:bookmarkEnd w:id="336"/>
      <w:bookmarkStart w:id="337" w:name="_Toc184314472"/>
      <w:bookmarkEnd w:id="337"/>
      <w:bookmarkStart w:id="338" w:name="_Toc184308079"/>
      <w:bookmarkEnd w:id="338"/>
      <w:bookmarkStart w:id="339" w:name="_Toc184314466"/>
      <w:bookmarkEnd w:id="339"/>
      <w:bookmarkStart w:id="340" w:name="_Toc184313256"/>
      <w:bookmarkEnd w:id="340"/>
      <w:bookmarkStart w:id="341" w:name="_Toc184313266"/>
      <w:bookmarkEnd w:id="341"/>
      <w:bookmarkStart w:id="342" w:name="_Toc184313258"/>
      <w:bookmarkEnd w:id="342"/>
      <w:bookmarkStart w:id="343" w:name="_Toc184313289"/>
      <w:bookmarkEnd w:id="343"/>
      <w:bookmarkStart w:id="344" w:name="_Toc184308053"/>
      <w:bookmarkEnd w:id="344"/>
      <w:bookmarkStart w:id="345" w:name="_Toc184310307"/>
      <w:bookmarkEnd w:id="345"/>
      <w:bookmarkStart w:id="346" w:name="_Toc184313281"/>
      <w:bookmarkEnd w:id="346"/>
      <w:bookmarkStart w:id="347" w:name="_Toc184312138"/>
      <w:bookmarkEnd w:id="347"/>
      <w:bookmarkStart w:id="348" w:name="_Toc184314455"/>
      <w:bookmarkEnd w:id="348"/>
      <w:bookmarkStart w:id="349" w:name="_Toc184308061"/>
      <w:bookmarkEnd w:id="349"/>
      <w:bookmarkStart w:id="350" w:name="_Toc184308096"/>
      <w:bookmarkEnd w:id="350"/>
      <w:bookmarkStart w:id="351" w:name="_Toc184313259"/>
      <w:bookmarkEnd w:id="351"/>
      <w:bookmarkStart w:id="352" w:name="_Toc184312082"/>
      <w:bookmarkEnd w:id="352"/>
      <w:bookmarkStart w:id="353" w:name="_Toc184308086"/>
      <w:bookmarkEnd w:id="353"/>
      <w:bookmarkStart w:id="354" w:name="_Toc184308064"/>
      <w:bookmarkEnd w:id="354"/>
      <w:bookmarkStart w:id="355" w:name="_Toc184308078"/>
      <w:bookmarkEnd w:id="355"/>
      <w:bookmarkStart w:id="356" w:name="_Toc184308048"/>
      <w:bookmarkEnd w:id="356"/>
      <w:bookmarkStart w:id="357" w:name="_Toc184313268"/>
      <w:bookmarkEnd w:id="357"/>
      <w:bookmarkStart w:id="358" w:name="_Toc184313310"/>
      <w:bookmarkEnd w:id="358"/>
      <w:bookmarkStart w:id="359" w:name="_Toc184310276"/>
      <w:bookmarkEnd w:id="359"/>
      <w:bookmarkStart w:id="360" w:name="_Toc184313250"/>
      <w:bookmarkEnd w:id="360"/>
      <w:bookmarkStart w:id="361" w:name="_Toc184308087"/>
      <w:bookmarkEnd w:id="361"/>
      <w:bookmarkStart w:id="362" w:name="_Toc184313265"/>
      <w:bookmarkEnd w:id="362"/>
      <w:bookmarkStart w:id="363" w:name="_Toc184314444"/>
      <w:bookmarkEnd w:id="363"/>
      <w:bookmarkStart w:id="364" w:name="_Toc184310279"/>
      <w:bookmarkEnd w:id="364"/>
      <w:bookmarkStart w:id="365" w:name="_Toc184314448"/>
      <w:bookmarkEnd w:id="365"/>
      <w:bookmarkStart w:id="366" w:name="_Toc184310336"/>
      <w:bookmarkEnd w:id="366"/>
      <w:bookmarkStart w:id="367" w:name="_Toc184313254"/>
      <w:bookmarkEnd w:id="367"/>
      <w:bookmarkStart w:id="368" w:name="_Toc184314437"/>
      <w:bookmarkEnd w:id="368"/>
      <w:bookmarkStart w:id="369" w:name="_Toc184313293"/>
      <w:bookmarkEnd w:id="369"/>
      <w:bookmarkStart w:id="370" w:name="_Toc184308098"/>
      <w:bookmarkEnd w:id="370"/>
      <w:bookmarkStart w:id="371" w:name="_Toc184312137"/>
      <w:bookmarkEnd w:id="371"/>
      <w:bookmarkStart w:id="372" w:name="_Toc184310310"/>
      <w:bookmarkEnd w:id="372"/>
      <w:bookmarkStart w:id="373" w:name="_Toc184310328"/>
      <w:bookmarkEnd w:id="373"/>
      <w:bookmarkStart w:id="374" w:name="_Toc184313252"/>
      <w:bookmarkEnd w:id="374"/>
      <w:bookmarkStart w:id="375" w:name="_Toc184310338"/>
      <w:bookmarkEnd w:id="375"/>
      <w:bookmarkStart w:id="376" w:name="_Toc184308062"/>
      <w:bookmarkEnd w:id="376"/>
      <w:bookmarkStart w:id="377" w:name="_Toc184312088"/>
      <w:bookmarkEnd w:id="377"/>
      <w:bookmarkStart w:id="378" w:name="_Toc184314447"/>
      <w:bookmarkEnd w:id="378"/>
      <w:bookmarkStart w:id="379" w:name="_Toc184313264"/>
      <w:bookmarkEnd w:id="379"/>
      <w:bookmarkStart w:id="380" w:name="_Toc184312091"/>
      <w:bookmarkEnd w:id="380"/>
      <w:bookmarkStart w:id="381" w:name="_Toc184314451"/>
      <w:bookmarkEnd w:id="381"/>
      <w:bookmarkStart w:id="382" w:name="_Toc184314457"/>
      <w:bookmarkEnd w:id="382"/>
      <w:bookmarkStart w:id="383" w:name="_Toc184314458"/>
      <w:bookmarkEnd w:id="383"/>
      <w:bookmarkStart w:id="384" w:name="_Toc184310344"/>
      <w:bookmarkEnd w:id="384"/>
      <w:bookmarkStart w:id="385" w:name="_Toc184313304"/>
      <w:bookmarkEnd w:id="385"/>
      <w:bookmarkStart w:id="386" w:name="_Toc184310316"/>
      <w:bookmarkEnd w:id="386"/>
      <w:bookmarkStart w:id="387" w:name="_Toc184314468"/>
      <w:bookmarkEnd w:id="387"/>
      <w:bookmarkStart w:id="388" w:name="_Toc184310320"/>
      <w:bookmarkEnd w:id="388"/>
      <w:bookmarkStart w:id="389" w:name="_Toc184312093"/>
      <w:bookmarkEnd w:id="389"/>
      <w:bookmarkStart w:id="390" w:name="_Toc184312076"/>
      <w:bookmarkEnd w:id="390"/>
      <w:bookmarkStart w:id="391" w:name="_Toc184310287"/>
      <w:bookmarkEnd w:id="391"/>
      <w:bookmarkStart w:id="392" w:name="_Toc184308072"/>
      <w:bookmarkEnd w:id="392"/>
      <w:bookmarkStart w:id="393" w:name="_Toc184312067"/>
      <w:bookmarkEnd w:id="393"/>
      <w:bookmarkStart w:id="394" w:name="_Toc184310318"/>
      <w:bookmarkEnd w:id="394"/>
      <w:bookmarkStart w:id="395" w:name="_Toc184314450"/>
      <w:bookmarkEnd w:id="395"/>
      <w:bookmarkStart w:id="396" w:name="_Toc184313257"/>
      <w:bookmarkEnd w:id="396"/>
      <w:bookmarkStart w:id="397" w:name="_Toc184312097"/>
      <w:bookmarkEnd w:id="397"/>
      <w:bookmarkStart w:id="398" w:name="_Toc184312114"/>
      <w:bookmarkEnd w:id="398"/>
      <w:r>
        <w:rPr>
          <w:rFonts w:hint="eastAsia" w:ascii="宋体" w:hAnsi="宋体" w:cs="宋体"/>
          <w:b/>
          <w:sz w:val="36"/>
          <w:szCs w:val="36"/>
          <w:highlight w:val="none"/>
        </w:rPr>
        <w:t>评标办法</w:t>
      </w:r>
    </w:p>
    <w:p>
      <w:pPr>
        <w:snapToGrid w:val="0"/>
        <w:spacing w:line="360" w:lineRule="auto"/>
        <w:jc w:val="center"/>
        <w:rPr>
          <w:rFonts w:hint="eastAsia" w:ascii="宋体" w:hAnsi="宋体" w:cs="宋体"/>
          <w:b/>
          <w:sz w:val="24"/>
          <w:highlight w:val="none"/>
        </w:rPr>
      </w:pPr>
      <w:r>
        <w:rPr>
          <w:rFonts w:hint="eastAsia" w:ascii="宋体" w:hAnsi="宋体" w:cs="宋体"/>
          <w:b/>
          <w:sz w:val="24"/>
          <w:highlight w:val="none"/>
        </w:rPr>
        <w:t>评标办法前附表</w:t>
      </w:r>
    </w:p>
    <w:p>
      <w:pPr>
        <w:pStyle w:val="25"/>
        <w:rPr>
          <w:rFonts w:hint="default" w:eastAsia="宋体"/>
          <w:b/>
          <w:bCs/>
          <w:highlight w:val="none"/>
          <w:lang w:val="en-US" w:eastAsia="zh-CN"/>
        </w:rPr>
      </w:pPr>
      <w:r>
        <w:rPr>
          <w:rFonts w:hint="eastAsia"/>
          <w:b/>
          <w:bCs/>
          <w:highlight w:val="none"/>
          <w:lang w:val="en-US" w:eastAsia="zh-CN"/>
        </w:rPr>
        <w:t>标项一</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4997"/>
        <w:gridCol w:w="991"/>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序号</w:t>
            </w:r>
          </w:p>
        </w:tc>
        <w:tc>
          <w:tcPr>
            <w:tcW w:w="2941"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评标标准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权重</w:t>
            </w:r>
          </w:p>
        </w:tc>
        <w:tc>
          <w:tcPr>
            <w:tcW w:w="939" w:type="pct"/>
            <w:vAlign w:val="center"/>
          </w:tcPr>
          <w:p>
            <w:pPr>
              <w:snapToGrid w:val="0"/>
              <w:spacing w:line="300" w:lineRule="auto"/>
              <w:jc w:val="center"/>
              <w:rPr>
                <w:rFonts w:ascii="宋体" w:hAnsi="宋体" w:cs="宋体"/>
                <w:bCs/>
                <w:sz w:val="24"/>
                <w:highlight w:val="none"/>
              </w:rPr>
            </w:pPr>
            <w:r>
              <w:rPr>
                <w:rFonts w:hint="eastAsia" w:ascii="宋体" w:hAnsi="宋体" w:cs="宋体"/>
                <w:bCs/>
                <w:sz w:val="24"/>
                <w:highlight w:val="none"/>
              </w:rPr>
              <w:t>主观分/客观分属性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1</w:t>
            </w:r>
          </w:p>
        </w:tc>
        <w:tc>
          <w:tcPr>
            <w:tcW w:w="2941" w:type="pct"/>
          </w:tcPr>
          <w:p>
            <w:pPr>
              <w:tabs>
                <w:tab w:val="left" w:pos="0"/>
              </w:tabs>
              <w:spacing w:line="300" w:lineRule="auto"/>
              <w:jc w:val="left"/>
              <w:rPr>
                <w:rFonts w:ascii="宋体" w:hAnsi="宋体" w:cs="宋体"/>
                <w:sz w:val="24"/>
                <w:highlight w:val="none"/>
              </w:rPr>
            </w:pPr>
            <w:r>
              <w:rPr>
                <w:rFonts w:hint="eastAsia" w:ascii="宋体" w:hAnsi="宋体" w:cs="宋体"/>
                <w:sz w:val="24"/>
                <w:highlight w:val="none"/>
              </w:rPr>
              <w:t>评标基准价指的是满足招标文件要求且最低的参与评审的价格。</w:t>
            </w:r>
          </w:p>
          <w:p>
            <w:pPr>
              <w:tabs>
                <w:tab w:val="left" w:pos="0"/>
              </w:tabs>
              <w:spacing w:line="300" w:lineRule="auto"/>
              <w:jc w:val="left"/>
              <w:rPr>
                <w:rFonts w:ascii="宋体" w:hAnsi="宋体" w:cs="宋体"/>
                <w:sz w:val="24"/>
                <w:highlight w:val="none"/>
              </w:rPr>
            </w:pPr>
            <w:r>
              <w:rPr>
                <w:rFonts w:hint="eastAsia" w:ascii="宋体" w:hAnsi="宋体" w:cs="宋体"/>
                <w:sz w:val="24"/>
                <w:highlight w:val="none"/>
              </w:rPr>
              <w:t>参与评审的价格=投标报价</w:t>
            </w:r>
          </w:p>
          <w:p>
            <w:pPr>
              <w:tabs>
                <w:tab w:val="left" w:pos="0"/>
              </w:tabs>
              <w:spacing w:line="300" w:lineRule="auto"/>
              <w:jc w:val="left"/>
              <w:rPr>
                <w:rFonts w:ascii="宋体" w:hAnsi="宋体" w:cs="宋体"/>
                <w:sz w:val="24"/>
                <w:highlight w:val="none"/>
              </w:rPr>
            </w:pPr>
            <w:r>
              <w:rPr>
                <w:rFonts w:hint="eastAsia" w:ascii="宋体" w:hAnsi="宋体" w:cs="宋体"/>
                <w:sz w:val="24"/>
                <w:highlight w:val="none"/>
              </w:rPr>
              <w:t>参与评审的价格为评标基准价的其价格得分得满分30分。</w:t>
            </w:r>
          </w:p>
          <w:p>
            <w:pPr>
              <w:tabs>
                <w:tab w:val="left" w:pos="0"/>
              </w:tabs>
              <w:spacing w:line="300" w:lineRule="auto"/>
              <w:jc w:val="left"/>
              <w:rPr>
                <w:rFonts w:ascii="宋体" w:hAnsi="宋体" w:cs="宋体"/>
                <w:sz w:val="24"/>
                <w:highlight w:val="none"/>
              </w:rPr>
            </w:pPr>
            <w:r>
              <w:rPr>
                <w:rFonts w:hint="eastAsia" w:ascii="宋体" w:hAnsi="宋体" w:cs="宋体"/>
                <w:sz w:val="24"/>
                <w:highlight w:val="none"/>
              </w:rPr>
              <w:t>其他投标人价格得分按照下列公式计算：</w:t>
            </w:r>
          </w:p>
          <w:p>
            <w:pPr>
              <w:tabs>
                <w:tab w:val="left" w:pos="0"/>
              </w:tabs>
              <w:spacing w:line="300" w:lineRule="auto"/>
              <w:jc w:val="left"/>
              <w:rPr>
                <w:rFonts w:ascii="宋体" w:hAnsi="宋体" w:cs="宋体"/>
                <w:sz w:val="24"/>
                <w:highlight w:val="none"/>
              </w:rPr>
            </w:pPr>
            <w:r>
              <w:rPr>
                <w:rFonts w:hint="eastAsia" w:ascii="宋体" w:hAnsi="宋体" w:cs="宋体"/>
                <w:sz w:val="24"/>
                <w:highlight w:val="none"/>
              </w:rPr>
              <w:t>价格得分=（评标基准价/各投标人参与评审的价格）×30％×100。</w:t>
            </w:r>
          </w:p>
          <w:p>
            <w:pPr>
              <w:tabs>
                <w:tab w:val="left" w:pos="0"/>
              </w:tabs>
              <w:spacing w:line="300" w:lineRule="auto"/>
              <w:jc w:val="left"/>
              <w:rPr>
                <w:rFonts w:ascii="宋体" w:hAnsi="宋体" w:cs="宋体"/>
                <w:sz w:val="24"/>
                <w:highlight w:val="none"/>
              </w:rPr>
            </w:pPr>
            <w:r>
              <w:rPr>
                <w:rFonts w:hint="eastAsia" w:ascii="宋体" w:hAnsi="宋体" w:cs="宋体"/>
                <w:b/>
                <w:bCs/>
                <w:sz w:val="24"/>
                <w:highlight w:val="none"/>
              </w:rPr>
              <w:t>注：1、投标报价超过对应最高限价的作无效标处理。2、价格得分小数点后保留2位小数，第3位小数四舍五入。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30%</w:t>
            </w:r>
          </w:p>
        </w:tc>
        <w:tc>
          <w:tcPr>
            <w:tcW w:w="939"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2</w:t>
            </w:r>
          </w:p>
        </w:tc>
        <w:tc>
          <w:tcPr>
            <w:tcW w:w="2941" w:type="pct"/>
          </w:tcPr>
          <w:p>
            <w:pPr>
              <w:snapToGrid w:val="0"/>
              <w:spacing w:line="300" w:lineRule="auto"/>
              <w:jc w:val="left"/>
              <w:rPr>
                <w:rFonts w:ascii="宋体" w:hAnsi="宋体" w:cs="宋体"/>
                <w:sz w:val="24"/>
                <w:highlight w:val="none"/>
              </w:rPr>
            </w:pPr>
            <w:r>
              <w:rPr>
                <w:rFonts w:hint="eastAsia" w:ascii="宋体" w:hAnsi="宋体" w:cs="宋体"/>
                <w:b/>
                <w:bCs/>
                <w:sz w:val="24"/>
                <w:highlight w:val="none"/>
              </w:rPr>
              <w:t>对招标文件的技术需求（</w:t>
            </w:r>
            <w:r>
              <w:rPr>
                <w:rFonts w:hint="eastAsia" w:ascii="宋体" w:hAnsi="宋体" w:cs="宋体"/>
                <w:b/>
                <w:bCs/>
                <w:sz w:val="24"/>
                <w:highlight w:val="none"/>
                <w:lang w:val="en-US" w:eastAsia="zh-CN"/>
              </w:rPr>
              <w:t>29</w:t>
            </w:r>
            <w:r>
              <w:rPr>
                <w:rFonts w:hint="eastAsia" w:ascii="宋体" w:hAnsi="宋体" w:cs="宋体"/>
                <w:b/>
                <w:bCs/>
                <w:sz w:val="24"/>
                <w:highlight w:val="none"/>
              </w:rPr>
              <w:t>分）</w:t>
            </w:r>
            <w:r>
              <w:rPr>
                <w:rFonts w:hint="eastAsia" w:ascii="宋体" w:hAnsi="宋体" w:cs="宋体"/>
                <w:sz w:val="24"/>
                <w:highlight w:val="none"/>
              </w:rPr>
              <w:t>：完全满足招标文件</w:t>
            </w:r>
            <w:r>
              <w:rPr>
                <w:rFonts w:hint="eastAsia" w:ascii="宋体" w:hAnsi="宋体" w:cs="宋体"/>
                <w:sz w:val="24"/>
                <w:highlight w:val="none"/>
                <w:lang w:val="en-US" w:eastAsia="zh-CN"/>
              </w:rPr>
              <w:t>第三章采购需求中一、</w:t>
            </w:r>
            <w:r>
              <w:rPr>
                <w:rFonts w:hint="eastAsia" w:ascii="宋体" w:hAnsi="宋体" w:cs="宋体"/>
                <w:sz w:val="24"/>
                <w:highlight w:val="none"/>
              </w:rPr>
              <w:t>技术参数中所有技术条款的得</w:t>
            </w:r>
            <w:r>
              <w:rPr>
                <w:rFonts w:hint="eastAsia" w:ascii="宋体" w:hAnsi="宋体" w:cs="宋体"/>
                <w:sz w:val="24"/>
                <w:highlight w:val="none"/>
                <w:lang w:val="en-US" w:eastAsia="zh-CN"/>
              </w:rPr>
              <w:t>29</w:t>
            </w:r>
            <w:r>
              <w:rPr>
                <w:rFonts w:hint="eastAsia" w:ascii="宋体" w:hAnsi="宋体" w:cs="宋体"/>
                <w:sz w:val="24"/>
                <w:highlight w:val="none"/>
              </w:rPr>
              <w:t>分。每负偏离（即不满足招标文件要求）一条打“★”号的技术条款的，作无效标处理</w:t>
            </w:r>
            <w:r>
              <w:rPr>
                <w:rFonts w:hint="eastAsia" w:ascii="宋体" w:hAnsi="宋体" w:cs="宋体"/>
                <w:sz w:val="24"/>
                <w:highlight w:val="none"/>
                <w:lang w:eastAsia="zh-CN"/>
              </w:rPr>
              <w:t>；</w:t>
            </w:r>
            <w:r>
              <w:rPr>
                <w:rFonts w:hint="eastAsia" w:ascii="宋体" w:hAnsi="宋体" w:cs="宋体"/>
                <w:sz w:val="24"/>
                <w:highlight w:val="none"/>
              </w:rPr>
              <w:t>每负偏离一条带“▲”的技术条款扣2分；未带“▲”</w:t>
            </w:r>
            <w:r>
              <w:rPr>
                <w:rFonts w:hint="eastAsia" w:ascii="宋体" w:hAnsi="宋体" w:cs="宋体"/>
                <w:sz w:val="24"/>
                <w:highlight w:val="none"/>
                <w:lang w:val="en-US" w:eastAsia="zh-CN"/>
              </w:rPr>
              <w:t>或</w:t>
            </w:r>
            <w:r>
              <w:rPr>
                <w:rFonts w:hint="eastAsia" w:ascii="宋体" w:hAnsi="宋体" w:cs="宋体"/>
                <w:sz w:val="24"/>
                <w:highlight w:val="none"/>
              </w:rPr>
              <w:t>“★”的技术条款扣1分,；当扣减至0分（或以下）时，该投标被拒绝，其投标文件作无效标处理，不再进行评审。</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lang w:val="en-US" w:eastAsia="zh-CN"/>
              </w:rPr>
              <w:t>29</w:t>
            </w:r>
            <w:r>
              <w:rPr>
                <w:rFonts w:hint="eastAsia" w:ascii="宋体" w:hAnsi="宋体" w:cs="宋体"/>
                <w:sz w:val="24"/>
                <w:highlight w:val="none"/>
              </w:rPr>
              <w:t>%</w:t>
            </w:r>
          </w:p>
        </w:tc>
        <w:tc>
          <w:tcPr>
            <w:tcW w:w="939"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2941" w:type="pct"/>
            <w:vAlign w:val="center"/>
          </w:tcPr>
          <w:p>
            <w:pPr>
              <w:pStyle w:val="3"/>
              <w:adjustRightInd w:val="0"/>
              <w:snapToGrid w:val="0"/>
              <w:spacing w:after="0" w:line="300" w:lineRule="auto"/>
              <w:ind w:left="0" w:leftChars="0" w:firstLine="0" w:firstLineChars="0"/>
              <w:jc w:val="left"/>
              <w:rPr>
                <w:rFonts w:cs="宋体"/>
                <w:sz w:val="24"/>
                <w:highlight w:val="none"/>
              </w:rPr>
            </w:pPr>
            <w:r>
              <w:rPr>
                <w:rFonts w:hint="eastAsia" w:cs="宋体"/>
                <w:b/>
                <w:bCs/>
                <w:sz w:val="24"/>
                <w:highlight w:val="none"/>
              </w:rPr>
              <w:t>相关业绩（3分）：</w:t>
            </w:r>
            <w:r>
              <w:rPr>
                <w:rFonts w:hint="eastAsia" w:cs="宋体"/>
                <w:sz w:val="24"/>
                <w:highlight w:val="none"/>
              </w:rPr>
              <w:t>投标人在2021年以来于销售同一型号产品，合同签订时间自2021年1月1日以来的，与最终用户签订的销售业绩，每提供一例业绩得1分。提供完整的合同复印件，复印件能清楚的辨析设备型号和价格，否则不得分。本项最高得3分。对省级以上主管部门认定的首台套产品，自纳入《省推广应用指导目录》起三年内参加政府采购活动，视同已具备相应销售业绩，业绩分为满分，投标文件中提供相应的证明材料。</w:t>
            </w:r>
          </w:p>
          <w:p>
            <w:pPr>
              <w:snapToGrid w:val="0"/>
              <w:spacing w:line="300" w:lineRule="auto"/>
              <w:jc w:val="left"/>
              <w:rPr>
                <w:rFonts w:ascii="宋体" w:hAnsi="宋体" w:cs="宋体"/>
                <w:sz w:val="24"/>
                <w:highlight w:val="none"/>
              </w:rPr>
            </w:pPr>
            <w:r>
              <w:rPr>
                <w:rFonts w:hint="eastAsia" w:ascii="宋体" w:hAnsi="宋体" w:cs="宋体"/>
                <w:b/>
                <w:bCs/>
                <w:sz w:val="24"/>
                <w:highlight w:val="none"/>
              </w:rPr>
              <w:t>注：投标文件中提供合同复印件并加盖公章，否则不得分。同一用户不重复计分。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9"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4</w:t>
            </w:r>
          </w:p>
        </w:tc>
        <w:tc>
          <w:tcPr>
            <w:tcW w:w="2941" w:type="pct"/>
            <w:vAlign w:val="center"/>
          </w:tcPr>
          <w:p>
            <w:pPr>
              <w:snapToGrid w:val="0"/>
              <w:spacing w:line="300" w:lineRule="auto"/>
              <w:jc w:val="left"/>
              <w:rPr>
                <w:rFonts w:ascii="宋体" w:hAnsi="宋体" w:cs="宋体"/>
                <w:b/>
                <w:bCs/>
                <w:sz w:val="24"/>
                <w:highlight w:val="none"/>
              </w:rPr>
            </w:pPr>
            <w:r>
              <w:rPr>
                <w:rFonts w:hint="eastAsia" w:ascii="宋体" w:hAnsi="宋体" w:cs="宋体"/>
                <w:b/>
                <w:bCs/>
                <w:sz w:val="24"/>
                <w:highlight w:val="none"/>
              </w:rPr>
              <w:t>政府采购政策（2分）：</w:t>
            </w:r>
          </w:p>
          <w:p>
            <w:pPr>
              <w:snapToGrid w:val="0"/>
              <w:spacing w:line="300" w:lineRule="auto"/>
              <w:jc w:val="left"/>
              <w:rPr>
                <w:rFonts w:ascii="宋体" w:hAnsi="宋体" w:cs="宋体"/>
                <w:sz w:val="24"/>
                <w:highlight w:val="none"/>
              </w:rPr>
            </w:pPr>
            <w:r>
              <w:rPr>
                <w:rFonts w:hint="eastAsia" w:ascii="宋体" w:hAnsi="宋体" w:cs="宋体"/>
                <w:sz w:val="24"/>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snapToGrid w:val="0"/>
              <w:spacing w:line="300" w:lineRule="auto"/>
              <w:jc w:val="left"/>
              <w:rPr>
                <w:rFonts w:ascii="宋体" w:hAnsi="宋体" w:cs="宋体"/>
                <w:b/>
                <w:bCs/>
                <w:sz w:val="24"/>
                <w:highlight w:val="none"/>
              </w:rPr>
            </w:pPr>
            <w:r>
              <w:rPr>
                <w:rFonts w:hint="eastAsia" w:ascii="宋体" w:hAnsi="宋体" w:cs="宋体"/>
                <w:sz w:val="24"/>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2%</w:t>
            </w:r>
          </w:p>
        </w:tc>
        <w:tc>
          <w:tcPr>
            <w:tcW w:w="939"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napToGrid w:val="0"/>
              <w:spacing w:line="300" w:lineRule="auto"/>
              <w:jc w:val="left"/>
              <w:rPr>
                <w:rFonts w:hint="eastAsia" w:ascii="宋体" w:hAnsi="宋体" w:cs="宋体"/>
                <w:sz w:val="24"/>
                <w:highlight w:val="none"/>
              </w:rPr>
            </w:pPr>
            <w:r>
              <w:rPr>
                <w:rFonts w:cs="宋体" w:asciiTheme="minorEastAsia" w:hAnsiTheme="minorEastAsia" w:eastAsiaTheme="minorEastAsia"/>
                <w:b/>
                <w:bCs/>
                <w:sz w:val="24"/>
                <w:highlight w:val="none"/>
              </w:rPr>
              <w:t>设计方案（</w:t>
            </w:r>
            <w:r>
              <w:rPr>
                <w:rFonts w:hint="eastAsia" w:cs="宋体" w:asciiTheme="minorEastAsia" w:hAnsiTheme="minorEastAsia" w:eastAsiaTheme="minorEastAsia"/>
                <w:b/>
                <w:bCs/>
                <w:sz w:val="24"/>
                <w:highlight w:val="none"/>
              </w:rPr>
              <w:t>9分</w:t>
            </w:r>
            <w:r>
              <w:rPr>
                <w:rFonts w:cs="宋体" w:asciiTheme="minorEastAsia" w:hAnsiTheme="minorEastAsia" w:eastAsiaTheme="minorEastAsia"/>
                <w:b/>
                <w:bCs/>
                <w:sz w:val="24"/>
                <w:highlight w:val="none"/>
              </w:rPr>
              <w:t>）根据招标文件提供</w:t>
            </w:r>
            <w:r>
              <w:rPr>
                <w:rFonts w:hint="eastAsia" w:cs="宋体" w:asciiTheme="minorEastAsia" w:hAnsiTheme="minorEastAsia" w:eastAsiaTheme="minorEastAsia"/>
                <w:b/>
                <w:bCs/>
                <w:sz w:val="24"/>
                <w:highlight w:val="none"/>
              </w:rPr>
              <w:t>：提供平面尺寸布置图、设备布局尺寸图和</w:t>
            </w:r>
            <w:r>
              <w:rPr>
                <w:rFonts w:hint="eastAsia" w:cs="宋体" w:asciiTheme="minorEastAsia" w:hAnsiTheme="minorEastAsia" w:eastAsiaTheme="minorEastAsia"/>
                <w:b/>
                <w:bCs/>
                <w:sz w:val="24"/>
                <w:highlight w:val="none"/>
                <w:lang w:val="en-US" w:eastAsia="zh-CN"/>
              </w:rPr>
              <w:t>彩色平面</w:t>
            </w:r>
            <w:r>
              <w:rPr>
                <w:rFonts w:hint="eastAsia" w:cs="宋体" w:asciiTheme="minorEastAsia" w:hAnsiTheme="minorEastAsia" w:eastAsiaTheme="minorEastAsia"/>
                <w:b/>
                <w:bCs/>
                <w:sz w:val="24"/>
                <w:highlight w:val="none"/>
              </w:rPr>
              <w:t>效果图</w:t>
            </w:r>
            <w:r>
              <w:rPr>
                <w:rFonts w:hint="eastAsia" w:cs="宋体" w:asciiTheme="minorEastAsia" w:hAnsiTheme="minorEastAsia" w:eastAsiaTheme="minorEastAsia"/>
                <w:b/>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restart"/>
            <w:vAlign w:val="center"/>
          </w:tcPr>
          <w:p>
            <w:pPr>
              <w:snapToGrid w:val="0"/>
              <w:spacing w:line="300" w:lineRule="auto"/>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5</w:t>
            </w:r>
          </w:p>
        </w:tc>
        <w:tc>
          <w:tcPr>
            <w:tcW w:w="2941" w:type="pct"/>
            <w:vAlign w:val="center"/>
          </w:tcPr>
          <w:p>
            <w:pPr>
              <w:snapToGrid w:val="0"/>
              <w:spacing w:line="300" w:lineRule="auto"/>
              <w:jc w:val="left"/>
              <w:rPr>
                <w:rFonts w:hint="eastAsia" w:ascii="宋体" w:hAnsi="宋体" w:cs="宋体"/>
                <w:sz w:val="24"/>
                <w:highlight w:val="none"/>
              </w:rPr>
            </w:pPr>
            <w:r>
              <w:rPr>
                <w:rFonts w:hint="eastAsia" w:cs="宋体" w:asciiTheme="minorEastAsia" w:hAnsiTheme="minorEastAsia" w:eastAsiaTheme="minorEastAsia"/>
                <w:sz w:val="24"/>
                <w:highlight w:val="none"/>
              </w:rPr>
              <w:t>根据投标人针对本项目</w:t>
            </w:r>
            <w:r>
              <w:rPr>
                <w:rFonts w:hint="eastAsia" w:cs="宋体" w:asciiTheme="minorEastAsia" w:hAnsiTheme="minorEastAsia" w:eastAsiaTheme="minorEastAsia"/>
                <w:sz w:val="24"/>
                <w:highlight w:val="none"/>
                <w:lang w:val="en-US" w:eastAsia="zh-CN"/>
              </w:rPr>
              <w:t>设计的</w:t>
            </w:r>
            <w:r>
              <w:rPr>
                <w:rFonts w:hint="eastAsia" w:cs="宋体" w:asciiTheme="minorEastAsia" w:hAnsiTheme="minorEastAsia" w:eastAsiaTheme="minorEastAsia"/>
                <w:sz w:val="24"/>
                <w:highlight w:val="none"/>
              </w:rPr>
              <w:t>平面尺寸布置图进行评议。方案完整</w:t>
            </w:r>
            <w:r>
              <w:rPr>
                <w:rFonts w:hint="eastAsia" w:cs="宋体" w:asciiTheme="minorEastAsia" w:hAnsiTheme="minorEastAsia" w:eastAsiaTheme="minorEastAsia"/>
                <w:sz w:val="24"/>
                <w:highlight w:val="none"/>
                <w:lang w:eastAsia="zh-CN"/>
              </w:rPr>
              <w:t>，</w:t>
            </w:r>
            <w:r>
              <w:rPr>
                <w:rFonts w:hint="eastAsia" w:cs="宋体" w:asciiTheme="minorEastAsia" w:hAnsiTheme="minorEastAsia" w:eastAsiaTheme="minorEastAsia"/>
                <w:sz w:val="24"/>
                <w:highlight w:val="none"/>
              </w:rPr>
              <w:t>无缺漏项，充分考虑用户需求，</w:t>
            </w:r>
            <w:r>
              <w:rPr>
                <w:rFonts w:hint="eastAsia" w:cs="宋体" w:asciiTheme="minorEastAsia" w:hAnsiTheme="minorEastAsia" w:eastAsiaTheme="minorEastAsia"/>
                <w:sz w:val="24"/>
                <w:highlight w:val="none"/>
                <w:lang w:val="en-US" w:eastAsia="zh-CN"/>
              </w:rPr>
              <w:t>药房空间利用率高，</w:t>
            </w:r>
            <w:r>
              <w:rPr>
                <w:rFonts w:hint="eastAsia" w:cs="宋体" w:asciiTheme="minorEastAsia" w:hAnsiTheme="minorEastAsia" w:eastAsiaTheme="minorEastAsia"/>
                <w:sz w:val="24"/>
                <w:highlight w:val="none"/>
              </w:rPr>
              <w:t>具备高度针对性及可行性得3分；方案比较完整，具有一定的针对性及可行性，</w:t>
            </w:r>
            <w:r>
              <w:rPr>
                <w:rFonts w:hint="eastAsia" w:cs="宋体" w:asciiTheme="minorEastAsia" w:hAnsiTheme="minorEastAsia" w:eastAsiaTheme="minorEastAsia"/>
                <w:sz w:val="24"/>
                <w:highlight w:val="none"/>
                <w:lang w:val="en-US" w:eastAsia="zh-CN"/>
              </w:rPr>
              <w:t>充分利用药房空间且</w:t>
            </w:r>
            <w:r>
              <w:rPr>
                <w:rFonts w:hint="eastAsia" w:cs="宋体" w:asciiTheme="minorEastAsia" w:hAnsiTheme="minorEastAsia" w:eastAsiaTheme="minorEastAsia"/>
                <w:sz w:val="24"/>
                <w:highlight w:val="none"/>
              </w:rPr>
              <w:t>能够满足采购需求得2分；方案不够完整，有缺漏项，针对性不强，</w:t>
            </w:r>
            <w:r>
              <w:rPr>
                <w:rFonts w:hint="eastAsia" w:cs="宋体" w:asciiTheme="minorEastAsia" w:hAnsiTheme="minorEastAsia" w:eastAsiaTheme="minorEastAsia"/>
                <w:sz w:val="24"/>
                <w:highlight w:val="none"/>
                <w:lang w:val="en-US" w:eastAsia="zh-CN"/>
              </w:rPr>
              <w:t>未充分利用药房空间且</w:t>
            </w:r>
            <w:r>
              <w:rPr>
                <w:rFonts w:hint="eastAsia" w:cs="宋体" w:asciiTheme="minorEastAsia" w:hAnsiTheme="minorEastAsia" w:eastAsiaTheme="minorEastAsia"/>
                <w:sz w:val="24"/>
                <w:highlight w:val="none"/>
              </w:rPr>
              <w:t>不能完全满足采购需求得1分；未提供尺寸布置图方案不得分。</w:t>
            </w:r>
          </w:p>
        </w:tc>
        <w:tc>
          <w:tcPr>
            <w:tcW w:w="583" w:type="pct"/>
            <w:vAlign w:val="center"/>
          </w:tcPr>
          <w:p>
            <w:pPr>
              <w:snapToGrid w:val="0"/>
              <w:spacing w:line="300" w:lineRule="auto"/>
              <w:jc w:val="center"/>
              <w:rPr>
                <w:rFonts w:hint="eastAsia" w:ascii="宋体" w:hAnsi="宋体" w:cs="宋体"/>
                <w:sz w:val="24"/>
                <w:highlight w:val="none"/>
              </w:rPr>
            </w:pPr>
            <w:r>
              <w:rPr>
                <w:rFonts w:hint="eastAsia" w:cs="宋体" w:asciiTheme="minorEastAsia" w:hAnsiTheme="minorEastAsia" w:eastAsiaTheme="minorEastAsia"/>
                <w:sz w:val="24"/>
                <w:highlight w:val="none"/>
                <w:lang w:val="en-US" w:eastAsia="zh-CN"/>
              </w:rPr>
              <w:t>3%</w:t>
            </w:r>
          </w:p>
        </w:tc>
        <w:tc>
          <w:tcPr>
            <w:tcW w:w="939" w:type="pct"/>
            <w:vAlign w:val="center"/>
          </w:tcPr>
          <w:p>
            <w:pPr>
              <w:snapToGrid w:val="0"/>
              <w:spacing w:line="300" w:lineRule="auto"/>
              <w:jc w:val="center"/>
              <w:rPr>
                <w:rFonts w:hint="eastAsia"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napToGrid w:val="0"/>
              <w:spacing w:line="300" w:lineRule="auto"/>
              <w:jc w:val="center"/>
              <w:rPr>
                <w:rFonts w:hint="eastAsia" w:ascii="宋体" w:hAnsi="宋体" w:cs="宋体"/>
                <w:sz w:val="24"/>
                <w:highlight w:val="none"/>
              </w:rPr>
            </w:pPr>
          </w:p>
        </w:tc>
        <w:tc>
          <w:tcPr>
            <w:tcW w:w="2941" w:type="pct"/>
            <w:vAlign w:val="center"/>
          </w:tcPr>
          <w:p>
            <w:pPr>
              <w:snapToGrid w:val="0"/>
              <w:spacing w:line="300" w:lineRule="auto"/>
              <w:jc w:val="left"/>
              <w:rPr>
                <w:rFonts w:hint="eastAsia" w:ascii="宋体" w:hAnsi="宋体" w:cs="宋体"/>
                <w:sz w:val="24"/>
                <w:highlight w:val="none"/>
              </w:rPr>
            </w:pPr>
            <w:r>
              <w:rPr>
                <w:rFonts w:hint="eastAsia" w:cs="宋体" w:asciiTheme="minorEastAsia" w:hAnsiTheme="minorEastAsia" w:eastAsiaTheme="minorEastAsia"/>
                <w:sz w:val="24"/>
                <w:highlight w:val="none"/>
              </w:rPr>
              <w:t>根据投标人提供的设备布局尺寸图</w:t>
            </w:r>
            <w:r>
              <w:rPr>
                <w:rFonts w:hint="eastAsia" w:cs="宋体" w:asciiTheme="minorEastAsia" w:hAnsiTheme="minorEastAsia" w:eastAsiaTheme="minorEastAsia"/>
                <w:sz w:val="24"/>
                <w:highlight w:val="none"/>
                <w:lang w:val="en-US" w:eastAsia="zh-CN"/>
              </w:rPr>
              <w:t>方案</w:t>
            </w:r>
            <w:r>
              <w:rPr>
                <w:rFonts w:hint="eastAsia" w:cs="宋体" w:asciiTheme="minorEastAsia" w:hAnsiTheme="minorEastAsia" w:eastAsiaTheme="minorEastAsia"/>
                <w:sz w:val="24"/>
                <w:highlight w:val="none"/>
              </w:rPr>
              <w:t>进行评议。</w:t>
            </w:r>
            <w:r>
              <w:rPr>
                <w:rFonts w:hint="eastAsia" w:cs="宋体" w:asciiTheme="minorEastAsia" w:hAnsiTheme="minorEastAsia" w:eastAsiaTheme="minorEastAsia"/>
                <w:sz w:val="24"/>
                <w:highlight w:val="none"/>
                <w:lang w:val="en-US" w:eastAsia="zh-CN"/>
              </w:rPr>
              <w:t>设备空间布局合理，</w:t>
            </w:r>
            <w:r>
              <w:rPr>
                <w:rFonts w:hint="eastAsia" w:cs="宋体" w:asciiTheme="minorEastAsia" w:hAnsiTheme="minorEastAsia" w:eastAsiaTheme="minorEastAsia"/>
                <w:sz w:val="24"/>
                <w:highlight w:val="none"/>
              </w:rPr>
              <w:t>利用率高</w:t>
            </w:r>
            <w:r>
              <w:rPr>
                <w:rFonts w:hint="eastAsia" w:cs="宋体" w:asciiTheme="minorEastAsia" w:hAnsiTheme="minorEastAsia" w:eastAsiaTheme="minorEastAsia"/>
                <w:sz w:val="24"/>
                <w:highlight w:val="none"/>
                <w:lang w:eastAsia="zh-CN"/>
              </w:rPr>
              <w:t>，</w:t>
            </w:r>
            <w:r>
              <w:rPr>
                <w:rFonts w:hint="eastAsia" w:cs="宋体" w:asciiTheme="minorEastAsia" w:hAnsiTheme="minorEastAsia" w:eastAsiaTheme="minorEastAsia"/>
                <w:sz w:val="24"/>
                <w:highlight w:val="none"/>
              </w:rPr>
              <w:t>充分满足采购需求</w:t>
            </w:r>
            <w:r>
              <w:rPr>
                <w:rFonts w:hint="eastAsia" w:cs="宋体" w:asciiTheme="minorEastAsia" w:hAnsiTheme="minorEastAsia" w:eastAsiaTheme="minorEastAsia"/>
                <w:sz w:val="24"/>
                <w:highlight w:val="none"/>
                <w:lang w:val="en-US" w:eastAsia="zh-CN"/>
              </w:rPr>
              <w:t>的得3分</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val="en-US" w:eastAsia="zh-CN"/>
              </w:rPr>
              <w:t>设备空间布局较合理，</w:t>
            </w:r>
            <w:r>
              <w:rPr>
                <w:rFonts w:hint="eastAsia" w:cs="宋体" w:asciiTheme="minorEastAsia" w:hAnsiTheme="minorEastAsia" w:eastAsiaTheme="minorEastAsia"/>
                <w:sz w:val="24"/>
                <w:highlight w:val="none"/>
              </w:rPr>
              <w:t>利用率一般，基本满足采购需求的得2分；</w:t>
            </w:r>
            <w:r>
              <w:rPr>
                <w:rFonts w:hint="eastAsia" w:cs="宋体" w:asciiTheme="minorEastAsia" w:hAnsiTheme="minorEastAsia" w:eastAsiaTheme="minorEastAsia"/>
                <w:sz w:val="24"/>
                <w:highlight w:val="none"/>
                <w:lang w:val="en-US" w:eastAsia="zh-CN"/>
              </w:rPr>
              <w:t>设备布局不合理，</w:t>
            </w:r>
            <w:r>
              <w:rPr>
                <w:rFonts w:hint="eastAsia" w:cs="宋体" w:asciiTheme="minorEastAsia" w:hAnsiTheme="minorEastAsia" w:eastAsiaTheme="minorEastAsia"/>
                <w:sz w:val="24"/>
                <w:highlight w:val="none"/>
              </w:rPr>
              <w:t>利用率差，未满足采购需求的得1分；未提供设备布局尺寸图方案不得分。</w:t>
            </w:r>
          </w:p>
        </w:tc>
        <w:tc>
          <w:tcPr>
            <w:tcW w:w="583" w:type="pct"/>
            <w:vAlign w:val="center"/>
          </w:tcPr>
          <w:p>
            <w:pPr>
              <w:snapToGrid w:val="0"/>
              <w:spacing w:line="300" w:lineRule="auto"/>
              <w:jc w:val="center"/>
              <w:rPr>
                <w:rFonts w:hint="eastAsia" w:ascii="宋体" w:hAnsi="宋体" w:cs="宋体"/>
                <w:sz w:val="24"/>
                <w:highlight w:val="none"/>
              </w:rPr>
            </w:pPr>
            <w:r>
              <w:rPr>
                <w:rFonts w:hint="eastAsia" w:cs="宋体" w:asciiTheme="minorEastAsia" w:hAnsiTheme="minorEastAsia" w:eastAsiaTheme="minorEastAsia"/>
                <w:sz w:val="24"/>
                <w:highlight w:val="none"/>
                <w:lang w:val="en-US" w:eastAsia="zh-CN"/>
              </w:rPr>
              <w:t>3%</w:t>
            </w:r>
          </w:p>
        </w:tc>
        <w:tc>
          <w:tcPr>
            <w:tcW w:w="939" w:type="pct"/>
            <w:vAlign w:val="center"/>
          </w:tcPr>
          <w:p>
            <w:pPr>
              <w:snapToGrid w:val="0"/>
              <w:spacing w:line="300" w:lineRule="auto"/>
              <w:jc w:val="center"/>
              <w:rPr>
                <w:rFonts w:hint="eastAsia"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napToGrid w:val="0"/>
              <w:spacing w:line="300" w:lineRule="auto"/>
              <w:jc w:val="center"/>
              <w:rPr>
                <w:rFonts w:hint="eastAsia" w:ascii="宋体" w:hAnsi="宋体" w:cs="宋体"/>
                <w:sz w:val="24"/>
                <w:highlight w:val="none"/>
              </w:rPr>
            </w:pPr>
          </w:p>
        </w:tc>
        <w:tc>
          <w:tcPr>
            <w:tcW w:w="2941" w:type="pct"/>
            <w:vAlign w:val="center"/>
          </w:tcPr>
          <w:p>
            <w:pPr>
              <w:snapToGrid w:val="0"/>
              <w:spacing w:line="300" w:lineRule="auto"/>
              <w:jc w:val="left"/>
              <w:rPr>
                <w:rFonts w:hint="eastAsia" w:ascii="宋体" w:hAnsi="宋体" w:cs="宋体"/>
                <w:sz w:val="24"/>
                <w:highlight w:val="none"/>
              </w:rPr>
            </w:pPr>
            <w:r>
              <w:rPr>
                <w:rFonts w:hint="eastAsia" w:cs="宋体" w:asciiTheme="minorEastAsia" w:hAnsiTheme="minorEastAsia" w:eastAsiaTheme="minorEastAsia"/>
                <w:sz w:val="24"/>
                <w:highlight w:val="none"/>
              </w:rPr>
              <w:t>根据投标人提供的彩色平面效果图进行评议。</w:t>
            </w:r>
            <w:r>
              <w:rPr>
                <w:rFonts w:hint="eastAsia" w:cs="宋体" w:asciiTheme="minorEastAsia" w:hAnsiTheme="minorEastAsia" w:eastAsiaTheme="minorEastAsia"/>
                <w:sz w:val="24"/>
                <w:highlight w:val="none"/>
                <w:lang w:val="en-US" w:eastAsia="zh-CN"/>
              </w:rPr>
              <w:t>发药、补药、取药、分包等物流程序及人流操作动线流畅，便于开展发药活动，</w:t>
            </w:r>
            <w:r>
              <w:rPr>
                <w:rFonts w:hint="eastAsia" w:cs="宋体" w:asciiTheme="minorEastAsia" w:hAnsiTheme="minorEastAsia" w:eastAsiaTheme="minorEastAsia"/>
                <w:sz w:val="24"/>
                <w:highlight w:val="none"/>
              </w:rPr>
              <w:t>充分满足</w:t>
            </w:r>
            <w:r>
              <w:rPr>
                <w:rFonts w:hint="eastAsia" w:cs="宋体" w:asciiTheme="minorEastAsia" w:hAnsiTheme="minorEastAsia" w:eastAsiaTheme="minorEastAsia"/>
                <w:sz w:val="24"/>
                <w:highlight w:val="none"/>
                <w:lang w:val="en-US" w:eastAsia="zh-CN"/>
              </w:rPr>
              <w:t>开展发药活动</w:t>
            </w:r>
            <w:r>
              <w:rPr>
                <w:rFonts w:hint="eastAsia" w:cs="宋体" w:asciiTheme="minorEastAsia" w:hAnsiTheme="minorEastAsia" w:eastAsiaTheme="minorEastAsia"/>
                <w:sz w:val="24"/>
                <w:highlight w:val="none"/>
              </w:rPr>
              <w:t>需求</w:t>
            </w:r>
            <w:r>
              <w:rPr>
                <w:rFonts w:hint="eastAsia" w:cs="宋体" w:asciiTheme="minorEastAsia" w:hAnsiTheme="minorEastAsia" w:eastAsiaTheme="minorEastAsia"/>
                <w:sz w:val="24"/>
                <w:highlight w:val="none"/>
                <w:lang w:val="en-US" w:eastAsia="zh-CN"/>
              </w:rPr>
              <w:t>的得3分</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val="en-US" w:eastAsia="zh-CN"/>
              </w:rPr>
              <w:t>物流程序及人流操作动线较合理，基本满足开展发药活动需求</w:t>
            </w:r>
            <w:r>
              <w:rPr>
                <w:rFonts w:hint="eastAsia" w:cs="宋体" w:asciiTheme="minorEastAsia" w:hAnsiTheme="minorEastAsia" w:eastAsiaTheme="minorEastAsia"/>
                <w:sz w:val="24"/>
                <w:highlight w:val="none"/>
              </w:rPr>
              <w:t>的得2分；</w:t>
            </w:r>
            <w:r>
              <w:rPr>
                <w:rFonts w:hint="eastAsia" w:cs="宋体" w:asciiTheme="minorEastAsia" w:hAnsiTheme="minorEastAsia" w:eastAsiaTheme="minorEastAsia"/>
                <w:sz w:val="24"/>
                <w:highlight w:val="none"/>
                <w:lang w:val="en-US" w:eastAsia="zh-CN"/>
              </w:rPr>
              <w:t>物流程序及人流操作动线不合理，未满足开展发药活动需求</w:t>
            </w:r>
            <w:r>
              <w:rPr>
                <w:rFonts w:hint="eastAsia" w:cs="宋体" w:asciiTheme="minorEastAsia" w:hAnsiTheme="minorEastAsia" w:eastAsiaTheme="minorEastAsia"/>
                <w:sz w:val="24"/>
                <w:highlight w:val="none"/>
              </w:rPr>
              <w:t>的得1分；未提供彩色平面效果图方案不得分。</w:t>
            </w:r>
          </w:p>
        </w:tc>
        <w:tc>
          <w:tcPr>
            <w:tcW w:w="583" w:type="pct"/>
            <w:vAlign w:val="center"/>
          </w:tcPr>
          <w:p>
            <w:pPr>
              <w:snapToGrid w:val="0"/>
              <w:spacing w:line="300" w:lineRule="auto"/>
              <w:jc w:val="center"/>
              <w:rPr>
                <w:rFonts w:hint="eastAsia" w:ascii="宋体" w:hAnsi="宋体" w:cs="宋体"/>
                <w:sz w:val="24"/>
                <w:highlight w:val="none"/>
              </w:rPr>
            </w:pPr>
            <w:r>
              <w:rPr>
                <w:rFonts w:hint="eastAsia" w:cs="宋体" w:asciiTheme="minorEastAsia" w:hAnsiTheme="minorEastAsia" w:eastAsiaTheme="minorEastAsia"/>
                <w:sz w:val="24"/>
                <w:highlight w:val="none"/>
                <w:lang w:val="en-US" w:eastAsia="zh-CN"/>
              </w:rPr>
              <w:t>3%</w:t>
            </w:r>
          </w:p>
        </w:tc>
        <w:tc>
          <w:tcPr>
            <w:tcW w:w="939" w:type="pct"/>
            <w:vAlign w:val="center"/>
          </w:tcPr>
          <w:p>
            <w:pPr>
              <w:snapToGrid w:val="0"/>
              <w:spacing w:line="300" w:lineRule="auto"/>
              <w:jc w:val="center"/>
              <w:rPr>
                <w:rFonts w:hint="eastAsia"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napToGrid w:val="0"/>
              <w:spacing w:line="300" w:lineRule="auto"/>
              <w:jc w:val="left"/>
              <w:rPr>
                <w:rFonts w:ascii="宋体" w:hAnsi="宋体" w:cs="宋体"/>
                <w:b/>
                <w:sz w:val="24"/>
                <w:highlight w:val="none"/>
              </w:rPr>
            </w:pPr>
            <w:r>
              <w:rPr>
                <w:rFonts w:hint="eastAsia" w:ascii="宋体" w:hAnsi="宋体" w:cs="宋体"/>
                <w:b/>
                <w:sz w:val="24"/>
                <w:highlight w:val="none"/>
              </w:rPr>
              <w:t>安装调试方案（9分）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restart"/>
            <w:vAlign w:val="center"/>
          </w:tcPr>
          <w:p>
            <w:pPr>
              <w:snapToGrid w:val="0"/>
              <w:spacing w:line="300" w:lineRule="auto"/>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6</w:t>
            </w:r>
          </w:p>
        </w:tc>
        <w:tc>
          <w:tcPr>
            <w:tcW w:w="2941" w:type="pct"/>
          </w:tcPr>
          <w:p>
            <w:pPr>
              <w:snapToGrid w:val="0"/>
              <w:spacing w:line="300" w:lineRule="auto"/>
              <w:jc w:val="left"/>
              <w:rPr>
                <w:rFonts w:ascii="宋体" w:hAnsi="宋体" w:cs="宋体"/>
                <w:sz w:val="24"/>
                <w:highlight w:val="none"/>
              </w:rPr>
            </w:pPr>
            <w:r>
              <w:rPr>
                <w:rFonts w:hint="eastAsia" w:ascii="宋体" w:hAnsi="宋体" w:cs="宋体"/>
                <w:sz w:val="24"/>
                <w:highlight w:val="none"/>
              </w:rPr>
              <w:t>投标人提供的安装、调试、验收方法或方案进行评议，包括对场地环境的了解、人员安排、时间进度规划，对设备调试进度安排，调试的步骤，</w:t>
            </w:r>
            <w:r>
              <w:rPr>
                <w:rFonts w:hint="eastAsia" w:ascii="宋体" w:hAnsi="宋体" w:cs="宋体"/>
                <w:bCs/>
                <w:sz w:val="24"/>
                <w:highlight w:val="none"/>
              </w:rPr>
              <w:t>验收方案及应急措施</w:t>
            </w:r>
            <w:r>
              <w:rPr>
                <w:rFonts w:hint="eastAsia" w:ascii="宋体" w:hAnsi="宋体" w:cs="宋体"/>
                <w:sz w:val="24"/>
                <w:highlight w:val="none"/>
              </w:rPr>
              <w:t>方案考虑充分措施有效得3分；方案合理措施一般得2分；方案考虑不够充分得1分；未提供方案不得分。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9"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5" w:type="pct"/>
            <w:vMerge w:val="continue"/>
            <w:vAlign w:val="center"/>
          </w:tcPr>
          <w:p>
            <w:pPr>
              <w:snapToGrid w:val="0"/>
              <w:spacing w:line="300" w:lineRule="auto"/>
              <w:jc w:val="center"/>
              <w:rPr>
                <w:rFonts w:ascii="宋体" w:hAnsi="宋体" w:cs="宋体"/>
                <w:sz w:val="24"/>
                <w:highlight w:val="none"/>
              </w:rPr>
            </w:pPr>
          </w:p>
        </w:tc>
        <w:tc>
          <w:tcPr>
            <w:tcW w:w="2941" w:type="pct"/>
          </w:tcPr>
          <w:p>
            <w:pPr>
              <w:snapToGrid w:val="0"/>
              <w:spacing w:line="300" w:lineRule="auto"/>
              <w:jc w:val="left"/>
              <w:rPr>
                <w:rFonts w:ascii="宋体" w:hAnsi="宋体" w:cs="宋体"/>
                <w:sz w:val="24"/>
                <w:highlight w:val="none"/>
              </w:rPr>
            </w:pPr>
            <w:r>
              <w:rPr>
                <w:rFonts w:hint="eastAsia" w:ascii="宋体" w:hAnsi="宋体" w:cs="宋体"/>
                <w:sz w:val="24"/>
                <w:highlight w:val="none"/>
              </w:rPr>
              <w:t>投标人提供的安装人员资质情况进行评议。人员配备充足安装经验丰富得3分；人员配备和安装经验一般得2分；人员配备不足安装服务经验差1分；无人员配备不得分。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9"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35" w:type="pct"/>
            <w:vMerge w:val="continue"/>
            <w:vAlign w:val="center"/>
          </w:tcPr>
          <w:p>
            <w:pPr>
              <w:snapToGrid w:val="0"/>
              <w:spacing w:line="300" w:lineRule="auto"/>
              <w:jc w:val="center"/>
              <w:rPr>
                <w:rFonts w:ascii="宋体" w:hAnsi="宋体" w:cs="宋体"/>
                <w:sz w:val="24"/>
                <w:highlight w:val="none"/>
              </w:rPr>
            </w:pPr>
          </w:p>
        </w:tc>
        <w:tc>
          <w:tcPr>
            <w:tcW w:w="2941" w:type="pct"/>
          </w:tcPr>
          <w:p>
            <w:pPr>
              <w:snapToGrid w:val="0"/>
              <w:spacing w:line="300" w:lineRule="auto"/>
              <w:jc w:val="left"/>
              <w:rPr>
                <w:rFonts w:ascii="宋体" w:hAnsi="宋体" w:cs="宋体"/>
                <w:sz w:val="24"/>
                <w:highlight w:val="none"/>
              </w:rPr>
            </w:pPr>
            <w:r>
              <w:rPr>
                <w:rFonts w:hint="eastAsia" w:ascii="宋体" w:hAnsi="宋体" w:cs="宋体"/>
                <w:sz w:val="24"/>
                <w:highlight w:val="none"/>
              </w:rPr>
              <w:t>投标人提供的验收方案进行评议，包括</w:t>
            </w:r>
            <w:r>
              <w:rPr>
                <w:rFonts w:hint="eastAsia" w:ascii="宋体" w:hAnsi="宋体" w:cs="宋体"/>
                <w:bCs/>
                <w:sz w:val="24"/>
                <w:highlight w:val="none"/>
              </w:rPr>
              <w:t>提供验收需要采购人配合的内容，验收的方案及应急措施等内容。</w:t>
            </w:r>
            <w:r>
              <w:rPr>
                <w:rFonts w:hint="eastAsia" w:ascii="宋体" w:hAnsi="宋体" w:cs="宋体"/>
                <w:sz w:val="24"/>
                <w:highlight w:val="none"/>
              </w:rPr>
              <w:t>方案考虑充分措施有效得3分；方案合理措施一般得2分；方案考虑不够充分得1分；未提供方案不得分。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9"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napToGrid w:val="0"/>
              <w:spacing w:line="300" w:lineRule="auto"/>
              <w:jc w:val="left"/>
              <w:rPr>
                <w:rFonts w:ascii="宋体" w:hAnsi="宋体" w:cs="宋体"/>
                <w:sz w:val="24"/>
                <w:highlight w:val="none"/>
              </w:rPr>
            </w:pPr>
            <w:r>
              <w:rPr>
                <w:rFonts w:hint="eastAsia" w:ascii="宋体" w:hAnsi="宋体" w:cs="宋体"/>
                <w:b/>
                <w:bCs/>
                <w:sz w:val="24"/>
                <w:highlight w:val="none"/>
              </w:rPr>
              <w:t>售后服务方案（</w:t>
            </w:r>
            <w:r>
              <w:rPr>
                <w:rFonts w:hint="eastAsia" w:ascii="宋体" w:hAnsi="宋体" w:cs="宋体"/>
                <w:b/>
                <w:bCs/>
                <w:sz w:val="24"/>
                <w:highlight w:val="none"/>
                <w:lang w:val="en-US" w:eastAsia="zh-CN"/>
              </w:rPr>
              <w:t>9</w:t>
            </w:r>
            <w:r>
              <w:rPr>
                <w:rFonts w:hint="eastAsia" w:ascii="宋体" w:hAnsi="宋体" w:cs="宋体"/>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restart"/>
            <w:vAlign w:val="center"/>
          </w:tcPr>
          <w:p>
            <w:pPr>
              <w:snapToGrid w:val="0"/>
              <w:spacing w:line="300" w:lineRule="auto"/>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7</w:t>
            </w:r>
          </w:p>
        </w:tc>
        <w:tc>
          <w:tcPr>
            <w:tcW w:w="2941" w:type="pct"/>
            <w:vAlign w:val="center"/>
          </w:tcPr>
          <w:p>
            <w:pPr>
              <w:spacing w:line="300" w:lineRule="auto"/>
              <w:rPr>
                <w:rFonts w:ascii="宋体" w:hAnsi="宋体" w:cs="宋体"/>
                <w:sz w:val="24"/>
                <w:highlight w:val="none"/>
              </w:rPr>
            </w:pPr>
            <w:r>
              <w:rPr>
                <w:rFonts w:hint="eastAsia" w:ascii="宋体" w:hAnsi="宋体" w:cs="宋体"/>
                <w:sz w:val="24"/>
                <w:highlight w:val="none"/>
              </w:rPr>
              <w:t>售后服务机构技术服务人员情况，提供姓名、人员数量、工作经验。人员配备充足，售后服务经验丰富得3分；人员配备和售后服务经验一般得2分；人员配备不足，售后服务经验差得1分；无人员配备不得分。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9"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napToGrid w:val="0"/>
              <w:spacing w:line="300" w:lineRule="auto"/>
              <w:jc w:val="center"/>
              <w:rPr>
                <w:rFonts w:ascii="宋体" w:hAnsi="宋体" w:cs="宋体"/>
                <w:sz w:val="24"/>
                <w:highlight w:val="none"/>
              </w:rPr>
            </w:pPr>
          </w:p>
        </w:tc>
        <w:tc>
          <w:tcPr>
            <w:tcW w:w="2941" w:type="pct"/>
            <w:vAlign w:val="center"/>
          </w:tcPr>
          <w:p>
            <w:pPr>
              <w:spacing w:line="300" w:lineRule="auto"/>
              <w:rPr>
                <w:rFonts w:ascii="宋体" w:hAnsi="宋体" w:cs="宋体"/>
                <w:b/>
                <w:bCs/>
                <w:sz w:val="24"/>
                <w:highlight w:val="none"/>
              </w:rPr>
            </w:pPr>
            <w:r>
              <w:rPr>
                <w:rFonts w:hint="eastAsia" w:ascii="宋体" w:hAnsi="宋体" w:cs="宋体"/>
                <w:sz w:val="24"/>
                <w:highlight w:val="none"/>
              </w:rPr>
              <w:t>投标人提供服务的便捷性、售后服务响应时间承诺及质保期时间、其他质保期内的服务承诺优于采购需求的得3分；便携性一般、质保期及服务承诺基本满足采购需求的得2分；不具备便携性且存在较大缺陷的得1分；未提供的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9"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napToGrid w:val="0"/>
              <w:spacing w:line="300" w:lineRule="auto"/>
              <w:jc w:val="center"/>
              <w:rPr>
                <w:rFonts w:ascii="宋体" w:hAnsi="宋体" w:cs="宋体"/>
                <w:sz w:val="24"/>
                <w:highlight w:val="none"/>
              </w:rPr>
            </w:pPr>
          </w:p>
        </w:tc>
        <w:tc>
          <w:tcPr>
            <w:tcW w:w="2941" w:type="pct"/>
            <w:vAlign w:val="center"/>
          </w:tcPr>
          <w:p>
            <w:pPr>
              <w:spacing w:line="300" w:lineRule="auto"/>
              <w:rPr>
                <w:rFonts w:ascii="宋体" w:hAnsi="宋体" w:cs="宋体"/>
                <w:b/>
                <w:bCs/>
                <w:sz w:val="24"/>
                <w:highlight w:val="none"/>
              </w:rPr>
            </w:pPr>
            <w:r>
              <w:rPr>
                <w:rFonts w:hint="eastAsia" w:ascii="宋体" w:hAnsi="宋体" w:cs="宋体"/>
                <w:kern w:val="0"/>
                <w:sz w:val="24"/>
                <w:highlight w:val="none"/>
              </w:rPr>
              <w:t>对售后服务方案进行评价。</w:t>
            </w:r>
            <w:r>
              <w:rPr>
                <w:rFonts w:hint="eastAsia" w:ascii="宋体" w:hAnsi="宋体" w:cs="宋体"/>
                <w:sz w:val="24"/>
                <w:highlight w:val="none"/>
              </w:rPr>
              <w:t>服务响应时间、故障解决方案响应时间短，解决方案充分满足采购需求的得3分；响应时间一般，解决方案较合理的得2分；响应时间长，解决方案一般且与采购需求具有一定差距的得1分；无解决方案不得分。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9"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napToGrid w:val="0"/>
              <w:spacing w:line="300" w:lineRule="auto"/>
              <w:jc w:val="left"/>
              <w:rPr>
                <w:rFonts w:ascii="宋体" w:hAnsi="宋体" w:cs="宋体"/>
                <w:sz w:val="24"/>
                <w:highlight w:val="none"/>
              </w:rPr>
            </w:pPr>
            <w:r>
              <w:rPr>
                <w:rFonts w:hint="eastAsia" w:ascii="宋体" w:hAnsi="宋体" w:cs="宋体"/>
                <w:b/>
                <w:bCs/>
                <w:sz w:val="24"/>
                <w:highlight w:val="none"/>
              </w:rPr>
              <w:t>技术服务、技术培训（4分）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restart"/>
            <w:vAlign w:val="center"/>
          </w:tcPr>
          <w:p>
            <w:pPr>
              <w:snapToGrid w:val="0"/>
              <w:spacing w:line="300" w:lineRule="auto"/>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8</w:t>
            </w:r>
          </w:p>
        </w:tc>
        <w:tc>
          <w:tcPr>
            <w:tcW w:w="2941" w:type="pct"/>
          </w:tcPr>
          <w:p>
            <w:pPr>
              <w:snapToGrid w:val="0"/>
              <w:spacing w:line="300" w:lineRule="auto"/>
              <w:jc w:val="left"/>
              <w:rPr>
                <w:rFonts w:ascii="宋体" w:hAnsi="宋体" w:cs="宋体"/>
                <w:sz w:val="24"/>
                <w:highlight w:val="none"/>
              </w:rPr>
            </w:pPr>
            <w:r>
              <w:rPr>
                <w:rFonts w:hint="eastAsia" w:ascii="宋体" w:hAnsi="宋体" w:cs="宋体"/>
                <w:sz w:val="24"/>
                <w:highlight w:val="none"/>
              </w:rPr>
              <w:t>操作应用培训：据投标人提供对采购人的操作和临床应用方案进行打分。方案考虑充分安排满足招标文件要求的得2分；方案合理安排欠满足招标文件要求的得1分；无解决方案不得分。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2%</w:t>
            </w:r>
          </w:p>
        </w:tc>
        <w:tc>
          <w:tcPr>
            <w:tcW w:w="939"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napToGrid w:val="0"/>
              <w:spacing w:line="300" w:lineRule="auto"/>
              <w:jc w:val="center"/>
              <w:rPr>
                <w:rFonts w:ascii="宋体" w:hAnsi="宋体" w:cs="宋体"/>
                <w:sz w:val="24"/>
                <w:highlight w:val="none"/>
              </w:rPr>
            </w:pPr>
          </w:p>
        </w:tc>
        <w:tc>
          <w:tcPr>
            <w:tcW w:w="2941" w:type="pct"/>
          </w:tcPr>
          <w:p>
            <w:pPr>
              <w:snapToGrid w:val="0"/>
              <w:spacing w:line="300" w:lineRule="auto"/>
              <w:jc w:val="left"/>
              <w:rPr>
                <w:rFonts w:ascii="宋体" w:hAnsi="宋体" w:cs="宋体"/>
                <w:b/>
                <w:bCs/>
                <w:sz w:val="24"/>
                <w:highlight w:val="none"/>
              </w:rPr>
            </w:pPr>
            <w:r>
              <w:rPr>
                <w:rFonts w:hint="eastAsia" w:ascii="宋体" w:hAnsi="宋体" w:cs="宋体"/>
                <w:sz w:val="24"/>
                <w:highlight w:val="none"/>
              </w:rPr>
              <w:t>维修保养培训：卖方负责在提供维修人员的培训，提供培训方案。方案考虑充分安排满足招标文件要求的得2分；方案合理安排欠满足招标文件要求的得1分；无方案不得分。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2%</w:t>
            </w:r>
          </w:p>
        </w:tc>
        <w:tc>
          <w:tcPr>
            <w:tcW w:w="939"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Align w:val="center"/>
          </w:tcPr>
          <w:p>
            <w:pPr>
              <w:snapToGrid w:val="0"/>
              <w:spacing w:line="300" w:lineRule="auto"/>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9</w:t>
            </w:r>
          </w:p>
        </w:tc>
        <w:tc>
          <w:tcPr>
            <w:tcW w:w="2941" w:type="pct"/>
          </w:tcPr>
          <w:p>
            <w:pPr>
              <w:snapToGrid w:val="0"/>
              <w:spacing w:line="300" w:lineRule="auto"/>
              <w:jc w:val="left"/>
              <w:rPr>
                <w:rFonts w:ascii="宋体" w:hAnsi="宋体" w:cs="宋体"/>
                <w:sz w:val="24"/>
                <w:highlight w:val="none"/>
              </w:rPr>
            </w:pPr>
            <w:r>
              <w:rPr>
                <w:rFonts w:hint="eastAsia" w:ascii="宋体" w:hAnsi="宋体" w:cs="宋体"/>
                <w:b/>
                <w:bCs/>
                <w:sz w:val="24"/>
                <w:highlight w:val="none"/>
              </w:rPr>
              <w:t>运行、维修成本（3分）：</w:t>
            </w:r>
            <w:r>
              <w:rPr>
                <w:rFonts w:hint="eastAsia" w:ascii="宋体" w:hAnsi="宋体" w:cs="宋体"/>
                <w:sz w:val="24"/>
                <w:highlight w:val="none"/>
              </w:rPr>
              <w:t>投标人提供全保、人工保等各种保修方案及价格，设备配件价格，维修服务费，消耗品或易耗品的使用周期、价格等，报价合理运行成本低得3分；报价和成本较合理得2分；报价不合理运行成本较高1分，无报价得0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9"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Align w:val="center"/>
          </w:tcPr>
          <w:p>
            <w:pPr>
              <w:snapToGrid w:val="0"/>
              <w:spacing w:line="300" w:lineRule="auto"/>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10</w:t>
            </w:r>
          </w:p>
        </w:tc>
        <w:tc>
          <w:tcPr>
            <w:tcW w:w="2941" w:type="pct"/>
          </w:tcPr>
          <w:p>
            <w:pPr>
              <w:snapToGrid w:val="0"/>
              <w:spacing w:line="300" w:lineRule="auto"/>
              <w:jc w:val="left"/>
              <w:rPr>
                <w:rFonts w:ascii="宋体" w:hAnsi="宋体" w:cs="宋体"/>
                <w:b/>
                <w:bCs/>
                <w:sz w:val="24"/>
                <w:highlight w:val="none"/>
              </w:rPr>
            </w:pPr>
            <w:r>
              <w:rPr>
                <w:rFonts w:hint="eastAsia" w:ascii="宋体" w:hAnsi="宋体" w:cs="宋体"/>
                <w:b/>
                <w:bCs/>
                <w:sz w:val="24"/>
                <w:highlight w:val="none"/>
              </w:rPr>
              <w:t>质保期（2分）：</w:t>
            </w:r>
            <w:r>
              <w:rPr>
                <w:rFonts w:hint="eastAsia" w:ascii="宋体" w:hAnsi="宋体" w:cs="宋体"/>
                <w:sz w:val="24"/>
                <w:highlight w:val="none"/>
              </w:rPr>
              <w:t>满足招标文件最低要求的不得分；每增加一年质保期加1分，满分2分。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2%</w:t>
            </w:r>
          </w:p>
        </w:tc>
        <w:tc>
          <w:tcPr>
            <w:tcW w:w="939"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客观分</w:t>
            </w:r>
          </w:p>
        </w:tc>
      </w:tr>
    </w:tbl>
    <w:p>
      <w:pPr>
        <w:rPr>
          <w:rFonts w:hint="eastAsia"/>
          <w:highlight w:val="none"/>
          <w:lang w:val="en-US" w:eastAsia="zh-CN"/>
        </w:rPr>
      </w:pPr>
      <w:r>
        <w:rPr>
          <w:rFonts w:hint="eastAsia"/>
          <w:highlight w:val="none"/>
          <w:lang w:val="en-US" w:eastAsia="zh-CN"/>
        </w:rPr>
        <w:br w:type="page"/>
      </w:r>
    </w:p>
    <w:p>
      <w:pPr>
        <w:pStyle w:val="25"/>
        <w:rPr>
          <w:rFonts w:hint="default" w:eastAsia="宋体"/>
          <w:b/>
          <w:bCs/>
          <w:highlight w:val="none"/>
          <w:lang w:val="en-US" w:eastAsia="zh-CN"/>
        </w:rPr>
      </w:pPr>
      <w:r>
        <w:rPr>
          <w:rFonts w:hint="eastAsia"/>
          <w:b/>
          <w:bCs/>
          <w:highlight w:val="none"/>
          <w:lang w:val="en-US" w:eastAsia="zh-CN"/>
        </w:rPr>
        <w:t>标项二、三、四</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4997"/>
        <w:gridCol w:w="991"/>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序号</w:t>
            </w:r>
          </w:p>
        </w:tc>
        <w:tc>
          <w:tcPr>
            <w:tcW w:w="2941"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评标标准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权重</w:t>
            </w:r>
          </w:p>
        </w:tc>
        <w:tc>
          <w:tcPr>
            <w:tcW w:w="935" w:type="pct"/>
            <w:vAlign w:val="center"/>
          </w:tcPr>
          <w:p>
            <w:pPr>
              <w:snapToGrid w:val="0"/>
              <w:spacing w:line="300" w:lineRule="auto"/>
              <w:jc w:val="center"/>
              <w:rPr>
                <w:rFonts w:ascii="宋体" w:hAnsi="宋体" w:cs="宋体"/>
                <w:bCs/>
                <w:sz w:val="24"/>
                <w:highlight w:val="none"/>
              </w:rPr>
            </w:pPr>
            <w:r>
              <w:rPr>
                <w:rFonts w:hint="eastAsia" w:ascii="宋体" w:hAnsi="宋体" w:cs="宋体"/>
                <w:bCs/>
                <w:sz w:val="24"/>
                <w:highlight w:val="none"/>
              </w:rPr>
              <w:t>主观分/客观分属性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1</w:t>
            </w:r>
          </w:p>
        </w:tc>
        <w:tc>
          <w:tcPr>
            <w:tcW w:w="2941" w:type="pct"/>
          </w:tcPr>
          <w:p>
            <w:pPr>
              <w:tabs>
                <w:tab w:val="left" w:pos="0"/>
              </w:tabs>
              <w:spacing w:line="300" w:lineRule="auto"/>
              <w:jc w:val="left"/>
              <w:rPr>
                <w:rFonts w:ascii="宋体" w:hAnsi="宋体" w:cs="宋体"/>
                <w:sz w:val="24"/>
                <w:highlight w:val="none"/>
              </w:rPr>
            </w:pPr>
            <w:r>
              <w:rPr>
                <w:rFonts w:hint="eastAsia" w:ascii="宋体" w:hAnsi="宋体" w:cs="宋体"/>
                <w:sz w:val="24"/>
                <w:highlight w:val="none"/>
              </w:rPr>
              <w:t>评标基准价指的是满足招标文件要求且最低的参与评审的价格。</w:t>
            </w:r>
          </w:p>
          <w:p>
            <w:pPr>
              <w:tabs>
                <w:tab w:val="left" w:pos="0"/>
              </w:tabs>
              <w:spacing w:line="300" w:lineRule="auto"/>
              <w:jc w:val="left"/>
              <w:rPr>
                <w:rFonts w:ascii="宋体" w:hAnsi="宋体" w:cs="宋体"/>
                <w:sz w:val="24"/>
                <w:highlight w:val="none"/>
              </w:rPr>
            </w:pPr>
            <w:r>
              <w:rPr>
                <w:rFonts w:hint="eastAsia" w:ascii="宋体" w:hAnsi="宋体" w:cs="宋体"/>
                <w:sz w:val="24"/>
                <w:highlight w:val="none"/>
              </w:rPr>
              <w:t>参与评审的价格=投标报价</w:t>
            </w:r>
          </w:p>
          <w:p>
            <w:pPr>
              <w:tabs>
                <w:tab w:val="left" w:pos="0"/>
              </w:tabs>
              <w:spacing w:line="300" w:lineRule="auto"/>
              <w:jc w:val="left"/>
              <w:rPr>
                <w:rFonts w:ascii="宋体" w:hAnsi="宋体" w:cs="宋体"/>
                <w:sz w:val="24"/>
                <w:highlight w:val="none"/>
              </w:rPr>
            </w:pPr>
            <w:r>
              <w:rPr>
                <w:rFonts w:hint="eastAsia" w:ascii="宋体" w:hAnsi="宋体" w:cs="宋体"/>
                <w:sz w:val="24"/>
                <w:highlight w:val="none"/>
              </w:rPr>
              <w:t>参与评审的价格为评标基准价的其价格得分得满分30分。</w:t>
            </w:r>
          </w:p>
          <w:p>
            <w:pPr>
              <w:tabs>
                <w:tab w:val="left" w:pos="0"/>
              </w:tabs>
              <w:spacing w:line="300" w:lineRule="auto"/>
              <w:jc w:val="left"/>
              <w:rPr>
                <w:rFonts w:ascii="宋体" w:hAnsi="宋体" w:cs="宋体"/>
                <w:sz w:val="24"/>
                <w:highlight w:val="none"/>
              </w:rPr>
            </w:pPr>
            <w:r>
              <w:rPr>
                <w:rFonts w:hint="eastAsia" w:ascii="宋体" w:hAnsi="宋体" w:cs="宋体"/>
                <w:sz w:val="24"/>
                <w:highlight w:val="none"/>
              </w:rPr>
              <w:t>其他投标人价格得分按照下列公式计算：</w:t>
            </w:r>
          </w:p>
          <w:p>
            <w:pPr>
              <w:tabs>
                <w:tab w:val="left" w:pos="0"/>
              </w:tabs>
              <w:spacing w:line="300" w:lineRule="auto"/>
              <w:jc w:val="left"/>
              <w:rPr>
                <w:rFonts w:ascii="宋体" w:hAnsi="宋体" w:cs="宋体"/>
                <w:sz w:val="24"/>
                <w:highlight w:val="none"/>
              </w:rPr>
            </w:pPr>
            <w:r>
              <w:rPr>
                <w:rFonts w:hint="eastAsia" w:ascii="宋体" w:hAnsi="宋体" w:cs="宋体"/>
                <w:sz w:val="24"/>
                <w:highlight w:val="none"/>
              </w:rPr>
              <w:t>价格得分=（评标基准价/各投标人参与评审的价格）×30％×100。</w:t>
            </w:r>
          </w:p>
          <w:p>
            <w:pPr>
              <w:tabs>
                <w:tab w:val="left" w:pos="0"/>
              </w:tabs>
              <w:spacing w:line="300" w:lineRule="auto"/>
              <w:jc w:val="left"/>
              <w:rPr>
                <w:rFonts w:ascii="宋体" w:hAnsi="宋体" w:cs="宋体"/>
                <w:sz w:val="24"/>
                <w:highlight w:val="none"/>
              </w:rPr>
            </w:pPr>
            <w:r>
              <w:rPr>
                <w:rFonts w:hint="eastAsia" w:ascii="宋体" w:hAnsi="宋体" w:cs="宋体"/>
                <w:b/>
                <w:bCs/>
                <w:sz w:val="24"/>
                <w:highlight w:val="none"/>
              </w:rPr>
              <w:t>注：1、投标报价超过对应最高限价的作无效标处理。2、价格得分小数点后保留2位小数，第3位小数四舍五入。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r>
              <w:rPr>
                <w:rFonts w:hint="eastAsia" w:ascii="宋体" w:hAnsi="宋体" w:cs="宋体"/>
                <w:b/>
                <w:bCs/>
                <w:sz w:val="24"/>
                <w:highlight w:val="none"/>
              </w:rPr>
              <w:t>（标项二不适用）</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30%</w:t>
            </w:r>
          </w:p>
        </w:tc>
        <w:tc>
          <w:tcPr>
            <w:tcW w:w="9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2</w:t>
            </w:r>
          </w:p>
        </w:tc>
        <w:tc>
          <w:tcPr>
            <w:tcW w:w="2941" w:type="pct"/>
          </w:tcPr>
          <w:p>
            <w:pPr>
              <w:snapToGrid w:val="0"/>
              <w:spacing w:line="300" w:lineRule="auto"/>
              <w:jc w:val="left"/>
              <w:rPr>
                <w:rFonts w:ascii="宋体" w:hAnsi="宋体" w:cs="宋体"/>
                <w:sz w:val="24"/>
                <w:highlight w:val="none"/>
              </w:rPr>
            </w:pPr>
            <w:r>
              <w:rPr>
                <w:rFonts w:hint="eastAsia" w:ascii="宋体" w:hAnsi="宋体" w:cs="宋体"/>
                <w:b/>
                <w:bCs/>
                <w:sz w:val="24"/>
                <w:highlight w:val="none"/>
              </w:rPr>
              <w:t>对招标文件的技术需求（38分）</w:t>
            </w:r>
            <w:r>
              <w:rPr>
                <w:rFonts w:hint="eastAsia" w:ascii="宋体" w:hAnsi="宋体" w:cs="宋体"/>
                <w:sz w:val="24"/>
                <w:highlight w:val="none"/>
              </w:rPr>
              <w:t>：完全满足招标文件</w:t>
            </w:r>
            <w:r>
              <w:rPr>
                <w:rFonts w:hint="eastAsia" w:ascii="宋体" w:hAnsi="宋体" w:cs="宋体"/>
                <w:sz w:val="24"/>
                <w:highlight w:val="none"/>
                <w:lang w:val="en-US" w:eastAsia="zh-CN"/>
              </w:rPr>
              <w:t>第三章采购需求中一、</w:t>
            </w:r>
            <w:r>
              <w:rPr>
                <w:rFonts w:hint="eastAsia" w:ascii="宋体" w:hAnsi="宋体" w:cs="宋体"/>
                <w:sz w:val="24"/>
                <w:highlight w:val="none"/>
              </w:rPr>
              <w:t>技术参数中所有技术条款的得38分。每负偏离（即不满足招标文件要求）一条打“★”号的技术条款的，作无效标处理</w:t>
            </w:r>
            <w:r>
              <w:rPr>
                <w:rFonts w:hint="eastAsia" w:ascii="宋体" w:hAnsi="宋体" w:cs="宋体"/>
                <w:sz w:val="24"/>
                <w:highlight w:val="none"/>
                <w:lang w:eastAsia="zh-CN"/>
              </w:rPr>
              <w:t>；</w:t>
            </w:r>
            <w:r>
              <w:rPr>
                <w:rFonts w:hint="eastAsia" w:ascii="宋体" w:hAnsi="宋体" w:cs="宋体"/>
                <w:sz w:val="24"/>
                <w:highlight w:val="none"/>
              </w:rPr>
              <w:t>每负偏离一条带“▲”的技术条款扣2分；未带“▲”</w:t>
            </w:r>
            <w:r>
              <w:rPr>
                <w:rFonts w:hint="eastAsia" w:ascii="宋体" w:hAnsi="宋体" w:cs="宋体"/>
                <w:sz w:val="24"/>
                <w:highlight w:val="none"/>
                <w:lang w:val="en-US" w:eastAsia="zh-CN"/>
              </w:rPr>
              <w:t>或</w:t>
            </w:r>
            <w:r>
              <w:rPr>
                <w:rFonts w:hint="eastAsia" w:ascii="宋体" w:hAnsi="宋体" w:cs="宋体"/>
                <w:sz w:val="24"/>
                <w:highlight w:val="none"/>
              </w:rPr>
              <w:t>“★”的技术条款扣1分,；当扣减至0分（或以下）时，该投标被拒绝，其投标文件作无效标处理，不再进行评审。</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38%</w:t>
            </w:r>
          </w:p>
        </w:tc>
        <w:tc>
          <w:tcPr>
            <w:tcW w:w="9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2941" w:type="pct"/>
            <w:vAlign w:val="center"/>
          </w:tcPr>
          <w:p>
            <w:pPr>
              <w:pStyle w:val="3"/>
              <w:adjustRightInd w:val="0"/>
              <w:snapToGrid w:val="0"/>
              <w:spacing w:after="0" w:line="300" w:lineRule="auto"/>
              <w:ind w:left="0" w:leftChars="0" w:firstLine="0" w:firstLineChars="0"/>
              <w:jc w:val="left"/>
              <w:rPr>
                <w:rFonts w:cs="宋体"/>
                <w:sz w:val="24"/>
                <w:highlight w:val="none"/>
              </w:rPr>
            </w:pPr>
            <w:r>
              <w:rPr>
                <w:rFonts w:hint="eastAsia" w:cs="宋体"/>
                <w:b/>
                <w:bCs/>
                <w:sz w:val="24"/>
                <w:highlight w:val="none"/>
              </w:rPr>
              <w:t>相关业绩（3分）：</w:t>
            </w:r>
            <w:r>
              <w:rPr>
                <w:rFonts w:hint="eastAsia" w:cs="宋体"/>
                <w:sz w:val="24"/>
                <w:highlight w:val="none"/>
              </w:rPr>
              <w:t>投标人在2021年以来于销售同一型号产品，合同签订时间自2021年1月1日以来的，与最终用户签订的销售业绩，每提供一例业绩得1分。提供完整的合同复印件，复印件能清楚的辨析设备型号和价格，否则不得分。本项最高得3分。对省级以上主管部门认定的首台套产品，自纳入《省推广应用指导目录》起三年内参加政府采购活动，视同已具备相应销售业绩，业绩分为满分，投标文件中提供相应的证明材料。</w:t>
            </w:r>
          </w:p>
          <w:p>
            <w:pPr>
              <w:snapToGrid w:val="0"/>
              <w:spacing w:line="300" w:lineRule="auto"/>
              <w:jc w:val="left"/>
              <w:rPr>
                <w:rFonts w:ascii="宋体" w:hAnsi="宋体" w:cs="宋体"/>
                <w:sz w:val="24"/>
                <w:highlight w:val="none"/>
              </w:rPr>
            </w:pPr>
            <w:r>
              <w:rPr>
                <w:rFonts w:hint="eastAsia" w:ascii="宋体" w:hAnsi="宋体" w:cs="宋体"/>
                <w:b/>
                <w:bCs/>
                <w:sz w:val="24"/>
                <w:highlight w:val="none"/>
              </w:rPr>
              <w:t>注：投标文件中提供合同复印件并加盖公章，否则不得分。同一用户不重复计分。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4</w:t>
            </w:r>
          </w:p>
        </w:tc>
        <w:tc>
          <w:tcPr>
            <w:tcW w:w="2941" w:type="pct"/>
            <w:vAlign w:val="center"/>
          </w:tcPr>
          <w:p>
            <w:pPr>
              <w:snapToGrid w:val="0"/>
              <w:spacing w:line="300" w:lineRule="auto"/>
              <w:jc w:val="left"/>
              <w:rPr>
                <w:rFonts w:ascii="宋体" w:hAnsi="宋体" w:cs="宋体"/>
                <w:b/>
                <w:bCs/>
                <w:sz w:val="24"/>
                <w:highlight w:val="none"/>
              </w:rPr>
            </w:pPr>
            <w:r>
              <w:rPr>
                <w:rFonts w:hint="eastAsia" w:ascii="宋体" w:hAnsi="宋体" w:cs="宋体"/>
                <w:b/>
                <w:bCs/>
                <w:sz w:val="24"/>
                <w:highlight w:val="none"/>
              </w:rPr>
              <w:t>政府采购政策（2分）：</w:t>
            </w:r>
          </w:p>
          <w:p>
            <w:pPr>
              <w:snapToGrid w:val="0"/>
              <w:spacing w:line="300" w:lineRule="auto"/>
              <w:jc w:val="left"/>
              <w:rPr>
                <w:rFonts w:ascii="宋体" w:hAnsi="宋体" w:cs="宋体"/>
                <w:sz w:val="24"/>
                <w:highlight w:val="none"/>
              </w:rPr>
            </w:pPr>
            <w:r>
              <w:rPr>
                <w:rFonts w:hint="eastAsia" w:ascii="宋体" w:hAnsi="宋体" w:cs="宋体"/>
                <w:sz w:val="24"/>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snapToGrid w:val="0"/>
              <w:spacing w:line="300" w:lineRule="auto"/>
              <w:jc w:val="left"/>
              <w:rPr>
                <w:rFonts w:ascii="宋体" w:hAnsi="宋体" w:cs="宋体"/>
                <w:b/>
                <w:bCs/>
                <w:sz w:val="24"/>
                <w:highlight w:val="none"/>
              </w:rPr>
            </w:pPr>
            <w:r>
              <w:rPr>
                <w:rFonts w:hint="eastAsia" w:ascii="宋体" w:hAnsi="宋体" w:cs="宋体"/>
                <w:sz w:val="24"/>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2%</w:t>
            </w:r>
          </w:p>
        </w:tc>
        <w:tc>
          <w:tcPr>
            <w:tcW w:w="9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napToGrid w:val="0"/>
              <w:spacing w:line="300" w:lineRule="auto"/>
              <w:jc w:val="left"/>
              <w:rPr>
                <w:rFonts w:ascii="宋体" w:hAnsi="宋体" w:cs="宋体"/>
                <w:b/>
                <w:sz w:val="24"/>
                <w:highlight w:val="none"/>
              </w:rPr>
            </w:pPr>
            <w:r>
              <w:rPr>
                <w:rFonts w:hint="eastAsia" w:ascii="宋体" w:hAnsi="宋体" w:cs="宋体"/>
                <w:b/>
                <w:sz w:val="24"/>
                <w:highlight w:val="none"/>
              </w:rPr>
              <w:t>安装调试方案（9分）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Merge w:val="restar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5</w:t>
            </w:r>
          </w:p>
        </w:tc>
        <w:tc>
          <w:tcPr>
            <w:tcW w:w="2941" w:type="pct"/>
          </w:tcPr>
          <w:p>
            <w:pPr>
              <w:snapToGrid w:val="0"/>
              <w:spacing w:line="300" w:lineRule="auto"/>
              <w:jc w:val="left"/>
              <w:rPr>
                <w:rFonts w:ascii="宋体" w:hAnsi="宋体" w:cs="宋体"/>
                <w:sz w:val="24"/>
                <w:highlight w:val="none"/>
              </w:rPr>
            </w:pPr>
            <w:r>
              <w:rPr>
                <w:rFonts w:hint="eastAsia" w:ascii="宋体" w:hAnsi="宋体" w:cs="宋体"/>
                <w:sz w:val="24"/>
                <w:highlight w:val="none"/>
              </w:rPr>
              <w:t>投标人提供的安装、调试、验收方法或方案进行评议，包括对场地环境的了解、人员安排、时间进度规划，对设备调试进度安排，调试的步骤，</w:t>
            </w:r>
            <w:r>
              <w:rPr>
                <w:rFonts w:hint="eastAsia" w:ascii="宋体" w:hAnsi="宋体" w:cs="宋体"/>
                <w:bCs/>
                <w:sz w:val="24"/>
                <w:highlight w:val="none"/>
              </w:rPr>
              <w:t>验收方案及应急措施</w:t>
            </w:r>
            <w:r>
              <w:rPr>
                <w:rFonts w:hint="eastAsia" w:ascii="宋体" w:hAnsi="宋体" w:cs="宋体"/>
                <w:sz w:val="24"/>
                <w:highlight w:val="none"/>
              </w:rPr>
              <w:t>方案考虑充分措施有效得3分；方案合理措施一般得2分；方案考虑不够充分得1分；未提供方案不得分。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pct"/>
            <w:vMerge w:val="continue"/>
            <w:vAlign w:val="center"/>
          </w:tcPr>
          <w:p>
            <w:pPr>
              <w:snapToGrid w:val="0"/>
              <w:spacing w:line="300" w:lineRule="auto"/>
              <w:jc w:val="center"/>
              <w:rPr>
                <w:rFonts w:ascii="宋体" w:hAnsi="宋体" w:cs="宋体"/>
                <w:sz w:val="24"/>
                <w:highlight w:val="none"/>
              </w:rPr>
            </w:pPr>
          </w:p>
        </w:tc>
        <w:tc>
          <w:tcPr>
            <w:tcW w:w="2941" w:type="pct"/>
          </w:tcPr>
          <w:p>
            <w:pPr>
              <w:snapToGrid w:val="0"/>
              <w:spacing w:line="300" w:lineRule="auto"/>
              <w:jc w:val="left"/>
              <w:rPr>
                <w:rFonts w:ascii="宋体" w:hAnsi="宋体" w:cs="宋体"/>
                <w:sz w:val="24"/>
                <w:highlight w:val="none"/>
              </w:rPr>
            </w:pPr>
            <w:r>
              <w:rPr>
                <w:rFonts w:hint="eastAsia" w:ascii="宋体" w:hAnsi="宋体" w:cs="宋体"/>
                <w:sz w:val="24"/>
                <w:highlight w:val="none"/>
              </w:rPr>
              <w:t>投标人提供的安装人员资质情况进行评议。人员配备充足安装经验丰富得3分；人员配备和安装经验一般得2分；人员配备不足安装服务经验差1分；无人员配备不得分。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40" w:type="pct"/>
            <w:vMerge w:val="continue"/>
            <w:vAlign w:val="center"/>
          </w:tcPr>
          <w:p>
            <w:pPr>
              <w:snapToGrid w:val="0"/>
              <w:spacing w:line="300" w:lineRule="auto"/>
              <w:jc w:val="center"/>
              <w:rPr>
                <w:rFonts w:ascii="宋体" w:hAnsi="宋体" w:cs="宋体"/>
                <w:sz w:val="24"/>
                <w:highlight w:val="none"/>
              </w:rPr>
            </w:pPr>
          </w:p>
        </w:tc>
        <w:tc>
          <w:tcPr>
            <w:tcW w:w="2941" w:type="pct"/>
          </w:tcPr>
          <w:p>
            <w:pPr>
              <w:snapToGrid w:val="0"/>
              <w:spacing w:line="300" w:lineRule="auto"/>
              <w:jc w:val="left"/>
              <w:rPr>
                <w:rFonts w:ascii="宋体" w:hAnsi="宋体" w:cs="宋体"/>
                <w:sz w:val="24"/>
                <w:highlight w:val="none"/>
              </w:rPr>
            </w:pPr>
            <w:r>
              <w:rPr>
                <w:rFonts w:hint="eastAsia" w:ascii="宋体" w:hAnsi="宋体" w:cs="宋体"/>
                <w:sz w:val="24"/>
                <w:highlight w:val="none"/>
              </w:rPr>
              <w:t>投标人提供的验收方案进行评议，包括</w:t>
            </w:r>
            <w:r>
              <w:rPr>
                <w:rFonts w:hint="eastAsia" w:ascii="宋体" w:hAnsi="宋体" w:cs="宋体"/>
                <w:bCs/>
                <w:sz w:val="24"/>
                <w:highlight w:val="none"/>
              </w:rPr>
              <w:t>提供验收需要采购人配合的内容，验收的方案及应急措施等内容。</w:t>
            </w:r>
            <w:r>
              <w:rPr>
                <w:rFonts w:hint="eastAsia" w:ascii="宋体" w:hAnsi="宋体" w:cs="宋体"/>
                <w:sz w:val="24"/>
                <w:highlight w:val="none"/>
              </w:rPr>
              <w:t>方案考虑充分措施有效得3分；方案合理措施一般得2分；方案考虑不够充分得1分；未提供方案不得分。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napToGrid w:val="0"/>
              <w:spacing w:line="300" w:lineRule="auto"/>
              <w:jc w:val="left"/>
              <w:rPr>
                <w:rFonts w:ascii="宋体" w:hAnsi="宋体" w:cs="宋体"/>
                <w:sz w:val="24"/>
                <w:highlight w:val="none"/>
              </w:rPr>
            </w:pPr>
            <w:r>
              <w:rPr>
                <w:rFonts w:hint="eastAsia" w:ascii="宋体" w:hAnsi="宋体" w:cs="宋体"/>
                <w:b/>
                <w:bCs/>
                <w:sz w:val="24"/>
                <w:highlight w:val="none"/>
              </w:rPr>
              <w:t>售后服务方案（9分）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Merge w:val="restar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6</w:t>
            </w:r>
          </w:p>
        </w:tc>
        <w:tc>
          <w:tcPr>
            <w:tcW w:w="2941" w:type="pct"/>
            <w:vAlign w:val="center"/>
          </w:tcPr>
          <w:p>
            <w:pPr>
              <w:spacing w:line="300" w:lineRule="auto"/>
              <w:rPr>
                <w:rFonts w:ascii="宋体" w:hAnsi="宋体" w:cs="宋体"/>
                <w:sz w:val="24"/>
                <w:highlight w:val="none"/>
              </w:rPr>
            </w:pPr>
            <w:r>
              <w:rPr>
                <w:rFonts w:hint="eastAsia" w:ascii="宋体" w:hAnsi="宋体" w:cs="宋体"/>
                <w:sz w:val="24"/>
                <w:highlight w:val="none"/>
              </w:rPr>
              <w:t>售后服务机构技术服务人员情况，提供姓名、人员数量、工作经验。人员配备充足，售后服务经验丰富得3分；人员配备和售后服务经验一般得2分；人员配备不足，售后服务经验差得1分；无人员配备不得分。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Merge w:val="continue"/>
            <w:vAlign w:val="center"/>
          </w:tcPr>
          <w:p>
            <w:pPr>
              <w:snapToGrid w:val="0"/>
              <w:spacing w:line="300" w:lineRule="auto"/>
              <w:jc w:val="center"/>
              <w:rPr>
                <w:rFonts w:ascii="宋体" w:hAnsi="宋体" w:cs="宋体"/>
                <w:sz w:val="24"/>
                <w:highlight w:val="none"/>
              </w:rPr>
            </w:pPr>
          </w:p>
        </w:tc>
        <w:tc>
          <w:tcPr>
            <w:tcW w:w="2941" w:type="pct"/>
            <w:vAlign w:val="center"/>
          </w:tcPr>
          <w:p>
            <w:pPr>
              <w:spacing w:line="300" w:lineRule="auto"/>
              <w:rPr>
                <w:rFonts w:ascii="宋体" w:hAnsi="宋体" w:cs="宋体"/>
                <w:b/>
                <w:bCs/>
                <w:sz w:val="24"/>
                <w:highlight w:val="none"/>
              </w:rPr>
            </w:pPr>
            <w:r>
              <w:rPr>
                <w:rFonts w:hint="eastAsia" w:ascii="宋体" w:hAnsi="宋体" w:cs="宋体"/>
                <w:sz w:val="24"/>
                <w:highlight w:val="none"/>
              </w:rPr>
              <w:t>投标人提供服务的便捷性、售后服务响应时间承诺及质保期时间、其他质保期内的服务承诺优于采购需求的得3分；便携性一般、质保期及服务承诺基本满足采购需求的得2分；不具备便携性且存在较大缺陷的得1分；未提供的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Merge w:val="continue"/>
            <w:vAlign w:val="center"/>
          </w:tcPr>
          <w:p>
            <w:pPr>
              <w:snapToGrid w:val="0"/>
              <w:spacing w:line="300" w:lineRule="auto"/>
              <w:jc w:val="center"/>
              <w:rPr>
                <w:rFonts w:ascii="宋体" w:hAnsi="宋体" w:cs="宋体"/>
                <w:sz w:val="24"/>
                <w:highlight w:val="none"/>
              </w:rPr>
            </w:pPr>
          </w:p>
        </w:tc>
        <w:tc>
          <w:tcPr>
            <w:tcW w:w="2941" w:type="pct"/>
            <w:vAlign w:val="center"/>
          </w:tcPr>
          <w:p>
            <w:pPr>
              <w:spacing w:line="300" w:lineRule="auto"/>
              <w:rPr>
                <w:rFonts w:ascii="宋体" w:hAnsi="宋体" w:cs="宋体"/>
                <w:b/>
                <w:bCs/>
                <w:sz w:val="24"/>
                <w:highlight w:val="none"/>
              </w:rPr>
            </w:pPr>
            <w:r>
              <w:rPr>
                <w:rFonts w:hint="eastAsia" w:ascii="宋体" w:hAnsi="宋体" w:cs="宋体"/>
                <w:kern w:val="0"/>
                <w:sz w:val="24"/>
                <w:highlight w:val="none"/>
              </w:rPr>
              <w:t>对售后服务方案进行评价。</w:t>
            </w:r>
            <w:r>
              <w:rPr>
                <w:rFonts w:hint="eastAsia" w:ascii="宋体" w:hAnsi="宋体" w:cs="宋体"/>
                <w:sz w:val="24"/>
                <w:highlight w:val="none"/>
              </w:rPr>
              <w:t>服务响应时间、故障解决方案响应时间短，解决方案充分满足采购需求的得3分；响应时间一般，解决方案较合理的得2分；响应时间长，解决方案一般且与采购需求具有一定差距的得1分；无解决方案不得分。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napToGrid w:val="0"/>
              <w:spacing w:line="300" w:lineRule="auto"/>
              <w:jc w:val="left"/>
              <w:rPr>
                <w:rFonts w:ascii="宋体" w:hAnsi="宋体" w:cs="宋体"/>
                <w:sz w:val="24"/>
                <w:highlight w:val="none"/>
              </w:rPr>
            </w:pPr>
            <w:r>
              <w:rPr>
                <w:rFonts w:hint="eastAsia" w:ascii="宋体" w:hAnsi="宋体" w:cs="宋体"/>
                <w:b/>
                <w:bCs/>
                <w:sz w:val="24"/>
                <w:highlight w:val="none"/>
              </w:rPr>
              <w:t>技术服务、技术培训（4分）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Merge w:val="restar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7</w:t>
            </w:r>
          </w:p>
        </w:tc>
        <w:tc>
          <w:tcPr>
            <w:tcW w:w="2941" w:type="pct"/>
          </w:tcPr>
          <w:p>
            <w:pPr>
              <w:snapToGrid w:val="0"/>
              <w:spacing w:line="300" w:lineRule="auto"/>
              <w:jc w:val="left"/>
              <w:rPr>
                <w:rFonts w:ascii="宋体" w:hAnsi="宋体" w:cs="宋体"/>
                <w:sz w:val="24"/>
                <w:highlight w:val="none"/>
              </w:rPr>
            </w:pPr>
            <w:r>
              <w:rPr>
                <w:rFonts w:hint="eastAsia" w:ascii="宋体" w:hAnsi="宋体" w:cs="宋体"/>
                <w:sz w:val="24"/>
                <w:highlight w:val="none"/>
              </w:rPr>
              <w:t>操作应用培训：据投标人提供对采购人的操作和临床应用方案进行打分。方案考虑充分安排满足招标文件要求的得2分；方案合理安排欠满足招标文件要求的得1分；无解决方案不得分。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2%</w:t>
            </w:r>
          </w:p>
        </w:tc>
        <w:tc>
          <w:tcPr>
            <w:tcW w:w="9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Merge w:val="continue"/>
            <w:vAlign w:val="center"/>
          </w:tcPr>
          <w:p>
            <w:pPr>
              <w:snapToGrid w:val="0"/>
              <w:spacing w:line="300" w:lineRule="auto"/>
              <w:jc w:val="center"/>
              <w:rPr>
                <w:rFonts w:ascii="宋体" w:hAnsi="宋体" w:cs="宋体"/>
                <w:sz w:val="24"/>
                <w:highlight w:val="none"/>
              </w:rPr>
            </w:pPr>
          </w:p>
        </w:tc>
        <w:tc>
          <w:tcPr>
            <w:tcW w:w="2941" w:type="pct"/>
          </w:tcPr>
          <w:p>
            <w:pPr>
              <w:snapToGrid w:val="0"/>
              <w:spacing w:line="300" w:lineRule="auto"/>
              <w:jc w:val="left"/>
              <w:rPr>
                <w:rFonts w:ascii="宋体" w:hAnsi="宋体" w:cs="宋体"/>
                <w:b/>
                <w:bCs/>
                <w:sz w:val="24"/>
                <w:highlight w:val="none"/>
              </w:rPr>
            </w:pPr>
            <w:r>
              <w:rPr>
                <w:rFonts w:hint="eastAsia" w:ascii="宋体" w:hAnsi="宋体" w:cs="宋体"/>
                <w:sz w:val="24"/>
                <w:highlight w:val="none"/>
              </w:rPr>
              <w:t>维修保养培训：卖方负责在提供维修人员的培训，提供培训方案。方案考虑充分安排满足招标文件要求的得2分；方案合理安排欠满足招标文件要求的得1分；无方案不得分。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2%</w:t>
            </w:r>
          </w:p>
        </w:tc>
        <w:tc>
          <w:tcPr>
            <w:tcW w:w="9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8</w:t>
            </w:r>
          </w:p>
        </w:tc>
        <w:tc>
          <w:tcPr>
            <w:tcW w:w="2941" w:type="pct"/>
          </w:tcPr>
          <w:p>
            <w:pPr>
              <w:snapToGrid w:val="0"/>
              <w:spacing w:line="300" w:lineRule="auto"/>
              <w:jc w:val="left"/>
              <w:rPr>
                <w:rFonts w:ascii="宋体" w:hAnsi="宋体" w:cs="宋体"/>
                <w:sz w:val="24"/>
                <w:highlight w:val="none"/>
              </w:rPr>
            </w:pPr>
            <w:r>
              <w:rPr>
                <w:rFonts w:hint="eastAsia" w:ascii="宋体" w:hAnsi="宋体" w:cs="宋体"/>
                <w:b/>
                <w:bCs/>
                <w:sz w:val="24"/>
                <w:highlight w:val="none"/>
              </w:rPr>
              <w:t>运行、维修成本（3分）：</w:t>
            </w:r>
            <w:r>
              <w:rPr>
                <w:rFonts w:hint="eastAsia" w:ascii="宋体" w:hAnsi="宋体" w:cs="宋体"/>
                <w:sz w:val="24"/>
                <w:highlight w:val="none"/>
              </w:rPr>
              <w:t>投标人提供全保、人工保等各种保修方案及价格，设备配件价格，维修服务费，消耗品或易耗品的使用周期、价格等，报价合理运行成本低得3分；报价和成本较合理得2分；报价不合理运行成本较高1分，无报价得0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3%</w:t>
            </w:r>
          </w:p>
        </w:tc>
        <w:tc>
          <w:tcPr>
            <w:tcW w:w="9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9</w:t>
            </w:r>
          </w:p>
        </w:tc>
        <w:tc>
          <w:tcPr>
            <w:tcW w:w="2941" w:type="pct"/>
          </w:tcPr>
          <w:p>
            <w:pPr>
              <w:snapToGrid w:val="0"/>
              <w:spacing w:line="300" w:lineRule="auto"/>
              <w:jc w:val="left"/>
              <w:rPr>
                <w:rFonts w:ascii="宋体" w:hAnsi="宋体" w:cs="宋体"/>
                <w:b/>
                <w:bCs/>
                <w:sz w:val="24"/>
                <w:highlight w:val="none"/>
              </w:rPr>
            </w:pPr>
            <w:r>
              <w:rPr>
                <w:rFonts w:hint="eastAsia" w:ascii="宋体" w:hAnsi="宋体" w:cs="宋体"/>
                <w:b/>
                <w:bCs/>
                <w:sz w:val="24"/>
                <w:highlight w:val="none"/>
              </w:rPr>
              <w:t>质保期（2分）：</w:t>
            </w:r>
            <w:r>
              <w:rPr>
                <w:rFonts w:hint="eastAsia" w:ascii="宋体" w:hAnsi="宋体" w:cs="宋体"/>
                <w:sz w:val="24"/>
                <w:highlight w:val="none"/>
              </w:rPr>
              <w:t>满足招标文件最低要求的不得分；每增加一年质保期加1分，满分2分。</w:t>
            </w:r>
          </w:p>
        </w:tc>
        <w:tc>
          <w:tcPr>
            <w:tcW w:w="583"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2%</w:t>
            </w:r>
          </w:p>
        </w:tc>
        <w:tc>
          <w:tcPr>
            <w:tcW w:w="935" w:type="pct"/>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客观分</w:t>
            </w:r>
          </w:p>
        </w:tc>
      </w:tr>
    </w:tbl>
    <w:p>
      <w:pPr>
        <w:rPr>
          <w:rFonts w:ascii="宋体" w:hAnsi="宋体" w:cs="宋体"/>
          <w:sz w:val="24"/>
          <w:highlight w:val="none"/>
        </w:rPr>
      </w:pPr>
    </w:p>
    <w:p>
      <w:pPr>
        <w:snapToGrid w:val="0"/>
        <w:spacing w:line="360" w:lineRule="auto"/>
        <w:rPr>
          <w:rFonts w:ascii="宋体" w:hAnsi="宋体" w:cs="宋体"/>
          <w:b/>
          <w:sz w:val="24"/>
          <w:highlight w:val="none"/>
        </w:rPr>
      </w:pPr>
      <w:r>
        <w:rPr>
          <w:rFonts w:hint="eastAsia" w:ascii="宋体" w:hAnsi="宋体" w:cs="宋体"/>
          <w:b/>
          <w:sz w:val="24"/>
          <w:highlight w:val="none"/>
        </w:rPr>
        <w:t>一、评标方法</w:t>
      </w:r>
    </w:p>
    <w:p>
      <w:pPr>
        <w:adjustRightInd/>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24"/>
          <w:highlight w:val="none"/>
        </w:rPr>
        <w:t>二、评标标准</w:t>
      </w:r>
    </w:p>
    <w:p>
      <w:pPr>
        <w:spacing w:line="360" w:lineRule="auto"/>
        <w:ind w:firstLine="472" w:firstLineChars="196"/>
        <w:rPr>
          <w:rFonts w:ascii="宋体" w:hAnsi="宋体" w:cs="宋体"/>
          <w:b/>
          <w:sz w:val="24"/>
          <w:highlight w:val="none"/>
        </w:rPr>
      </w:pPr>
      <w:r>
        <w:rPr>
          <w:rFonts w:hint="eastAsia" w:ascii="宋体" w:hAnsi="宋体" w:cs="宋体"/>
          <w:b/>
          <w:sz w:val="24"/>
          <w:highlight w:val="none"/>
        </w:rPr>
        <w:t>2.</w:t>
      </w:r>
      <w:r>
        <w:rPr>
          <w:rFonts w:hint="eastAsia" w:ascii="宋体" w:hAnsi="宋体" w:cs="宋体"/>
          <w:sz w:val="24"/>
          <w:highlight w:val="none"/>
        </w:rPr>
        <w:t xml:space="preserve"> </w:t>
      </w:r>
      <w:r>
        <w:rPr>
          <w:rFonts w:hint="eastAsia" w:ascii="宋体" w:hAnsi="宋体" w:cs="宋体"/>
          <w:b/>
          <w:sz w:val="24"/>
          <w:highlight w:val="none"/>
        </w:rPr>
        <w:t>评标标准：</w:t>
      </w:r>
      <w:r>
        <w:rPr>
          <w:rFonts w:hint="eastAsia" w:ascii="宋体" w:hAnsi="宋体" w:cs="宋体"/>
          <w:kern w:val="0"/>
          <w:sz w:val="24"/>
          <w:highlight w:val="none"/>
        </w:rPr>
        <w:t>见评标办法前附表。</w:t>
      </w:r>
    </w:p>
    <w:p>
      <w:pPr>
        <w:spacing w:line="360" w:lineRule="auto"/>
        <w:outlineLvl w:val="0"/>
        <w:rPr>
          <w:rFonts w:ascii="宋体" w:hAnsi="宋体" w:cs="宋体"/>
          <w:b/>
          <w:sz w:val="24"/>
          <w:highlight w:val="none"/>
        </w:rPr>
      </w:pPr>
      <w:r>
        <w:rPr>
          <w:rFonts w:hint="eastAsia" w:ascii="宋体" w:hAnsi="宋体" w:cs="宋体"/>
          <w:b/>
          <w:sz w:val="24"/>
          <w:highlight w:val="none"/>
        </w:rPr>
        <w:t>三、评标程序</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3.1符合性审查。</w:t>
      </w:r>
      <w:r>
        <w:rPr>
          <w:rFonts w:hint="eastAsia" w:ascii="宋体" w:hAnsi="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3.4报价评审。</w:t>
      </w:r>
    </w:p>
    <w:p>
      <w:pPr>
        <w:pStyle w:val="130"/>
        <w:spacing w:before="0"/>
        <w:ind w:firstLine="508" w:firstLineChars="212"/>
        <w:rPr>
          <w:rFonts w:ascii="宋体" w:hAnsi="宋体" w:cs="宋体"/>
          <w:kern w:val="0"/>
          <w:szCs w:val="24"/>
          <w:highlight w:val="none"/>
        </w:rPr>
      </w:pPr>
      <w:r>
        <w:rPr>
          <w:rFonts w:hint="eastAsia" w:ascii="宋体" w:hAnsi="宋体" w:cs="宋体"/>
          <w:kern w:val="0"/>
          <w:szCs w:val="24"/>
          <w:highlight w:val="none"/>
        </w:rPr>
        <w:t>3.4.1投标文件报价出现前后不一致的，按照下列规定修正：</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3.4.1.1投标文件中开标一览表(报价表)内容与投标文件中相应内容不一致的，以开标一览表(报价表)为准;</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3.4.1.2大写金额和小写金额不一致的，以大写金额为准;</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3.4.1.3单价金额小数点或者百分比有明显错位的，以开标一览表的总价为准，并修改单价;</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highlight w:val="none"/>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highlight w:val="none"/>
        </w:rPr>
      </w:pPr>
      <w:r>
        <w:rPr>
          <w:rFonts w:hint="eastAsia" w:ascii="宋体" w:hAnsi="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24"/>
          <w:highlight w:val="none"/>
        </w:rPr>
      </w:pPr>
      <w:r>
        <w:rPr>
          <w:rFonts w:hint="eastAsia" w:ascii="宋体" w:hAnsi="宋体" w:cs="宋体"/>
          <w:b/>
          <w:sz w:val="24"/>
          <w:highlight w:val="none"/>
        </w:rPr>
        <w:t>四、评标中的其他事项</w:t>
      </w:r>
    </w:p>
    <w:p>
      <w:pPr>
        <w:pStyle w:val="130"/>
        <w:spacing w:before="0"/>
        <w:ind w:firstLine="472" w:firstLineChars="196"/>
        <w:rPr>
          <w:rFonts w:ascii="宋体" w:hAnsi="宋体" w:cs="宋体"/>
          <w:kern w:val="0"/>
          <w:szCs w:val="24"/>
          <w:highlight w:val="none"/>
        </w:rPr>
      </w:pPr>
      <w:r>
        <w:rPr>
          <w:rFonts w:hint="eastAsia" w:ascii="宋体" w:hAnsi="宋体" w:cs="宋体"/>
          <w:b/>
          <w:kern w:val="0"/>
          <w:szCs w:val="24"/>
          <w:highlight w:val="none"/>
        </w:rPr>
        <w:t>4.1投标人澄清、说明或者补正。</w:t>
      </w:r>
      <w:r>
        <w:rPr>
          <w:rFonts w:hint="eastAsia" w:ascii="宋体" w:hAnsi="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cs="宋体"/>
          <w:highlight w:val="none"/>
        </w:rPr>
      </w:pPr>
      <w:r>
        <w:rPr>
          <w:rFonts w:hint="eastAsia" w:cs="宋体"/>
          <w:b/>
          <w:kern w:val="0"/>
          <w:highlight w:val="none"/>
        </w:rPr>
        <w:t>4.2投标无效。</w:t>
      </w:r>
      <w:r>
        <w:rPr>
          <w:rFonts w:hint="eastAsia" w:cs="宋体"/>
          <w:highlight w:val="none"/>
        </w:rPr>
        <w:t>有下列情形之一的，投标无效：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highlight w:val="none"/>
        </w:rPr>
      </w:pPr>
      <w:r>
        <w:rPr>
          <w:rFonts w:hint="eastAsia" w:ascii="宋体" w:hAnsi="宋体" w:cs="宋体"/>
          <w:kern w:val="0"/>
          <w:sz w:val="24"/>
          <w:highlight w:val="none"/>
        </w:rPr>
        <w:t xml:space="preserve">   4.2.6投标文件出现不是唯一的、有选择性投标报价的;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4.2.7投标报价超过招标文件中规定的预算金额或者最高限价的;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4.2.9投标人对根据修正原则修正后的报价不确认的；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4.2.12投标人仅提交备份投标文件，未在电子交易平台传输递交投标文件的，投标无效；</w:t>
      </w:r>
    </w:p>
    <w:p>
      <w:pPr>
        <w:pStyle w:val="5"/>
        <w:ind w:left="862" w:leftChars="205"/>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4.2.14法律、法规、规章（适用本市的）及省级以上规范性文件（适用本市的）规定的其他无效情形。</w:t>
      </w:r>
    </w:p>
    <w:p>
      <w:pPr>
        <w:pStyle w:val="2"/>
        <w:snapToGrid w:val="0"/>
        <w:spacing w:line="360" w:lineRule="auto"/>
        <w:ind w:firstLine="472" w:firstLineChars="196"/>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
        <w:snapToGrid w:val="0"/>
        <w:spacing w:line="360" w:lineRule="auto"/>
        <w:rPr>
          <w:rFonts w:cs="宋体"/>
          <w:highlight w:val="none"/>
        </w:rPr>
      </w:pPr>
      <w:r>
        <w:rPr>
          <w:rFonts w:hint="eastAsia" w:cs="宋体"/>
          <w:highlight w:val="none"/>
        </w:rPr>
        <w:t>5.1符合专业条件的供应商或者对招标文件作实质响应的供应商不足3家的；</w:t>
      </w:r>
    </w:p>
    <w:p>
      <w:pPr>
        <w:pStyle w:val="2"/>
        <w:snapToGrid w:val="0"/>
        <w:spacing w:line="360" w:lineRule="auto"/>
        <w:rPr>
          <w:rFonts w:cs="宋体"/>
          <w:highlight w:val="none"/>
        </w:rPr>
      </w:pPr>
      <w:r>
        <w:rPr>
          <w:rFonts w:hint="eastAsia" w:cs="宋体"/>
          <w:highlight w:val="none"/>
        </w:rPr>
        <w:t>5.2出现影响采购公正的违法、违规行为的；</w:t>
      </w:r>
    </w:p>
    <w:p>
      <w:pPr>
        <w:pStyle w:val="2"/>
        <w:snapToGrid w:val="0"/>
        <w:spacing w:line="360" w:lineRule="auto"/>
        <w:rPr>
          <w:rFonts w:cs="宋体"/>
          <w:highlight w:val="none"/>
        </w:rPr>
      </w:pPr>
      <w:r>
        <w:rPr>
          <w:rFonts w:hint="eastAsia" w:cs="宋体"/>
          <w:highlight w:val="none"/>
        </w:rPr>
        <w:t>5.3投标人的报价均超过了采购预算，采购人不能支付的；</w:t>
      </w:r>
    </w:p>
    <w:p>
      <w:pPr>
        <w:pStyle w:val="2"/>
        <w:snapToGrid w:val="0"/>
        <w:spacing w:line="360" w:lineRule="auto"/>
        <w:rPr>
          <w:rFonts w:cs="宋体"/>
          <w:highlight w:val="none"/>
        </w:rPr>
      </w:pPr>
      <w:r>
        <w:rPr>
          <w:rFonts w:hint="eastAsia" w:cs="宋体"/>
          <w:highlight w:val="none"/>
        </w:rPr>
        <w:t>5.4因重大变故，采购任务取消的。</w:t>
      </w:r>
    </w:p>
    <w:p>
      <w:pPr>
        <w:pStyle w:val="2"/>
        <w:snapToGrid w:val="0"/>
        <w:spacing w:line="360" w:lineRule="auto"/>
        <w:rPr>
          <w:rFonts w:cs="宋体"/>
          <w:highlight w:val="none"/>
        </w:rPr>
      </w:pPr>
      <w:r>
        <w:rPr>
          <w:rFonts w:hint="eastAsia" w:cs="宋体"/>
          <w:highlight w:val="none"/>
        </w:rPr>
        <w:t>废标后，采购代理机构应当将废标理由通知所有投标人。</w:t>
      </w:r>
    </w:p>
    <w:p>
      <w:pPr>
        <w:pStyle w:val="2"/>
        <w:snapToGrid w:val="0"/>
        <w:spacing w:line="360" w:lineRule="auto"/>
        <w:ind w:firstLine="590" w:firstLineChars="245"/>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
        <w:snapToGrid w:val="0"/>
        <w:spacing w:line="360" w:lineRule="auto"/>
        <w:ind w:firstLine="482"/>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有政府采购法第七十一条、第七十二条规定的违法行为之一，影响或者可能影响中标结果的，依照下列规定处理：</w:t>
      </w:r>
    </w:p>
    <w:p>
      <w:pPr>
        <w:pStyle w:val="2"/>
        <w:snapToGrid w:val="0"/>
        <w:spacing w:line="360" w:lineRule="auto"/>
        <w:rPr>
          <w:rFonts w:cs="宋体"/>
          <w:highlight w:val="none"/>
        </w:rPr>
      </w:pPr>
      <w:r>
        <w:rPr>
          <w:rFonts w:hint="eastAsia" w:cs="宋体"/>
          <w:highlight w:val="none"/>
        </w:rPr>
        <w:t>7.1未确定中标供应商的，终止本次政府采购活动，重新开展政府采购活动。</w:t>
      </w:r>
    </w:p>
    <w:p>
      <w:pPr>
        <w:pStyle w:val="2"/>
        <w:snapToGrid w:val="0"/>
        <w:spacing w:line="360" w:lineRule="auto"/>
        <w:rPr>
          <w:rFonts w:cs="宋体"/>
          <w:highlight w:val="none"/>
        </w:rPr>
      </w:pPr>
      <w:r>
        <w:rPr>
          <w:rFonts w:hint="eastAsia" w:cs="宋体"/>
          <w:highlight w:val="none"/>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cs="宋体"/>
          <w:highlight w:val="none"/>
        </w:rPr>
      </w:pPr>
      <w:r>
        <w:rPr>
          <w:rFonts w:hint="eastAsia" w:cs="宋体"/>
          <w:highlight w:val="none"/>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cs="宋体"/>
          <w:highlight w:val="none"/>
        </w:rPr>
      </w:pPr>
      <w:r>
        <w:rPr>
          <w:rFonts w:hint="eastAsia" w:cs="宋体"/>
          <w:highlight w:val="none"/>
        </w:rPr>
        <w:t>7.4政府采购合同已经履行，给采购人、供应商造成损失的，由责任人承担赔偿责任。</w:t>
      </w:r>
    </w:p>
    <w:p>
      <w:pPr>
        <w:pStyle w:val="2"/>
        <w:snapToGrid w:val="0"/>
        <w:spacing w:line="360" w:lineRule="auto"/>
        <w:rPr>
          <w:rFonts w:cs="宋体"/>
          <w:b/>
          <w:sz w:val="36"/>
          <w:szCs w:val="36"/>
          <w:highlight w:val="none"/>
        </w:rPr>
      </w:pPr>
      <w:r>
        <w:rPr>
          <w:rFonts w:hint="eastAsia" w:cs="宋体"/>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32"/>
      <w:bookmarkStart w:id="399" w:name="第五部分"/>
      <w:bookmarkStart w:id="400" w:name="_Toc86217003"/>
    </w:p>
    <w:p>
      <w:pPr>
        <w:spacing w:line="360" w:lineRule="auto"/>
        <w:jc w:val="center"/>
        <w:outlineLvl w:val="0"/>
        <w:rPr>
          <w:rFonts w:ascii="宋体" w:hAnsi="宋体" w:cs="宋体"/>
          <w:b/>
          <w:sz w:val="36"/>
          <w:szCs w:val="36"/>
          <w:highlight w:val="none"/>
        </w:rPr>
        <w:sectPr>
          <w:pgSz w:w="11907" w:h="16840"/>
          <w:pgMar w:top="1474" w:right="1814" w:bottom="1474" w:left="1814" w:header="851" w:footer="851" w:gutter="0"/>
          <w:cols w:space="720" w:num="1"/>
        </w:sectPr>
      </w:pPr>
    </w:p>
    <w:p>
      <w:pPr>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第五部分 拟签订的合同文本</w:t>
      </w:r>
    </w:p>
    <w:p>
      <w:pPr>
        <w:spacing w:line="480" w:lineRule="auto"/>
        <w:jc w:val="center"/>
        <w:rPr>
          <w:rFonts w:ascii="宋体" w:hAnsi="宋体" w:cs="宋体"/>
          <w:b/>
          <w:sz w:val="24"/>
          <w:highlight w:val="none"/>
        </w:rPr>
      </w:pPr>
    </w:p>
    <w:p>
      <w:pPr>
        <w:pStyle w:val="34"/>
        <w:snapToGrid w:val="0"/>
        <w:spacing w:line="408" w:lineRule="auto"/>
        <w:rPr>
          <w:rFonts w:hAnsi="宋体" w:cs="宋体"/>
          <w:sz w:val="24"/>
          <w:szCs w:val="24"/>
          <w:highlight w:val="none"/>
        </w:rPr>
      </w:pPr>
      <w:r>
        <w:rPr>
          <w:rFonts w:hint="eastAsia" w:hAnsi="宋体" w:cs="宋体"/>
          <w:sz w:val="24"/>
          <w:szCs w:val="24"/>
          <w:highlight w:val="none"/>
        </w:rPr>
        <w:t>项目名称：                                       项目编号：</w:t>
      </w:r>
    </w:p>
    <w:p>
      <w:pPr>
        <w:pStyle w:val="34"/>
        <w:snapToGrid w:val="0"/>
        <w:spacing w:line="408" w:lineRule="auto"/>
        <w:rPr>
          <w:rFonts w:hAnsi="宋体" w:cs="宋体"/>
          <w:sz w:val="24"/>
          <w:szCs w:val="24"/>
          <w:highlight w:val="none"/>
        </w:rPr>
      </w:pPr>
      <w:r>
        <w:rPr>
          <w:rFonts w:hint="eastAsia" w:hAnsi="宋体" w:cs="宋体"/>
          <w:sz w:val="24"/>
          <w:szCs w:val="24"/>
          <w:highlight w:val="none"/>
        </w:rPr>
        <w:t>甲方：（买方）</w:t>
      </w:r>
    </w:p>
    <w:p>
      <w:pPr>
        <w:pStyle w:val="34"/>
        <w:snapToGrid w:val="0"/>
        <w:spacing w:line="408" w:lineRule="auto"/>
        <w:rPr>
          <w:rFonts w:hAnsi="宋体" w:cs="宋体"/>
          <w:sz w:val="24"/>
          <w:szCs w:val="24"/>
          <w:highlight w:val="none"/>
        </w:rPr>
      </w:pPr>
      <w:r>
        <w:rPr>
          <w:rFonts w:hint="eastAsia" w:hAnsi="宋体" w:cs="宋体"/>
          <w:sz w:val="24"/>
          <w:szCs w:val="24"/>
          <w:highlight w:val="none"/>
        </w:rPr>
        <w:t>乙方：（卖方）</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甲、乙双方根据</w:t>
      </w:r>
      <w:r>
        <w:rPr>
          <w:rFonts w:hint="eastAsia" w:hAnsi="宋体" w:cs="宋体"/>
          <w:sz w:val="24"/>
          <w:szCs w:val="24"/>
          <w:highlight w:val="none"/>
          <w:u w:val="single"/>
        </w:rPr>
        <w:t xml:space="preserve">                                  </w:t>
      </w:r>
      <w:r>
        <w:rPr>
          <w:rFonts w:hint="eastAsia" w:hAnsi="宋体" w:cs="宋体"/>
          <w:sz w:val="24"/>
          <w:szCs w:val="24"/>
          <w:highlight w:val="none"/>
        </w:rPr>
        <w:t>的结果，签署本合同。</w:t>
      </w:r>
    </w:p>
    <w:p>
      <w:pPr>
        <w:pStyle w:val="34"/>
        <w:snapToGrid w:val="0"/>
        <w:spacing w:line="408" w:lineRule="auto"/>
        <w:ind w:firstLine="422"/>
        <w:rPr>
          <w:rFonts w:hAnsi="宋体" w:cs="宋体"/>
          <w:b/>
          <w:sz w:val="24"/>
          <w:szCs w:val="24"/>
          <w:highlight w:val="none"/>
        </w:rPr>
      </w:pPr>
      <w:r>
        <w:rPr>
          <w:rFonts w:hint="eastAsia" w:hAnsi="宋体" w:cs="宋体"/>
          <w:b/>
          <w:sz w:val="24"/>
          <w:szCs w:val="24"/>
          <w:highlight w:val="none"/>
        </w:rPr>
        <w:t>一、货物内容</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1.1 货物名称：</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1.2 型号规格：</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1.3 技术参数：</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1.4 数量（单位）：</w:t>
      </w:r>
    </w:p>
    <w:p>
      <w:pPr>
        <w:pStyle w:val="34"/>
        <w:snapToGrid w:val="0"/>
        <w:spacing w:line="408" w:lineRule="auto"/>
        <w:ind w:firstLine="422"/>
        <w:rPr>
          <w:rFonts w:hAnsi="宋体" w:cs="宋体"/>
          <w:b/>
          <w:sz w:val="24"/>
          <w:szCs w:val="24"/>
          <w:highlight w:val="none"/>
        </w:rPr>
      </w:pPr>
      <w:r>
        <w:rPr>
          <w:rFonts w:hint="eastAsia" w:hAnsi="宋体" w:cs="宋体"/>
          <w:b/>
          <w:sz w:val="24"/>
          <w:szCs w:val="24"/>
          <w:highlight w:val="none"/>
        </w:rPr>
        <w:t>二、合同金额</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2.1 本合同金额为（大写）：___________________元（￥_______________元）人民币，以上合同总价</w:t>
      </w:r>
      <w:r>
        <w:rPr>
          <w:rFonts w:hint="eastAsia" w:hAnsi="宋体" w:cs="宋体"/>
          <w:bCs/>
          <w:sz w:val="24"/>
          <w:szCs w:val="24"/>
          <w:highlight w:val="none"/>
        </w:rPr>
        <w:t>包括货物本体价、货物运至项目现场的运输费、保险费、安装调试费、培训费、第三方检测费（如有）、售后服务、利润、税金等一切与本次采购相关的费用。</w:t>
      </w:r>
    </w:p>
    <w:p>
      <w:pPr>
        <w:pStyle w:val="34"/>
        <w:snapToGrid w:val="0"/>
        <w:spacing w:line="408" w:lineRule="auto"/>
        <w:ind w:firstLine="422"/>
        <w:rPr>
          <w:rFonts w:hAnsi="宋体" w:cs="宋体"/>
          <w:b/>
          <w:sz w:val="24"/>
          <w:szCs w:val="24"/>
          <w:highlight w:val="none"/>
        </w:rPr>
      </w:pPr>
      <w:r>
        <w:rPr>
          <w:rFonts w:hint="eastAsia" w:hAnsi="宋体" w:cs="宋体"/>
          <w:b/>
          <w:sz w:val="24"/>
          <w:szCs w:val="24"/>
          <w:highlight w:val="none"/>
        </w:rPr>
        <w:t>三、技术资料</w:t>
      </w:r>
    </w:p>
    <w:p>
      <w:pPr>
        <w:pStyle w:val="34"/>
        <w:snapToGrid w:val="0"/>
        <w:spacing w:line="408" w:lineRule="auto"/>
        <w:ind w:firstLine="480" w:firstLineChars="200"/>
        <w:rPr>
          <w:rFonts w:hAnsi="宋体" w:cs="宋体"/>
          <w:b/>
          <w:sz w:val="24"/>
          <w:szCs w:val="24"/>
          <w:highlight w:val="none"/>
        </w:rPr>
      </w:pPr>
      <w:r>
        <w:rPr>
          <w:rFonts w:hint="eastAsia" w:hAnsi="宋体" w:cs="宋体"/>
          <w:sz w:val="24"/>
          <w:szCs w:val="24"/>
          <w:highlight w:val="none"/>
        </w:rPr>
        <w:t>3.1乙方应按招标文件规定的时间向甲方提供使用货物的有关技术资料。</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4"/>
        <w:snapToGrid w:val="0"/>
        <w:spacing w:line="408" w:lineRule="auto"/>
        <w:ind w:left="412" w:hanging="412" w:hangingChars="171"/>
        <w:rPr>
          <w:rFonts w:hAnsi="宋体" w:cs="宋体"/>
          <w:b/>
          <w:sz w:val="24"/>
          <w:szCs w:val="24"/>
          <w:highlight w:val="none"/>
        </w:rPr>
      </w:pPr>
      <w:r>
        <w:rPr>
          <w:rFonts w:hint="eastAsia" w:hAnsi="宋体" w:cs="宋体"/>
          <w:b/>
          <w:sz w:val="24"/>
          <w:szCs w:val="24"/>
          <w:highlight w:val="none"/>
        </w:rPr>
        <w:t>四、知识产权</w:t>
      </w:r>
    </w:p>
    <w:p>
      <w:pPr>
        <w:pStyle w:val="34"/>
        <w:snapToGrid w:val="0"/>
        <w:spacing w:line="408" w:lineRule="auto"/>
        <w:ind w:firstLine="480" w:firstLineChars="200"/>
        <w:rPr>
          <w:rFonts w:hAnsi="宋体" w:cs="宋体"/>
          <w:bCs/>
          <w:sz w:val="24"/>
          <w:szCs w:val="24"/>
          <w:highlight w:val="none"/>
        </w:rPr>
      </w:pPr>
      <w:r>
        <w:rPr>
          <w:rFonts w:hint="eastAsia" w:hAnsi="宋体" w:cs="宋体"/>
          <w:sz w:val="24"/>
          <w:szCs w:val="24"/>
          <w:highlight w:val="none"/>
        </w:rPr>
        <w:t>4.1 乙方应保证所提供的货物或其任何一部分均不会侵犯任何第三方的知识产权</w:t>
      </w:r>
      <w:r>
        <w:rPr>
          <w:rFonts w:hint="eastAsia" w:hAnsi="宋体" w:cs="宋体"/>
          <w:bCs/>
          <w:sz w:val="24"/>
          <w:szCs w:val="24"/>
          <w:highlight w:val="none"/>
        </w:rPr>
        <w:t>。</w:t>
      </w:r>
    </w:p>
    <w:p>
      <w:pPr>
        <w:pStyle w:val="34"/>
        <w:snapToGrid w:val="0"/>
        <w:spacing w:line="408" w:lineRule="auto"/>
        <w:rPr>
          <w:rFonts w:hAnsi="宋体" w:cs="宋体"/>
          <w:sz w:val="24"/>
          <w:szCs w:val="24"/>
          <w:highlight w:val="none"/>
          <w:u w:val="single"/>
        </w:rPr>
      </w:pPr>
      <w:r>
        <w:rPr>
          <w:rFonts w:hint="eastAsia" w:hAnsi="宋体" w:cs="宋体"/>
          <w:b/>
          <w:sz w:val="24"/>
          <w:szCs w:val="24"/>
          <w:highlight w:val="none"/>
        </w:rPr>
        <w:t>五、产权担保</w:t>
      </w:r>
    </w:p>
    <w:p>
      <w:pPr>
        <w:pStyle w:val="34"/>
        <w:snapToGrid w:val="0"/>
        <w:spacing w:line="408" w:lineRule="auto"/>
        <w:ind w:firstLine="480" w:firstLineChars="200"/>
        <w:rPr>
          <w:rFonts w:hAnsi="宋体" w:cs="宋体"/>
          <w:sz w:val="24"/>
          <w:szCs w:val="24"/>
          <w:highlight w:val="none"/>
          <w:u w:val="single"/>
        </w:rPr>
      </w:pPr>
      <w:r>
        <w:rPr>
          <w:rFonts w:hint="eastAsia" w:hAnsi="宋体" w:cs="宋体"/>
          <w:sz w:val="24"/>
          <w:szCs w:val="24"/>
          <w:highlight w:val="none"/>
        </w:rPr>
        <w:t>5.1 乙方保证所交付的货物的所有权完全属于乙方且无任何抵押、查封等产权瑕疵。</w:t>
      </w:r>
    </w:p>
    <w:p>
      <w:pPr>
        <w:snapToGrid w:val="0"/>
        <w:spacing w:line="408" w:lineRule="auto"/>
        <w:rPr>
          <w:rFonts w:ascii="宋体" w:hAnsi="宋体" w:cs="宋体"/>
          <w:b/>
          <w:sz w:val="24"/>
          <w:highlight w:val="none"/>
        </w:rPr>
      </w:pPr>
      <w:r>
        <w:rPr>
          <w:rFonts w:hint="eastAsia" w:ascii="宋体" w:hAnsi="宋体" w:cs="宋体"/>
          <w:b/>
          <w:sz w:val="24"/>
          <w:highlight w:val="none"/>
        </w:rPr>
        <w:t>六.转包或分包</w:t>
      </w:r>
    </w:p>
    <w:p>
      <w:pPr>
        <w:snapToGrid w:val="0"/>
        <w:spacing w:line="408" w:lineRule="auto"/>
        <w:ind w:firstLine="480" w:firstLineChars="200"/>
        <w:rPr>
          <w:rFonts w:ascii="宋体" w:hAnsi="宋体" w:cs="宋体"/>
          <w:sz w:val="24"/>
          <w:highlight w:val="none"/>
        </w:rPr>
      </w:pPr>
      <w:r>
        <w:rPr>
          <w:rFonts w:hint="eastAsia" w:ascii="宋体" w:hAnsi="宋体" w:cs="宋体"/>
          <w:sz w:val="24"/>
          <w:highlight w:val="none"/>
        </w:rPr>
        <w:t>6.1本合同范围的货物，应由乙方直接供应，不得转让他人供应；</w:t>
      </w:r>
    </w:p>
    <w:p>
      <w:pPr>
        <w:snapToGrid w:val="0"/>
        <w:spacing w:line="408" w:lineRule="auto"/>
        <w:ind w:firstLine="480" w:firstLineChars="200"/>
        <w:rPr>
          <w:rFonts w:ascii="宋体" w:hAnsi="宋体" w:cs="宋体"/>
          <w:sz w:val="24"/>
          <w:highlight w:val="none"/>
        </w:rPr>
      </w:pPr>
      <w:r>
        <w:rPr>
          <w:rFonts w:hint="eastAsia" w:ascii="宋体" w:hAnsi="宋体" w:cs="宋体"/>
          <w:sz w:val="24"/>
          <w:highlight w:val="none"/>
        </w:rPr>
        <w:t>6.2 除非得到甲方的书面同意，乙方不得部分分包给他人供应。</w:t>
      </w:r>
    </w:p>
    <w:p>
      <w:pPr>
        <w:snapToGrid w:val="0"/>
        <w:spacing w:line="408" w:lineRule="auto"/>
        <w:ind w:firstLine="480" w:firstLineChars="200"/>
        <w:rPr>
          <w:rFonts w:ascii="宋体" w:hAnsi="宋体" w:cs="宋体"/>
          <w:sz w:val="24"/>
          <w:highlight w:val="none"/>
        </w:rPr>
      </w:pPr>
      <w:r>
        <w:rPr>
          <w:rFonts w:hint="eastAsia" w:ascii="宋体" w:hAnsi="宋体" w:cs="宋体"/>
          <w:sz w:val="24"/>
          <w:highlight w:val="none"/>
        </w:rPr>
        <w:t>6.3如有转让和未经甲方同意的分包行为，甲方有权给予终止合同。</w:t>
      </w:r>
    </w:p>
    <w:p>
      <w:pPr>
        <w:pStyle w:val="34"/>
        <w:snapToGrid w:val="0"/>
        <w:spacing w:line="408" w:lineRule="auto"/>
        <w:rPr>
          <w:rFonts w:hAnsi="宋体" w:cs="宋体"/>
          <w:b/>
          <w:sz w:val="24"/>
          <w:szCs w:val="24"/>
          <w:highlight w:val="none"/>
        </w:rPr>
      </w:pPr>
      <w:r>
        <w:rPr>
          <w:rFonts w:hint="eastAsia" w:hAnsi="宋体" w:cs="宋体"/>
          <w:b/>
          <w:sz w:val="24"/>
          <w:szCs w:val="24"/>
          <w:highlight w:val="none"/>
        </w:rPr>
        <w:t>七、交货期、交货方式及交货地点</w:t>
      </w:r>
    </w:p>
    <w:p>
      <w:pPr>
        <w:pStyle w:val="34"/>
        <w:snapToGrid w:val="0"/>
        <w:spacing w:line="408" w:lineRule="auto"/>
        <w:rPr>
          <w:rFonts w:hAnsi="宋体" w:cs="宋体"/>
          <w:bCs/>
          <w:sz w:val="24"/>
          <w:szCs w:val="24"/>
          <w:highlight w:val="none"/>
        </w:rPr>
      </w:pPr>
      <w:r>
        <w:rPr>
          <w:rFonts w:hint="eastAsia" w:hAnsi="宋体" w:cs="宋体"/>
          <w:bCs/>
          <w:sz w:val="24"/>
          <w:szCs w:val="24"/>
          <w:highlight w:val="none"/>
        </w:rPr>
        <w:t xml:space="preserve">7.1 交货期： </w:t>
      </w:r>
    </w:p>
    <w:p>
      <w:pPr>
        <w:pStyle w:val="34"/>
        <w:snapToGrid w:val="0"/>
        <w:spacing w:line="408" w:lineRule="auto"/>
        <w:rPr>
          <w:rFonts w:hAnsi="宋体" w:cs="宋体"/>
          <w:bCs/>
          <w:sz w:val="24"/>
          <w:szCs w:val="24"/>
          <w:highlight w:val="none"/>
        </w:rPr>
      </w:pPr>
      <w:r>
        <w:rPr>
          <w:rFonts w:hint="eastAsia" w:hAnsi="宋体" w:cs="宋体"/>
          <w:bCs/>
          <w:sz w:val="24"/>
          <w:szCs w:val="24"/>
          <w:highlight w:val="none"/>
        </w:rPr>
        <w:t>7.2 交货方式：</w:t>
      </w:r>
    </w:p>
    <w:p>
      <w:pPr>
        <w:pStyle w:val="34"/>
        <w:snapToGrid w:val="0"/>
        <w:spacing w:line="408" w:lineRule="auto"/>
        <w:rPr>
          <w:rFonts w:hAnsi="宋体" w:cs="宋体"/>
          <w:b/>
          <w:sz w:val="24"/>
          <w:szCs w:val="24"/>
          <w:highlight w:val="none"/>
        </w:rPr>
      </w:pPr>
      <w:r>
        <w:rPr>
          <w:rFonts w:hint="eastAsia" w:hAnsi="宋体" w:cs="宋体"/>
          <w:bCs/>
          <w:sz w:val="24"/>
          <w:szCs w:val="24"/>
          <w:highlight w:val="none"/>
        </w:rPr>
        <w:t>7.3 交货地点：</w:t>
      </w:r>
    </w:p>
    <w:p>
      <w:pPr>
        <w:pStyle w:val="34"/>
        <w:snapToGrid w:val="0"/>
        <w:spacing w:line="408" w:lineRule="auto"/>
        <w:rPr>
          <w:rFonts w:hAnsi="宋体" w:cs="宋体"/>
          <w:b/>
          <w:sz w:val="24"/>
          <w:szCs w:val="24"/>
          <w:highlight w:val="none"/>
        </w:rPr>
      </w:pPr>
      <w:r>
        <w:rPr>
          <w:rFonts w:hint="eastAsia" w:hAnsi="宋体" w:cs="宋体"/>
          <w:b/>
          <w:sz w:val="24"/>
          <w:szCs w:val="24"/>
          <w:highlight w:val="none"/>
        </w:rPr>
        <w:t>八、货款支付</w:t>
      </w:r>
    </w:p>
    <w:p>
      <w:pPr>
        <w:spacing w:line="408" w:lineRule="auto"/>
        <w:rPr>
          <w:rFonts w:ascii="宋体" w:hAnsi="宋体" w:cs="宋体"/>
          <w:bCs/>
          <w:sz w:val="24"/>
          <w:highlight w:val="none"/>
        </w:rPr>
      </w:pPr>
      <w:r>
        <w:rPr>
          <w:rFonts w:hint="eastAsia" w:ascii="宋体" w:hAnsi="宋体" w:cs="宋体"/>
          <w:bCs/>
          <w:sz w:val="24"/>
          <w:highlight w:val="none"/>
        </w:rPr>
        <w:t>8.1付款方式：合同生效并具备实施条件后7个工作日内支付合同金额的40%作为预付款（乙方为《政府采购促进中小企业发展管理办法》（财库﹝2020﹞46号）第四条认定的大型企业无预付款，不适用该条款）；</w:t>
      </w:r>
    </w:p>
    <w:p>
      <w:pPr>
        <w:spacing w:line="408" w:lineRule="auto"/>
        <w:rPr>
          <w:rFonts w:ascii="宋体" w:hAnsi="宋体" w:cs="宋体"/>
          <w:sz w:val="24"/>
          <w:highlight w:val="none"/>
        </w:rPr>
      </w:pPr>
      <w:r>
        <w:rPr>
          <w:rFonts w:hint="eastAsia" w:ascii="宋体" w:hAnsi="宋体" w:cs="宋体"/>
          <w:bCs/>
          <w:sz w:val="24"/>
          <w:highlight w:val="none"/>
        </w:rPr>
        <w:t>项目验收合格并收到乙方正式发票之日起7个工作日内付清合同款。</w:t>
      </w:r>
      <w:r>
        <w:rPr>
          <w:rFonts w:hint="eastAsia" w:ascii="宋体" w:hAnsi="宋体" w:cs="宋体"/>
          <w:sz w:val="24"/>
          <w:highlight w:val="none"/>
        </w:rPr>
        <w:t xml:space="preserve"> </w:t>
      </w:r>
    </w:p>
    <w:p>
      <w:pPr>
        <w:spacing w:line="408" w:lineRule="auto"/>
        <w:rPr>
          <w:rFonts w:ascii="宋体" w:hAnsi="宋体" w:cs="宋体"/>
          <w:bCs/>
          <w:sz w:val="24"/>
          <w:highlight w:val="none"/>
        </w:rPr>
      </w:pPr>
      <w:r>
        <w:rPr>
          <w:rFonts w:hint="eastAsia" w:ascii="宋体" w:hAnsi="宋体" w:cs="宋体"/>
          <w:bCs/>
          <w:sz w:val="24"/>
          <w:highlight w:val="none"/>
        </w:rPr>
        <w:t>8.2货物按合同约定交付、安装并经最终验收合格，乙方提供符合税务规定的足额发票后支付。</w:t>
      </w:r>
    </w:p>
    <w:p>
      <w:pPr>
        <w:spacing w:line="408" w:lineRule="auto"/>
        <w:rPr>
          <w:rFonts w:ascii="宋体" w:hAnsi="宋体" w:cs="宋体"/>
          <w:b/>
          <w:bCs/>
          <w:sz w:val="24"/>
          <w:highlight w:val="none"/>
        </w:rPr>
      </w:pPr>
      <w:r>
        <w:rPr>
          <w:rFonts w:hint="eastAsia" w:ascii="宋体" w:hAnsi="宋体" w:cs="宋体"/>
          <w:b/>
          <w:bCs/>
          <w:sz w:val="24"/>
          <w:highlight w:val="none"/>
        </w:rPr>
        <w:t>九</w:t>
      </w:r>
      <w:r>
        <w:rPr>
          <w:rFonts w:hint="eastAsia" w:ascii="宋体" w:hAnsi="宋体" w:cs="宋体"/>
          <w:b/>
          <w:sz w:val="24"/>
          <w:highlight w:val="none"/>
        </w:rPr>
        <w:t>、税</w:t>
      </w:r>
    </w:p>
    <w:p>
      <w:pPr>
        <w:snapToGrid w:val="0"/>
        <w:spacing w:line="408" w:lineRule="auto"/>
        <w:rPr>
          <w:rFonts w:ascii="宋体" w:hAnsi="宋体" w:cs="宋体"/>
          <w:sz w:val="24"/>
          <w:highlight w:val="none"/>
        </w:rPr>
      </w:pPr>
      <w:r>
        <w:rPr>
          <w:rFonts w:hint="eastAsia" w:ascii="宋体" w:hAnsi="宋体" w:cs="宋体"/>
          <w:sz w:val="24"/>
          <w:highlight w:val="none"/>
        </w:rPr>
        <w:t>9.1本合同执行中相关的一切税费均由乙方负担。</w:t>
      </w:r>
    </w:p>
    <w:p>
      <w:pPr>
        <w:pStyle w:val="34"/>
        <w:snapToGrid w:val="0"/>
        <w:spacing w:line="408" w:lineRule="auto"/>
        <w:ind w:left="412" w:hanging="412" w:hangingChars="171"/>
        <w:rPr>
          <w:rFonts w:hAnsi="宋体" w:cs="宋体"/>
          <w:sz w:val="24"/>
          <w:szCs w:val="24"/>
          <w:highlight w:val="none"/>
        </w:rPr>
      </w:pPr>
      <w:r>
        <w:rPr>
          <w:rFonts w:hint="eastAsia" w:hAnsi="宋体" w:cs="宋体"/>
          <w:b/>
          <w:sz w:val="24"/>
          <w:szCs w:val="24"/>
          <w:highlight w:val="none"/>
        </w:rPr>
        <w:t>十、质量保证及售后服务</w:t>
      </w:r>
    </w:p>
    <w:p>
      <w:pPr>
        <w:pStyle w:val="34"/>
        <w:snapToGrid w:val="0"/>
        <w:spacing w:line="408" w:lineRule="auto"/>
        <w:rPr>
          <w:rFonts w:hAnsi="宋体" w:cs="宋体"/>
          <w:sz w:val="24"/>
          <w:szCs w:val="24"/>
          <w:highlight w:val="none"/>
        </w:rPr>
      </w:pPr>
      <w:r>
        <w:rPr>
          <w:rFonts w:hint="eastAsia" w:hAnsi="宋体" w:cs="宋体"/>
          <w:sz w:val="24"/>
          <w:szCs w:val="24"/>
          <w:highlight w:val="none"/>
        </w:rPr>
        <w:t>10.1 乙方应按招标文件规定的货物性能、技术要求、质量标准向甲方提供未经使用的全新产品。</w:t>
      </w:r>
    </w:p>
    <w:p>
      <w:pPr>
        <w:pStyle w:val="34"/>
        <w:snapToGrid w:val="0"/>
        <w:spacing w:line="408" w:lineRule="auto"/>
        <w:rPr>
          <w:rFonts w:hAnsi="宋体" w:cs="宋体"/>
          <w:sz w:val="24"/>
          <w:szCs w:val="24"/>
          <w:highlight w:val="none"/>
        </w:rPr>
      </w:pPr>
      <w:r>
        <w:rPr>
          <w:rFonts w:hint="eastAsia" w:hAnsi="宋体" w:cs="宋体"/>
          <w:sz w:val="24"/>
          <w:szCs w:val="24"/>
          <w:highlight w:val="none"/>
        </w:rPr>
        <w:t>10.2 乙方提供的货物在质量期内因货物本身的质量问题发生故障，乙方应负责免费更换。对达不到技术要求者，根据实际情况，经双方协商，可按以下办法处理：</w:t>
      </w:r>
    </w:p>
    <w:p>
      <w:pPr>
        <w:pStyle w:val="34"/>
        <w:snapToGrid w:val="0"/>
        <w:spacing w:line="408" w:lineRule="auto"/>
        <w:ind w:firstLine="420"/>
        <w:rPr>
          <w:rFonts w:hAnsi="宋体" w:cs="宋体"/>
          <w:sz w:val="24"/>
          <w:szCs w:val="24"/>
          <w:highlight w:val="none"/>
        </w:rPr>
      </w:pPr>
      <w:r>
        <w:rPr>
          <w:rFonts w:hint="eastAsia" w:hAnsi="宋体" w:cs="宋体"/>
          <w:sz w:val="24"/>
          <w:szCs w:val="24"/>
          <w:highlight w:val="none"/>
        </w:rPr>
        <w:t>⑴更换：由乙方承担所发生的全部费用。</w:t>
      </w:r>
    </w:p>
    <w:p>
      <w:pPr>
        <w:pStyle w:val="34"/>
        <w:snapToGrid w:val="0"/>
        <w:spacing w:line="408" w:lineRule="auto"/>
        <w:rPr>
          <w:rFonts w:hAnsi="宋体" w:cs="宋体"/>
          <w:sz w:val="24"/>
          <w:szCs w:val="24"/>
          <w:highlight w:val="none"/>
        </w:rPr>
      </w:pPr>
      <w:r>
        <w:rPr>
          <w:rFonts w:hint="eastAsia" w:hAnsi="宋体" w:cs="宋体"/>
          <w:sz w:val="24"/>
          <w:szCs w:val="24"/>
          <w:highlight w:val="none"/>
        </w:rPr>
        <w:t>⑵退货处理：乙方应退还甲方支付的合同款，同时应承担该货物的直接费用（运输、保险、检验、货款利息及银行手续费等）。</w:t>
      </w:r>
    </w:p>
    <w:p>
      <w:pPr>
        <w:pStyle w:val="34"/>
        <w:snapToGrid w:val="0"/>
        <w:spacing w:line="408" w:lineRule="auto"/>
        <w:rPr>
          <w:rFonts w:hAnsi="宋体" w:cs="宋体"/>
          <w:sz w:val="24"/>
          <w:szCs w:val="24"/>
          <w:highlight w:val="none"/>
        </w:rPr>
      </w:pPr>
      <w:r>
        <w:rPr>
          <w:rFonts w:hint="eastAsia" w:hAnsi="宋体" w:cs="宋体"/>
          <w:sz w:val="24"/>
          <w:szCs w:val="24"/>
          <w:highlight w:val="none"/>
        </w:rPr>
        <w:t>10.3 如在使用过程中发生质量问题，乙方在接到甲方通知后在</w:t>
      </w:r>
      <w:r>
        <w:rPr>
          <w:rFonts w:hint="eastAsia" w:hAnsi="宋体" w:cs="宋体"/>
          <w:sz w:val="24"/>
          <w:szCs w:val="24"/>
          <w:highlight w:val="none"/>
          <w:u w:val="single"/>
        </w:rPr>
        <w:t xml:space="preserve">    </w:t>
      </w:r>
      <w:r>
        <w:rPr>
          <w:rFonts w:hint="eastAsia" w:hAnsi="宋体" w:cs="宋体"/>
          <w:sz w:val="24"/>
          <w:szCs w:val="24"/>
          <w:highlight w:val="none"/>
        </w:rPr>
        <w:t>小时内到达甲方现场，免费维修。否则 ，乙方应支付甲方</w:t>
      </w:r>
      <w:r>
        <w:rPr>
          <w:rFonts w:hint="eastAsia" w:hAnsi="宋体" w:cs="宋体"/>
          <w:sz w:val="24"/>
          <w:szCs w:val="24"/>
          <w:highlight w:val="none"/>
          <w:u w:val="single"/>
        </w:rPr>
        <w:t>10000</w:t>
      </w:r>
      <w:r>
        <w:rPr>
          <w:rFonts w:hint="eastAsia" w:hAnsi="宋体" w:cs="宋体"/>
          <w:sz w:val="24"/>
          <w:szCs w:val="24"/>
          <w:highlight w:val="none"/>
        </w:rPr>
        <w:t>元的违约金，甲方有权委托第三人进行维修， 产生的一切费用均由乙方承担。</w:t>
      </w:r>
    </w:p>
    <w:p>
      <w:pPr>
        <w:pStyle w:val="34"/>
        <w:snapToGrid w:val="0"/>
        <w:spacing w:line="408" w:lineRule="auto"/>
        <w:rPr>
          <w:rFonts w:hAnsi="宋体" w:cs="宋体"/>
          <w:sz w:val="24"/>
          <w:szCs w:val="24"/>
          <w:highlight w:val="none"/>
        </w:rPr>
      </w:pPr>
      <w:r>
        <w:rPr>
          <w:rFonts w:hint="eastAsia" w:hAnsi="宋体" w:cs="宋体"/>
          <w:sz w:val="24"/>
          <w:szCs w:val="24"/>
          <w:highlight w:val="none"/>
        </w:rPr>
        <w:t>10.4 在质保期内，乙方应对货物出现的质量及安全问题负责处理解决并承担一切费用。</w:t>
      </w:r>
    </w:p>
    <w:p>
      <w:pPr>
        <w:pStyle w:val="34"/>
        <w:snapToGrid w:val="0"/>
        <w:spacing w:line="408" w:lineRule="auto"/>
        <w:rPr>
          <w:rFonts w:hAnsi="宋体" w:cs="宋体"/>
          <w:sz w:val="24"/>
          <w:szCs w:val="24"/>
          <w:highlight w:val="none"/>
        </w:rPr>
      </w:pPr>
      <w:r>
        <w:rPr>
          <w:rFonts w:hint="eastAsia" w:hAnsi="宋体" w:cs="宋体"/>
          <w:sz w:val="24"/>
          <w:szCs w:val="24"/>
          <w:highlight w:val="none"/>
        </w:rPr>
        <w:t>10.5上述的货物免费保修期为</w:t>
      </w:r>
      <w:r>
        <w:rPr>
          <w:rFonts w:hint="eastAsia" w:hAnsi="宋体" w:cs="宋体"/>
          <w:sz w:val="24"/>
          <w:szCs w:val="24"/>
          <w:highlight w:val="none"/>
          <w:u w:val="single"/>
        </w:rPr>
        <w:t xml:space="preserve">     </w:t>
      </w:r>
      <w:r>
        <w:rPr>
          <w:rFonts w:hint="eastAsia" w:hAnsi="宋体" w:cs="宋体"/>
          <w:sz w:val="24"/>
          <w:szCs w:val="24"/>
          <w:highlight w:val="none"/>
        </w:rPr>
        <w:t>年，因人为因素出现的故障不在免费保修范围内。超过保修期的机器设备，终生维修，维修时只收部件成本费。</w:t>
      </w:r>
    </w:p>
    <w:p>
      <w:pPr>
        <w:pStyle w:val="34"/>
        <w:snapToGrid w:val="0"/>
        <w:spacing w:line="408" w:lineRule="auto"/>
        <w:rPr>
          <w:rFonts w:hAnsi="宋体" w:cs="宋体"/>
          <w:b/>
          <w:sz w:val="24"/>
          <w:szCs w:val="24"/>
          <w:highlight w:val="none"/>
        </w:rPr>
      </w:pPr>
      <w:r>
        <w:rPr>
          <w:rFonts w:hint="eastAsia" w:hAnsi="宋体" w:cs="宋体"/>
          <w:b/>
          <w:sz w:val="24"/>
          <w:szCs w:val="24"/>
          <w:highlight w:val="none"/>
        </w:rPr>
        <w:t>十一、货物验收</w:t>
      </w:r>
    </w:p>
    <w:p>
      <w:pPr>
        <w:pStyle w:val="34"/>
        <w:snapToGrid w:val="0"/>
        <w:spacing w:line="408" w:lineRule="auto"/>
        <w:rPr>
          <w:rFonts w:hAnsi="宋体" w:cs="宋体"/>
          <w:sz w:val="24"/>
          <w:szCs w:val="24"/>
          <w:highlight w:val="none"/>
        </w:rPr>
      </w:pPr>
      <w:r>
        <w:rPr>
          <w:rFonts w:hint="eastAsia" w:hAnsi="宋体" w:cs="宋体"/>
          <w:sz w:val="24"/>
          <w:szCs w:val="24"/>
          <w:highlight w:val="none"/>
        </w:rPr>
        <w:t>11.1 甲方对乙方提交的货物依据招标文件上的技术规格要求和国家有关质量标准进行现场初步验收，外观、说明书符合招标文件技术要求的，给予签收，但并不视为甲方对货物质量最终确认，也不免除乙方按照国家、地方法律、法规和行业制度管理的规定应承担的产品质量责任。初步验收不合格的不予签收。货到后，甲方需在五个工作日内进行初步验收。</w:t>
      </w:r>
    </w:p>
    <w:p>
      <w:pPr>
        <w:pStyle w:val="34"/>
        <w:snapToGrid w:val="0"/>
        <w:spacing w:line="408" w:lineRule="auto"/>
        <w:rPr>
          <w:rFonts w:hAnsi="宋体" w:cs="宋体"/>
          <w:sz w:val="24"/>
          <w:szCs w:val="24"/>
          <w:highlight w:val="none"/>
        </w:rPr>
      </w:pPr>
      <w:r>
        <w:rPr>
          <w:rFonts w:hint="eastAsia" w:hAnsi="宋体" w:cs="宋体"/>
          <w:sz w:val="24"/>
          <w:szCs w:val="24"/>
          <w:highlight w:val="none"/>
        </w:rPr>
        <w:t>11.2 乙方交货前应对产品作出全面检查和对验收文件进行整理，并列出清单，作为甲方收货验收和使用的技术条件依据，检验的结果应随货物交甲方。</w:t>
      </w:r>
    </w:p>
    <w:p>
      <w:pPr>
        <w:pStyle w:val="34"/>
        <w:snapToGrid w:val="0"/>
        <w:spacing w:line="408" w:lineRule="auto"/>
        <w:rPr>
          <w:rFonts w:hAnsi="宋体" w:cs="宋体"/>
          <w:sz w:val="24"/>
          <w:szCs w:val="24"/>
          <w:highlight w:val="none"/>
        </w:rPr>
      </w:pPr>
      <w:r>
        <w:rPr>
          <w:rFonts w:hint="eastAsia" w:hAnsi="宋体" w:cs="宋体"/>
          <w:sz w:val="24"/>
          <w:szCs w:val="24"/>
          <w:highlight w:val="none"/>
        </w:rPr>
        <w:t>11.3 对技术复杂的货物，甲方应请国家认可的专业检测机构参与初步验收及最终验收，并由其出具质量检测报告，所有费用由乙方承担。</w:t>
      </w:r>
    </w:p>
    <w:p>
      <w:pPr>
        <w:pStyle w:val="34"/>
        <w:snapToGrid w:val="0"/>
        <w:spacing w:line="408" w:lineRule="auto"/>
        <w:rPr>
          <w:rFonts w:hAnsi="宋体" w:cs="宋体"/>
          <w:sz w:val="24"/>
          <w:szCs w:val="24"/>
          <w:highlight w:val="none"/>
        </w:rPr>
      </w:pPr>
      <w:r>
        <w:rPr>
          <w:rFonts w:hint="eastAsia" w:hAnsi="宋体" w:cs="宋体"/>
          <w:sz w:val="24"/>
          <w:szCs w:val="24"/>
          <w:highlight w:val="none"/>
        </w:rPr>
        <w:t>11.4 验收时乙方必须在现场，验收完毕后作出验收结果报告；验收费用由乙方负责。</w:t>
      </w:r>
    </w:p>
    <w:p>
      <w:pPr>
        <w:pStyle w:val="34"/>
        <w:snapToGrid w:val="0"/>
        <w:spacing w:line="408" w:lineRule="auto"/>
        <w:rPr>
          <w:rFonts w:hAnsi="宋体" w:cs="宋体"/>
          <w:b/>
          <w:sz w:val="24"/>
          <w:szCs w:val="24"/>
          <w:highlight w:val="none"/>
        </w:rPr>
      </w:pPr>
      <w:r>
        <w:rPr>
          <w:rFonts w:hint="eastAsia" w:hAnsi="宋体" w:cs="宋体"/>
          <w:b/>
          <w:sz w:val="24"/>
          <w:szCs w:val="24"/>
          <w:highlight w:val="none"/>
        </w:rPr>
        <w:t>十二、货物包装、发运及运输</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12.1 乙方应在货物发运前对其进行满足运输距离、防潮、防震、防锈和防破损装卸等要求包装，以保证货物安全运达甲方指定地点。</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12.2 使用说明书、质量检验证明书、随配附件和工具以及清单一并附于货物内。</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12.3 乙方在货物发运手续办理完毕后24小时内或货到甲方48小时前通知甲方，以准备接货。</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12.4 货物在交付甲方前发生的风险均由乙方负责。</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12.5 货物在规定的交付期限内由乙方送达甲方指定的地点并安装完成通过验收视为交付，乙方同时需书面通知甲方货物已送达并经甲方确认。</w:t>
      </w:r>
    </w:p>
    <w:p>
      <w:pPr>
        <w:pStyle w:val="34"/>
        <w:snapToGrid w:val="0"/>
        <w:spacing w:line="408" w:lineRule="auto"/>
        <w:ind w:firstLine="422"/>
        <w:rPr>
          <w:rFonts w:hAnsi="宋体" w:cs="宋体"/>
          <w:b/>
          <w:sz w:val="24"/>
          <w:szCs w:val="24"/>
          <w:highlight w:val="none"/>
        </w:rPr>
      </w:pPr>
      <w:r>
        <w:rPr>
          <w:rFonts w:hint="eastAsia" w:hAnsi="宋体" w:cs="宋体"/>
          <w:b/>
          <w:sz w:val="24"/>
          <w:szCs w:val="24"/>
          <w:highlight w:val="none"/>
        </w:rPr>
        <w:t>十三、违约责任</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 xml:space="preserve">13.1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13.2 乙方所交的货物品种、型号、规格、技术参数、质量不符合合同规定及招标文件规定标准的，甲方有权拒收该货物，乙方愿意更换货物但逾期交货的，按乙方逾期交货处理。乙方拒绝更换货物或更换后仍不合格的，甲方可单方面解除合同，有权要求乙方支付</w:t>
      </w:r>
      <w:r>
        <w:rPr>
          <w:rFonts w:hint="eastAsia" w:hAnsi="宋体" w:cs="宋体"/>
          <w:sz w:val="24"/>
          <w:szCs w:val="24"/>
          <w:highlight w:val="none"/>
          <w:u w:val="single"/>
        </w:rPr>
        <w:t>50000</w:t>
      </w:r>
      <w:r>
        <w:rPr>
          <w:rFonts w:hint="eastAsia" w:hAnsi="宋体" w:cs="宋体"/>
          <w:sz w:val="24"/>
          <w:szCs w:val="24"/>
          <w:highlight w:val="none"/>
        </w:rPr>
        <w:t>元的违约金，并赔偿给甲方造成的损失。</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13.3 乙方所提供的货物存在任何权利瑕疵或侵犯第三人权利的，甲方有权解除合同，要求乙方支付50000元的违约金，并赔偿给甲方造成的损失。</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13.4 本合同中乙方给甲方造成的损失但不限于诉讼费、律师费、调查费、差旅费、对外经济赔偿、补偿金、中介机构费用和其他损失。</w:t>
      </w:r>
    </w:p>
    <w:p>
      <w:pPr>
        <w:pStyle w:val="34"/>
        <w:snapToGrid w:val="0"/>
        <w:spacing w:line="408" w:lineRule="auto"/>
        <w:ind w:firstLine="422"/>
        <w:rPr>
          <w:rFonts w:hAnsi="宋体" w:cs="宋体"/>
          <w:b/>
          <w:sz w:val="24"/>
          <w:szCs w:val="24"/>
          <w:highlight w:val="none"/>
        </w:rPr>
      </w:pPr>
      <w:r>
        <w:rPr>
          <w:rFonts w:hint="eastAsia" w:hAnsi="宋体" w:cs="宋体"/>
          <w:b/>
          <w:sz w:val="24"/>
          <w:szCs w:val="24"/>
          <w:highlight w:val="none"/>
        </w:rPr>
        <w:t>十四、不可抗力事件处理</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14.1 在合同有效期内，任何一方因不可抗力事件导致不能履行合同，则合同履行期可延长，其延长期与不可抗力影响期相同。</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14.2 不可抗力事件发生后，应立即通知对方，并寄送有关权威机构出具的证明。</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14.3 不可抗力事件延续120天以上，双方应通过友好协商，确定是否继续履行合同。</w:t>
      </w:r>
    </w:p>
    <w:p>
      <w:pPr>
        <w:spacing w:line="360" w:lineRule="auto"/>
        <w:ind w:firstLine="482" w:firstLineChars="200"/>
        <w:rPr>
          <w:rFonts w:ascii="宋体" w:hAnsi="宋体" w:cs="宋体"/>
          <w:b/>
          <w:sz w:val="24"/>
          <w:szCs w:val="32"/>
          <w:highlight w:val="none"/>
        </w:rPr>
      </w:pPr>
      <w:r>
        <w:rPr>
          <w:rFonts w:hint="eastAsia" w:ascii="宋体" w:hAnsi="宋体" w:cs="宋体"/>
          <w:b/>
          <w:sz w:val="24"/>
          <w:highlight w:val="none"/>
        </w:rPr>
        <w:t>十</w:t>
      </w:r>
      <w:r>
        <w:rPr>
          <w:rFonts w:hint="eastAsia" w:ascii="宋体" w:hAnsi="宋体" w:cs="宋体"/>
          <w:b/>
          <w:sz w:val="24"/>
          <w:szCs w:val="32"/>
          <w:highlight w:val="none"/>
        </w:rPr>
        <w:t>五</w:t>
      </w:r>
      <w:r>
        <w:rPr>
          <w:rFonts w:hint="eastAsia" w:ascii="宋体" w:hAnsi="宋体" w:cs="宋体"/>
          <w:b/>
          <w:sz w:val="24"/>
          <w:highlight w:val="none"/>
        </w:rPr>
        <w:t>、</w:t>
      </w:r>
      <w:r>
        <w:rPr>
          <w:rFonts w:hint="eastAsia" w:ascii="宋体" w:hAnsi="宋体" w:cs="宋体"/>
          <w:b/>
          <w:sz w:val="24"/>
          <w:szCs w:val="32"/>
          <w:highlight w:val="none"/>
        </w:rPr>
        <w:t>争议解决</w:t>
      </w:r>
    </w:p>
    <w:p>
      <w:pPr>
        <w:spacing w:line="360" w:lineRule="auto"/>
        <w:ind w:firstLine="480" w:firstLineChars="200"/>
        <w:rPr>
          <w:rFonts w:ascii="宋体" w:hAnsi="宋体" w:cs="宋体"/>
          <w:sz w:val="24"/>
          <w:szCs w:val="32"/>
          <w:highlight w:val="none"/>
        </w:rPr>
      </w:pPr>
      <w:r>
        <w:rPr>
          <w:rFonts w:hint="eastAsia" w:ascii="宋体" w:hAnsi="宋体" w:cs="宋体"/>
          <w:sz w:val="24"/>
          <w:szCs w:val="32"/>
          <w:highlight w:val="none"/>
        </w:rPr>
        <w:t>双方如在履行合同中发生纠纷，首先应友好协商，协商不成，提交丽水仲裁委员会仲裁解决。</w:t>
      </w:r>
    </w:p>
    <w:p>
      <w:pPr>
        <w:pStyle w:val="34"/>
        <w:snapToGrid w:val="0"/>
        <w:spacing w:line="408" w:lineRule="auto"/>
        <w:ind w:firstLine="422"/>
        <w:rPr>
          <w:rFonts w:hAnsi="宋体" w:cs="宋体"/>
          <w:b/>
          <w:sz w:val="24"/>
          <w:szCs w:val="24"/>
          <w:highlight w:val="none"/>
        </w:rPr>
      </w:pPr>
      <w:r>
        <w:rPr>
          <w:rFonts w:hint="eastAsia" w:hAnsi="宋体" w:cs="宋体"/>
          <w:b/>
          <w:sz w:val="24"/>
          <w:szCs w:val="24"/>
          <w:highlight w:val="none"/>
        </w:rPr>
        <w:t>十六、合同生效及其它</w:t>
      </w:r>
    </w:p>
    <w:p>
      <w:pPr>
        <w:pStyle w:val="34"/>
        <w:snapToGrid w:val="0"/>
        <w:spacing w:line="408" w:lineRule="auto"/>
        <w:ind w:firstLine="480" w:firstLineChars="200"/>
        <w:rPr>
          <w:rFonts w:hAnsi="宋体" w:cs="宋体"/>
          <w:b/>
          <w:sz w:val="24"/>
          <w:szCs w:val="24"/>
          <w:highlight w:val="none"/>
        </w:rPr>
      </w:pPr>
      <w:r>
        <w:rPr>
          <w:rFonts w:hint="eastAsia" w:hAnsi="宋体" w:cs="宋体"/>
          <w:sz w:val="24"/>
          <w:szCs w:val="24"/>
          <w:highlight w:val="none"/>
        </w:rPr>
        <w:t>16.1 合同经双方法定代表人或授权委托代理人签字并加盖单位公章后生效。</w:t>
      </w:r>
    </w:p>
    <w:p>
      <w:pPr>
        <w:pStyle w:val="34"/>
        <w:snapToGrid w:val="0"/>
        <w:spacing w:line="408" w:lineRule="auto"/>
        <w:ind w:firstLine="480" w:firstLineChars="200"/>
        <w:rPr>
          <w:rFonts w:hAnsi="宋体" w:cs="宋体"/>
          <w:sz w:val="24"/>
          <w:szCs w:val="24"/>
          <w:highlight w:val="none"/>
        </w:rPr>
      </w:pPr>
      <w:r>
        <w:rPr>
          <w:rFonts w:hint="eastAsia" w:hAnsi="宋体" w:cs="宋体"/>
          <w:sz w:val="24"/>
          <w:szCs w:val="24"/>
          <w:highlight w:val="none"/>
        </w:rPr>
        <w:t>16.2合同执行中涉及采购资金和采购内容修改或补充的，须经审批，并签书面补充协议备案，方可作为主合同不可分割的一部分。</w:t>
      </w:r>
    </w:p>
    <w:p>
      <w:pPr>
        <w:pStyle w:val="34"/>
        <w:snapToGrid w:val="0"/>
        <w:spacing w:line="408" w:lineRule="auto"/>
        <w:rPr>
          <w:rFonts w:hAnsi="宋体" w:cs="宋体"/>
          <w:sz w:val="24"/>
          <w:szCs w:val="24"/>
          <w:highlight w:val="none"/>
        </w:rPr>
      </w:pPr>
      <w:r>
        <w:rPr>
          <w:rFonts w:hint="eastAsia" w:hAnsi="宋体" w:cs="宋体"/>
          <w:sz w:val="24"/>
          <w:szCs w:val="24"/>
          <w:highlight w:val="none"/>
        </w:rPr>
        <w:t xml:space="preserve">    16.3本合同未尽事宜，遵照《中华人民共和国民法典》有关条文执行。</w:t>
      </w:r>
    </w:p>
    <w:p>
      <w:pPr>
        <w:pStyle w:val="34"/>
        <w:snapToGrid w:val="0"/>
        <w:spacing w:line="408" w:lineRule="auto"/>
        <w:rPr>
          <w:rFonts w:hAnsi="宋体" w:cs="宋体"/>
          <w:sz w:val="24"/>
          <w:szCs w:val="24"/>
          <w:highlight w:val="none"/>
        </w:rPr>
      </w:pPr>
      <w:r>
        <w:rPr>
          <w:rFonts w:hint="eastAsia" w:hAnsi="宋体" w:cs="宋体"/>
          <w:sz w:val="24"/>
          <w:szCs w:val="24"/>
          <w:highlight w:val="none"/>
        </w:rPr>
        <w:t xml:space="preserve">    16.4 本合同正本一式肆份，具有同等法律效力，甲方贰份，乙方贰份。</w:t>
      </w:r>
    </w:p>
    <w:p>
      <w:pPr>
        <w:pStyle w:val="34"/>
        <w:snapToGrid w:val="0"/>
        <w:spacing w:line="408" w:lineRule="auto"/>
        <w:rPr>
          <w:rFonts w:hAnsi="宋体" w:cs="宋体"/>
          <w:sz w:val="24"/>
          <w:szCs w:val="24"/>
          <w:highlight w:val="none"/>
        </w:rPr>
      </w:pPr>
    </w:p>
    <w:p>
      <w:pPr>
        <w:pStyle w:val="34"/>
        <w:snapToGrid w:val="0"/>
        <w:spacing w:line="408" w:lineRule="auto"/>
        <w:ind w:left="480" w:hanging="480" w:hangingChars="200"/>
        <w:rPr>
          <w:rFonts w:hAnsi="宋体" w:cs="宋体"/>
          <w:sz w:val="24"/>
          <w:szCs w:val="24"/>
          <w:highlight w:val="none"/>
        </w:rPr>
      </w:pPr>
      <w:r>
        <w:rPr>
          <w:rFonts w:hint="eastAsia" w:hAnsi="宋体" w:cs="宋体"/>
          <w:sz w:val="24"/>
          <w:szCs w:val="24"/>
          <w:highlight w:val="none"/>
        </w:rPr>
        <w:t xml:space="preserve">  甲方：                                   乙方： </w:t>
      </w:r>
    </w:p>
    <w:p>
      <w:pPr>
        <w:pStyle w:val="34"/>
        <w:snapToGrid w:val="0"/>
        <w:spacing w:line="408" w:lineRule="auto"/>
        <w:rPr>
          <w:rFonts w:hAnsi="宋体" w:cs="宋体"/>
          <w:sz w:val="24"/>
          <w:szCs w:val="24"/>
          <w:highlight w:val="none"/>
        </w:rPr>
      </w:pPr>
      <w:r>
        <w:rPr>
          <w:rFonts w:hint="eastAsia" w:hAnsi="宋体" w:cs="宋体"/>
          <w:sz w:val="24"/>
          <w:szCs w:val="24"/>
          <w:highlight w:val="none"/>
        </w:rPr>
        <w:t xml:space="preserve">  地址：                                   地址： </w:t>
      </w:r>
    </w:p>
    <w:p>
      <w:pPr>
        <w:pStyle w:val="34"/>
        <w:snapToGrid w:val="0"/>
        <w:spacing w:line="408" w:lineRule="auto"/>
        <w:rPr>
          <w:rFonts w:hAnsi="宋体" w:cs="宋体"/>
          <w:sz w:val="24"/>
          <w:szCs w:val="24"/>
          <w:highlight w:val="none"/>
        </w:rPr>
      </w:pPr>
      <w:r>
        <w:rPr>
          <w:rFonts w:hint="eastAsia" w:hAnsi="宋体" w:cs="宋体"/>
          <w:sz w:val="24"/>
          <w:szCs w:val="24"/>
          <w:highlight w:val="none"/>
        </w:rPr>
        <w:t xml:space="preserve">  法定代表人：                             法定代表人：</w:t>
      </w:r>
    </w:p>
    <w:p>
      <w:pPr>
        <w:pStyle w:val="34"/>
        <w:spacing w:line="408" w:lineRule="auto"/>
        <w:rPr>
          <w:rFonts w:hAnsi="宋体" w:cs="宋体"/>
          <w:bCs/>
          <w:sz w:val="24"/>
          <w:szCs w:val="24"/>
          <w:highlight w:val="none"/>
        </w:rPr>
      </w:pPr>
      <w:r>
        <w:rPr>
          <w:rFonts w:hint="eastAsia" w:hAnsi="宋体" w:cs="宋体"/>
          <w:sz w:val="24"/>
          <w:szCs w:val="24"/>
          <w:highlight w:val="none"/>
        </w:rPr>
        <w:t xml:space="preserve">  </w:t>
      </w:r>
      <w:r>
        <w:rPr>
          <w:rFonts w:hint="eastAsia" w:hAnsi="宋体" w:cs="宋体"/>
          <w:bCs/>
          <w:sz w:val="24"/>
          <w:szCs w:val="24"/>
          <w:highlight w:val="none"/>
        </w:rPr>
        <w:t>签订地点：                               签订日期：      年  月  日</w:t>
      </w:r>
    </w:p>
    <w:p>
      <w:pPr>
        <w:spacing w:line="360" w:lineRule="auto"/>
        <w:ind w:left="-420" w:leftChars="-200" w:right="-420" w:rightChars="-200"/>
        <w:rPr>
          <w:rFonts w:ascii="宋体" w:hAnsi="宋体" w:cs="宋体"/>
          <w:sz w:val="24"/>
          <w:highlight w:val="none"/>
        </w:rPr>
      </w:pPr>
    </w:p>
    <w:p>
      <w:pPr>
        <w:pStyle w:val="5"/>
        <w:rPr>
          <w:rFonts w:ascii="宋体" w:hAnsi="宋体" w:eastAsia="宋体" w:cs="宋体"/>
          <w:highlight w:val="none"/>
        </w:rPr>
      </w:pPr>
    </w:p>
    <w:p>
      <w:pPr>
        <w:rPr>
          <w:rFonts w:ascii="宋体" w:hAnsi="宋体" w:cs="宋体"/>
          <w:highlight w:val="none"/>
        </w:rPr>
      </w:pPr>
    </w:p>
    <w:p>
      <w:pPr>
        <w:spacing w:line="360" w:lineRule="auto"/>
        <w:ind w:left="720" w:firstLine="723" w:firstLineChars="200"/>
        <w:outlineLvl w:val="0"/>
        <w:rPr>
          <w:rFonts w:ascii="宋体" w:hAnsi="宋体" w:cs="宋体"/>
          <w:b/>
          <w:sz w:val="36"/>
          <w:szCs w:val="20"/>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ind w:left="720" w:firstLine="723" w:firstLineChars="200"/>
        <w:outlineLvl w:val="0"/>
        <w:rPr>
          <w:rFonts w:ascii="宋体" w:hAnsi="宋体" w:cs="宋体"/>
          <w:b/>
          <w:sz w:val="36"/>
          <w:szCs w:val="20"/>
          <w:highlight w:val="none"/>
        </w:rPr>
      </w:pPr>
      <w:r>
        <w:rPr>
          <w:rFonts w:hint="eastAsia" w:ascii="宋体" w:hAnsi="宋体" w:cs="宋体"/>
          <w:b/>
          <w:sz w:val="36"/>
          <w:szCs w:val="20"/>
          <w:highlight w:val="none"/>
        </w:rPr>
        <w:t>第六部分</w:t>
      </w:r>
      <w:bookmarkEnd w:id="399"/>
      <w:r>
        <w:rPr>
          <w:rFonts w:hint="eastAsia" w:ascii="宋体" w:hAnsi="宋体" w:cs="宋体"/>
          <w:b/>
          <w:sz w:val="36"/>
          <w:szCs w:val="20"/>
          <w:highlight w:val="none"/>
        </w:rPr>
        <w:t xml:space="preserve"> </w:t>
      </w:r>
      <w:bookmarkEnd w:id="400"/>
      <w:r>
        <w:rPr>
          <w:rFonts w:hint="eastAsia" w:ascii="宋体" w:hAnsi="宋体" w:cs="宋体"/>
          <w:b/>
          <w:sz w:val="36"/>
          <w:szCs w:val="20"/>
          <w:highlight w:val="none"/>
        </w:rPr>
        <w:t>应提交的有关格式范例</w:t>
      </w: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numPr>
          <w:ilvl w:val="0"/>
          <w:numId w:val="7"/>
        </w:numPr>
        <w:snapToGrid w:val="0"/>
        <w:spacing w:line="360" w:lineRule="auto"/>
        <w:rPr>
          <w:rFonts w:ascii="宋体" w:hAnsi="宋体" w:cs="宋体"/>
          <w:sz w:val="24"/>
          <w:highlight w:val="none"/>
        </w:rPr>
      </w:pPr>
      <w:r>
        <w:rPr>
          <w:rFonts w:hint="eastAsia" w:ascii="宋体" w:hAnsi="宋体" w:cs="宋体"/>
          <w:sz w:val="24"/>
          <w:highlight w:val="none"/>
        </w:rPr>
        <w:t>投标人的营业执照副本复印件（加盖公章）…………………………………（页码）</w:t>
      </w:r>
    </w:p>
    <w:p>
      <w:pPr>
        <w:numPr>
          <w:ilvl w:val="0"/>
          <w:numId w:val="7"/>
        </w:numPr>
        <w:snapToGrid w:val="0"/>
        <w:spacing w:line="360" w:lineRule="auto"/>
        <w:rPr>
          <w:rFonts w:ascii="宋体" w:hAnsi="宋体" w:cs="宋体"/>
          <w:sz w:val="24"/>
          <w:highlight w:val="none"/>
        </w:rPr>
      </w:pPr>
      <w:r>
        <w:rPr>
          <w:rFonts w:hint="eastAsia" w:ascii="宋体" w:hAnsi="宋体" w:cs="宋体"/>
          <w:sz w:val="24"/>
          <w:highlight w:val="none"/>
        </w:rPr>
        <w:t>符合参加政府采购活动应当具备的一般条件的承诺函………………………（页码）</w:t>
      </w:r>
    </w:p>
    <w:p>
      <w:pPr>
        <w:snapToGrid w:val="0"/>
        <w:spacing w:line="360" w:lineRule="auto"/>
        <w:rPr>
          <w:rFonts w:ascii="宋体" w:hAnsi="宋体" w:cs="宋体"/>
          <w:sz w:val="24"/>
          <w:highlight w:val="none"/>
        </w:rPr>
      </w:pPr>
      <w:r>
        <w:rPr>
          <w:rFonts w:hint="eastAsia" w:ascii="宋体" w:hAnsi="宋体" w:cs="宋体"/>
          <w:snapToGrid w:val="0"/>
          <w:kern w:val="28"/>
          <w:sz w:val="24"/>
          <w:szCs w:val="20"/>
          <w:highlight w:val="none"/>
        </w:rPr>
        <w:t>（3）联合协议</w:t>
      </w:r>
      <w:r>
        <w:rPr>
          <w:rFonts w:hint="eastAsia" w:ascii="宋体" w:hAnsi="宋体" w:cs="宋体"/>
          <w:sz w:val="24"/>
          <w:highlight w:val="none"/>
        </w:rPr>
        <w:t>…………………………………………………………………………（页码）</w:t>
      </w:r>
    </w:p>
    <w:p>
      <w:pPr>
        <w:snapToGrid w:val="0"/>
        <w:spacing w:line="360" w:lineRule="auto"/>
        <w:rPr>
          <w:rFonts w:ascii="宋体" w:hAnsi="宋体" w:cs="宋体"/>
          <w:sz w:val="24"/>
          <w:highlight w:val="none"/>
        </w:rPr>
      </w:pPr>
      <w:r>
        <w:rPr>
          <w:rFonts w:hint="eastAsia" w:ascii="宋体" w:hAnsi="宋体" w:cs="宋体"/>
          <w:sz w:val="24"/>
          <w:highlight w:val="none"/>
        </w:rPr>
        <w:t>（4）本项目的特定资格要求…………………………………………………………（页码）</w:t>
      </w:r>
    </w:p>
    <w:p>
      <w:pPr>
        <w:spacing w:line="360" w:lineRule="auto"/>
        <w:rPr>
          <w:rFonts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5</w:t>
      </w:r>
      <w:r>
        <w:rPr>
          <w:rFonts w:hint="eastAsia" w:ascii="宋体" w:hAnsi="宋体" w:cs="宋体"/>
          <w:sz w:val="24"/>
          <w:highlight w:val="none"/>
          <w:lang w:eastAsia="zh-CN"/>
        </w:rPr>
        <w:t>）</w:t>
      </w:r>
      <w:r>
        <w:rPr>
          <w:rFonts w:hint="eastAsia" w:ascii="宋体" w:hAnsi="宋体" w:cs="宋体"/>
          <w:sz w:val="24"/>
          <w:highlight w:val="none"/>
        </w:rPr>
        <w:t>落实政府采购政策需满足的资格要求</w:t>
      </w:r>
      <w:r>
        <w:rPr>
          <w:rFonts w:hint="eastAsia" w:ascii="宋体" w:hAnsi="宋体" w:cs="宋体"/>
          <w:sz w:val="24"/>
          <w:highlight w:val="none"/>
          <w:lang w:eastAsia="zh-CN"/>
        </w:rPr>
        <w:t>（</w:t>
      </w:r>
      <w:r>
        <w:rPr>
          <w:rFonts w:hint="eastAsia" w:ascii="宋体" w:hAnsi="宋体" w:cs="宋体"/>
          <w:sz w:val="24"/>
          <w:highlight w:val="none"/>
          <w:lang w:val="en-US" w:eastAsia="zh-CN"/>
        </w:rPr>
        <w:t>标项二须提供</w:t>
      </w:r>
      <w:r>
        <w:rPr>
          <w:rFonts w:hint="eastAsia" w:ascii="宋体" w:hAnsi="宋体" w:cs="宋体"/>
          <w:sz w:val="24"/>
          <w:highlight w:val="none"/>
          <w:lang w:eastAsia="zh-CN"/>
        </w:rPr>
        <w:t>）</w:t>
      </w:r>
      <w:r>
        <w:rPr>
          <w:rFonts w:hint="eastAsia" w:ascii="宋体" w:hAnsi="宋体" w:cs="宋体"/>
          <w:sz w:val="24"/>
          <w:highlight w:val="none"/>
        </w:rPr>
        <w:t>……………………（页码）</w:t>
      </w:r>
    </w:p>
    <w:p>
      <w:pPr>
        <w:numPr>
          <w:ilvl w:val="0"/>
          <w:numId w:val="8"/>
        </w:numPr>
        <w:snapToGrid w:val="0"/>
        <w:spacing w:line="360" w:lineRule="auto"/>
        <w:ind w:right="480"/>
        <w:jc w:val="center"/>
        <w:rPr>
          <w:rFonts w:ascii="宋体" w:hAnsi="宋体" w:cs="宋体"/>
          <w:b/>
          <w:kern w:val="0"/>
          <w:sz w:val="32"/>
          <w:szCs w:val="32"/>
          <w:highlight w:val="none"/>
        </w:rPr>
      </w:pPr>
      <w:r>
        <w:rPr>
          <w:rFonts w:hint="eastAsia" w:ascii="宋体" w:hAnsi="宋体" w:cs="宋体"/>
          <w:kern w:val="0"/>
          <w:sz w:val="24"/>
          <w:highlight w:val="none"/>
        </w:rPr>
        <w:br w:type="page"/>
      </w:r>
      <w:r>
        <w:rPr>
          <w:rFonts w:hint="eastAsia" w:ascii="宋体" w:hAnsi="宋体" w:cs="宋体"/>
          <w:b/>
          <w:kern w:val="0"/>
          <w:sz w:val="32"/>
          <w:szCs w:val="32"/>
          <w:highlight w:val="none"/>
        </w:rPr>
        <w:t>投标人的营业执照副本复印件（加盖公章）</w:t>
      </w:r>
    </w:p>
    <w:p>
      <w:pPr>
        <w:snapToGrid w:val="0"/>
        <w:spacing w:line="360" w:lineRule="auto"/>
        <w:ind w:right="480"/>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rPr>
        <w:t>二、符合参加政府采购活动应当具备的一般条件的承诺函</w:t>
      </w:r>
    </w:p>
    <w:p>
      <w:pPr>
        <w:snapToGrid w:val="0"/>
        <w:spacing w:line="360" w:lineRule="auto"/>
        <w:rPr>
          <w:rFonts w:ascii="宋体" w:hAnsi="宋体" w:cs="宋体"/>
          <w:sz w:val="24"/>
          <w:highlight w:val="none"/>
        </w:rPr>
      </w:pPr>
      <w:r>
        <w:rPr>
          <w:rFonts w:hint="eastAsia" w:ascii="宋体" w:hAnsi="宋体" w:cs="宋体"/>
          <w:sz w:val="24"/>
          <w:highlight w:val="none"/>
        </w:rPr>
        <w:t>（采购人）、（采购代理机构）：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我方参与（项目名称）【招标编号：（采购编号）】政府采购活动，郑重承诺：</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1、具有独立承担民事责任的能力；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2、具有良好的商业信誉和健全的财务会计制度；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3、具有履行合同所必需的设备和专业技术能力；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4、有依法缴纳税收和社会保障资金的良好记录；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6、具有法律、行政法规规定的其他条件。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投标人名称(公章)：</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rPr>
          <w:rFonts w:ascii="宋体" w:hAnsi="宋体" w:cs="宋体"/>
          <w:highlight w:val="none"/>
        </w:rPr>
      </w:pPr>
    </w:p>
    <w:p>
      <w:pPr>
        <w:widowControl/>
        <w:spacing w:line="360" w:lineRule="auto"/>
        <w:rPr>
          <w:rFonts w:ascii="宋体" w:hAnsi="宋体" w:cs="宋体"/>
          <w:b/>
          <w:kern w:val="0"/>
          <w:sz w:val="32"/>
          <w:szCs w:val="32"/>
          <w:highlight w:val="none"/>
        </w:rPr>
      </w:pPr>
    </w:p>
    <w:p>
      <w:pPr>
        <w:widowControl/>
        <w:spacing w:line="360" w:lineRule="auto"/>
        <w:ind w:firstLine="643" w:firstLineChars="200"/>
        <w:jc w:val="center"/>
        <w:rPr>
          <w:rFonts w:ascii="宋体" w:hAnsi="宋体" w:cs="宋体"/>
          <w:b/>
          <w:kern w:val="0"/>
          <w:sz w:val="32"/>
          <w:szCs w:val="32"/>
          <w:highlight w:val="none"/>
        </w:rPr>
      </w:pPr>
      <w:r>
        <w:rPr>
          <w:rFonts w:hint="eastAsia" w:ascii="宋体" w:hAnsi="宋体" w:cs="宋体"/>
          <w:b/>
          <w:kern w:val="0"/>
          <w:sz w:val="32"/>
          <w:szCs w:val="32"/>
          <w:highlight w:val="none"/>
        </w:rPr>
        <w:t>三、联合协议（如果有）</w:t>
      </w: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widowControl/>
        <w:spacing w:line="360" w:lineRule="auto"/>
        <w:ind w:left="150"/>
        <w:jc w:val="center"/>
        <w:rPr>
          <w:rFonts w:hint="eastAsia" w:ascii="宋体" w:hAnsi="宋体" w:cs="宋体"/>
          <w:b/>
          <w:kern w:val="0"/>
          <w:sz w:val="32"/>
          <w:szCs w:val="32"/>
          <w:highlight w:val="none"/>
        </w:rPr>
      </w:pPr>
      <w:r>
        <w:rPr>
          <w:rFonts w:hint="eastAsia" w:ascii="宋体" w:hAnsi="宋体" w:cs="宋体"/>
          <w:b/>
          <w:kern w:val="0"/>
          <w:sz w:val="32"/>
          <w:szCs w:val="32"/>
          <w:highlight w:val="none"/>
        </w:rPr>
        <w:t>四、投标人的特定条件的证明文件：</w:t>
      </w:r>
    </w:p>
    <w:p>
      <w:pPr>
        <w:widowControl/>
        <w:spacing w:line="360" w:lineRule="auto"/>
        <w:ind w:left="150"/>
        <w:jc w:val="center"/>
        <w:rPr>
          <w:rFonts w:hint="eastAsia" w:ascii="宋体" w:hAnsi="宋体" w:cs="宋体"/>
          <w:b/>
          <w:kern w:val="0"/>
          <w:sz w:val="32"/>
          <w:szCs w:val="32"/>
          <w:highlight w:val="none"/>
        </w:rPr>
      </w:pPr>
      <w:r>
        <w:rPr>
          <w:rFonts w:hint="eastAsia" w:ascii="宋体" w:hAnsi="宋体" w:cs="宋体"/>
          <w:b/>
          <w:kern w:val="0"/>
          <w:sz w:val="32"/>
          <w:szCs w:val="32"/>
          <w:highlight w:val="none"/>
        </w:rPr>
        <w:t xml:space="preserve">投标人为医疗器械生产企业的：第二类、第三类医疗器械生产企业提供《医疗器械生产许可证》复印件、第一类医疗器械生产企业提供第一类医疗器械生产备案凭证复印件。 </w:t>
      </w:r>
    </w:p>
    <w:p>
      <w:pPr>
        <w:widowControl/>
        <w:spacing w:line="360" w:lineRule="auto"/>
        <w:ind w:left="150"/>
        <w:jc w:val="center"/>
        <w:rPr>
          <w:rFonts w:hint="eastAsia" w:ascii="宋体" w:hAnsi="宋体" w:cs="宋体"/>
          <w:b/>
          <w:kern w:val="0"/>
          <w:sz w:val="32"/>
          <w:szCs w:val="32"/>
          <w:highlight w:val="none"/>
        </w:rPr>
      </w:pPr>
      <w:r>
        <w:rPr>
          <w:rFonts w:hint="eastAsia" w:ascii="宋体" w:hAnsi="宋体" w:cs="宋体"/>
          <w:b/>
          <w:kern w:val="0"/>
          <w:sz w:val="32"/>
          <w:szCs w:val="32"/>
          <w:highlight w:val="none"/>
        </w:rPr>
        <w:t>投标人为医疗器械经营企业的：第三类医疗器械经营企业提供《医疗器械经营许可证》复印件、第二类医疗器械经营企业提供第二类医疗器械经营备案凭证复印件。</w:t>
      </w: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sz w:val="24"/>
          <w:highlight w:val="none"/>
          <w:lang w:val="en-US" w:eastAsia="zh-CN"/>
        </w:rPr>
        <w:t>五、</w:t>
      </w:r>
      <w:r>
        <w:rPr>
          <w:rFonts w:hint="eastAsia" w:ascii="宋体" w:hAnsi="宋体" w:cs="宋体"/>
          <w:sz w:val="24"/>
          <w:highlight w:val="none"/>
        </w:rPr>
        <w:t>落实政府采购政策需满足的资格要求:</w:t>
      </w:r>
      <w:r>
        <w:rPr>
          <w:rFonts w:hint="eastAsia" w:ascii="宋体" w:hAnsi="宋体" w:cs="宋体"/>
          <w:snapToGrid w:val="0"/>
          <w:kern w:val="28"/>
          <w:sz w:val="24"/>
          <w:szCs w:val="20"/>
          <w:highlight w:val="none"/>
          <w:lang w:val="en-US" w:eastAsia="zh-CN"/>
        </w:rPr>
        <w:t>标项二：</w:t>
      </w:r>
      <w:r>
        <w:rPr>
          <w:rFonts w:hint="eastAsia" w:ascii="宋体" w:hAnsi="宋体" w:cs="宋体"/>
          <w:snapToGrid w:val="0"/>
          <w:kern w:val="28"/>
          <w:sz w:val="24"/>
          <w:szCs w:val="20"/>
          <w:highlight w:val="none"/>
        </w:rPr>
        <w:t>体外冲击波碎石机属于专门面向中小企业采购的项目，供应商应为符合《政府采购促进中小企业发展管理办法》（财库﹝2020﹞46 号）规定的中小企业（其中，小微企业包括视同为小型、微型企业的监狱企业、残疾人福利性单位。）。</w:t>
      </w: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r>
        <w:rPr>
          <w:rFonts w:hint="eastAsia" w:ascii="宋体" w:hAnsi="宋体" w:cs="宋体"/>
          <w:b/>
          <w:kern w:val="0"/>
          <w:sz w:val="32"/>
          <w:szCs w:val="32"/>
          <w:highlight w:val="none"/>
        </w:rPr>
        <w:br w:type="page"/>
      </w: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目录</w:t>
      </w:r>
    </w:p>
    <w:p>
      <w:pPr>
        <w:snapToGrid w:val="0"/>
        <w:spacing w:line="360" w:lineRule="auto"/>
        <w:ind w:left="479" w:leftChars="228"/>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（3）分包意向协议</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w:t>
      </w:r>
      <w:r>
        <w:rPr>
          <w:rFonts w:hint="eastAsia" w:ascii="宋体" w:hAnsi="宋体" w:cs="宋体"/>
          <w:sz w:val="24"/>
          <w:highlight w:val="none"/>
          <w:lang w:val="en-US" w:eastAsia="zh-CN"/>
        </w:rPr>
        <w:t>4</w:t>
      </w:r>
      <w:r>
        <w:rPr>
          <w:rFonts w:hint="eastAsia" w:ascii="宋体" w:hAnsi="宋体" w:cs="宋体"/>
          <w:sz w:val="24"/>
          <w:highlight w:val="none"/>
        </w:rPr>
        <w:t>）符合性审查资料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hint="eastAsia" w:ascii="宋体" w:hAnsi="宋体" w:cs="宋体"/>
          <w:sz w:val="24"/>
          <w:highlight w:val="none"/>
          <w:lang w:val="en-US" w:eastAsia="zh-CN"/>
        </w:rPr>
        <w:t>5</w:t>
      </w:r>
      <w:r>
        <w:rPr>
          <w:rFonts w:hint="eastAsia" w:ascii="宋体" w:hAnsi="宋体" w:cs="宋体"/>
          <w:sz w:val="24"/>
          <w:highlight w:val="none"/>
        </w:rPr>
        <w:t>）评标标准相应的商务技术资料</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hint="eastAsia" w:ascii="宋体" w:hAnsi="宋体" w:cs="宋体"/>
          <w:sz w:val="24"/>
          <w:highlight w:val="none"/>
          <w:lang w:val="en-US" w:eastAsia="zh-CN"/>
        </w:rPr>
        <w:t>6</w:t>
      </w:r>
      <w:r>
        <w:rPr>
          <w:rFonts w:hint="eastAsia" w:ascii="宋体" w:hAnsi="宋体" w:cs="宋体"/>
          <w:sz w:val="24"/>
          <w:highlight w:val="none"/>
        </w:rPr>
        <w:t>）投标标的清单</w:t>
      </w:r>
      <w:r>
        <w:rPr>
          <w:rFonts w:hint="eastAsia" w:ascii="宋体" w:hAnsi="宋体" w:cs="宋体"/>
          <w:highlight w:val="none"/>
        </w:rPr>
        <w:t>…………………………………………………………………………（页码）</w:t>
      </w:r>
      <w:r>
        <w:rPr>
          <w:rFonts w:hint="eastAsia" w:ascii="宋体" w:hAnsi="宋体" w:cs="宋体"/>
          <w:sz w:val="24"/>
          <w:highlight w:val="none"/>
        </w:rPr>
        <w:t>（</w:t>
      </w:r>
      <w:r>
        <w:rPr>
          <w:rFonts w:hint="eastAsia" w:ascii="宋体" w:hAnsi="宋体" w:cs="宋体"/>
          <w:sz w:val="24"/>
          <w:highlight w:val="none"/>
          <w:lang w:val="en-US" w:eastAsia="zh-CN"/>
        </w:rPr>
        <w:t>7</w:t>
      </w:r>
      <w:r>
        <w:rPr>
          <w:rFonts w:hint="eastAsia" w:ascii="宋体" w:hAnsi="宋体" w:cs="宋体"/>
          <w:sz w:val="24"/>
          <w:highlight w:val="none"/>
        </w:rPr>
        <w:t>）商务技术偏离表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hint="eastAsia" w:ascii="宋体" w:hAnsi="宋体" w:cs="宋体"/>
          <w:sz w:val="24"/>
          <w:highlight w:val="none"/>
          <w:lang w:val="en-US" w:eastAsia="zh-CN"/>
        </w:rPr>
        <w:t>8</w:t>
      </w:r>
      <w:r>
        <w:rPr>
          <w:rFonts w:hint="eastAsia" w:ascii="宋体" w:hAnsi="宋体" w:cs="宋体"/>
          <w:sz w:val="24"/>
          <w:highlight w:val="none"/>
        </w:rPr>
        <w:t>）政府采购供应商廉洁自律承诺书</w:t>
      </w:r>
      <w:r>
        <w:rPr>
          <w:rFonts w:hint="eastAsia" w:ascii="宋体" w:hAnsi="宋体" w:cs="宋体"/>
          <w:highlight w:val="none"/>
        </w:rPr>
        <w:t>…………………………………………………（页码）</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lang w:val="zh-CN"/>
        </w:rPr>
        <w:t>（</w:t>
      </w:r>
      <w:r>
        <w:rPr>
          <w:rFonts w:hint="eastAsia" w:ascii="宋体" w:hAnsi="宋体" w:cs="宋体"/>
          <w:sz w:val="24"/>
          <w:highlight w:val="none"/>
          <w:lang w:val="en-US" w:eastAsia="zh-CN"/>
        </w:rPr>
        <w:t>9</w:t>
      </w:r>
      <w:r>
        <w:rPr>
          <w:rFonts w:hint="eastAsia" w:ascii="宋体" w:hAnsi="宋体" w:cs="宋体"/>
          <w:sz w:val="24"/>
          <w:highlight w:val="none"/>
          <w:lang w:val="zh-CN"/>
        </w:rPr>
        <w:t>）相关业绩</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lang w:val="en-US" w:eastAsia="zh-CN"/>
        </w:rPr>
        <w:t>10</w:t>
      </w:r>
      <w:r>
        <w:rPr>
          <w:rFonts w:hint="eastAsia" w:ascii="宋体" w:hAnsi="宋体" w:cs="宋体"/>
          <w:sz w:val="24"/>
          <w:highlight w:val="none"/>
          <w:lang w:val="zh-CN"/>
        </w:rPr>
        <w:t>）安装调试及验收方案</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rPr>
        <w:t>1</w:t>
      </w:r>
      <w:r>
        <w:rPr>
          <w:rFonts w:hint="eastAsia" w:ascii="宋体" w:hAnsi="宋体" w:cs="宋体"/>
          <w:sz w:val="24"/>
          <w:highlight w:val="none"/>
          <w:lang w:val="en-US" w:eastAsia="zh-CN"/>
        </w:rPr>
        <w:t>1</w:t>
      </w:r>
      <w:r>
        <w:rPr>
          <w:rFonts w:hint="eastAsia" w:ascii="宋体" w:hAnsi="宋体" w:cs="宋体"/>
          <w:sz w:val="24"/>
          <w:highlight w:val="none"/>
          <w:lang w:val="zh-CN"/>
        </w:rPr>
        <w:t>）售后服务方案</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rPr>
        <w:t>1</w:t>
      </w:r>
      <w:r>
        <w:rPr>
          <w:rFonts w:hint="eastAsia" w:ascii="宋体" w:hAnsi="宋体" w:cs="宋体"/>
          <w:sz w:val="24"/>
          <w:highlight w:val="none"/>
          <w:lang w:val="en-US" w:eastAsia="zh-CN"/>
        </w:rPr>
        <w:t>2</w:t>
      </w:r>
      <w:r>
        <w:rPr>
          <w:rFonts w:hint="eastAsia" w:ascii="宋体" w:hAnsi="宋体" w:cs="宋体"/>
          <w:sz w:val="24"/>
          <w:highlight w:val="none"/>
          <w:lang w:val="zh-CN"/>
        </w:rPr>
        <w:t>）技术服务、技术培训</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rPr>
        <w:t>1</w:t>
      </w:r>
      <w:r>
        <w:rPr>
          <w:rFonts w:hint="eastAsia" w:ascii="宋体" w:hAnsi="宋体" w:cs="宋体"/>
          <w:sz w:val="24"/>
          <w:highlight w:val="none"/>
          <w:lang w:val="en-US" w:eastAsia="zh-CN"/>
        </w:rPr>
        <w:t>3</w:t>
      </w:r>
      <w:r>
        <w:rPr>
          <w:rFonts w:hint="eastAsia" w:ascii="宋体" w:hAnsi="宋体" w:cs="宋体"/>
          <w:sz w:val="24"/>
          <w:highlight w:val="none"/>
          <w:lang w:val="zh-CN"/>
        </w:rPr>
        <w:t>）运行、维修成本</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rPr>
        <w:t>1</w:t>
      </w:r>
      <w:r>
        <w:rPr>
          <w:rFonts w:hint="eastAsia" w:ascii="宋体" w:hAnsi="宋体" w:cs="宋体"/>
          <w:sz w:val="24"/>
          <w:highlight w:val="none"/>
          <w:lang w:val="en-US" w:eastAsia="zh-CN"/>
        </w:rPr>
        <w:t>4</w:t>
      </w:r>
      <w:r>
        <w:rPr>
          <w:rFonts w:hint="eastAsia" w:ascii="宋体" w:hAnsi="宋体" w:cs="宋体"/>
          <w:sz w:val="24"/>
          <w:highlight w:val="none"/>
          <w:lang w:val="zh-CN"/>
        </w:rPr>
        <w:t>）技术服务、技术培训</w:t>
      </w:r>
      <w:r>
        <w:rPr>
          <w:rFonts w:hint="eastAsia" w:ascii="宋体" w:hAnsi="宋体" w:cs="宋体"/>
          <w:highlight w:val="none"/>
        </w:rPr>
        <w:t>………………………………………………………………（页码）</w:t>
      </w:r>
    </w:p>
    <w:p>
      <w:pPr>
        <w:pStyle w:val="4"/>
        <w:rPr>
          <w:rFonts w:ascii="宋体" w:hAnsi="宋体" w:cs="宋体"/>
          <w:highlight w:val="none"/>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outlineLvl w:val="0"/>
        <w:rPr>
          <w:rFonts w:ascii="宋体" w:hAnsi="宋体" w:cs="宋体"/>
          <w:b/>
          <w:kern w:val="0"/>
          <w:sz w:val="32"/>
          <w:szCs w:val="32"/>
          <w:highlight w:val="none"/>
        </w:rPr>
      </w:pPr>
    </w:p>
    <w:p>
      <w:pPr>
        <w:snapToGrid w:val="0"/>
        <w:spacing w:line="360" w:lineRule="auto"/>
        <w:jc w:val="center"/>
        <w:outlineLvl w:val="0"/>
        <w:rPr>
          <w:rFonts w:ascii="宋体" w:hAnsi="宋体" w:cs="宋体"/>
          <w:b/>
          <w:kern w:val="0"/>
          <w:sz w:val="32"/>
          <w:szCs w:val="32"/>
          <w:highlight w:val="none"/>
        </w:rPr>
      </w:pPr>
    </w:p>
    <w:p>
      <w:pPr>
        <w:rPr>
          <w:rFonts w:ascii="宋体" w:hAnsi="宋体" w:cs="宋体"/>
          <w:highlight w:val="none"/>
        </w:rPr>
      </w:pPr>
    </w:p>
    <w:p>
      <w:pPr>
        <w:snapToGrid w:val="0"/>
        <w:spacing w:line="360" w:lineRule="auto"/>
        <w:jc w:val="center"/>
        <w:outlineLvl w:val="0"/>
        <w:rPr>
          <w:rFonts w:ascii="宋体" w:hAnsi="宋体" w:cs="宋体"/>
          <w:b/>
          <w:kern w:val="0"/>
          <w:sz w:val="32"/>
          <w:szCs w:val="32"/>
          <w:highlight w:val="none"/>
        </w:rPr>
      </w:pPr>
    </w:p>
    <w:p>
      <w:pPr>
        <w:snapToGrid w:val="0"/>
        <w:spacing w:line="360" w:lineRule="auto"/>
        <w:jc w:val="center"/>
        <w:outlineLvl w:val="0"/>
        <w:rPr>
          <w:rFonts w:ascii="宋体" w:hAnsi="宋体" w:cs="宋体"/>
          <w:b/>
          <w:kern w:val="0"/>
          <w:sz w:val="32"/>
          <w:szCs w:val="32"/>
          <w:highlight w:val="none"/>
        </w:rPr>
      </w:pPr>
    </w:p>
    <w:p>
      <w:pPr>
        <w:widowControl/>
        <w:adjustRightInd/>
        <w:jc w:val="center"/>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sz w:val="24"/>
          <w:highlight w:val="none"/>
        </w:rPr>
      </w:pPr>
      <w:r>
        <w:rPr>
          <w:rFonts w:hint="eastAsia" w:ascii="宋体" w:hAnsi="宋体" w:cs="宋体"/>
          <w:sz w:val="24"/>
          <w:highlight w:val="none"/>
        </w:rPr>
        <w:t>（采购人）、（采购代理机构）：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1、我方承诺投标有效期从提交投标文件的截止之日起</w:t>
      </w:r>
      <w:r>
        <w:rPr>
          <w:rFonts w:hint="eastAsia" w:ascii="宋体" w:hAnsi="宋体" w:cs="宋体"/>
          <w:sz w:val="24"/>
          <w:highlight w:val="none"/>
          <w:u w:val="single"/>
        </w:rPr>
        <w:t xml:space="preserve">     </w:t>
      </w:r>
      <w:r>
        <w:rPr>
          <w:rFonts w:hint="eastAsia" w:ascii="宋体" w:hAnsi="宋体" w:cs="宋体"/>
          <w:sz w:val="24"/>
          <w:highlight w:val="none"/>
        </w:rPr>
        <w:t>天（不少于90天）</w:t>
      </w:r>
      <w:r>
        <w:rPr>
          <w:rFonts w:hint="eastAsia" w:ascii="宋体" w:hAnsi="宋体" w:cs="宋体"/>
          <w:highlight w:val="none"/>
        </w:rPr>
        <w:t>，</w:t>
      </w:r>
      <w:r>
        <w:rPr>
          <w:rFonts w:hint="eastAsia" w:ascii="宋体" w:hAnsi="宋体" w:cs="宋体"/>
          <w:sz w:val="24"/>
          <w:highlight w:val="none"/>
        </w:rPr>
        <w:t>本投标文件在投标有效期满之前均具有约束力。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2、我方的投标文件包括以下内容：</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2.1资格文件：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2.1.1投标人的营业执照副本复印件（加盖公章）；</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2.1.2符合参加政府采购活动应当具备的一般条件的承诺函(格式详见第六部分 应提交的有关格式范例）；</w:t>
      </w:r>
    </w:p>
    <w:p>
      <w:pPr>
        <w:snapToGrid w:val="0"/>
        <w:spacing w:line="360" w:lineRule="auto"/>
        <w:ind w:left="958" w:leftChars="456"/>
        <w:rPr>
          <w:rFonts w:ascii="宋体" w:hAnsi="宋体" w:cs="宋体"/>
          <w:sz w:val="24"/>
          <w:highlight w:val="none"/>
        </w:rPr>
      </w:pPr>
      <w:r>
        <w:rPr>
          <w:rFonts w:hint="eastAsia" w:ascii="宋体" w:hAnsi="宋体" w:cs="宋体"/>
          <w:sz w:val="24"/>
          <w:highlight w:val="none"/>
        </w:rPr>
        <w:t>2.1.3联合协议（格式详见应提交的有关格式范例，联合体投标的须提供）；2.1.4投标人的特定条件的证明文件：</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 xml:space="preserve">投标人为医疗器械生产企业的：第二类、第三类医疗器械生产企业提供《医疗器械生产许可证》复印件、第一类医疗器械生产企业提供第一类医疗器械生产备案凭证复印件。 </w:t>
      </w:r>
    </w:p>
    <w:p>
      <w:pPr>
        <w:snapToGrid w:val="0"/>
        <w:spacing w:line="360" w:lineRule="auto"/>
        <w:ind w:firstLine="960" w:firstLineChars="400"/>
        <w:rPr>
          <w:rFonts w:ascii="宋体" w:hAnsi="宋体" w:cs="宋体"/>
          <w:snapToGrid w:val="0"/>
          <w:kern w:val="28"/>
          <w:sz w:val="24"/>
          <w:szCs w:val="20"/>
          <w:highlight w:val="none"/>
        </w:rPr>
      </w:pPr>
      <w:r>
        <w:rPr>
          <w:rFonts w:hint="eastAsia" w:ascii="宋体" w:hAnsi="宋体" w:cs="宋体"/>
          <w:sz w:val="24"/>
          <w:highlight w:val="none"/>
        </w:rPr>
        <w:t>投标人为医疗器械经营企业的：第三类医疗器械经营企业提供《医疗器械经营许可证》复印件、第二类医疗器械经营企业提供第二类医疗器械经营备案凭证复印件</w:t>
      </w:r>
      <w:r>
        <w:rPr>
          <w:rFonts w:hint="eastAsia" w:ascii="宋体" w:hAnsi="宋体" w:cs="宋体"/>
          <w:snapToGrid w:val="0"/>
          <w:kern w:val="28"/>
          <w:sz w:val="24"/>
          <w:szCs w:val="20"/>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2.1.5落实政府采购政策需满足的资格要求:无。</w:t>
      </w:r>
    </w:p>
    <w:p>
      <w:pPr>
        <w:snapToGrid w:val="0"/>
        <w:spacing w:line="360" w:lineRule="auto"/>
        <w:ind w:firstLine="720" w:firstLineChars="300"/>
        <w:rPr>
          <w:rFonts w:ascii="宋体" w:hAnsi="宋体" w:cs="宋体"/>
          <w:sz w:val="24"/>
          <w:highlight w:val="none"/>
        </w:rPr>
      </w:pPr>
      <w:r>
        <w:rPr>
          <w:rFonts w:hint="eastAsia" w:ascii="宋体" w:hAnsi="宋体" w:cs="宋体"/>
          <w:sz w:val="24"/>
          <w:highlight w:val="none"/>
        </w:rPr>
        <w:t>2.2 商务技术文件：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 xml:space="preserve">2.2.1投标函(格式详见详见第六部分 应提交的有关格式范例）； </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2.2.2授权委托书或法定代表人（单位负责人、自然人本人）身份证明、法定代表人授权委托书（或联合投标授权委托书）(格式详见详见第六部分 应提交的有关格式范例）；</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2.2.3符合性审查资料(格式详见详见第六部分 应提交的有关格式范例；</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2.2.4评标标准相应的商务技术资料(格式详见详见第六部分 应提交的有关格式范例；</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2.2.5投标标的清单；</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2.2.6商务技术偏离表(格式详见详见第六部分 应提交的有关格式范例）；</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2.2.7政府采购供应商廉洁自律承诺书；</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2.2.8相关业绩(格式详见详见第六部分 应提交的有关格式范例）、投标产品的销售业绩的合同复印件（加盖公章）（根据评分标准提供）；</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2.2.10安装调试及验收方案；</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2.2.11售后服务方案；</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2.2.12技术服务、技术培训；</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2.2.13运行、维修成本；</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2.2.14投标人所投产品的节能环保产品认证证书复印件及所投产品属于“节能产品政府采购清单”中所列产品的相关证明资料或截图（如有请提供，加盖公章）</w:t>
      </w:r>
    </w:p>
    <w:p>
      <w:pPr>
        <w:snapToGrid w:val="0"/>
        <w:spacing w:line="360" w:lineRule="auto"/>
        <w:ind w:firstLine="720" w:firstLineChars="300"/>
        <w:rPr>
          <w:rFonts w:ascii="宋体" w:hAnsi="宋体" w:cs="宋体"/>
          <w:sz w:val="24"/>
          <w:highlight w:val="none"/>
        </w:rPr>
      </w:pPr>
      <w:r>
        <w:rPr>
          <w:rFonts w:hint="eastAsia" w:ascii="宋体" w:hAnsi="宋体" w:cs="宋体"/>
          <w:sz w:val="24"/>
          <w:highlight w:val="none"/>
        </w:rPr>
        <w:t xml:space="preserve">2.3报价文件： </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2.3.1开标一览表（报价表）；</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2.3.2投标报价明细表(格式详见详见第六部分 应提交的有关格式范例）；</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2.3.3投标人针对报价需要说明的其他文件和说明。</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2.3.4中小企业声明函（格式详见详见第六部分 应提交的有关格式范例）；</w:t>
      </w:r>
    </w:p>
    <w:p>
      <w:pPr>
        <w:snapToGrid w:val="0"/>
        <w:spacing w:line="360" w:lineRule="auto"/>
        <w:ind w:firstLine="960" w:firstLineChars="400"/>
        <w:rPr>
          <w:rFonts w:ascii="宋体" w:hAnsi="宋体" w:cs="宋体"/>
          <w:highlight w:val="none"/>
        </w:rPr>
      </w:pPr>
      <w:r>
        <w:rPr>
          <w:rFonts w:hint="eastAsia" w:ascii="宋体" w:hAnsi="宋体" w:cs="宋体"/>
          <w:sz w:val="24"/>
          <w:highlight w:val="none"/>
        </w:rPr>
        <w:t>2.3.5残疾人福利性单位声明函（格式详见详见第六部分 应提交的有关格式范例）；</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投标人名称（公章）：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napToGrid w:val="0"/>
        <w:spacing w:line="360" w:lineRule="auto"/>
        <w:jc w:val="center"/>
        <w:rPr>
          <w:rFonts w:ascii="宋体" w:hAnsi="宋体" w:cs="宋体"/>
          <w:b/>
          <w:kern w:val="0"/>
          <w:sz w:val="32"/>
          <w:szCs w:val="32"/>
          <w:highlight w:val="none"/>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snapToGrid w:val="0"/>
        <w:spacing w:line="360" w:lineRule="auto"/>
        <w:rPr>
          <w:rFonts w:ascii="宋体" w:hAnsi="宋体" w:cs="宋体"/>
          <w:sz w:val="24"/>
          <w:highlight w:val="none"/>
        </w:rPr>
      </w:pPr>
      <w:r>
        <w:rPr>
          <w:rFonts w:hint="eastAsia" w:ascii="宋体" w:hAnsi="宋体" w:cs="宋体"/>
          <w:sz w:val="24"/>
          <w:highlight w:val="none"/>
        </w:rPr>
        <w:t xml:space="preserve">                                </w:t>
      </w:r>
    </w:p>
    <w:p>
      <w:pPr>
        <w:snapToGrid w:val="0"/>
        <w:spacing w:line="360" w:lineRule="auto"/>
        <w:ind w:firstLine="2872"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r>
        <w:rPr>
          <w:rFonts w:hint="eastAsia" w:ascii="宋体" w:hAnsi="宋体" w:cs="宋体"/>
          <w:highlight w:val="none"/>
        </w:rPr>
        <w:t xml:space="preserve">                               </w:t>
      </w:r>
    </w:p>
    <w:p>
      <w:pPr>
        <w:snapToGrid w:val="0"/>
        <w:spacing w:line="360" w:lineRule="auto"/>
        <w:rPr>
          <w:rFonts w:ascii="宋体" w:hAnsi="宋体" w:cs="宋体"/>
          <w:kern w:val="0"/>
          <w:sz w:val="24"/>
          <w:highlight w:val="none"/>
        </w:rPr>
      </w:pPr>
      <w:r>
        <w:rPr>
          <w:rFonts w:hint="eastAsia" w:ascii="宋体" w:hAnsi="宋体" w:cs="宋体"/>
          <w:sz w:val="24"/>
          <w:highlight w:val="none"/>
        </w:rPr>
        <w:t>（采购人）、（采购代理机构）</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rPr>
        <w:t>（项目名称）【招标编号：（采购编号）】</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投标人名称(</w:t>
      </w:r>
      <w:r>
        <w:rPr>
          <w:rFonts w:hint="eastAsia" w:ascii="宋体" w:hAnsi="宋体" w:cs="宋体"/>
          <w:sz w:val="24"/>
          <w:highlight w:val="none"/>
        </w:rPr>
        <w:t>公章</w:t>
      </w:r>
      <w:r>
        <w:rPr>
          <w:rFonts w:hint="eastAsia" w:ascii="宋体" w:hAnsi="宋体" w:cs="宋体"/>
          <w:kern w:val="0"/>
          <w:sz w:val="24"/>
          <w:highlight w:val="none"/>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签发日期：  年  月   日</w:t>
      </w:r>
    </w:p>
    <w:p>
      <w:pPr>
        <w:snapToGrid w:val="0"/>
        <w:spacing w:line="360" w:lineRule="auto"/>
        <w:rPr>
          <w:rFonts w:ascii="宋体" w:hAnsi="宋体" w:cs="宋体"/>
          <w:sz w:val="24"/>
          <w:highlight w:val="none"/>
        </w:rPr>
      </w:pPr>
    </w:p>
    <w:p>
      <w:pPr>
        <w:snapToGrid w:val="0"/>
        <w:spacing w:line="360" w:lineRule="auto"/>
        <w:rPr>
          <w:rFonts w:ascii="宋体" w:hAnsi="宋体" w:cs="宋体"/>
          <w:sz w:val="24"/>
          <w:highlight w:val="none"/>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val="zh-CN"/>
        </w:rPr>
        <w:t xml:space="preserve">      </w:t>
      </w:r>
      <w:r>
        <w:rPr>
          <w:rFonts w:hint="eastAsia" w:ascii="宋体" w:hAnsi="宋体" w:cs="宋体"/>
          <w:b/>
          <w:kern w:val="0"/>
          <w:sz w:val="32"/>
          <w:szCs w:val="32"/>
          <w:highlight w:val="none"/>
        </w:rPr>
        <w:t xml:space="preserve"> </w:t>
      </w:r>
      <w:r>
        <w:rPr>
          <w:rFonts w:hint="eastAsia" w:ascii="宋体" w:hAnsi="宋体" w:cs="宋体"/>
          <w:b/>
          <w:kern w:val="0"/>
          <w:sz w:val="32"/>
          <w:szCs w:val="32"/>
          <w:highlight w:val="none"/>
          <w:lang w:val="zh-CN"/>
        </w:rPr>
        <w:t>授权委托书（适用于联合体投标）</w:t>
      </w:r>
    </w:p>
    <w:p>
      <w:pPr>
        <w:snapToGrid w:val="0"/>
        <w:spacing w:line="360" w:lineRule="auto"/>
        <w:rPr>
          <w:rFonts w:ascii="宋体" w:hAnsi="宋体" w:cs="宋体"/>
          <w:kern w:val="0"/>
          <w:sz w:val="24"/>
          <w:highlight w:val="none"/>
        </w:rPr>
      </w:pPr>
      <w:r>
        <w:rPr>
          <w:rFonts w:hint="eastAsia" w:ascii="宋体" w:hAnsi="宋体" w:cs="宋体"/>
          <w:sz w:val="24"/>
          <w:highlight w:val="none"/>
        </w:rPr>
        <w:t>（采购人）、（采购代理机构）</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rPr>
        <w:t>（项目名称）【招标编号：（采购编号）】</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w:t>
      </w:r>
      <w:r>
        <w:rPr>
          <w:rFonts w:hint="eastAsia" w:ascii="宋体" w:hAnsi="宋体" w:cs="宋体"/>
          <w:sz w:val="24"/>
          <w:highlight w:val="none"/>
        </w:rPr>
        <w:t>公章</w:t>
      </w:r>
      <w:r>
        <w:rPr>
          <w:rFonts w:hint="eastAsia" w:ascii="宋体" w:hAnsi="宋体" w:cs="宋体"/>
          <w:kern w:val="0"/>
          <w:sz w:val="24"/>
          <w:highlight w:val="none"/>
          <w:lang w:val="zh-CN"/>
        </w:rPr>
        <w:t>)：</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w:t>
      </w:r>
      <w:r>
        <w:rPr>
          <w:rFonts w:hint="eastAsia" w:ascii="宋体" w:hAnsi="宋体" w:cs="宋体"/>
          <w:sz w:val="24"/>
          <w:highlight w:val="none"/>
        </w:rPr>
        <w:t>公章</w:t>
      </w:r>
      <w:r>
        <w:rPr>
          <w:rFonts w:hint="eastAsia" w:ascii="宋体" w:hAnsi="宋体" w:cs="宋体"/>
          <w:kern w:val="0"/>
          <w:sz w:val="24"/>
          <w:highlight w:val="none"/>
          <w:lang w:val="zh-CN"/>
        </w:rPr>
        <w:t>)：</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spacing w:line="360" w:lineRule="auto"/>
        <w:jc w:val="center"/>
        <w:rPr>
          <w:rFonts w:ascii="宋体" w:hAnsi="宋体" w:cs="宋体"/>
          <w:b/>
          <w:sz w:val="24"/>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148"/>
        <w:spacing w:line="360" w:lineRule="auto"/>
        <w:rPr>
          <w:rFonts w:hAnsi="宋体" w:cs="宋体"/>
          <w:bCs/>
          <w:sz w:val="24"/>
          <w:highlight w:val="none"/>
        </w:rPr>
      </w:pPr>
      <w:r>
        <w:rPr>
          <w:rFonts w:hint="eastAsia" w:hAnsi="宋体" w:cs="宋体"/>
          <w:bCs/>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sz w:val="24"/>
                <w:highlight w:val="none"/>
              </w:rPr>
            </w:pPr>
            <w:r>
              <w:rPr>
                <w:rFonts w:hint="eastAsia" w:hAnsi="宋体" w:cs="宋体"/>
                <w:bCs/>
                <w:sz w:val="24"/>
                <w:highlight w:val="none"/>
              </w:rPr>
              <w:t>正面：                                 反面：</w:t>
            </w:r>
          </w:p>
          <w:p>
            <w:pPr>
              <w:pStyle w:val="148"/>
              <w:adjustRightInd w:val="0"/>
              <w:spacing w:line="360" w:lineRule="auto"/>
              <w:rPr>
                <w:rFonts w:hAnsi="宋体" w:cs="宋体"/>
                <w:bCs/>
                <w:sz w:val="24"/>
                <w:highlight w:val="none"/>
              </w:rPr>
            </w:pPr>
          </w:p>
        </w:tc>
      </w:tr>
    </w:tbl>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w:t>
      </w:r>
      <w:r>
        <w:rPr>
          <w:rFonts w:hint="eastAsia" w:ascii="宋体" w:hAnsi="宋体" w:cs="宋体"/>
          <w:sz w:val="24"/>
          <w:highlight w:val="none"/>
        </w:rPr>
        <w:t>公章</w:t>
      </w:r>
      <w:r>
        <w:rPr>
          <w:rFonts w:hint="eastAsia" w:ascii="宋体" w:hAnsi="宋体" w:cs="宋体"/>
          <w:kern w:val="0"/>
          <w:sz w:val="24"/>
          <w:highlight w:val="none"/>
          <w:lang w:val="zh-CN"/>
        </w:rPr>
        <w:t xml:space="preserve">)：                              </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snapToGrid w:val="0"/>
        <w:spacing w:line="360" w:lineRule="auto"/>
        <w:ind w:right="480"/>
        <w:rPr>
          <w:rFonts w:ascii="宋体" w:hAnsi="宋体" w:cs="宋体"/>
          <w:b/>
          <w:kern w:val="0"/>
          <w:sz w:val="32"/>
          <w:szCs w:val="32"/>
          <w:highlight w:val="none"/>
        </w:rPr>
      </w:pPr>
    </w:p>
    <w:p>
      <w:pPr>
        <w:pStyle w:val="2"/>
        <w:rPr>
          <w:rFonts w:ascii="宋体" w:hAnsi="宋体" w:cs="宋体"/>
          <w:b/>
          <w:kern w:val="0"/>
          <w:sz w:val="32"/>
          <w:szCs w:val="32"/>
          <w:highlight w:val="none"/>
        </w:rPr>
      </w:pPr>
    </w:p>
    <w:p>
      <w:pPr>
        <w:rPr>
          <w:highlight w:val="none"/>
        </w:rPr>
        <w:sectPr>
          <w:pgSz w:w="11906" w:h="16838"/>
          <w:pgMar w:top="1276" w:right="1418" w:bottom="1247" w:left="1418" w:header="851" w:footer="992" w:gutter="0"/>
          <w:cols w:space="720" w:num="1"/>
          <w:titlePg/>
          <w:docGrid w:linePitch="312" w:charSpace="0"/>
        </w:sectPr>
      </w:pPr>
    </w:p>
    <w:p>
      <w:pPr>
        <w:numPr>
          <w:ilvl w:val="0"/>
          <w:numId w:val="0"/>
        </w:numPr>
        <w:jc w:val="center"/>
        <w:rPr>
          <w:rFonts w:hint="eastAsia" w:ascii="宋体" w:hAnsi="宋体" w:cs="宋体"/>
          <w:b/>
          <w:kern w:val="0"/>
          <w:sz w:val="32"/>
          <w:szCs w:val="32"/>
          <w:highlight w:val="none"/>
        </w:rPr>
      </w:pPr>
      <w:r>
        <w:rPr>
          <w:rFonts w:hint="eastAsia" w:ascii="宋体" w:hAnsi="宋体" w:cs="宋体"/>
          <w:b/>
          <w:kern w:val="0"/>
          <w:sz w:val="32"/>
          <w:szCs w:val="32"/>
          <w:highlight w:val="none"/>
          <w:lang w:val="en-US" w:eastAsia="zh-CN"/>
        </w:rPr>
        <w:t>三、</w:t>
      </w:r>
      <w:r>
        <w:rPr>
          <w:rFonts w:hint="eastAsia" w:ascii="宋体" w:hAnsi="宋体" w:cs="宋体"/>
          <w:b/>
          <w:kern w:val="0"/>
          <w:sz w:val="32"/>
          <w:szCs w:val="32"/>
          <w:highlight w:val="none"/>
        </w:rPr>
        <w:t>分包意向协议（如有请提供）</w:t>
      </w:r>
    </w:p>
    <w:p>
      <w:pPr>
        <w:numPr>
          <w:ilvl w:val="0"/>
          <w:numId w:val="0"/>
        </w:numPr>
        <w:ind w:left="1002" w:leftChars="0"/>
        <w:jc w:val="center"/>
        <w:rPr>
          <w:rFonts w:hint="eastAsia" w:ascii="宋体" w:hAnsi="宋体" w:cs="宋体"/>
          <w:b/>
          <w:kern w:val="0"/>
          <w:sz w:val="32"/>
          <w:szCs w:val="32"/>
          <w:highlight w:val="none"/>
          <w:lang w:val="en-US" w:eastAsia="zh-CN"/>
        </w:rPr>
      </w:pPr>
    </w:p>
    <w:p>
      <w:pPr>
        <w:numPr>
          <w:ilvl w:val="0"/>
          <w:numId w:val="0"/>
        </w:numPr>
        <w:ind w:left="1002" w:leftChars="0"/>
        <w:jc w:val="center"/>
        <w:rPr>
          <w:rFonts w:hint="eastAsia" w:ascii="宋体" w:hAnsi="宋体" w:cs="宋体"/>
          <w:b/>
          <w:kern w:val="0"/>
          <w:sz w:val="32"/>
          <w:szCs w:val="32"/>
          <w:highlight w:val="none"/>
          <w:lang w:val="en-US" w:eastAsia="zh-CN"/>
        </w:rPr>
      </w:pPr>
    </w:p>
    <w:p>
      <w:pPr>
        <w:numPr>
          <w:ilvl w:val="0"/>
          <w:numId w:val="0"/>
        </w:numPr>
        <w:ind w:left="1002" w:leftChars="0"/>
        <w:jc w:val="center"/>
        <w:rPr>
          <w:rFonts w:ascii="宋体" w:hAnsi="宋体" w:cs="宋体"/>
          <w:b/>
          <w:kern w:val="0"/>
          <w:sz w:val="32"/>
          <w:szCs w:val="32"/>
          <w:highlight w:val="none"/>
        </w:rPr>
      </w:pPr>
      <w:r>
        <w:rPr>
          <w:rFonts w:hint="eastAsia" w:ascii="宋体" w:hAnsi="宋体" w:cs="宋体"/>
          <w:b/>
          <w:kern w:val="0"/>
          <w:sz w:val="32"/>
          <w:szCs w:val="32"/>
          <w:highlight w:val="none"/>
          <w:lang w:val="en-US" w:eastAsia="zh-CN"/>
        </w:rPr>
        <w:t>四、</w:t>
      </w:r>
      <w:r>
        <w:rPr>
          <w:rFonts w:hint="eastAsia" w:ascii="宋体" w:hAnsi="宋体" w:cs="宋体"/>
          <w:b/>
          <w:kern w:val="0"/>
          <w:sz w:val="32"/>
          <w:szCs w:val="32"/>
          <w:highlight w:val="none"/>
        </w:rPr>
        <w:t>符合性审查资料</w:t>
      </w:r>
    </w:p>
    <w:p>
      <w:pPr>
        <w:jc w:val="center"/>
        <w:rPr>
          <w:rFonts w:ascii="宋体" w:hAnsi="宋体" w:cs="宋体"/>
          <w:b/>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序号</w:t>
            </w:r>
          </w:p>
        </w:tc>
        <w:tc>
          <w:tcPr>
            <w:tcW w:w="499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实质性要求</w:t>
            </w:r>
          </w:p>
        </w:tc>
        <w:tc>
          <w:tcPr>
            <w:tcW w:w="255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投标文件中的</w:t>
            </w:r>
          </w:p>
          <w:p>
            <w:pPr>
              <w:snapToGrid w:val="0"/>
              <w:spacing w:line="240" w:lineRule="atLeast"/>
              <w:jc w:val="center"/>
              <w:rPr>
                <w:rFonts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1</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投标文件按照招标文件要求签署、盖章。</w:t>
            </w:r>
          </w:p>
        </w:tc>
        <w:tc>
          <w:tcPr>
            <w:tcW w:w="2551" w:type="dxa"/>
            <w:vAlign w:val="center"/>
          </w:tcPr>
          <w:p>
            <w:pP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tcPr>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见投标文件</w:t>
            </w:r>
          </w:p>
          <w:p>
            <w:pPr>
              <w:rPr>
                <w:rFonts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2</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2551" w:type="dxa"/>
            <w:vAlign w:val="center"/>
          </w:tcPr>
          <w:p>
            <w:pPr>
              <w:jc w:val="center"/>
              <w:rPr>
                <w:rFonts w:ascii="宋体" w:hAnsi="宋体" w:cs="宋体"/>
                <w:sz w:val="24"/>
                <w:highlight w:val="none"/>
              </w:rPr>
            </w:pPr>
            <w:r>
              <w:rPr>
                <w:rFonts w:hint="eastAsia" w:ascii="宋体" w:hAnsi="宋体" w:cs="宋体"/>
                <w:sz w:val="24"/>
                <w:highlight w:val="none"/>
              </w:rPr>
              <w:t>投标函</w:t>
            </w:r>
          </w:p>
        </w:tc>
        <w:tc>
          <w:tcPr>
            <w:tcW w:w="1418" w:type="dxa"/>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投标文件满足招标文件的其它实质性要求。</w:t>
            </w:r>
          </w:p>
        </w:tc>
        <w:tc>
          <w:tcPr>
            <w:tcW w:w="2551" w:type="dxa"/>
            <w:vAlign w:val="center"/>
          </w:tcPr>
          <w:p>
            <w:pPr>
              <w:rPr>
                <w:rFonts w:ascii="宋体" w:hAnsi="宋体" w:cs="宋体"/>
                <w:sz w:val="24"/>
                <w:highlight w:val="none"/>
              </w:rPr>
            </w:pPr>
            <w:r>
              <w:rPr>
                <w:rFonts w:hint="eastAsia" w:ascii="宋体" w:hAnsi="宋体" w:cs="宋体"/>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r>
        <w:rPr>
          <w:rFonts w:hint="eastAsia" w:ascii="宋体" w:hAnsi="宋体" w:cs="宋体"/>
          <w:b/>
          <w:kern w:val="0"/>
          <w:sz w:val="32"/>
          <w:szCs w:val="32"/>
          <w:highlight w:val="none"/>
        </w:rPr>
        <w:br w:type="page"/>
      </w:r>
    </w:p>
    <w:p>
      <w:pPr>
        <w:jc w:val="center"/>
        <w:rPr>
          <w:rFonts w:ascii="宋体" w:hAnsi="宋体" w:cs="宋体"/>
          <w:highlight w:val="none"/>
        </w:rPr>
      </w:pPr>
      <w:r>
        <w:rPr>
          <w:rFonts w:hint="eastAsia" w:ascii="宋体" w:hAnsi="宋体" w:cs="宋体"/>
          <w:b/>
          <w:kern w:val="0"/>
          <w:sz w:val="32"/>
          <w:szCs w:val="32"/>
          <w:highlight w:val="none"/>
          <w:lang w:val="en-US" w:eastAsia="zh-CN"/>
        </w:rPr>
        <w:t>五</w:t>
      </w:r>
      <w:r>
        <w:rPr>
          <w:rFonts w:hint="eastAsia" w:ascii="宋体" w:hAnsi="宋体" w:cs="宋体"/>
          <w:b/>
          <w:kern w:val="0"/>
          <w:sz w:val="32"/>
          <w:szCs w:val="32"/>
          <w:highlight w:val="none"/>
        </w:rPr>
        <w:t>、评标标准相应的商务技术资料</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ind w:firstLine="2891" w:firstLineChars="900"/>
        <w:rPr>
          <w:rFonts w:ascii="宋体" w:hAnsi="宋体" w:cs="宋体"/>
          <w:b/>
          <w:kern w:val="0"/>
          <w:sz w:val="32"/>
          <w:szCs w:val="32"/>
          <w:highlight w:val="none"/>
        </w:rPr>
      </w:pPr>
      <w:r>
        <w:rPr>
          <w:rFonts w:hint="eastAsia" w:ascii="宋体" w:hAnsi="宋体" w:cs="宋体"/>
          <w:b/>
          <w:kern w:val="0"/>
          <w:sz w:val="32"/>
          <w:szCs w:val="32"/>
          <w:highlight w:val="none"/>
          <w:lang w:val="en-US" w:eastAsia="zh-CN"/>
        </w:rPr>
        <w:t>六</w:t>
      </w:r>
      <w:r>
        <w:rPr>
          <w:rFonts w:hint="eastAsia" w:ascii="宋体" w:hAnsi="宋体" w:cs="宋体"/>
          <w:b/>
          <w:kern w:val="0"/>
          <w:sz w:val="32"/>
          <w:szCs w:val="32"/>
          <w:highlight w:val="none"/>
        </w:rPr>
        <w:t>、投标标的清单</w:t>
      </w:r>
    </w:p>
    <w:tbl>
      <w:tblPr>
        <w:tblStyle w:val="6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val="en-US" w:eastAsia="zh-CN"/>
        </w:rPr>
        <w:t>七</w:t>
      </w:r>
      <w:r>
        <w:rPr>
          <w:rFonts w:hint="eastAsia" w:ascii="宋体" w:hAnsi="宋体" w:cs="宋体"/>
          <w:b/>
          <w:kern w:val="0"/>
          <w:sz w:val="32"/>
          <w:szCs w:val="32"/>
          <w:highlight w:val="none"/>
        </w:rPr>
        <w:t>、商务技术偏离表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highlight w:val="none"/>
              </w:rPr>
            </w:pPr>
            <w:r>
              <w:rPr>
                <w:rFonts w:hint="eastAsia" w:ascii="宋体" w:hAnsi="宋体" w:cs="宋体"/>
                <w:b/>
                <w:bCs/>
                <w:sz w:val="24"/>
                <w:highlight w:val="none"/>
              </w:rPr>
              <w:t>序号</w:t>
            </w:r>
          </w:p>
        </w:tc>
        <w:tc>
          <w:tcPr>
            <w:tcW w:w="3683" w:type="dxa"/>
          </w:tcPr>
          <w:p>
            <w:pPr>
              <w:jc w:val="center"/>
              <w:rPr>
                <w:rFonts w:ascii="宋体" w:hAnsi="宋体" w:cs="宋体"/>
                <w:b/>
                <w:bCs/>
                <w:sz w:val="24"/>
                <w:highlight w:val="none"/>
              </w:rPr>
            </w:pPr>
            <w:r>
              <w:rPr>
                <w:rFonts w:hint="eastAsia" w:ascii="宋体" w:hAnsi="宋体" w:cs="宋体"/>
                <w:b/>
                <w:bCs/>
                <w:sz w:val="24"/>
                <w:highlight w:val="none"/>
              </w:rPr>
              <w:t>招标文件章节及具体内容</w:t>
            </w:r>
          </w:p>
        </w:tc>
        <w:tc>
          <w:tcPr>
            <w:tcW w:w="3546" w:type="dxa"/>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276" w:type="dxa"/>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bl>
    <w:p>
      <w:pPr>
        <w:spacing w:line="360" w:lineRule="auto"/>
        <w:ind w:right="420"/>
        <w:rPr>
          <w:rFonts w:ascii="宋体" w:hAnsi="宋体" w:cs="宋体"/>
          <w:sz w:val="24"/>
          <w:highlight w:val="none"/>
        </w:rPr>
      </w:pPr>
      <w:r>
        <w:rPr>
          <w:rFonts w:hint="eastAsia" w:ascii="宋体" w:hAnsi="宋体" w:cs="宋体"/>
          <w:sz w:val="24"/>
          <w:highlight w:val="none"/>
        </w:rPr>
        <w:t>『编制说明』：</w:t>
      </w:r>
    </w:p>
    <w:p>
      <w:pPr>
        <w:spacing w:line="360" w:lineRule="auto"/>
        <w:ind w:right="420"/>
        <w:rPr>
          <w:rFonts w:ascii="宋体" w:hAnsi="宋体" w:cs="宋体"/>
          <w:sz w:val="24"/>
          <w:highlight w:val="none"/>
        </w:rPr>
      </w:pPr>
      <w:r>
        <w:rPr>
          <w:rFonts w:hint="eastAsia" w:ascii="宋体" w:hAnsi="宋体" w:cs="宋体"/>
          <w:sz w:val="24"/>
          <w:highlight w:val="none"/>
        </w:rPr>
        <w:t>1、投标人需按“第三部分  采购需求”中各项要求（包含技术需求及商务、其他要求）一一对应,在本表中如实填写具体响应(有技术参数的提供响应的技术参数)，未按要求填写的，有可能作负偏离处理。</w:t>
      </w:r>
    </w:p>
    <w:p>
      <w:pPr>
        <w:spacing w:line="360" w:lineRule="auto"/>
        <w:ind w:right="420"/>
        <w:rPr>
          <w:rFonts w:ascii="宋体" w:hAnsi="宋体" w:cs="宋体"/>
          <w:sz w:val="24"/>
          <w:highlight w:val="none"/>
        </w:rPr>
      </w:pPr>
      <w:r>
        <w:rPr>
          <w:rFonts w:hint="eastAsia" w:ascii="宋体" w:hAnsi="宋体" w:cs="宋体"/>
          <w:sz w:val="24"/>
          <w:highlight w:val="none"/>
        </w:rPr>
        <w:t>2、偏离说明是指对招标文件要求存在不同之处的解释说明。偏离系指：正偏离（高于采购需求）、负偏离（低于采购需求）、无偏离（满足采购需求）</w:t>
      </w:r>
    </w:p>
    <w:p>
      <w:pPr>
        <w:spacing w:line="360" w:lineRule="auto"/>
        <w:ind w:right="420"/>
        <w:rPr>
          <w:rFonts w:ascii="宋体" w:hAnsi="宋体" w:cs="宋体"/>
          <w:sz w:val="24"/>
          <w:highlight w:val="none"/>
        </w:rPr>
      </w:pPr>
      <w:r>
        <w:rPr>
          <w:rFonts w:hint="eastAsia" w:ascii="宋体" w:hAnsi="宋体" w:cs="宋体"/>
          <w:sz w:val="24"/>
          <w:highlight w:val="none"/>
        </w:rPr>
        <w:t>3、技术指标若有要求供应商提供相应佐证材料的，供应商未提供相应佐证材料或者供应商的响应承诺与其佐证材料不一致的，评审小组会将以不利于供应商的内容为准进行评审（负偏离）。</w:t>
      </w:r>
    </w:p>
    <w:p>
      <w:pPr>
        <w:widowControl/>
        <w:adjustRightInd/>
        <w:jc w:val="left"/>
        <w:rPr>
          <w:rFonts w:ascii="宋体" w:hAnsi="宋体" w:cs="宋体"/>
          <w:b/>
          <w:bCs/>
          <w:sz w:val="32"/>
          <w:szCs w:val="32"/>
          <w:highlight w:val="none"/>
        </w:rPr>
      </w:pPr>
      <w:r>
        <w:rPr>
          <w:rFonts w:hint="eastAsia" w:ascii="宋体" w:hAnsi="宋体" w:cs="宋体"/>
          <w:sz w:val="24"/>
          <w:highlight w:val="none"/>
        </w:rPr>
        <w:t>注：按本格式和要求提供。</w:t>
      </w:r>
    </w:p>
    <w:p>
      <w:pPr>
        <w:ind w:firstLine="1911" w:firstLineChars="595"/>
        <w:rPr>
          <w:rFonts w:ascii="宋体" w:hAnsi="宋体" w:cs="宋体"/>
          <w:b/>
          <w:kern w:val="0"/>
          <w:sz w:val="32"/>
          <w:szCs w:val="32"/>
          <w:highlight w:val="none"/>
        </w:rPr>
      </w:pPr>
      <w:r>
        <w:rPr>
          <w:rFonts w:hint="eastAsia" w:ascii="宋体" w:hAnsi="宋体" w:cs="宋体"/>
          <w:b/>
          <w:bCs/>
          <w:sz w:val="32"/>
          <w:szCs w:val="32"/>
          <w:highlight w:val="none"/>
          <w:lang w:val="en-US" w:eastAsia="zh-CN"/>
        </w:rPr>
        <w:t>八</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政府采购供应商廉洁自律承诺书</w:t>
      </w:r>
    </w:p>
    <w:p>
      <w:pPr>
        <w:snapToGrid w:val="0"/>
        <w:spacing w:line="360" w:lineRule="auto"/>
        <w:rPr>
          <w:rFonts w:ascii="宋体" w:hAnsi="宋体" w:cs="宋体"/>
          <w:sz w:val="24"/>
          <w:highlight w:val="none"/>
        </w:rPr>
      </w:pPr>
    </w:p>
    <w:p>
      <w:pPr>
        <w:snapToGrid w:val="0"/>
        <w:spacing w:line="360" w:lineRule="auto"/>
        <w:rPr>
          <w:rFonts w:ascii="宋体" w:hAnsi="宋体" w:cs="宋体"/>
          <w:kern w:val="0"/>
          <w:sz w:val="24"/>
          <w:highlight w:val="none"/>
        </w:rPr>
      </w:pPr>
      <w:r>
        <w:rPr>
          <w:rFonts w:hint="eastAsia" w:ascii="宋体" w:hAnsi="宋体" w:cs="宋体"/>
          <w:sz w:val="24"/>
          <w:highlight w:val="none"/>
        </w:rPr>
        <w:t>（采购人）、（采购代理机构）</w:t>
      </w:r>
      <w:r>
        <w:rPr>
          <w:rFonts w:hint="eastAsia" w:ascii="宋体" w:hAnsi="宋体" w:cs="宋体"/>
          <w:kern w:val="0"/>
          <w:sz w:val="24"/>
          <w:highlight w:val="none"/>
          <w:lang w:val="zh-CN"/>
        </w:rPr>
        <w:t>：</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w:t>
      </w:r>
      <w:r>
        <w:rPr>
          <w:rFonts w:hint="eastAsia" w:ascii="宋体" w:hAnsi="宋体" w:cs="宋体"/>
          <w:sz w:val="24"/>
          <w:highlight w:val="none"/>
        </w:rPr>
        <w:t>公章</w:t>
      </w:r>
      <w:r>
        <w:rPr>
          <w:rFonts w:hint="eastAsia" w:ascii="宋体" w:hAnsi="宋体" w:cs="宋体"/>
          <w:kern w:val="0"/>
          <w:sz w:val="24"/>
          <w:highlight w:val="none"/>
          <w:lang w:val="zh-CN"/>
        </w:rPr>
        <w:t xml:space="preserve">）：                                                                                                                                                                                                               </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pStyle w:val="5"/>
        <w:rPr>
          <w:rFonts w:ascii="宋体" w:hAnsi="宋体" w:eastAsia="宋体" w:cs="宋体"/>
          <w:sz w:val="24"/>
          <w:highlight w:val="none"/>
        </w:rPr>
      </w:pPr>
    </w:p>
    <w:p>
      <w:pPr>
        <w:rPr>
          <w:rFonts w:ascii="宋体" w:hAnsi="宋体" w:cs="宋体"/>
          <w:sz w:val="24"/>
          <w:highlight w:val="none"/>
        </w:rPr>
      </w:pPr>
    </w:p>
    <w:p>
      <w:pPr>
        <w:pStyle w:val="5"/>
        <w:rPr>
          <w:rFonts w:ascii="宋体" w:hAnsi="宋体" w:eastAsia="宋体" w:cs="宋体"/>
          <w:sz w:val="24"/>
          <w:highlight w:val="none"/>
        </w:rPr>
      </w:pPr>
    </w:p>
    <w:p>
      <w:pPr>
        <w:rPr>
          <w:rFonts w:ascii="宋体" w:hAnsi="宋体" w:cs="宋体"/>
          <w:sz w:val="24"/>
          <w:highlight w:val="none"/>
        </w:rPr>
      </w:pPr>
    </w:p>
    <w:p>
      <w:pPr>
        <w:pStyle w:val="5"/>
        <w:rPr>
          <w:rFonts w:ascii="宋体" w:hAnsi="宋体" w:eastAsia="宋体" w:cs="宋体"/>
          <w:highlight w:val="none"/>
        </w:rPr>
      </w:pPr>
    </w:p>
    <w:p>
      <w:pPr>
        <w:numPr>
          <w:ilvl w:val="0"/>
          <w:numId w:val="9"/>
        </w:numPr>
        <w:snapToGrid w:val="0"/>
        <w:spacing w:line="360" w:lineRule="auto"/>
        <w:ind w:left="479" w:leftChars="228"/>
        <w:jc w:val="center"/>
        <w:rPr>
          <w:rFonts w:hint="eastAsia" w:ascii="宋体" w:hAnsi="宋体" w:cs="宋体"/>
          <w:b/>
          <w:kern w:val="0"/>
          <w:sz w:val="32"/>
          <w:szCs w:val="32"/>
          <w:highlight w:val="none"/>
        </w:rPr>
      </w:pPr>
      <w:r>
        <w:rPr>
          <w:rFonts w:hint="eastAsia" w:ascii="宋体" w:hAnsi="宋体" w:cs="宋体"/>
          <w:b/>
          <w:kern w:val="0"/>
          <w:sz w:val="32"/>
          <w:szCs w:val="32"/>
          <w:highlight w:val="none"/>
        </w:rPr>
        <w:t>相关业绩</w:t>
      </w:r>
    </w:p>
    <w:p>
      <w:pPr>
        <w:numPr>
          <w:ilvl w:val="0"/>
          <w:numId w:val="9"/>
        </w:numPr>
        <w:snapToGrid w:val="0"/>
        <w:spacing w:line="360" w:lineRule="auto"/>
        <w:ind w:left="479" w:leftChars="228"/>
        <w:jc w:val="center"/>
        <w:rPr>
          <w:rFonts w:hint="default" w:ascii="宋体" w:hAnsi="宋体" w:eastAsia="宋体" w:cs="宋体"/>
          <w:b/>
          <w:kern w:val="0"/>
          <w:sz w:val="32"/>
          <w:szCs w:val="32"/>
          <w:highlight w:val="none"/>
          <w:lang w:val="en-US" w:eastAsia="zh-CN"/>
        </w:rPr>
      </w:pPr>
      <w:r>
        <w:rPr>
          <w:rFonts w:hint="eastAsia" w:ascii="宋体" w:hAnsi="宋体" w:cs="宋体"/>
          <w:b/>
          <w:kern w:val="0"/>
          <w:sz w:val="32"/>
          <w:szCs w:val="32"/>
          <w:highlight w:val="none"/>
          <w:lang w:val="en-US" w:eastAsia="zh-CN"/>
        </w:rPr>
        <w:t>设计方案</w:t>
      </w:r>
    </w:p>
    <w:p>
      <w:pPr>
        <w:numPr>
          <w:ilvl w:val="0"/>
          <w:numId w:val="0"/>
        </w:numPr>
        <w:snapToGrid w:val="0"/>
        <w:spacing w:line="360" w:lineRule="auto"/>
        <w:ind w:left="479" w:leftChars="228"/>
        <w:jc w:val="center"/>
        <w:rPr>
          <w:rFonts w:ascii="宋体" w:hAnsi="宋体" w:cs="宋体"/>
          <w:b/>
          <w:bCs/>
          <w:sz w:val="32"/>
          <w:szCs w:val="32"/>
          <w:highlight w:val="none"/>
        </w:rPr>
      </w:pPr>
      <w:r>
        <w:rPr>
          <w:rFonts w:hint="eastAsia" w:ascii="宋体" w:hAnsi="宋体" w:cs="宋体"/>
          <w:b/>
          <w:bCs/>
          <w:kern w:val="2"/>
          <w:sz w:val="32"/>
          <w:szCs w:val="32"/>
          <w:highlight w:val="none"/>
          <w:lang w:val="en-US" w:eastAsia="zh-CN" w:bidi="ar-SA"/>
        </w:rPr>
        <w:t>十一</w:t>
      </w:r>
      <w:r>
        <w:rPr>
          <w:rFonts w:hint="eastAsia" w:ascii="宋体" w:hAnsi="宋体" w:eastAsia="宋体" w:cs="宋体"/>
          <w:b/>
          <w:bCs/>
          <w:kern w:val="2"/>
          <w:sz w:val="32"/>
          <w:szCs w:val="32"/>
          <w:highlight w:val="none"/>
          <w:lang w:val="en-US" w:eastAsia="zh-CN" w:bidi="ar-SA"/>
        </w:rPr>
        <w:t>、</w:t>
      </w:r>
      <w:r>
        <w:rPr>
          <w:rFonts w:hint="eastAsia" w:ascii="宋体" w:hAnsi="宋体" w:cs="宋体"/>
          <w:b/>
          <w:bCs/>
          <w:sz w:val="32"/>
          <w:szCs w:val="32"/>
          <w:highlight w:val="none"/>
          <w:lang w:val="zh-CN"/>
        </w:rPr>
        <w:t>安装调试及验收方案</w:t>
      </w:r>
    </w:p>
    <w:p>
      <w:pPr>
        <w:numPr>
          <w:ilvl w:val="0"/>
          <w:numId w:val="0"/>
        </w:numPr>
        <w:snapToGrid w:val="0"/>
        <w:spacing w:line="360" w:lineRule="auto"/>
        <w:ind w:left="479" w:leftChars="228"/>
        <w:jc w:val="center"/>
        <w:rPr>
          <w:rFonts w:ascii="宋体" w:hAnsi="宋体" w:cs="宋体"/>
          <w:b/>
          <w:bCs/>
          <w:sz w:val="32"/>
          <w:szCs w:val="32"/>
          <w:highlight w:val="none"/>
        </w:rPr>
      </w:pPr>
      <w:r>
        <w:rPr>
          <w:rFonts w:hint="eastAsia" w:ascii="宋体" w:hAnsi="宋体" w:eastAsia="宋体" w:cs="宋体"/>
          <w:b/>
          <w:bCs/>
          <w:kern w:val="2"/>
          <w:sz w:val="32"/>
          <w:szCs w:val="32"/>
          <w:highlight w:val="none"/>
          <w:lang w:val="en-US" w:eastAsia="zh-CN" w:bidi="ar-SA"/>
        </w:rPr>
        <w:t>十</w:t>
      </w:r>
      <w:r>
        <w:rPr>
          <w:rFonts w:hint="eastAsia" w:ascii="宋体" w:hAnsi="宋体" w:cs="宋体"/>
          <w:b/>
          <w:bCs/>
          <w:kern w:val="2"/>
          <w:sz w:val="32"/>
          <w:szCs w:val="32"/>
          <w:highlight w:val="none"/>
          <w:lang w:val="en-US" w:eastAsia="zh-CN" w:bidi="ar-SA"/>
        </w:rPr>
        <w:t>二</w:t>
      </w:r>
      <w:r>
        <w:rPr>
          <w:rFonts w:hint="eastAsia" w:ascii="宋体" w:hAnsi="宋体" w:eastAsia="宋体" w:cs="宋体"/>
          <w:b/>
          <w:bCs/>
          <w:kern w:val="2"/>
          <w:sz w:val="32"/>
          <w:szCs w:val="32"/>
          <w:highlight w:val="none"/>
          <w:lang w:val="en-US" w:eastAsia="zh-CN" w:bidi="ar-SA"/>
        </w:rPr>
        <w:t>、</w:t>
      </w:r>
      <w:r>
        <w:rPr>
          <w:rFonts w:hint="eastAsia" w:ascii="宋体" w:hAnsi="宋体" w:cs="宋体"/>
          <w:b/>
          <w:bCs/>
          <w:sz w:val="32"/>
          <w:szCs w:val="32"/>
          <w:highlight w:val="none"/>
          <w:lang w:val="zh-CN"/>
        </w:rPr>
        <w:t>售后服务方案</w:t>
      </w:r>
    </w:p>
    <w:p>
      <w:pPr>
        <w:numPr>
          <w:ilvl w:val="0"/>
          <w:numId w:val="0"/>
        </w:numPr>
        <w:snapToGrid w:val="0"/>
        <w:spacing w:line="360" w:lineRule="auto"/>
        <w:ind w:left="479" w:leftChars="228"/>
        <w:jc w:val="center"/>
        <w:rPr>
          <w:rFonts w:hint="eastAsia" w:ascii="宋体" w:hAnsi="宋体" w:cs="宋体"/>
          <w:b/>
          <w:bCs/>
          <w:sz w:val="32"/>
          <w:szCs w:val="32"/>
          <w:highlight w:val="none"/>
          <w:lang w:val="zh-CN"/>
        </w:rPr>
      </w:pPr>
      <w:r>
        <w:rPr>
          <w:rFonts w:hint="eastAsia" w:ascii="宋体" w:hAnsi="宋体" w:eastAsia="宋体" w:cs="宋体"/>
          <w:b/>
          <w:bCs/>
          <w:kern w:val="2"/>
          <w:sz w:val="32"/>
          <w:szCs w:val="32"/>
          <w:highlight w:val="none"/>
          <w:lang w:val="en-US" w:eastAsia="zh-CN" w:bidi="ar-SA"/>
        </w:rPr>
        <w:t>十</w:t>
      </w:r>
      <w:r>
        <w:rPr>
          <w:rFonts w:hint="eastAsia" w:ascii="宋体" w:hAnsi="宋体" w:cs="宋体"/>
          <w:b/>
          <w:bCs/>
          <w:kern w:val="2"/>
          <w:sz w:val="32"/>
          <w:szCs w:val="32"/>
          <w:highlight w:val="none"/>
          <w:lang w:val="en-US" w:eastAsia="zh-CN" w:bidi="ar-SA"/>
        </w:rPr>
        <w:t>三</w:t>
      </w:r>
      <w:r>
        <w:rPr>
          <w:rFonts w:hint="eastAsia" w:ascii="宋体" w:hAnsi="宋体" w:eastAsia="宋体" w:cs="宋体"/>
          <w:b/>
          <w:bCs/>
          <w:kern w:val="2"/>
          <w:sz w:val="32"/>
          <w:szCs w:val="32"/>
          <w:highlight w:val="none"/>
          <w:lang w:val="en-US" w:eastAsia="zh-CN" w:bidi="ar-SA"/>
        </w:rPr>
        <w:t>、</w:t>
      </w:r>
      <w:r>
        <w:rPr>
          <w:rFonts w:hint="eastAsia" w:ascii="宋体" w:hAnsi="宋体" w:cs="宋体"/>
          <w:b/>
          <w:bCs/>
          <w:sz w:val="32"/>
          <w:szCs w:val="32"/>
          <w:highlight w:val="none"/>
          <w:lang w:val="zh-CN"/>
        </w:rPr>
        <w:t>技术服务、技术培训</w:t>
      </w:r>
    </w:p>
    <w:p>
      <w:pPr>
        <w:numPr>
          <w:ilvl w:val="0"/>
          <w:numId w:val="0"/>
        </w:numPr>
        <w:snapToGrid w:val="0"/>
        <w:spacing w:line="360" w:lineRule="auto"/>
        <w:ind w:left="479" w:leftChars="228"/>
        <w:jc w:val="center"/>
        <w:rPr>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r>
        <w:rPr>
          <w:rFonts w:hint="eastAsia" w:ascii="宋体" w:hAnsi="宋体" w:eastAsia="宋体" w:cs="宋体"/>
          <w:b/>
          <w:bCs/>
          <w:kern w:val="2"/>
          <w:sz w:val="32"/>
          <w:szCs w:val="32"/>
          <w:highlight w:val="none"/>
          <w:lang w:val="en-US" w:eastAsia="zh-CN" w:bidi="ar-SA"/>
        </w:rPr>
        <w:t>十四、</w:t>
      </w:r>
      <w:r>
        <w:rPr>
          <w:rFonts w:hint="eastAsia" w:ascii="宋体" w:hAnsi="宋体" w:cs="宋体"/>
          <w:b/>
          <w:bCs/>
          <w:sz w:val="32"/>
          <w:szCs w:val="32"/>
          <w:highlight w:val="none"/>
          <w:lang w:val="zh-CN"/>
        </w:rPr>
        <w:t>运行、维修成本</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（1）开标一览表……………………………………………………………………（页码）</w:t>
      </w:r>
    </w:p>
    <w:p>
      <w:pPr>
        <w:snapToGrid w:val="0"/>
        <w:spacing w:line="360" w:lineRule="auto"/>
        <w:rPr>
          <w:rFonts w:ascii="宋体" w:hAnsi="宋体" w:cs="宋体"/>
          <w:highlight w:val="none"/>
        </w:rPr>
      </w:pPr>
      <w:r>
        <w:rPr>
          <w:rFonts w:hint="eastAsia" w:ascii="宋体" w:hAnsi="宋体" w:cs="宋体"/>
          <w:sz w:val="24"/>
          <w:highlight w:val="none"/>
        </w:rPr>
        <w:t>（2）投标报价明细表………………………………………………………………（页码）（3）投标人针对报价需要说明的其他文件和说明………………………………（页码）（4）中小企业声明函</w:t>
      </w:r>
      <w:r>
        <w:rPr>
          <w:rFonts w:hint="eastAsia" w:ascii="宋体" w:hAnsi="宋体" w:cs="宋体"/>
          <w:sz w:val="24"/>
          <w:highlight w:val="none"/>
          <w:lang w:eastAsia="zh-CN"/>
        </w:rPr>
        <w:t>（</w:t>
      </w:r>
      <w:r>
        <w:rPr>
          <w:rFonts w:hint="eastAsia" w:ascii="宋体" w:hAnsi="宋体" w:cs="宋体"/>
          <w:sz w:val="24"/>
          <w:highlight w:val="none"/>
          <w:lang w:val="en-US" w:eastAsia="zh-CN"/>
        </w:rPr>
        <w:t>标项二不适用）</w:t>
      </w:r>
      <w:r>
        <w:rPr>
          <w:rFonts w:hint="eastAsia" w:ascii="宋体" w:hAnsi="宋体" w:cs="宋体"/>
          <w:sz w:val="24"/>
          <w:highlight w:val="none"/>
        </w:rPr>
        <w:t>……………………………………………（页码）（5）残疾人福利性单位声明函</w:t>
      </w:r>
      <w:r>
        <w:rPr>
          <w:rFonts w:hint="eastAsia" w:ascii="宋体" w:hAnsi="宋体" w:cs="宋体"/>
          <w:sz w:val="24"/>
          <w:highlight w:val="none"/>
          <w:lang w:eastAsia="zh-CN"/>
        </w:rPr>
        <w:t>（</w:t>
      </w:r>
      <w:r>
        <w:rPr>
          <w:rFonts w:hint="eastAsia" w:ascii="宋体" w:hAnsi="宋体" w:cs="宋体"/>
          <w:sz w:val="24"/>
          <w:highlight w:val="none"/>
          <w:lang w:val="en-US" w:eastAsia="zh-CN"/>
        </w:rPr>
        <w:t>标项二不适用）</w:t>
      </w:r>
      <w:r>
        <w:rPr>
          <w:rFonts w:hint="eastAsia" w:ascii="宋体" w:hAnsi="宋体" w:cs="宋体"/>
          <w:sz w:val="24"/>
          <w:highlight w:val="none"/>
        </w:rPr>
        <w:t>…………………………………（页码）</w:t>
      </w:r>
    </w:p>
    <w:p>
      <w:pPr>
        <w:snapToGrid w:val="0"/>
        <w:spacing w:line="360" w:lineRule="auto"/>
        <w:rPr>
          <w:rFonts w:ascii="宋体" w:hAnsi="宋体" w:cs="宋体"/>
          <w:sz w:val="24"/>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ascii="宋体" w:hAnsi="宋体" w:cs="宋体"/>
          <w:kern w:val="0"/>
          <w:sz w:val="24"/>
          <w:highlight w:val="none"/>
        </w:rPr>
      </w:pPr>
      <w:r>
        <w:rPr>
          <w:rFonts w:hint="eastAsia" w:ascii="宋体" w:hAnsi="宋体" w:cs="宋体"/>
          <w:sz w:val="24"/>
          <w:highlight w:val="none"/>
        </w:rPr>
        <w:t>（采购人）、（采购代理机构）</w:t>
      </w:r>
      <w:r>
        <w:rPr>
          <w:rFonts w:hint="eastAsia" w:ascii="宋体" w:hAnsi="宋体" w:cs="宋体"/>
          <w:kern w:val="0"/>
          <w:sz w:val="24"/>
          <w:highlight w:val="none"/>
          <w:lang w:val="zh-CN"/>
        </w:rPr>
        <w:t>：</w:t>
      </w:r>
    </w:p>
    <w:p>
      <w:pPr>
        <w:snapToGrid w:val="0"/>
        <w:spacing w:line="360" w:lineRule="auto"/>
        <w:ind w:firstLine="482"/>
        <w:rPr>
          <w:rFonts w:ascii="宋体" w:hAnsi="宋体" w:cs="宋体"/>
          <w:kern w:val="0"/>
          <w:sz w:val="24"/>
          <w:highlight w:val="none"/>
          <w:lang w:val="zh-CN"/>
        </w:rPr>
      </w:pPr>
      <w:r>
        <w:rPr>
          <w:rFonts w:hint="eastAsia" w:ascii="宋体" w:hAnsi="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highlight w:val="none"/>
        </w:rPr>
        <w:t>（项目名称）</w:t>
      </w:r>
      <w:r>
        <w:rPr>
          <w:rFonts w:hint="eastAsia" w:ascii="宋体" w:hAnsi="宋体" w:cs="宋体"/>
          <w:kern w:val="0"/>
          <w:sz w:val="24"/>
          <w:highlight w:val="none"/>
          <w:lang w:val="zh-CN"/>
        </w:rPr>
        <w:t>【招标编号：</w:t>
      </w:r>
      <w:r>
        <w:rPr>
          <w:rFonts w:hint="eastAsia" w:ascii="宋体" w:hAnsi="宋体" w:cs="宋体"/>
          <w:sz w:val="24"/>
          <w:highlight w:val="none"/>
        </w:rPr>
        <w:t>（采购编号）】的实施</w:t>
      </w:r>
      <w:r>
        <w:rPr>
          <w:rFonts w:hint="eastAsia" w:ascii="宋体" w:hAnsi="宋体" w:cs="宋体"/>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3" w:hRule="atLeast"/>
        </w:trPr>
        <w:tc>
          <w:tcPr>
            <w:tcW w:w="534"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417"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1843" w:type="dxa"/>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品牌（如果有）</w:t>
            </w:r>
          </w:p>
        </w:tc>
        <w:tc>
          <w:tcPr>
            <w:tcW w:w="3118"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规格型号</w:t>
            </w:r>
          </w:p>
        </w:tc>
        <w:tc>
          <w:tcPr>
            <w:tcW w:w="99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数量</w:t>
            </w:r>
          </w:p>
        </w:tc>
        <w:tc>
          <w:tcPr>
            <w:tcW w:w="1559"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单价</w:t>
            </w:r>
          </w:p>
        </w:tc>
        <w:tc>
          <w:tcPr>
            <w:tcW w:w="1984"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合计</w:t>
            </w:r>
          </w:p>
        </w:tc>
        <w:tc>
          <w:tcPr>
            <w:tcW w:w="3119" w:type="dxa"/>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备注（如果有）</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1417"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XX</w:t>
            </w: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1417"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XX</w:t>
            </w: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投标报价（小写）</w:t>
            </w:r>
          </w:p>
        </w:tc>
        <w:tc>
          <w:tcPr>
            <w:tcW w:w="7655" w:type="dxa"/>
            <w:gridSpan w:val="4"/>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trPr>
        <w:tc>
          <w:tcPr>
            <w:tcW w:w="6912"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投标报价（大写）</w:t>
            </w:r>
          </w:p>
        </w:tc>
        <w:tc>
          <w:tcPr>
            <w:tcW w:w="7655" w:type="dxa"/>
            <w:gridSpan w:val="4"/>
            <w:vAlign w:val="center"/>
          </w:tcPr>
          <w:p>
            <w:pPr>
              <w:spacing w:line="360" w:lineRule="auto"/>
              <w:jc w:val="center"/>
              <w:rPr>
                <w:rFonts w:ascii="宋体" w:hAnsi="宋体" w:cs="宋体"/>
                <w:sz w:val="24"/>
                <w:highlight w:val="none"/>
              </w:rPr>
            </w:pPr>
          </w:p>
        </w:tc>
      </w:tr>
    </w:tbl>
    <w:p>
      <w:pPr>
        <w:snapToGrid w:val="0"/>
        <w:spacing w:line="360" w:lineRule="auto"/>
        <w:ind w:left="480"/>
        <w:rPr>
          <w:rFonts w:ascii="宋体" w:hAnsi="宋体" w:cs="宋体"/>
          <w:b/>
          <w:kern w:val="0"/>
          <w:sz w:val="24"/>
          <w:highlight w:val="none"/>
          <w:lang w:val="zh-CN"/>
        </w:rPr>
      </w:pPr>
      <w:r>
        <w:rPr>
          <w:rFonts w:hint="eastAsia" w:ascii="宋体" w:hAnsi="宋体" w:cs="宋体"/>
          <w:b/>
          <w:kern w:val="0"/>
          <w:sz w:val="24"/>
          <w:highlight w:val="none"/>
          <w:lang w:val="zh-CN"/>
        </w:rPr>
        <w:t>注：</w:t>
      </w:r>
    </w:p>
    <w:p>
      <w:pPr>
        <w:spacing w:line="360" w:lineRule="auto"/>
        <w:ind w:left="-2" w:leftChars="-1"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kern w:val="0"/>
          <w:sz w:val="24"/>
          <w:highlight w:val="none"/>
          <w:lang w:val="zh-CN"/>
        </w:rPr>
        <w:t>。</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lang w:val="zh-CN"/>
        </w:rPr>
        <w:t>2、有关本项目实施所涉及的一切费用均计入报价。</w:t>
      </w:r>
      <w:r>
        <w:rPr>
          <w:rFonts w:hint="eastAsia" w:ascii="宋体" w:hAnsi="宋体" w:cs="宋体"/>
          <w:b/>
          <w:kern w:val="0"/>
          <w:sz w:val="24"/>
          <w:highlight w:val="none"/>
          <w:lang w:val="zh-CN"/>
        </w:rPr>
        <w:t>采购人将以合同形式有偿取得货物或服务，不接受投标人给予的赠品、回扣或者与采购无关的其他商品、服务</w:t>
      </w:r>
      <w:r>
        <w:rPr>
          <w:rFonts w:hint="eastAsia" w:ascii="宋体" w:hAnsi="宋体" w:cs="宋体"/>
          <w:kern w:val="0"/>
          <w:sz w:val="24"/>
          <w:highlight w:val="none"/>
          <w:lang w:val="zh-CN"/>
        </w:rPr>
        <w:t>，</w:t>
      </w:r>
      <w:r>
        <w:rPr>
          <w:rFonts w:hint="eastAsia" w:ascii="宋体" w:hAnsi="宋体" w:cs="宋体"/>
          <w:b/>
          <w:kern w:val="0"/>
          <w:sz w:val="24"/>
          <w:highlight w:val="none"/>
          <w:lang w:val="zh-CN"/>
        </w:rPr>
        <w:t>不得出现“0元”“免费赠送”等形式的无偿报价，</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b/>
          <w:kern w:val="0"/>
          <w:sz w:val="24"/>
          <w:highlight w:val="none"/>
          <w:lang w:val="zh-CN"/>
        </w:rPr>
        <w:t>；采购内容未包含在《开标一览表（报价表）》名称栏中，投标人不能作出合理解释的，</w:t>
      </w:r>
      <w:r>
        <w:rPr>
          <w:rFonts w:hint="eastAsia" w:ascii="宋体" w:hAnsi="宋体" w:cs="宋体"/>
          <w:b/>
          <w:kern w:val="0"/>
          <w:sz w:val="24"/>
          <w:highlight w:val="none"/>
        </w:rPr>
        <w:t>视为</w:t>
      </w:r>
      <w:r>
        <w:rPr>
          <w:rFonts w:hint="eastAsia" w:ascii="宋体" w:hAnsi="宋体" w:cs="宋体"/>
          <w:b/>
          <w:sz w:val="24"/>
          <w:highlight w:val="none"/>
        </w:rPr>
        <w:t>投标文件含有采购人不能接受的附加条件的，投标无效。</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szCs w:val="22"/>
          <w:highlight w:val="none"/>
          <w:lang w:val="zh-CN"/>
        </w:rPr>
        <w:t>4、</w:t>
      </w:r>
      <w:r>
        <w:rPr>
          <w:rFonts w:hint="eastAsia" w:ascii="宋体" w:hAnsi="宋体" w:cs="宋体"/>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2"/>
        <w:keepNext w:val="0"/>
        <w:pageBreakBefore w:val="0"/>
        <w:numPr>
          <w:ilvl w:val="0"/>
          <w:numId w:val="8"/>
        </w:numPr>
        <w:tabs>
          <w:tab w:val="clear" w:pos="720"/>
        </w:tabs>
        <w:snapToGrid w:val="0"/>
        <w:spacing w:before="120" w:after="120"/>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投标报价明细表</w:t>
      </w:r>
    </w:p>
    <w:p>
      <w:pPr>
        <w:spacing w:line="560" w:lineRule="exact"/>
        <w:ind w:firstLine="482" w:firstLineChars="200"/>
        <w:rPr>
          <w:rFonts w:ascii="宋体" w:hAnsi="宋体" w:cs="宋体"/>
          <w:b/>
          <w:bCs/>
          <w:sz w:val="24"/>
          <w:highlight w:val="none"/>
          <w:u w:val="single"/>
        </w:rPr>
      </w:pPr>
      <w:r>
        <w:rPr>
          <w:rFonts w:hint="eastAsia" w:ascii="宋体" w:hAnsi="宋体" w:cs="宋体"/>
          <w:b/>
          <w:bCs/>
          <w:sz w:val="24"/>
          <w:highlight w:val="none"/>
        </w:rPr>
        <w:t>分项价格：</w:t>
      </w:r>
    </w:p>
    <w:tbl>
      <w:tblPr>
        <w:tblStyle w:val="63"/>
        <w:tblW w:w="5000" w:type="pct"/>
        <w:jc w:val="center"/>
        <w:tblLayout w:type="autofit"/>
        <w:tblCellMar>
          <w:top w:w="0" w:type="dxa"/>
          <w:left w:w="108" w:type="dxa"/>
          <w:bottom w:w="0" w:type="dxa"/>
          <w:right w:w="108" w:type="dxa"/>
        </w:tblCellMar>
      </w:tblPr>
      <w:tblGrid>
        <w:gridCol w:w="1006"/>
        <w:gridCol w:w="2361"/>
        <w:gridCol w:w="1113"/>
        <w:gridCol w:w="4806"/>
      </w:tblGrid>
      <w:tr>
        <w:tblPrEx>
          <w:tblCellMar>
            <w:top w:w="0" w:type="dxa"/>
            <w:left w:w="108" w:type="dxa"/>
            <w:bottom w:w="0" w:type="dxa"/>
            <w:right w:w="108" w:type="dxa"/>
          </w:tblCellMar>
        </w:tblPrEx>
        <w:trPr>
          <w:trHeight w:val="567" w:hRule="atLeast"/>
          <w:jc w:val="center"/>
        </w:trPr>
        <w:tc>
          <w:tcPr>
            <w:tcW w:w="542" w:type="pc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b/>
                <w:bCs/>
                <w:sz w:val="24"/>
                <w:highlight w:val="none"/>
              </w:rPr>
            </w:pPr>
            <w:r>
              <w:rPr>
                <w:rFonts w:hint="eastAsia" w:ascii="宋体" w:hAnsi="宋体" w:cs="宋体"/>
                <w:b/>
                <w:bCs/>
                <w:sz w:val="24"/>
                <w:highlight w:val="none"/>
              </w:rPr>
              <w:t>序号</w:t>
            </w:r>
          </w:p>
        </w:tc>
        <w:tc>
          <w:tcPr>
            <w:tcW w:w="1271" w:type="pc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b/>
                <w:bCs/>
                <w:sz w:val="24"/>
                <w:highlight w:val="none"/>
              </w:rPr>
            </w:pPr>
            <w:r>
              <w:rPr>
                <w:rFonts w:hint="eastAsia" w:ascii="宋体" w:hAnsi="宋体" w:cs="宋体"/>
                <w:b/>
                <w:bCs/>
                <w:sz w:val="24"/>
                <w:highlight w:val="none"/>
              </w:rPr>
              <w:t>采购内容</w:t>
            </w:r>
          </w:p>
        </w:tc>
        <w:tc>
          <w:tcPr>
            <w:tcW w:w="599" w:type="pc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b/>
                <w:bCs/>
                <w:sz w:val="24"/>
                <w:highlight w:val="none"/>
              </w:rPr>
            </w:pPr>
            <w:r>
              <w:rPr>
                <w:rFonts w:hint="eastAsia" w:ascii="宋体" w:hAnsi="宋体" w:cs="宋体"/>
                <w:b/>
                <w:bCs/>
                <w:sz w:val="24"/>
                <w:highlight w:val="none"/>
              </w:rPr>
              <w:t>数量</w:t>
            </w:r>
          </w:p>
        </w:tc>
        <w:tc>
          <w:tcPr>
            <w:tcW w:w="2587" w:type="pc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b/>
                <w:bCs/>
                <w:sz w:val="24"/>
                <w:highlight w:val="none"/>
              </w:rPr>
            </w:pPr>
            <w:r>
              <w:rPr>
                <w:rFonts w:hint="eastAsia" w:ascii="宋体" w:hAnsi="宋体" w:cs="宋体"/>
                <w:b/>
                <w:bCs/>
                <w:sz w:val="24"/>
                <w:highlight w:val="none"/>
              </w:rPr>
              <w:t>分项价格（元）</w:t>
            </w:r>
          </w:p>
        </w:tc>
      </w:tr>
      <w:tr>
        <w:tblPrEx>
          <w:tblCellMar>
            <w:top w:w="0" w:type="dxa"/>
            <w:left w:w="108" w:type="dxa"/>
            <w:bottom w:w="0" w:type="dxa"/>
            <w:right w:w="108" w:type="dxa"/>
          </w:tblCellMar>
        </w:tblPrEx>
        <w:trPr>
          <w:trHeight w:val="567" w:hRule="atLeast"/>
          <w:jc w:val="center"/>
        </w:trPr>
        <w:tc>
          <w:tcPr>
            <w:tcW w:w="542"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1271"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599"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258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napToGrid w:val="0"/>
                <w:sz w:val="24"/>
                <w:szCs w:val="21"/>
                <w:highlight w:val="none"/>
                <w:lang w:val="zh-CN"/>
              </w:rPr>
            </w:pPr>
          </w:p>
        </w:tc>
      </w:tr>
      <w:tr>
        <w:tblPrEx>
          <w:tblCellMar>
            <w:top w:w="0" w:type="dxa"/>
            <w:left w:w="108" w:type="dxa"/>
            <w:bottom w:w="0" w:type="dxa"/>
            <w:right w:w="108" w:type="dxa"/>
          </w:tblCellMar>
        </w:tblPrEx>
        <w:trPr>
          <w:trHeight w:val="567" w:hRule="atLeast"/>
          <w:jc w:val="center"/>
        </w:trPr>
        <w:tc>
          <w:tcPr>
            <w:tcW w:w="542"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1271"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599"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258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napToGrid w:val="0"/>
                <w:sz w:val="24"/>
                <w:szCs w:val="21"/>
                <w:highlight w:val="none"/>
                <w:lang w:val="zh-CN"/>
              </w:rPr>
            </w:pPr>
          </w:p>
        </w:tc>
      </w:tr>
      <w:tr>
        <w:tblPrEx>
          <w:tblCellMar>
            <w:top w:w="0" w:type="dxa"/>
            <w:left w:w="108" w:type="dxa"/>
            <w:bottom w:w="0" w:type="dxa"/>
            <w:right w:w="108" w:type="dxa"/>
          </w:tblCellMar>
        </w:tblPrEx>
        <w:trPr>
          <w:trHeight w:val="567" w:hRule="atLeast"/>
          <w:jc w:val="center"/>
        </w:trPr>
        <w:tc>
          <w:tcPr>
            <w:tcW w:w="542"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1271"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599"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258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napToGrid w:val="0"/>
                <w:sz w:val="24"/>
                <w:szCs w:val="21"/>
                <w:highlight w:val="none"/>
                <w:lang w:val="zh-CN"/>
              </w:rPr>
            </w:pPr>
          </w:p>
        </w:tc>
      </w:tr>
      <w:tr>
        <w:tblPrEx>
          <w:tblCellMar>
            <w:top w:w="0" w:type="dxa"/>
            <w:left w:w="108" w:type="dxa"/>
            <w:bottom w:w="0" w:type="dxa"/>
            <w:right w:w="108" w:type="dxa"/>
          </w:tblCellMar>
        </w:tblPrEx>
        <w:trPr>
          <w:trHeight w:val="567" w:hRule="atLeast"/>
          <w:jc w:val="center"/>
        </w:trPr>
        <w:tc>
          <w:tcPr>
            <w:tcW w:w="542"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1271"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599"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258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napToGrid w:val="0"/>
                <w:sz w:val="24"/>
                <w:szCs w:val="21"/>
                <w:highlight w:val="none"/>
                <w:lang w:val="zh-CN"/>
              </w:rPr>
            </w:pPr>
          </w:p>
        </w:tc>
      </w:tr>
      <w:tr>
        <w:tblPrEx>
          <w:tblCellMar>
            <w:top w:w="0" w:type="dxa"/>
            <w:left w:w="108" w:type="dxa"/>
            <w:bottom w:w="0" w:type="dxa"/>
            <w:right w:w="108" w:type="dxa"/>
          </w:tblCellMar>
        </w:tblPrEx>
        <w:trPr>
          <w:trHeight w:val="589" w:hRule="atLeast"/>
          <w:jc w:val="center"/>
        </w:trPr>
        <w:tc>
          <w:tcPr>
            <w:tcW w:w="542"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rPr>
            </w:pPr>
          </w:p>
        </w:tc>
        <w:tc>
          <w:tcPr>
            <w:tcW w:w="1271"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599"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258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napToGrid w:val="0"/>
                <w:sz w:val="24"/>
                <w:szCs w:val="21"/>
                <w:highlight w:val="none"/>
                <w:lang w:val="zh-CN"/>
              </w:rPr>
            </w:pPr>
          </w:p>
        </w:tc>
      </w:tr>
      <w:tr>
        <w:tblPrEx>
          <w:tblCellMar>
            <w:top w:w="0" w:type="dxa"/>
            <w:left w:w="108" w:type="dxa"/>
            <w:bottom w:w="0" w:type="dxa"/>
            <w:right w:w="108" w:type="dxa"/>
          </w:tblCellMar>
        </w:tblPrEx>
        <w:trPr>
          <w:trHeight w:val="567" w:hRule="atLeast"/>
          <w:jc w:val="center"/>
        </w:trPr>
        <w:tc>
          <w:tcPr>
            <w:tcW w:w="542"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rPr>
            </w:pPr>
          </w:p>
        </w:tc>
        <w:tc>
          <w:tcPr>
            <w:tcW w:w="1271"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599"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258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napToGrid w:val="0"/>
                <w:sz w:val="24"/>
                <w:szCs w:val="21"/>
                <w:highlight w:val="none"/>
                <w:lang w:val="zh-CN"/>
              </w:rPr>
            </w:pPr>
          </w:p>
        </w:tc>
      </w:tr>
      <w:tr>
        <w:tblPrEx>
          <w:tblCellMar>
            <w:top w:w="0" w:type="dxa"/>
            <w:left w:w="108" w:type="dxa"/>
            <w:bottom w:w="0" w:type="dxa"/>
            <w:right w:w="108" w:type="dxa"/>
          </w:tblCellMar>
        </w:tblPrEx>
        <w:trPr>
          <w:trHeight w:val="567" w:hRule="atLeast"/>
          <w:jc w:val="center"/>
        </w:trPr>
        <w:tc>
          <w:tcPr>
            <w:tcW w:w="542"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rPr>
            </w:pPr>
          </w:p>
        </w:tc>
        <w:tc>
          <w:tcPr>
            <w:tcW w:w="1271"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599"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258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napToGrid w:val="0"/>
                <w:sz w:val="24"/>
                <w:szCs w:val="21"/>
                <w:highlight w:val="none"/>
                <w:lang w:val="zh-CN"/>
              </w:rPr>
            </w:pPr>
          </w:p>
        </w:tc>
      </w:tr>
      <w:tr>
        <w:tblPrEx>
          <w:tblCellMar>
            <w:top w:w="0" w:type="dxa"/>
            <w:left w:w="108" w:type="dxa"/>
            <w:bottom w:w="0" w:type="dxa"/>
            <w:right w:w="108" w:type="dxa"/>
          </w:tblCellMar>
        </w:tblPrEx>
        <w:trPr>
          <w:trHeight w:val="567" w:hRule="atLeast"/>
          <w:jc w:val="center"/>
        </w:trPr>
        <w:tc>
          <w:tcPr>
            <w:tcW w:w="542"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rPr>
            </w:pPr>
          </w:p>
        </w:tc>
        <w:tc>
          <w:tcPr>
            <w:tcW w:w="1271"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599"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258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napToGrid w:val="0"/>
                <w:sz w:val="24"/>
                <w:szCs w:val="21"/>
                <w:highlight w:val="none"/>
                <w:lang w:val="zh-CN"/>
              </w:rPr>
            </w:pPr>
          </w:p>
        </w:tc>
      </w:tr>
      <w:tr>
        <w:tblPrEx>
          <w:tblCellMar>
            <w:top w:w="0" w:type="dxa"/>
            <w:left w:w="108" w:type="dxa"/>
            <w:bottom w:w="0" w:type="dxa"/>
            <w:right w:w="108" w:type="dxa"/>
          </w:tblCellMar>
        </w:tblPrEx>
        <w:trPr>
          <w:trHeight w:val="567" w:hRule="atLeast"/>
          <w:jc w:val="center"/>
        </w:trPr>
        <w:tc>
          <w:tcPr>
            <w:tcW w:w="542"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rPr>
            </w:pPr>
          </w:p>
        </w:tc>
        <w:tc>
          <w:tcPr>
            <w:tcW w:w="1271"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599" w:type="pct"/>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lang w:val="zh-CN"/>
              </w:rPr>
            </w:pPr>
          </w:p>
        </w:tc>
        <w:tc>
          <w:tcPr>
            <w:tcW w:w="258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napToGrid w:val="0"/>
                <w:sz w:val="24"/>
                <w:szCs w:val="21"/>
                <w:highlight w:val="none"/>
                <w:lang w:val="zh-CN"/>
              </w:rPr>
            </w:pPr>
          </w:p>
        </w:tc>
      </w:tr>
      <w:tr>
        <w:tblPrEx>
          <w:tblCellMar>
            <w:top w:w="0" w:type="dxa"/>
            <w:left w:w="108" w:type="dxa"/>
            <w:bottom w:w="0" w:type="dxa"/>
            <w:right w:w="108" w:type="dxa"/>
          </w:tblCellMar>
        </w:tblPrEx>
        <w:trPr>
          <w:trHeight w:val="567" w:hRule="atLeast"/>
          <w:jc w:val="center"/>
        </w:trPr>
        <w:tc>
          <w:tcPr>
            <w:tcW w:w="2412" w:type="pct"/>
            <w:gridSpan w:val="3"/>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cs="宋体"/>
                <w:bCs/>
                <w:snapToGrid w:val="0"/>
                <w:sz w:val="24"/>
                <w:szCs w:val="21"/>
                <w:highlight w:val="none"/>
              </w:rPr>
            </w:pPr>
            <w:r>
              <w:rPr>
                <w:rFonts w:hint="eastAsia" w:ascii="宋体" w:hAnsi="宋体" w:cs="宋体"/>
                <w:bCs/>
                <w:snapToGrid w:val="0"/>
                <w:sz w:val="24"/>
                <w:szCs w:val="21"/>
                <w:highlight w:val="none"/>
              </w:rPr>
              <w:t>投标总价（元）</w:t>
            </w:r>
          </w:p>
        </w:tc>
        <w:tc>
          <w:tcPr>
            <w:tcW w:w="258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napToGrid w:val="0"/>
                <w:sz w:val="24"/>
                <w:szCs w:val="21"/>
                <w:highlight w:val="none"/>
                <w:lang w:val="zh-CN"/>
              </w:rPr>
            </w:pPr>
          </w:p>
        </w:tc>
      </w:tr>
    </w:tbl>
    <w:p>
      <w:pPr>
        <w:pStyle w:val="692"/>
        <w:keepNext w:val="0"/>
        <w:pageBreakBefore w:val="0"/>
        <w:tabs>
          <w:tab w:val="clear" w:pos="720"/>
        </w:tabs>
        <w:snapToGrid w:val="0"/>
        <w:spacing w:before="120" w:after="120"/>
        <w:jc w:val="both"/>
        <w:outlineLvl w:val="9"/>
        <w:rPr>
          <w:rFonts w:ascii="宋体" w:hAnsi="宋体" w:eastAsia="宋体" w:cs="宋体"/>
          <w:kern w:val="2"/>
          <w:sz w:val="32"/>
          <w:szCs w:val="32"/>
          <w:highlight w:val="none"/>
        </w:rPr>
      </w:pPr>
    </w:p>
    <w:p>
      <w:pPr>
        <w:pStyle w:val="692"/>
        <w:keepNext w:val="0"/>
        <w:pageBreakBefore w:val="0"/>
        <w:tabs>
          <w:tab w:val="clear" w:pos="720"/>
        </w:tabs>
        <w:snapToGrid w:val="0"/>
        <w:spacing w:before="120" w:after="120"/>
        <w:outlineLvl w:val="9"/>
        <w:rPr>
          <w:rFonts w:ascii="宋体" w:hAnsi="宋体" w:eastAsia="宋体" w:cs="宋体"/>
          <w:kern w:val="2"/>
          <w:sz w:val="32"/>
          <w:szCs w:val="32"/>
          <w:highlight w:val="none"/>
        </w:rPr>
      </w:pPr>
    </w:p>
    <w:p>
      <w:pPr>
        <w:pStyle w:val="692"/>
        <w:keepNext w:val="0"/>
        <w:pageBreakBefore w:val="0"/>
        <w:tabs>
          <w:tab w:val="clear" w:pos="720"/>
        </w:tabs>
        <w:snapToGrid w:val="0"/>
        <w:spacing w:before="120" w:after="120"/>
        <w:outlineLvl w:val="9"/>
        <w:rPr>
          <w:rFonts w:ascii="宋体" w:hAnsi="宋体" w:eastAsia="宋体" w:cs="宋体"/>
          <w:kern w:val="2"/>
          <w:sz w:val="32"/>
          <w:szCs w:val="32"/>
          <w:highlight w:val="none"/>
        </w:rPr>
      </w:pPr>
    </w:p>
    <w:p>
      <w:pPr>
        <w:pStyle w:val="692"/>
        <w:keepNext w:val="0"/>
        <w:pageBreakBefore w:val="0"/>
        <w:tabs>
          <w:tab w:val="clear" w:pos="720"/>
        </w:tabs>
        <w:snapToGrid w:val="0"/>
        <w:spacing w:before="120" w:after="120"/>
        <w:outlineLvl w:val="9"/>
        <w:rPr>
          <w:rFonts w:ascii="宋体" w:hAnsi="宋体" w:eastAsia="宋体" w:cs="宋体"/>
          <w:kern w:val="2"/>
          <w:sz w:val="32"/>
          <w:szCs w:val="32"/>
          <w:highlight w:val="none"/>
        </w:rPr>
      </w:pPr>
    </w:p>
    <w:p>
      <w:pPr>
        <w:pStyle w:val="692"/>
        <w:keepNext w:val="0"/>
        <w:pageBreakBefore w:val="0"/>
        <w:tabs>
          <w:tab w:val="clear" w:pos="720"/>
        </w:tabs>
        <w:snapToGrid w:val="0"/>
        <w:spacing w:before="120" w:after="120"/>
        <w:outlineLvl w:val="9"/>
        <w:rPr>
          <w:rFonts w:ascii="宋体" w:hAnsi="宋体" w:eastAsia="宋体" w:cs="宋体"/>
          <w:kern w:val="2"/>
          <w:sz w:val="32"/>
          <w:szCs w:val="32"/>
          <w:highlight w:val="none"/>
        </w:rPr>
      </w:pPr>
    </w:p>
    <w:p>
      <w:pPr>
        <w:pStyle w:val="692"/>
        <w:keepNext w:val="0"/>
        <w:pageBreakBefore w:val="0"/>
        <w:tabs>
          <w:tab w:val="clear" w:pos="720"/>
        </w:tabs>
        <w:snapToGrid w:val="0"/>
        <w:spacing w:before="120" w:after="120"/>
        <w:outlineLvl w:val="9"/>
        <w:rPr>
          <w:rFonts w:ascii="宋体" w:hAnsi="宋体" w:eastAsia="宋体" w:cs="宋体"/>
          <w:kern w:val="2"/>
          <w:sz w:val="32"/>
          <w:szCs w:val="32"/>
          <w:highlight w:val="none"/>
        </w:rPr>
      </w:pPr>
    </w:p>
    <w:p>
      <w:pPr>
        <w:pStyle w:val="692"/>
        <w:keepNext w:val="0"/>
        <w:pageBreakBefore w:val="0"/>
        <w:tabs>
          <w:tab w:val="clear" w:pos="720"/>
        </w:tabs>
        <w:snapToGrid w:val="0"/>
        <w:spacing w:before="120" w:after="120"/>
        <w:outlineLvl w:val="9"/>
        <w:rPr>
          <w:rFonts w:ascii="宋体" w:hAnsi="宋体" w:eastAsia="宋体" w:cs="宋体"/>
          <w:kern w:val="2"/>
          <w:sz w:val="32"/>
          <w:szCs w:val="32"/>
          <w:highlight w:val="none"/>
        </w:rPr>
      </w:pPr>
    </w:p>
    <w:p>
      <w:pPr>
        <w:pStyle w:val="692"/>
        <w:keepNext w:val="0"/>
        <w:pageBreakBefore w:val="0"/>
        <w:tabs>
          <w:tab w:val="clear" w:pos="720"/>
        </w:tabs>
        <w:snapToGrid w:val="0"/>
        <w:spacing w:before="120" w:after="120"/>
        <w:outlineLvl w:val="9"/>
        <w:rPr>
          <w:rFonts w:ascii="宋体" w:hAnsi="宋体" w:eastAsia="宋体" w:cs="宋体"/>
          <w:kern w:val="2"/>
          <w:sz w:val="32"/>
          <w:szCs w:val="32"/>
          <w:highlight w:val="none"/>
        </w:rPr>
      </w:pPr>
    </w:p>
    <w:p>
      <w:pPr>
        <w:pStyle w:val="692"/>
        <w:keepNext w:val="0"/>
        <w:pageBreakBefore w:val="0"/>
        <w:tabs>
          <w:tab w:val="clear" w:pos="720"/>
        </w:tabs>
        <w:snapToGrid w:val="0"/>
        <w:spacing w:before="120" w:after="120"/>
        <w:outlineLvl w:val="9"/>
        <w:rPr>
          <w:rFonts w:ascii="宋体" w:hAnsi="宋体" w:eastAsia="宋体" w:cs="宋体"/>
          <w:kern w:val="2"/>
          <w:sz w:val="32"/>
          <w:szCs w:val="32"/>
          <w:highlight w:val="none"/>
        </w:rPr>
      </w:pPr>
    </w:p>
    <w:p>
      <w:pPr>
        <w:pStyle w:val="692"/>
        <w:keepNext w:val="0"/>
        <w:pageBreakBefore w:val="0"/>
        <w:numPr>
          <w:ilvl w:val="0"/>
          <w:numId w:val="8"/>
        </w:numPr>
        <w:tabs>
          <w:tab w:val="clear" w:pos="720"/>
        </w:tabs>
        <w:snapToGrid w:val="0"/>
        <w:spacing w:before="120" w:after="120"/>
        <w:jc w:val="both"/>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投标人针对报价需要说明的其他文件和说明</w:t>
      </w:r>
    </w:p>
    <w:p>
      <w:pPr>
        <w:spacing w:line="360" w:lineRule="auto"/>
        <w:ind w:right="420"/>
        <w:rPr>
          <w:rFonts w:ascii="宋体" w:hAnsi="宋体" w:cs="宋体"/>
          <w:b/>
          <w:kern w:val="0"/>
          <w:sz w:val="36"/>
          <w:szCs w:val="36"/>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sz w:val="32"/>
          <w:szCs w:val="32"/>
          <w:highlight w:val="none"/>
        </w:rPr>
      </w:pPr>
      <w:r>
        <w:rPr>
          <w:rFonts w:hint="eastAsia" w:ascii="宋体" w:hAnsi="宋体" w:eastAsia="宋体" w:cs="宋体"/>
          <w:sz w:val="32"/>
          <w:szCs w:val="32"/>
          <w:highlight w:val="none"/>
        </w:rPr>
        <w:t>中小企业声明函</w:t>
      </w:r>
    </w:p>
    <w:p>
      <w:pPr>
        <w:widowControl/>
        <w:spacing w:line="360" w:lineRule="auto"/>
        <w:ind w:firstLine="120" w:firstLineChars="50"/>
        <w:jc w:val="left"/>
        <w:rPr>
          <w:rFonts w:ascii="宋体" w:hAnsi="宋体" w:cs="宋体"/>
          <w:b/>
          <w:sz w:val="24"/>
          <w:highlight w:val="none"/>
        </w:rPr>
      </w:pPr>
      <w:r>
        <w:rPr>
          <w:rFonts w:hint="eastAsia" w:ascii="宋体" w:hAnsi="宋体" w:cs="宋体"/>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或残疾人福利性单位声明函（附件6或附件1）。]</w:t>
      </w: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pStyle w:val="4"/>
        <w:keepNext w:val="0"/>
        <w:keepLines w:val="0"/>
        <w:pageBreakBefore/>
        <w:widowControl/>
        <w:spacing w:before="100" w:beforeAutospacing="1" w:after="100" w:afterAutospacing="1" w:line="360" w:lineRule="auto"/>
        <w:ind w:left="0" w:firstLine="0"/>
        <w:jc w:val="center"/>
        <w:rPr>
          <w:rFonts w:ascii="宋体" w:hAnsi="宋体" w:cs="宋体"/>
          <w:highlight w:val="none"/>
        </w:rPr>
      </w:pPr>
      <w:bookmarkStart w:id="401" w:name="_Toc465665161"/>
      <w:r>
        <w:rPr>
          <w:rFonts w:hint="eastAsia" w:ascii="宋体" w:hAnsi="宋体" w:cs="宋体"/>
          <w:highlight w:val="none"/>
        </w:rPr>
        <w:t>附件</w:t>
      </w:r>
      <w:bookmarkEnd w:id="401"/>
    </w:p>
    <w:p>
      <w:pPr>
        <w:spacing w:line="360" w:lineRule="auto"/>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spacing w:line="360" w:lineRule="auto"/>
        <w:jc w:val="center"/>
        <w:rPr>
          <w:rFonts w:ascii="宋体" w:hAnsi="宋体" w:cs="宋体"/>
          <w:b/>
          <w:spacing w:val="6"/>
          <w:sz w:val="32"/>
          <w:szCs w:val="32"/>
          <w:highlight w:val="none"/>
        </w:rPr>
      </w:pPr>
      <w:bookmarkStart w:id="402" w:name="OLE_LINK13"/>
      <w:bookmarkStart w:id="403" w:name="OLE_LINK14"/>
      <w:r>
        <w:rPr>
          <w:rFonts w:hint="eastAsia" w:ascii="宋体" w:hAnsi="宋体" w:cs="宋体"/>
          <w:b/>
          <w:spacing w:val="6"/>
          <w:sz w:val="32"/>
          <w:szCs w:val="32"/>
          <w:highlight w:val="none"/>
        </w:rPr>
        <w:t>残疾人福利性单位声明函</w:t>
      </w:r>
    </w:p>
    <w:bookmarkEnd w:id="402"/>
    <w:bookmarkEnd w:id="403"/>
    <w:p>
      <w:pPr>
        <w:spacing w:line="360" w:lineRule="auto"/>
        <w:rPr>
          <w:rFonts w:ascii="宋体" w:hAnsi="宋体" w:cs="宋体"/>
          <w:b/>
          <w:spacing w:val="6"/>
          <w:sz w:val="30"/>
          <w:szCs w:val="30"/>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highlight w:val="none"/>
          <w:u w:val="single"/>
        </w:rPr>
        <w:t>（采购人）</w:t>
      </w:r>
      <w:r>
        <w:rPr>
          <w:rFonts w:hint="eastAsia" w:ascii="宋体" w:hAnsi="宋体" w:cs="宋体"/>
          <w:sz w:val="24"/>
          <w:highlight w:val="none"/>
        </w:rPr>
        <w:t>_单位的_</w:t>
      </w:r>
      <w:r>
        <w:rPr>
          <w:rFonts w:hint="eastAsia" w:ascii="宋体" w:hAnsi="宋体" w:cs="宋体"/>
          <w:sz w:val="24"/>
          <w:highlight w:val="none"/>
          <w:u w:val="single"/>
        </w:rPr>
        <w:t>（项目名称）</w:t>
      </w:r>
      <w:r>
        <w:rPr>
          <w:rFonts w:hint="eastAsia" w:ascii="宋体" w:hAnsi="宋体" w:cs="宋体"/>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投标人名称（</w:t>
      </w:r>
      <w:r>
        <w:rPr>
          <w:rFonts w:hint="eastAsia" w:ascii="宋体" w:hAnsi="宋体" w:cs="宋体"/>
          <w:sz w:val="24"/>
          <w:highlight w:val="none"/>
        </w:rPr>
        <w:t>公章</w:t>
      </w:r>
      <w:r>
        <w:rPr>
          <w:rFonts w:hint="eastAsia" w:ascii="宋体" w:hAnsi="宋体" w:cs="宋体"/>
          <w:kern w:val="0"/>
          <w:sz w:val="24"/>
          <w:highlight w:val="none"/>
          <w:lang w:val="zh-CN"/>
        </w:rPr>
        <w:t>）</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240"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采购文件获取日期：</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jc w:val="center"/>
        <w:rPr>
          <w:rFonts w:ascii="宋体" w:hAnsi="宋体" w:cs="宋体"/>
          <w:b/>
          <w:bCs/>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 w:val="24"/>
          <w:highlight w:val="none"/>
        </w:rPr>
      </w:pPr>
      <w:r>
        <w:rPr>
          <w:rFonts w:hint="eastAsia" w:ascii="宋体" w:hAnsi="宋体" w:cs="宋体"/>
          <w:sz w:val="24"/>
          <w:highlight w:val="none"/>
        </w:rPr>
        <w:t>一、投诉相关主体基本情况</w:t>
      </w:r>
    </w:p>
    <w:p>
      <w:pPr>
        <w:spacing w:line="360" w:lineRule="auto"/>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spacing w:line="360" w:lineRule="auto"/>
        <w:jc w:val="left"/>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spacing w:line="360" w:lineRule="auto"/>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被投诉人2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二、投诉项目基本情况</w:t>
      </w:r>
    </w:p>
    <w:p>
      <w:pPr>
        <w:spacing w:line="360" w:lineRule="auto"/>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采购文件公告: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三、质疑基本情况</w:t>
      </w:r>
    </w:p>
    <w:p>
      <w:pPr>
        <w:spacing w:line="360" w:lineRule="auto"/>
        <w:ind w:firstLine="480" w:firstLineChars="200"/>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ind w:firstLine="360" w:firstLineChars="150"/>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spacing w:line="360" w:lineRule="auto"/>
        <w:rPr>
          <w:rFonts w:ascii="宋体" w:hAnsi="宋体" w:cs="宋体"/>
          <w:sz w:val="24"/>
          <w:highlight w:val="none"/>
        </w:rPr>
      </w:pPr>
      <w:r>
        <w:rPr>
          <w:rFonts w:hint="eastAsia" w:ascii="宋体" w:hAnsi="宋体" w:cs="宋体"/>
          <w:sz w:val="24"/>
          <w:highlight w:val="none"/>
        </w:rPr>
        <w:t>四、投诉事项具体内容</w:t>
      </w:r>
    </w:p>
    <w:p>
      <w:pPr>
        <w:spacing w:line="360" w:lineRule="auto"/>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投诉事项2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五、与投诉事项相关的投诉请求</w:t>
      </w:r>
    </w:p>
    <w:p>
      <w:pPr>
        <w:spacing w:line="360" w:lineRule="auto"/>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投诉书制作说明：</w:t>
      </w:r>
    </w:p>
    <w:p>
      <w:pPr>
        <w:widowControl/>
        <w:spacing w:line="360" w:lineRule="auto"/>
        <w:ind w:firstLine="480" w:firstLineChars="200"/>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6.投诉书的投诉请求应与投诉事项相关。</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spacing w:line="360" w:lineRule="auto"/>
        <w:rPr>
          <w:rFonts w:ascii="宋体" w:hAnsi="宋体" w:cs="宋体"/>
          <w:sz w:val="24"/>
          <w:highlight w:val="none"/>
          <w:u w:val="single"/>
        </w:rPr>
      </w:pPr>
    </w:p>
    <w:p>
      <w:pPr>
        <w:spacing w:line="360" w:lineRule="auto"/>
        <w:rPr>
          <w:rFonts w:ascii="宋体" w:hAnsi="宋体" w:cs="宋体"/>
          <w:sz w:val="24"/>
          <w:highlight w:val="none"/>
        </w:rPr>
      </w:pPr>
      <w:r>
        <w:rPr>
          <w:rFonts w:hint="eastAsia" w:ascii="宋体" w:hAnsi="宋体" w:cs="宋体"/>
          <w:sz w:val="24"/>
          <w:highlight w:val="none"/>
          <w:u w:val="single"/>
        </w:rPr>
        <w:t>（采购人）、（采购代理机构）：</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lang w:val="zh-CN"/>
        </w:rPr>
        <w:t>我方</w:t>
      </w:r>
      <w:r>
        <w:rPr>
          <w:rFonts w:hint="eastAsia" w:ascii="宋体" w:hAnsi="宋体" w:cs="宋体"/>
          <w:kern w:val="0"/>
          <w:sz w:val="24"/>
          <w:highlight w:val="none"/>
          <w:u w:val="single"/>
          <w:lang w:val="zh-CN"/>
        </w:rPr>
        <w:t xml:space="preserve">                         </w:t>
      </w:r>
      <w:r>
        <w:rPr>
          <w:rFonts w:hint="eastAsia" w:ascii="宋体" w:hAnsi="宋体" w:cs="宋体"/>
          <w:sz w:val="24"/>
          <w:highlight w:val="none"/>
        </w:rPr>
        <w:t>(投标人全称)是中华人民共和国依法登记注册的合法企业，</w:t>
      </w:r>
      <w:r>
        <w:rPr>
          <w:rFonts w:hint="eastAsia" w:ascii="宋体" w:hAnsi="宋体" w:cs="宋体"/>
          <w:bCs/>
          <w:sz w:val="24"/>
          <w:highlight w:val="none"/>
        </w:rPr>
        <w:t>在参加</w:t>
      </w:r>
      <w:r>
        <w:rPr>
          <w:rFonts w:hint="eastAsia" w:ascii="宋体" w:hAnsi="宋体" w:cs="宋体"/>
          <w:sz w:val="24"/>
          <w:highlight w:val="none"/>
        </w:rPr>
        <w:t>你方组织的（项目名称）【招标编号：（采购编号）】</w:t>
      </w:r>
      <w:r>
        <w:rPr>
          <w:rFonts w:hint="eastAsia" w:ascii="宋体" w:hAnsi="宋体" w:cs="宋体"/>
          <w:bCs/>
          <w:sz w:val="24"/>
          <w:highlight w:val="none"/>
        </w:rPr>
        <w:t>投标活动中作如下说明：</w:t>
      </w:r>
      <w:r>
        <w:rPr>
          <w:rFonts w:hint="eastAsia" w:ascii="宋体" w:hAnsi="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特此说明。</w:t>
      </w: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right="480" w:firstLine="4080" w:firstLineChars="1700"/>
        <w:rPr>
          <w:rFonts w:ascii="宋体" w:hAnsi="宋体" w:cs="宋体"/>
          <w:sz w:val="24"/>
          <w:highlight w:val="none"/>
        </w:rPr>
      </w:pPr>
      <w:r>
        <w:rPr>
          <w:rFonts w:hint="eastAsia" w:ascii="宋体" w:hAnsi="宋体" w:cs="宋体"/>
          <w:sz w:val="24"/>
          <w:highlight w:val="none"/>
        </w:rPr>
        <w:t>投标单位（法定名称章）：</w:t>
      </w:r>
    </w:p>
    <w:p>
      <w:pPr>
        <w:ind w:right="1440" w:firstLine="494"/>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sz w:val="24"/>
          <w:highlight w:val="none"/>
        </w:rPr>
      </w:pPr>
      <w:r>
        <w:rPr>
          <w:rFonts w:hint="eastAsia" w:ascii="宋体" w:hAnsi="宋体" w:cs="宋体"/>
          <w:b/>
          <w:bCs/>
          <w:sz w:val="24"/>
          <w:highlight w:val="none"/>
        </w:rPr>
        <w:t>附：</w:t>
      </w:r>
    </w:p>
    <w:p>
      <w:pPr>
        <w:spacing w:line="360" w:lineRule="auto"/>
        <w:rPr>
          <w:rFonts w:ascii="宋体" w:hAnsi="宋体" w:cs="宋体"/>
          <w:bCs/>
          <w:sz w:val="24"/>
          <w:highlight w:val="none"/>
        </w:rPr>
      </w:pPr>
      <w:r>
        <w:rPr>
          <w:rFonts w:hint="eastAsia" w:ascii="宋体" w:hAnsi="宋体" w:cs="宋体"/>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sz w:val="24"/>
          <w:highlight w:val="none"/>
        </w:rPr>
        <w:t>投标单位法定名称章（印模）                投标单位“XX专用章”（印模）</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snapToGrid w:val="0"/>
        <w:spacing w:line="360" w:lineRule="auto"/>
        <w:jc w:val="center"/>
        <w:outlineLvl w:val="0"/>
        <w:rPr>
          <w:rFonts w:ascii="宋体" w:hAnsi="宋体" w:cs="宋体"/>
          <w:b/>
          <w:kern w:val="0"/>
          <w:sz w:val="32"/>
          <w:szCs w:val="32"/>
          <w:highlight w:val="none"/>
        </w:rPr>
      </w:pPr>
      <w:r>
        <w:rPr>
          <w:rFonts w:hint="eastAsia" w:ascii="宋体" w:hAnsi="宋体" w:cs="宋体"/>
          <w:b/>
          <w:kern w:val="0"/>
          <w:sz w:val="32"/>
          <w:szCs w:val="32"/>
          <w:highlight w:val="none"/>
        </w:rPr>
        <w:t>附件5：联合协议</w:t>
      </w: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（联合体所有成员名称）</w:t>
      </w:r>
      <w:r>
        <w:rPr>
          <w:rFonts w:hint="eastAsia" w:ascii="宋体" w:hAnsi="宋体" w:cs="宋体"/>
          <w:kern w:val="0"/>
          <w:sz w:val="24"/>
          <w:highlight w:val="none"/>
        </w:rPr>
        <w:t>自愿</w:t>
      </w:r>
      <w:r>
        <w:rPr>
          <w:rFonts w:hint="eastAsia" w:ascii="宋体" w:hAnsi="宋体" w:cs="宋体"/>
          <w:kern w:val="0"/>
          <w:sz w:val="24"/>
          <w:highlight w:val="none"/>
          <w:lang w:val="zh-CN"/>
        </w:rPr>
        <w:t>组成一个联合体，以一个投标人的身份</w:t>
      </w:r>
      <w:r>
        <w:rPr>
          <w:rFonts w:hint="eastAsia" w:ascii="宋体" w:hAnsi="宋体" w:cs="宋体"/>
          <w:kern w:val="0"/>
          <w:sz w:val="24"/>
          <w:highlight w:val="none"/>
        </w:rPr>
        <w:t>参加</w:t>
      </w:r>
      <w:r>
        <w:rPr>
          <w:rFonts w:hint="eastAsia" w:ascii="宋体" w:hAnsi="宋体" w:cs="宋体"/>
          <w:sz w:val="24"/>
          <w:highlight w:val="none"/>
        </w:rPr>
        <w:t>（项目名称）【招标编号：（采购编号）】</w:t>
      </w:r>
      <w:r>
        <w:rPr>
          <w:rFonts w:hint="eastAsia" w:ascii="宋体" w:hAnsi="宋体" w:cs="宋体"/>
          <w:kern w:val="0"/>
          <w:sz w:val="24"/>
          <w:highlight w:val="none"/>
          <w:lang w:val="zh-CN"/>
        </w:rPr>
        <w:t xml:space="preserve">投标。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一、各方一致决定，</w:t>
      </w:r>
      <w:r>
        <w:rPr>
          <w:rFonts w:hint="eastAsia" w:ascii="宋体" w:hAnsi="宋体" w:cs="宋体"/>
          <w:kern w:val="0"/>
          <w:sz w:val="24"/>
          <w:highlight w:val="none"/>
          <w:u w:val="single"/>
        </w:rPr>
        <w:t>（某联合体成员名称）</w:t>
      </w:r>
      <w:r>
        <w:rPr>
          <w:rFonts w:hint="eastAsia" w:ascii="宋体" w:hAnsi="宋体" w:cs="宋体"/>
          <w:kern w:val="0"/>
          <w:sz w:val="24"/>
          <w:highlight w:val="none"/>
        </w:rPr>
        <w:t>为联合体</w:t>
      </w:r>
      <w:r>
        <w:rPr>
          <w:rFonts w:hint="eastAsia" w:ascii="宋体" w:hAnsi="宋体" w:cs="宋体"/>
          <w:kern w:val="0"/>
          <w:sz w:val="24"/>
          <w:highlight w:val="none"/>
          <w:lang w:val="zh-CN"/>
        </w:rPr>
        <w:t>牵头人</w:t>
      </w:r>
      <w:r>
        <w:rPr>
          <w:rFonts w:hint="eastAsia" w:ascii="宋体" w:hAnsi="宋体" w:cs="宋体"/>
          <w:sz w:val="24"/>
          <w:highlight w:val="none"/>
        </w:rPr>
        <w:t>，代表所有联合体成员负责投标和合同实施阶段的主办、协调工作</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三、本次联合投标中，分工如下：</w:t>
      </w:r>
    </w:p>
    <w:p>
      <w:pPr>
        <w:snapToGrid w:val="0"/>
        <w:spacing w:line="360" w:lineRule="auto"/>
        <w:ind w:firstLine="576"/>
        <w:rPr>
          <w:rFonts w:ascii="宋体" w:hAnsi="宋体" w:cs="宋体"/>
          <w:kern w:val="0"/>
          <w:sz w:val="24"/>
          <w:highlight w:val="none"/>
          <w:lang w:val="zh-CN"/>
        </w:rPr>
      </w:pPr>
      <w:bookmarkStart w:id="404" w:name="_Hlk101134295"/>
      <w:r>
        <w:rPr>
          <w:rFonts w:hint="eastAsia" w:ascii="宋体" w:hAnsi="宋体" w:cs="宋体"/>
          <w:kern w:val="0"/>
          <w:sz w:val="24"/>
          <w:highlight w:val="none"/>
          <w:u w:val="single"/>
        </w:rPr>
        <w:t>（联合体成员1）</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（联合体成员2）</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w:t>
      </w:r>
    </w:p>
    <w:bookmarkEnd w:id="404"/>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四、联合体成员中小企业合同份额。</w:t>
      </w:r>
    </w:p>
    <w:p>
      <w:pPr>
        <w:snapToGrid w:val="0"/>
        <w:spacing w:line="360" w:lineRule="auto"/>
        <w:ind w:firstLine="576"/>
        <w:rPr>
          <w:rFonts w:ascii="宋体" w:hAnsi="宋体" w:cs="宋体"/>
          <w:b/>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u w:val="single"/>
        </w:rPr>
        <w:t>（联合体成员X,……）</w:t>
      </w:r>
      <w:r>
        <w:rPr>
          <w:rFonts w:hint="eastAsia" w:ascii="宋体" w:hAnsi="宋体" w:cs="宋体"/>
          <w:kern w:val="0"/>
          <w:sz w:val="24"/>
          <w:highlight w:val="none"/>
        </w:rPr>
        <w:t>提供的全部货物由小微企业制造，其合同份额占到合同总金额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kern w:val="0"/>
          <w:sz w:val="24"/>
          <w:highlight w:val="none"/>
          <w:lang w:val="zh-CN"/>
        </w:rPr>
        <w:t>……。</w:t>
      </w:r>
      <w:r>
        <w:rPr>
          <w:rFonts w:hint="eastAsia" w:ascii="宋体" w:hAnsi="宋体" w:cs="宋体"/>
          <w:b/>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%，其中小微企业合同金额达到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联合体成员名称(公章)：</w:t>
      </w:r>
    </w:p>
    <w:p>
      <w:pPr>
        <w:snapToGrid w:val="0"/>
        <w:spacing w:line="360" w:lineRule="auto"/>
        <w:ind w:right="960"/>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jc w:val="right"/>
        <w:rPr>
          <w:rFonts w:ascii="宋体" w:hAnsi="宋体" w:cs="宋体"/>
          <w:kern w:val="0"/>
          <w:sz w:val="24"/>
          <w:highlight w:val="none"/>
          <w:lang w:val="zh-CN"/>
        </w:rPr>
      </w:pPr>
      <w:r>
        <w:rPr>
          <w:rFonts w:hint="eastAsia" w:ascii="宋体" w:hAnsi="宋体" w:cs="宋体"/>
          <w:kern w:val="0"/>
          <w:sz w:val="24"/>
          <w:highlight w:val="none"/>
          <w:lang w:val="zh-CN"/>
        </w:rPr>
        <w:t>日期：  年  月   日</w:t>
      </w: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widowControl/>
        <w:adjustRightInd/>
        <w:jc w:val="left"/>
        <w:rPr>
          <w:rFonts w:ascii="宋体" w:hAnsi="宋体" w:cs="宋体"/>
          <w:b/>
          <w:kern w:val="0"/>
          <w:sz w:val="40"/>
          <w:szCs w:val="40"/>
          <w:highlight w:val="none"/>
        </w:rPr>
      </w:pPr>
      <w:r>
        <w:rPr>
          <w:rFonts w:hint="eastAsia" w:ascii="宋体" w:hAnsi="宋体" w:cs="宋体"/>
          <w:b/>
          <w:kern w:val="0"/>
          <w:sz w:val="40"/>
          <w:szCs w:val="40"/>
          <w:highlight w:val="none"/>
        </w:rPr>
        <w:t>附件6：中小企业声明函</w:t>
      </w:r>
    </w:p>
    <w:p>
      <w:pPr>
        <w:spacing w:line="360" w:lineRule="auto"/>
        <w:jc w:val="center"/>
        <w:rPr>
          <w:rFonts w:ascii="宋体" w:hAnsi="宋体" w:cs="宋体"/>
          <w:sz w:val="24"/>
          <w:highlight w:val="none"/>
          <w:u w:val="singl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本公司（联合体）郑重声明，根据《政府采购促进中小企业发展管理办法》（财库﹝2020﹞46 号）的规定，本公司（联合体）参加 </w:t>
      </w:r>
      <w:r>
        <w:rPr>
          <w:rFonts w:hint="eastAsia" w:ascii="宋体" w:hAnsi="宋体" w:cs="宋体"/>
          <w:sz w:val="24"/>
          <w:highlight w:val="none"/>
          <w:u w:val="single"/>
        </w:rPr>
        <w:t xml:space="preserve">（采购人） </w:t>
      </w:r>
      <w:r>
        <w:rPr>
          <w:rFonts w:hint="eastAsia" w:ascii="宋体" w:hAnsi="宋体" w:cs="宋体"/>
          <w:sz w:val="24"/>
          <w:highlight w:val="none"/>
        </w:rPr>
        <w:t xml:space="preserve">的 </w:t>
      </w:r>
      <w:r>
        <w:rPr>
          <w:rFonts w:hint="eastAsia" w:ascii="宋体" w:hAnsi="宋体" w:cs="宋体"/>
          <w:sz w:val="24"/>
          <w:highlight w:val="none"/>
          <w:u w:val="single"/>
        </w:rPr>
        <w:t>（项目名称）</w:t>
      </w:r>
      <w:r>
        <w:rPr>
          <w:rFonts w:hint="eastAsia" w:ascii="宋体" w:hAnsi="宋体" w:cs="宋体"/>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 ，属于</w:t>
      </w:r>
      <w:r>
        <w:rPr>
          <w:rFonts w:hint="eastAsia" w:ascii="宋体" w:hAnsi="宋体" w:cs="宋体"/>
          <w:sz w:val="24"/>
          <w:highlight w:val="none"/>
          <w:u w:val="single"/>
        </w:rPr>
        <w:t>工业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 ，属于</w:t>
      </w:r>
      <w:r>
        <w:rPr>
          <w:rFonts w:hint="eastAsia" w:ascii="宋体" w:hAnsi="宋体" w:cs="宋体"/>
          <w:sz w:val="24"/>
          <w:highlight w:val="none"/>
          <w:u w:val="single"/>
        </w:rPr>
        <w:t>工业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kern w:val="0"/>
          <w:sz w:val="24"/>
          <w:highlight w:val="none"/>
        </w:rPr>
      </w:pPr>
      <w:r>
        <w:rPr>
          <w:rFonts w:hint="eastAsia" w:ascii="宋体" w:hAnsi="宋体" w:cs="宋体"/>
          <w:kern w:val="0"/>
          <w:sz w:val="24"/>
          <w:highlight w:val="none"/>
          <w:lang w:val="zh-CN"/>
        </w:rPr>
        <w:t>投标人名称(</w:t>
      </w:r>
      <w:r>
        <w:rPr>
          <w:rFonts w:hint="eastAsia" w:ascii="宋体" w:hAnsi="宋体" w:cs="宋体"/>
          <w:sz w:val="24"/>
          <w:highlight w:val="none"/>
        </w:rPr>
        <w:t>公章</w:t>
      </w:r>
      <w:r>
        <w:rPr>
          <w:rFonts w:hint="eastAsia" w:ascii="宋体" w:hAnsi="宋体" w:cs="宋体"/>
          <w:kern w:val="0"/>
          <w:sz w:val="24"/>
          <w:highlight w:val="none"/>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pacing w:line="360" w:lineRule="auto"/>
        <w:jc w:val="left"/>
        <w:rPr>
          <w:rFonts w:ascii="宋体" w:hAnsi="宋体" w:cs="宋体"/>
          <w:b/>
          <w:bCs/>
          <w:sz w:val="18"/>
          <w:szCs w:val="18"/>
          <w:highlight w:val="none"/>
        </w:rPr>
      </w:pPr>
      <w:r>
        <w:rPr>
          <w:rFonts w:hint="eastAsia" w:ascii="宋体" w:hAnsi="宋体" w:cs="宋体"/>
          <w:b/>
          <w:bCs/>
          <w:sz w:val="20"/>
          <w:szCs w:val="20"/>
          <w:highlight w:val="none"/>
        </w:rPr>
        <w:t>从业人员、营业收入、资产总额填报上一年度数据，无上一年度数据的新成立企业可不填报</w:t>
      </w:r>
      <w:r>
        <w:rPr>
          <w:rFonts w:hint="eastAsia" w:ascii="宋体" w:hAnsi="宋体" w:cs="宋体"/>
          <w:b/>
          <w:bCs/>
          <w:sz w:val="18"/>
          <w:szCs w:val="18"/>
          <w:highlight w:val="none"/>
        </w:rPr>
        <w:t>。</w:t>
      </w:r>
    </w:p>
    <w:p>
      <w:pPr>
        <w:spacing w:line="360" w:lineRule="auto"/>
        <w:ind w:right="420" w:firstLine="480" w:firstLineChars="200"/>
        <w:rPr>
          <w:rFonts w:ascii="宋体" w:hAnsi="宋体" w:cs="宋体"/>
          <w:sz w:val="24"/>
          <w:highlight w:val="none"/>
        </w:rPr>
      </w:pPr>
      <w:r>
        <w:rPr>
          <w:rFonts w:hint="eastAsia" w:ascii="宋体" w:hAnsi="宋体" w:cs="宋体"/>
          <w:sz w:val="24"/>
          <w:highlight w:val="none"/>
        </w:rPr>
        <w:t>注：</w:t>
      </w:r>
    </w:p>
    <w:p>
      <w:pPr>
        <w:spacing w:line="360" w:lineRule="auto"/>
        <w:ind w:right="420" w:firstLine="480" w:firstLineChars="200"/>
        <w:rPr>
          <w:rFonts w:ascii="宋体" w:hAnsi="宋体" w:cs="宋体"/>
          <w:sz w:val="24"/>
          <w:highlight w:val="none"/>
        </w:rPr>
      </w:pPr>
      <w:r>
        <w:rPr>
          <w:rFonts w:hint="eastAsia" w:ascii="宋体" w:hAnsi="宋体" w:cs="宋体"/>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highlight w:val="none"/>
        </w:rPr>
      </w:pPr>
      <w:r>
        <w:rPr>
          <w:rFonts w:hint="eastAsia" w:ascii="宋体" w:hAnsi="宋体" w:cs="宋体"/>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left"/>
        <w:rPr>
          <w:rFonts w:ascii="宋体" w:hAnsi="宋体" w:cs="宋体"/>
          <w:sz w:val="24"/>
          <w:highlight w:val="none"/>
        </w:rPr>
      </w:pPr>
      <w:r>
        <w:rPr>
          <w:rFonts w:hint="eastAsia" w:ascii="宋体" w:hAnsi="宋体" w:cs="宋体"/>
          <w:sz w:val="24"/>
          <w:highlight w:val="none"/>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tabs>
          <w:tab w:val="left" w:pos="6795"/>
        </w:tabs>
        <w:spacing w:line="360" w:lineRule="auto"/>
        <w:jc w:val="left"/>
        <w:rPr>
          <w:rFonts w:ascii="宋体" w:hAnsi="宋体" w:cs="宋体"/>
          <w:b/>
          <w:sz w:val="32"/>
          <w:szCs w:val="32"/>
          <w:highlight w:val="none"/>
        </w:rPr>
      </w:pPr>
      <w:r>
        <w:rPr>
          <w:rFonts w:hint="eastAsia" w:ascii="宋体" w:hAnsi="宋体" w:cs="宋体"/>
          <w:b/>
          <w:sz w:val="32"/>
          <w:szCs w:val="32"/>
          <w:highlight w:val="none"/>
        </w:rPr>
        <w:tab/>
      </w: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rPr>
          <w:rFonts w:ascii="宋体" w:hAnsi="宋体" w:cs="宋体"/>
          <w:bCs/>
          <w:sz w:val="24"/>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AmdtSymbols"/>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Arial">
    <w:panose1 w:val="020B0604020202020204"/>
    <w:charset w:val="00"/>
    <w:family w:val="auto"/>
    <w:pitch w:val="default"/>
    <w:sig w:usb0="E0002EFF" w:usb1="C0007843" w:usb2="00000009" w:usb3="00000000" w:csb0="400001FF" w:csb1="FFFF0000"/>
  </w:font>
  <w:font w:name="Segoe UI Semilight">
    <w:panose1 w:val="020B0402040204020203"/>
    <w:charset w:val="00"/>
    <w:family w:val="auto"/>
    <w:pitch w:val="default"/>
    <w:sig w:usb0="E4002EFF" w:usb1="C000E47F" w:usb2="00000009" w:usb3="00000000" w:csb0="200001FF" w:csb1="00000000"/>
  </w:font>
  <w:font w:name="AmdtSymbols">
    <w:panose1 w:val="02000500000000020004"/>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5" w:name="_Toc36110187"/>
    <w:bookmarkStart w:id="406" w:name="_Toc131845147"/>
    <w:bookmarkStart w:id="407" w:name="_Toc91899912"/>
    <w:bookmarkStart w:id="408" w:name="_Toc164085800"/>
    <w:r>
      <w:rPr>
        <w:rFonts w:hint="eastAsia" w:ascii="仿宋_GB2312" w:eastAsia="仿宋_GB2312"/>
        <w:kern w:val="0"/>
        <w:szCs w:val="21"/>
      </w:rPr>
      <w:t xml:space="preserve"> 页</w:t>
    </w:r>
    <w:bookmarkEnd w:id="405"/>
    <w:bookmarkEnd w:id="406"/>
    <w:bookmarkEnd w:id="407"/>
    <w:bookmarkEnd w:id="40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政府采购公开招标文件</w:t>
    </w:r>
  </w:p>
  <w:p>
    <w:pPr>
      <w:pStyle w:val="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rPr>
        <w:rFonts w:ascii="仿宋_GB2312" w:eastAsia="仿宋_GB2312"/>
        <w:b/>
        <w:i/>
        <w:u w:val="single"/>
      </w:rPr>
    </w:pPr>
    <w:r>
      <w:t></w:t>
    </w:r>
    <w:r>
      <w:rPr>
        <w:rFonts w:hint="eastAsia"/>
      </w:rPr>
      <w:t xml:space="preserve">                                </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Bdr>
        <w:bottom w:val="single" w:color="auto" w:sz="6" w:space="4"/>
      </w:pBdr>
      <w:jc w:val="right"/>
    </w:pPr>
    <w:r>
      <w:rPr>
        <w:rFonts w:hint="eastAsia"/>
      </w:rPr>
      <w:t xml:space="preserve">                                                                  </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rPr>
        <w:rFonts w:ascii="仿宋_GB2312" w:eastAsia="仿宋_GB2312"/>
        <w:b/>
        <w:i/>
        <w:u w:val="single"/>
      </w:rPr>
    </w:pPr>
    <w:r>
      <w:t></w:t>
    </w:r>
    <w:r>
      <w:rPr>
        <w:rFonts w:hint="eastAsia"/>
      </w:rPr>
      <w:t xml:space="preserve">                                                </w:t>
    </w:r>
    <w:r>
      <w:t xml:space="preserve"> 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rPr>
        <w:rFonts w:hint="eastAsia"/>
      </w:rPr>
      <w:t xml:space="preserve">                                  </w:t>
    </w:r>
    <w:r>
      <w:t>政府采购公开招标文件</w:t>
    </w:r>
  </w:p>
  <w:p>
    <w:pPr>
      <w:pStyle w:val="43"/>
      <w:jc w:val="right"/>
      <w:rPr>
        <w:rFonts w:ascii="仿宋_GB2312" w:eastAsia="仿宋_GB2312"/>
        <w:b/>
        <w:i/>
        <w:u w:val="single"/>
      </w:rPr>
    </w:pP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rPr>
        <w:rFonts w:hint="eastAsia"/>
      </w:rPr>
      <w:t xml:space="preserve">                                                                                                        </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249FA"/>
    <w:multiLevelType w:val="singleLevel"/>
    <w:tmpl w:val="8EF249FA"/>
    <w:lvl w:ilvl="0" w:tentative="0">
      <w:start w:val="4"/>
      <w:numFmt w:val="decimal"/>
      <w:lvlText w:val="%1."/>
      <w:lvlJc w:val="left"/>
      <w:pPr>
        <w:tabs>
          <w:tab w:val="left" w:pos="312"/>
        </w:tabs>
      </w:pPr>
    </w:lvl>
  </w:abstractNum>
  <w:abstractNum w:abstractNumId="1">
    <w:nsid w:val="978B77B9"/>
    <w:multiLevelType w:val="singleLevel"/>
    <w:tmpl w:val="978B77B9"/>
    <w:lvl w:ilvl="0" w:tentative="0">
      <w:start w:val="1"/>
      <w:numFmt w:val="chineseCounting"/>
      <w:suff w:val="nothing"/>
      <w:lvlText w:val="%1、"/>
      <w:lvlJc w:val="left"/>
      <w:rPr>
        <w:rFonts w:hint="eastAsia"/>
        <w:b/>
        <w:bCs/>
      </w:rPr>
    </w:lvl>
  </w:abstractNum>
  <w:abstractNum w:abstractNumId="2">
    <w:nsid w:val="B148B328"/>
    <w:multiLevelType w:val="singleLevel"/>
    <w:tmpl w:val="B148B328"/>
    <w:lvl w:ilvl="0" w:tentative="0">
      <w:start w:val="1"/>
      <w:numFmt w:val="decimal"/>
      <w:suff w:val="nothing"/>
      <w:lvlText w:val="（%1）"/>
      <w:lvlJc w:val="left"/>
      <w:rPr>
        <w:rFonts w:hint="default" w:ascii="宋体" w:hAnsi="宋体" w:eastAsia="宋体" w:cs="宋体"/>
      </w:rPr>
    </w:lvl>
  </w:abstractNum>
  <w:abstractNum w:abstractNumId="3">
    <w:nsid w:val="C4DFA6C6"/>
    <w:multiLevelType w:val="singleLevel"/>
    <w:tmpl w:val="C4DFA6C6"/>
    <w:lvl w:ilvl="0" w:tentative="0">
      <w:start w:val="1"/>
      <w:numFmt w:val="decimal"/>
      <w:suff w:val="nothing"/>
      <w:lvlText w:val="（%1）"/>
      <w:lvlJc w:val="left"/>
    </w:lvl>
  </w:abstractNum>
  <w:abstractNum w:abstractNumId="4">
    <w:nsid w:val="ED9B562D"/>
    <w:multiLevelType w:val="singleLevel"/>
    <w:tmpl w:val="ED9B562D"/>
    <w:lvl w:ilvl="0" w:tentative="0">
      <w:start w:val="1"/>
      <w:numFmt w:val="chineseCounting"/>
      <w:suff w:val="space"/>
      <w:lvlText w:val="%1、"/>
      <w:lvlJc w:val="left"/>
      <w:pPr>
        <w:ind w:left="1002" w:firstLine="0"/>
      </w:pPr>
      <w:rPr>
        <w:rFonts w:hint="eastAsia"/>
      </w:rPr>
    </w:lvl>
  </w:abstractNum>
  <w:abstractNum w:abstractNumId="5">
    <w:nsid w:val="1D106992"/>
    <w:multiLevelType w:val="singleLevel"/>
    <w:tmpl w:val="1D106992"/>
    <w:lvl w:ilvl="0" w:tentative="0">
      <w:start w:val="3"/>
      <w:numFmt w:val="chineseCounting"/>
      <w:suff w:val="space"/>
      <w:lvlText w:val="第%1部分"/>
      <w:lvlJc w:val="left"/>
      <w:rPr>
        <w:rFonts w:hint="eastAsia"/>
      </w:rPr>
    </w:lvl>
  </w:abstractNum>
  <w:abstractNum w:abstractNumId="6">
    <w:nsid w:val="225F822A"/>
    <w:multiLevelType w:val="singleLevel"/>
    <w:tmpl w:val="225F822A"/>
    <w:lvl w:ilvl="0" w:tentative="0">
      <w:start w:val="9"/>
      <w:numFmt w:val="chineseCounting"/>
      <w:suff w:val="nothing"/>
      <w:lvlText w:val="%1、"/>
      <w:lvlJc w:val="left"/>
      <w:rPr>
        <w:rFonts w:hint="eastAsia"/>
      </w:rPr>
    </w:lvl>
  </w:abstractNum>
  <w:abstractNum w:abstractNumId="7">
    <w:nsid w:val="44B337D5"/>
    <w:multiLevelType w:val="multilevel"/>
    <w:tmpl w:val="44B337D5"/>
    <w:lvl w:ilvl="0" w:tentative="0">
      <w:start w:val="1"/>
      <w:numFmt w:val="decimal"/>
      <w:pStyle w:val="968"/>
      <w:lvlText w:val="%1."/>
      <w:lvlJc w:val="left"/>
      <w:pPr>
        <w:tabs>
          <w:tab w:val="left" w:pos="720"/>
        </w:tabs>
        <w:ind w:left="720" w:hanging="720"/>
      </w:pPr>
    </w:lvl>
    <w:lvl w:ilvl="1" w:tentative="0">
      <w:start w:val="1"/>
      <w:numFmt w:val="decimal"/>
      <w:pStyle w:val="967"/>
      <w:lvlText w:val="%2."/>
      <w:lvlJc w:val="left"/>
      <w:pPr>
        <w:tabs>
          <w:tab w:val="left" w:pos="1440"/>
        </w:tabs>
        <w:ind w:left="1440" w:hanging="720"/>
      </w:pPr>
    </w:lvl>
    <w:lvl w:ilvl="2" w:tentative="0">
      <w:start w:val="1"/>
      <w:numFmt w:val="decimal"/>
      <w:pStyle w:val="969"/>
      <w:lvlText w:val="%3."/>
      <w:lvlJc w:val="left"/>
      <w:pPr>
        <w:tabs>
          <w:tab w:val="left" w:pos="2160"/>
        </w:tabs>
        <w:ind w:left="2160" w:hanging="720"/>
      </w:pPr>
    </w:lvl>
    <w:lvl w:ilvl="3" w:tentative="0">
      <w:start w:val="1"/>
      <w:numFmt w:val="decimal"/>
      <w:pStyle w:val="970"/>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8">
    <w:nsid w:val="72B99012"/>
    <w:multiLevelType w:val="singleLevel"/>
    <w:tmpl w:val="72B99012"/>
    <w:lvl w:ilvl="0" w:tentative="0">
      <w:start w:val="1"/>
      <w:numFmt w:val="decimal"/>
      <w:lvlText w:val="%1."/>
      <w:lvlJc w:val="left"/>
      <w:pPr>
        <w:tabs>
          <w:tab w:val="left" w:pos="312"/>
        </w:tabs>
      </w:pPr>
    </w:lvl>
  </w:abstractNum>
  <w:num w:numId="1">
    <w:abstractNumId w:val="7"/>
  </w:num>
  <w:num w:numId="2">
    <w:abstractNumId w:val="0"/>
  </w:num>
  <w:num w:numId="3">
    <w:abstractNumId w:val="2"/>
  </w:num>
  <w:num w:numId="4">
    <w:abstractNumId w:val="5"/>
  </w:num>
  <w:num w:numId="5">
    <w:abstractNumId w:val="1"/>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xN2IxZDMzMDBhMmUxNDA1ZWRlM2E0ODRhMmM2YT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7A"/>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306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EF6"/>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23C"/>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5A"/>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5B35"/>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501"/>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07852"/>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1F7"/>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3C17"/>
    <w:rsid w:val="00324038"/>
    <w:rsid w:val="00324951"/>
    <w:rsid w:val="003249F6"/>
    <w:rsid w:val="00324B2F"/>
    <w:rsid w:val="00325FCC"/>
    <w:rsid w:val="00326106"/>
    <w:rsid w:val="00326805"/>
    <w:rsid w:val="003269B7"/>
    <w:rsid w:val="00326C0E"/>
    <w:rsid w:val="003272A3"/>
    <w:rsid w:val="003272E4"/>
    <w:rsid w:val="00327B71"/>
    <w:rsid w:val="003308B2"/>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19E8"/>
    <w:rsid w:val="00363894"/>
    <w:rsid w:val="00363B2A"/>
    <w:rsid w:val="00363BF1"/>
    <w:rsid w:val="00366207"/>
    <w:rsid w:val="00366235"/>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068"/>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283"/>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1A5"/>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54D2"/>
    <w:rsid w:val="004E6746"/>
    <w:rsid w:val="004E6CAC"/>
    <w:rsid w:val="004E6F69"/>
    <w:rsid w:val="004E75C1"/>
    <w:rsid w:val="004E777F"/>
    <w:rsid w:val="004F07F2"/>
    <w:rsid w:val="004F07F9"/>
    <w:rsid w:val="004F0A50"/>
    <w:rsid w:val="004F0D1F"/>
    <w:rsid w:val="004F0E82"/>
    <w:rsid w:val="004F1523"/>
    <w:rsid w:val="004F1847"/>
    <w:rsid w:val="004F1C93"/>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6E2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8EA"/>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1709"/>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203"/>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15A"/>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078"/>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C56"/>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0B8"/>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59CB"/>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246"/>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2E7"/>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803"/>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926"/>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18B"/>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4B0"/>
    <w:rsid w:val="00996EF4"/>
    <w:rsid w:val="00997044"/>
    <w:rsid w:val="00997BC9"/>
    <w:rsid w:val="009A113D"/>
    <w:rsid w:val="009A1ECA"/>
    <w:rsid w:val="009A2BE9"/>
    <w:rsid w:val="009A2BF3"/>
    <w:rsid w:val="009A30A5"/>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147"/>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4EB4"/>
    <w:rsid w:val="00AB51BC"/>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98F"/>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1B"/>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27EB"/>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3FF"/>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616"/>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38E0"/>
    <w:rsid w:val="00CC42F7"/>
    <w:rsid w:val="00CC4701"/>
    <w:rsid w:val="00CC56B4"/>
    <w:rsid w:val="00CC5F95"/>
    <w:rsid w:val="00CC642A"/>
    <w:rsid w:val="00CC6AC7"/>
    <w:rsid w:val="00CC733D"/>
    <w:rsid w:val="00CC7617"/>
    <w:rsid w:val="00CC7E0D"/>
    <w:rsid w:val="00CC7E97"/>
    <w:rsid w:val="00CD00EB"/>
    <w:rsid w:val="00CD1255"/>
    <w:rsid w:val="00CD1484"/>
    <w:rsid w:val="00CD1788"/>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784"/>
    <w:rsid w:val="00D35ACF"/>
    <w:rsid w:val="00D35F2F"/>
    <w:rsid w:val="00D35FC6"/>
    <w:rsid w:val="00D36BB8"/>
    <w:rsid w:val="00D377D4"/>
    <w:rsid w:val="00D401A1"/>
    <w:rsid w:val="00D40217"/>
    <w:rsid w:val="00D40385"/>
    <w:rsid w:val="00D404CE"/>
    <w:rsid w:val="00D40E8F"/>
    <w:rsid w:val="00D412BF"/>
    <w:rsid w:val="00D417C6"/>
    <w:rsid w:val="00D417D0"/>
    <w:rsid w:val="00D4211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859"/>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1EF5"/>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C84"/>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8B5"/>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284A"/>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814"/>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257D"/>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72D"/>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351A8"/>
    <w:rsid w:val="010651D9"/>
    <w:rsid w:val="01070DD5"/>
    <w:rsid w:val="0112704F"/>
    <w:rsid w:val="01172A03"/>
    <w:rsid w:val="011F6449"/>
    <w:rsid w:val="01236AFB"/>
    <w:rsid w:val="012A6BDB"/>
    <w:rsid w:val="01381441"/>
    <w:rsid w:val="01395070"/>
    <w:rsid w:val="015E6237"/>
    <w:rsid w:val="016320EC"/>
    <w:rsid w:val="017460A8"/>
    <w:rsid w:val="017D4F5C"/>
    <w:rsid w:val="019A7BDE"/>
    <w:rsid w:val="019F7441"/>
    <w:rsid w:val="01AB7649"/>
    <w:rsid w:val="01AE3368"/>
    <w:rsid w:val="01B37585"/>
    <w:rsid w:val="01C04E49"/>
    <w:rsid w:val="01C0753F"/>
    <w:rsid w:val="01C901A1"/>
    <w:rsid w:val="01D55165"/>
    <w:rsid w:val="01DF6BF8"/>
    <w:rsid w:val="01E52B01"/>
    <w:rsid w:val="01EC2C57"/>
    <w:rsid w:val="01F114A6"/>
    <w:rsid w:val="0236335D"/>
    <w:rsid w:val="023F2212"/>
    <w:rsid w:val="0250441F"/>
    <w:rsid w:val="02541D7F"/>
    <w:rsid w:val="025739FF"/>
    <w:rsid w:val="025F0711"/>
    <w:rsid w:val="026779F0"/>
    <w:rsid w:val="026B2E25"/>
    <w:rsid w:val="026E2AF7"/>
    <w:rsid w:val="02704AC1"/>
    <w:rsid w:val="0270686F"/>
    <w:rsid w:val="02781BC8"/>
    <w:rsid w:val="027A149C"/>
    <w:rsid w:val="02824D4D"/>
    <w:rsid w:val="028269B9"/>
    <w:rsid w:val="029307AF"/>
    <w:rsid w:val="029D33DC"/>
    <w:rsid w:val="02CD3CC1"/>
    <w:rsid w:val="02D45050"/>
    <w:rsid w:val="02DC4B10"/>
    <w:rsid w:val="02DD76CE"/>
    <w:rsid w:val="02EE59E6"/>
    <w:rsid w:val="02F36323"/>
    <w:rsid w:val="02F5619C"/>
    <w:rsid w:val="03174F3D"/>
    <w:rsid w:val="0326446A"/>
    <w:rsid w:val="032D5555"/>
    <w:rsid w:val="036634D2"/>
    <w:rsid w:val="0397607D"/>
    <w:rsid w:val="039C5069"/>
    <w:rsid w:val="03C30C20"/>
    <w:rsid w:val="03CA3892"/>
    <w:rsid w:val="03CE5F43"/>
    <w:rsid w:val="03DD35E4"/>
    <w:rsid w:val="03DE48DD"/>
    <w:rsid w:val="03E14DCB"/>
    <w:rsid w:val="03E868D9"/>
    <w:rsid w:val="03EA43FF"/>
    <w:rsid w:val="03F31506"/>
    <w:rsid w:val="04001E75"/>
    <w:rsid w:val="04076900"/>
    <w:rsid w:val="040D00EE"/>
    <w:rsid w:val="041A2F36"/>
    <w:rsid w:val="041A5A3B"/>
    <w:rsid w:val="042311BA"/>
    <w:rsid w:val="04252B69"/>
    <w:rsid w:val="042B157A"/>
    <w:rsid w:val="042C2C6A"/>
    <w:rsid w:val="04411575"/>
    <w:rsid w:val="04461F7D"/>
    <w:rsid w:val="044C330C"/>
    <w:rsid w:val="045301F6"/>
    <w:rsid w:val="04545D1C"/>
    <w:rsid w:val="04565681"/>
    <w:rsid w:val="046008BA"/>
    <w:rsid w:val="046B5540"/>
    <w:rsid w:val="047A39D5"/>
    <w:rsid w:val="048C7B49"/>
    <w:rsid w:val="048F763B"/>
    <w:rsid w:val="04973EF0"/>
    <w:rsid w:val="049B394B"/>
    <w:rsid w:val="049F330E"/>
    <w:rsid w:val="04A720AF"/>
    <w:rsid w:val="04AA775C"/>
    <w:rsid w:val="04AF1889"/>
    <w:rsid w:val="04B2316F"/>
    <w:rsid w:val="04BA31BA"/>
    <w:rsid w:val="04BD1688"/>
    <w:rsid w:val="04BD623C"/>
    <w:rsid w:val="04D170E8"/>
    <w:rsid w:val="04D56E5D"/>
    <w:rsid w:val="04E15802"/>
    <w:rsid w:val="04E30440"/>
    <w:rsid w:val="04F66F48"/>
    <w:rsid w:val="051C4A8C"/>
    <w:rsid w:val="05251E14"/>
    <w:rsid w:val="053242B0"/>
    <w:rsid w:val="05446D9B"/>
    <w:rsid w:val="055D26FA"/>
    <w:rsid w:val="05633337"/>
    <w:rsid w:val="058F1702"/>
    <w:rsid w:val="05924D4E"/>
    <w:rsid w:val="05A16594"/>
    <w:rsid w:val="05A7762D"/>
    <w:rsid w:val="05AD2C8E"/>
    <w:rsid w:val="05B9052D"/>
    <w:rsid w:val="05C512C2"/>
    <w:rsid w:val="060E5941"/>
    <w:rsid w:val="06110369"/>
    <w:rsid w:val="06110FAF"/>
    <w:rsid w:val="061D0ABC"/>
    <w:rsid w:val="061D6D0E"/>
    <w:rsid w:val="06314567"/>
    <w:rsid w:val="06335527"/>
    <w:rsid w:val="063A49D2"/>
    <w:rsid w:val="063D2F0C"/>
    <w:rsid w:val="06493CA7"/>
    <w:rsid w:val="065A1D10"/>
    <w:rsid w:val="065A6178"/>
    <w:rsid w:val="066F1CF3"/>
    <w:rsid w:val="06913E5F"/>
    <w:rsid w:val="06930BB8"/>
    <w:rsid w:val="069D7E4F"/>
    <w:rsid w:val="06A116ED"/>
    <w:rsid w:val="06A15826"/>
    <w:rsid w:val="06A41904"/>
    <w:rsid w:val="06BF1B73"/>
    <w:rsid w:val="06C90C44"/>
    <w:rsid w:val="06D03294"/>
    <w:rsid w:val="06D73361"/>
    <w:rsid w:val="06D870D9"/>
    <w:rsid w:val="06F757B1"/>
    <w:rsid w:val="07245D42"/>
    <w:rsid w:val="07264C62"/>
    <w:rsid w:val="073562D9"/>
    <w:rsid w:val="07414C7E"/>
    <w:rsid w:val="07554285"/>
    <w:rsid w:val="0777244E"/>
    <w:rsid w:val="0779354C"/>
    <w:rsid w:val="07837045"/>
    <w:rsid w:val="07862691"/>
    <w:rsid w:val="079923C4"/>
    <w:rsid w:val="07B436A2"/>
    <w:rsid w:val="07C37441"/>
    <w:rsid w:val="07F7533D"/>
    <w:rsid w:val="08061376"/>
    <w:rsid w:val="081223C4"/>
    <w:rsid w:val="08161C67"/>
    <w:rsid w:val="081952B3"/>
    <w:rsid w:val="08273E74"/>
    <w:rsid w:val="08452D77"/>
    <w:rsid w:val="084F6F27"/>
    <w:rsid w:val="085E716A"/>
    <w:rsid w:val="086401F8"/>
    <w:rsid w:val="086652D4"/>
    <w:rsid w:val="08674270"/>
    <w:rsid w:val="08751CAA"/>
    <w:rsid w:val="087846CF"/>
    <w:rsid w:val="087E4C40"/>
    <w:rsid w:val="08915791"/>
    <w:rsid w:val="089A029D"/>
    <w:rsid w:val="08A2174C"/>
    <w:rsid w:val="08A871D0"/>
    <w:rsid w:val="08AA23AF"/>
    <w:rsid w:val="08D062B9"/>
    <w:rsid w:val="08D66AD6"/>
    <w:rsid w:val="08DA33A3"/>
    <w:rsid w:val="08E80F13"/>
    <w:rsid w:val="08F71A98"/>
    <w:rsid w:val="090372F6"/>
    <w:rsid w:val="09335624"/>
    <w:rsid w:val="093D1475"/>
    <w:rsid w:val="093F0D49"/>
    <w:rsid w:val="0944690F"/>
    <w:rsid w:val="094620D8"/>
    <w:rsid w:val="094840A2"/>
    <w:rsid w:val="09535675"/>
    <w:rsid w:val="0958005D"/>
    <w:rsid w:val="095F057D"/>
    <w:rsid w:val="09630EDC"/>
    <w:rsid w:val="09642282"/>
    <w:rsid w:val="097035F9"/>
    <w:rsid w:val="097053A7"/>
    <w:rsid w:val="09717ADB"/>
    <w:rsid w:val="09722ECD"/>
    <w:rsid w:val="09733572"/>
    <w:rsid w:val="09734E97"/>
    <w:rsid w:val="09772C16"/>
    <w:rsid w:val="097924AD"/>
    <w:rsid w:val="097F3026"/>
    <w:rsid w:val="098353B5"/>
    <w:rsid w:val="098B21E0"/>
    <w:rsid w:val="09A6526C"/>
    <w:rsid w:val="09A92330"/>
    <w:rsid w:val="09AA6B0A"/>
    <w:rsid w:val="09AF2373"/>
    <w:rsid w:val="09B06B87"/>
    <w:rsid w:val="09C0632E"/>
    <w:rsid w:val="09C13146"/>
    <w:rsid w:val="09C474A0"/>
    <w:rsid w:val="09CA581A"/>
    <w:rsid w:val="09CB082F"/>
    <w:rsid w:val="09D27E0F"/>
    <w:rsid w:val="09DD554D"/>
    <w:rsid w:val="09E04166"/>
    <w:rsid w:val="09FA619C"/>
    <w:rsid w:val="0A014251"/>
    <w:rsid w:val="0A182110"/>
    <w:rsid w:val="0A1C0718"/>
    <w:rsid w:val="0A3D797F"/>
    <w:rsid w:val="0A3E36F7"/>
    <w:rsid w:val="0A3E7710"/>
    <w:rsid w:val="0A4F320E"/>
    <w:rsid w:val="0A56459C"/>
    <w:rsid w:val="0A595E3B"/>
    <w:rsid w:val="0A5B7E63"/>
    <w:rsid w:val="0A5F06A4"/>
    <w:rsid w:val="0A7E2238"/>
    <w:rsid w:val="0A92134D"/>
    <w:rsid w:val="0AA374A5"/>
    <w:rsid w:val="0AAB7649"/>
    <w:rsid w:val="0ABC5606"/>
    <w:rsid w:val="0AF0679F"/>
    <w:rsid w:val="0AF85654"/>
    <w:rsid w:val="0AFB5144"/>
    <w:rsid w:val="0B064214"/>
    <w:rsid w:val="0B183F48"/>
    <w:rsid w:val="0B30404E"/>
    <w:rsid w:val="0B325009"/>
    <w:rsid w:val="0B330D82"/>
    <w:rsid w:val="0B3D43AA"/>
    <w:rsid w:val="0B495EAF"/>
    <w:rsid w:val="0B4C6C14"/>
    <w:rsid w:val="0B547599"/>
    <w:rsid w:val="0B631A88"/>
    <w:rsid w:val="0B642CE9"/>
    <w:rsid w:val="0B683D45"/>
    <w:rsid w:val="0B776EC0"/>
    <w:rsid w:val="0B7F3F11"/>
    <w:rsid w:val="0B884417"/>
    <w:rsid w:val="0B884C29"/>
    <w:rsid w:val="0B9C2483"/>
    <w:rsid w:val="0BBA6DAD"/>
    <w:rsid w:val="0BD0037E"/>
    <w:rsid w:val="0BD73718"/>
    <w:rsid w:val="0BE8391A"/>
    <w:rsid w:val="0BF6188C"/>
    <w:rsid w:val="0BF73C91"/>
    <w:rsid w:val="0C0544CC"/>
    <w:rsid w:val="0C085D6A"/>
    <w:rsid w:val="0C0D15D3"/>
    <w:rsid w:val="0C0D512F"/>
    <w:rsid w:val="0C1464BD"/>
    <w:rsid w:val="0C170175"/>
    <w:rsid w:val="0C234952"/>
    <w:rsid w:val="0C2D3A23"/>
    <w:rsid w:val="0C322DE7"/>
    <w:rsid w:val="0C4B3DBD"/>
    <w:rsid w:val="0C571A41"/>
    <w:rsid w:val="0C580AA0"/>
    <w:rsid w:val="0C5A4BC9"/>
    <w:rsid w:val="0C5C1171"/>
    <w:rsid w:val="0C5E1CBC"/>
    <w:rsid w:val="0C615B50"/>
    <w:rsid w:val="0C686809"/>
    <w:rsid w:val="0C6B47CB"/>
    <w:rsid w:val="0C790A16"/>
    <w:rsid w:val="0C8106BD"/>
    <w:rsid w:val="0C8445DA"/>
    <w:rsid w:val="0C87121B"/>
    <w:rsid w:val="0C913FB2"/>
    <w:rsid w:val="0CAA6E21"/>
    <w:rsid w:val="0CC007F7"/>
    <w:rsid w:val="0CC617AC"/>
    <w:rsid w:val="0CCA3978"/>
    <w:rsid w:val="0CD30126"/>
    <w:rsid w:val="0CDB522D"/>
    <w:rsid w:val="0CE618DF"/>
    <w:rsid w:val="0CEC568C"/>
    <w:rsid w:val="0CFE707A"/>
    <w:rsid w:val="0D063BDA"/>
    <w:rsid w:val="0D067E3A"/>
    <w:rsid w:val="0D08075C"/>
    <w:rsid w:val="0D08375F"/>
    <w:rsid w:val="0D1644B7"/>
    <w:rsid w:val="0D166265"/>
    <w:rsid w:val="0D184CFB"/>
    <w:rsid w:val="0D1B387B"/>
    <w:rsid w:val="0D200E92"/>
    <w:rsid w:val="0D240982"/>
    <w:rsid w:val="0D3B3F1D"/>
    <w:rsid w:val="0D4252AC"/>
    <w:rsid w:val="0D4A7419"/>
    <w:rsid w:val="0D5B011C"/>
    <w:rsid w:val="0D827401"/>
    <w:rsid w:val="0D84094E"/>
    <w:rsid w:val="0D8A00E9"/>
    <w:rsid w:val="0D8D589E"/>
    <w:rsid w:val="0D9E6986"/>
    <w:rsid w:val="0DA01C73"/>
    <w:rsid w:val="0DAE2941"/>
    <w:rsid w:val="0DD26630"/>
    <w:rsid w:val="0DD63300"/>
    <w:rsid w:val="0DDC4768"/>
    <w:rsid w:val="0DEC72CC"/>
    <w:rsid w:val="0DF02A51"/>
    <w:rsid w:val="0DF465A6"/>
    <w:rsid w:val="0DF50604"/>
    <w:rsid w:val="0DF702FE"/>
    <w:rsid w:val="0E01081E"/>
    <w:rsid w:val="0E034E3C"/>
    <w:rsid w:val="0E060E51"/>
    <w:rsid w:val="0E124C7E"/>
    <w:rsid w:val="0E1327A4"/>
    <w:rsid w:val="0E286250"/>
    <w:rsid w:val="0E2F75DE"/>
    <w:rsid w:val="0E323572"/>
    <w:rsid w:val="0E415563"/>
    <w:rsid w:val="0E4536AF"/>
    <w:rsid w:val="0E5604B2"/>
    <w:rsid w:val="0E576B35"/>
    <w:rsid w:val="0E65660A"/>
    <w:rsid w:val="0E6D5D79"/>
    <w:rsid w:val="0E9B4C74"/>
    <w:rsid w:val="0E9D0089"/>
    <w:rsid w:val="0EA0672E"/>
    <w:rsid w:val="0EB126E9"/>
    <w:rsid w:val="0EB803EE"/>
    <w:rsid w:val="0EB9159E"/>
    <w:rsid w:val="0EB9334C"/>
    <w:rsid w:val="0EE7435D"/>
    <w:rsid w:val="0EF94D4B"/>
    <w:rsid w:val="0EF97BEC"/>
    <w:rsid w:val="0EFB3964"/>
    <w:rsid w:val="0F046CBD"/>
    <w:rsid w:val="0F0A4535"/>
    <w:rsid w:val="0F1862C4"/>
    <w:rsid w:val="0F362BEE"/>
    <w:rsid w:val="0F380715"/>
    <w:rsid w:val="0F3E38A9"/>
    <w:rsid w:val="0F4958DC"/>
    <w:rsid w:val="0F515C7A"/>
    <w:rsid w:val="0F515DF7"/>
    <w:rsid w:val="0F596BA8"/>
    <w:rsid w:val="0F6248D2"/>
    <w:rsid w:val="0F661726"/>
    <w:rsid w:val="0F693536"/>
    <w:rsid w:val="0F704352"/>
    <w:rsid w:val="0F753717"/>
    <w:rsid w:val="0F7B0511"/>
    <w:rsid w:val="0F7B4AA5"/>
    <w:rsid w:val="0F7B76D9"/>
    <w:rsid w:val="0F816ACD"/>
    <w:rsid w:val="0F955B67"/>
    <w:rsid w:val="0F9832DB"/>
    <w:rsid w:val="0FA558DB"/>
    <w:rsid w:val="0FB00BF3"/>
    <w:rsid w:val="0FB51D65"/>
    <w:rsid w:val="0FBA7051"/>
    <w:rsid w:val="0FBC30F4"/>
    <w:rsid w:val="0FBF3FD2"/>
    <w:rsid w:val="0FBF7FF3"/>
    <w:rsid w:val="0FD04DF1"/>
    <w:rsid w:val="0FEE5277"/>
    <w:rsid w:val="0FF54858"/>
    <w:rsid w:val="0FF860F6"/>
    <w:rsid w:val="0FFE370C"/>
    <w:rsid w:val="10142F30"/>
    <w:rsid w:val="102348E6"/>
    <w:rsid w:val="10280789"/>
    <w:rsid w:val="10352EA6"/>
    <w:rsid w:val="103E7FAD"/>
    <w:rsid w:val="105E064F"/>
    <w:rsid w:val="10637A13"/>
    <w:rsid w:val="10646583"/>
    <w:rsid w:val="107D4B15"/>
    <w:rsid w:val="108A3C80"/>
    <w:rsid w:val="108F25B6"/>
    <w:rsid w:val="10A42993"/>
    <w:rsid w:val="10BE2E9B"/>
    <w:rsid w:val="10C26171"/>
    <w:rsid w:val="10CF6E57"/>
    <w:rsid w:val="10E16B8A"/>
    <w:rsid w:val="10F16DCD"/>
    <w:rsid w:val="10F33360"/>
    <w:rsid w:val="10F44B0F"/>
    <w:rsid w:val="10FC16EA"/>
    <w:rsid w:val="11005262"/>
    <w:rsid w:val="11034D52"/>
    <w:rsid w:val="110F1D40"/>
    <w:rsid w:val="11183FD2"/>
    <w:rsid w:val="11261251"/>
    <w:rsid w:val="11266F33"/>
    <w:rsid w:val="112C793F"/>
    <w:rsid w:val="112E6273"/>
    <w:rsid w:val="11390774"/>
    <w:rsid w:val="114C4938"/>
    <w:rsid w:val="11627CCB"/>
    <w:rsid w:val="11763776"/>
    <w:rsid w:val="11800151"/>
    <w:rsid w:val="118539B9"/>
    <w:rsid w:val="118963A1"/>
    <w:rsid w:val="11991213"/>
    <w:rsid w:val="119D1391"/>
    <w:rsid w:val="11A6091B"/>
    <w:rsid w:val="11AC0F46"/>
    <w:rsid w:val="11B86BCD"/>
    <w:rsid w:val="11BC387F"/>
    <w:rsid w:val="11BD3153"/>
    <w:rsid w:val="11C049F1"/>
    <w:rsid w:val="11C6522A"/>
    <w:rsid w:val="11CE5360"/>
    <w:rsid w:val="11D631EF"/>
    <w:rsid w:val="11DF30C9"/>
    <w:rsid w:val="11E104CC"/>
    <w:rsid w:val="11E20309"/>
    <w:rsid w:val="11F823DD"/>
    <w:rsid w:val="11FA6155"/>
    <w:rsid w:val="11FC3C7B"/>
    <w:rsid w:val="120945EA"/>
    <w:rsid w:val="12105979"/>
    <w:rsid w:val="12107727"/>
    <w:rsid w:val="12255233"/>
    <w:rsid w:val="122B630F"/>
    <w:rsid w:val="12323B41"/>
    <w:rsid w:val="124E024F"/>
    <w:rsid w:val="12530213"/>
    <w:rsid w:val="1255782F"/>
    <w:rsid w:val="126262F4"/>
    <w:rsid w:val="126E269F"/>
    <w:rsid w:val="127723A9"/>
    <w:rsid w:val="12850115"/>
    <w:rsid w:val="12862074"/>
    <w:rsid w:val="12883966"/>
    <w:rsid w:val="12906AB9"/>
    <w:rsid w:val="129B7938"/>
    <w:rsid w:val="129E45B4"/>
    <w:rsid w:val="12A21813"/>
    <w:rsid w:val="12D270D2"/>
    <w:rsid w:val="12D6271E"/>
    <w:rsid w:val="12D81596"/>
    <w:rsid w:val="13072A44"/>
    <w:rsid w:val="132D2863"/>
    <w:rsid w:val="132E255A"/>
    <w:rsid w:val="13391AF9"/>
    <w:rsid w:val="134753CA"/>
    <w:rsid w:val="13545D39"/>
    <w:rsid w:val="135F4BE2"/>
    <w:rsid w:val="13904FC3"/>
    <w:rsid w:val="1393060F"/>
    <w:rsid w:val="139B1A0A"/>
    <w:rsid w:val="139D25C7"/>
    <w:rsid w:val="13A83C44"/>
    <w:rsid w:val="13AC16D1"/>
    <w:rsid w:val="13B62550"/>
    <w:rsid w:val="13B642FE"/>
    <w:rsid w:val="13BF3CE4"/>
    <w:rsid w:val="13C54541"/>
    <w:rsid w:val="13CC1BBB"/>
    <w:rsid w:val="13EC7D20"/>
    <w:rsid w:val="141008D8"/>
    <w:rsid w:val="14117786"/>
    <w:rsid w:val="14125FE6"/>
    <w:rsid w:val="142B4CEC"/>
    <w:rsid w:val="1433594E"/>
    <w:rsid w:val="14380C8E"/>
    <w:rsid w:val="143C379A"/>
    <w:rsid w:val="143C4803"/>
    <w:rsid w:val="143E51C5"/>
    <w:rsid w:val="14496F20"/>
    <w:rsid w:val="14593607"/>
    <w:rsid w:val="14667AD2"/>
    <w:rsid w:val="146D271E"/>
    <w:rsid w:val="14830684"/>
    <w:rsid w:val="148D32B1"/>
    <w:rsid w:val="14982588"/>
    <w:rsid w:val="149A5AD9"/>
    <w:rsid w:val="14A7619D"/>
    <w:rsid w:val="14D0319D"/>
    <w:rsid w:val="14E37374"/>
    <w:rsid w:val="14ED01F3"/>
    <w:rsid w:val="14F055ED"/>
    <w:rsid w:val="14F11A91"/>
    <w:rsid w:val="14FC0436"/>
    <w:rsid w:val="150536C3"/>
    <w:rsid w:val="150C1963"/>
    <w:rsid w:val="151447A0"/>
    <w:rsid w:val="15230F76"/>
    <w:rsid w:val="152754B3"/>
    <w:rsid w:val="152F25BA"/>
    <w:rsid w:val="1538289F"/>
    <w:rsid w:val="153D7C36"/>
    <w:rsid w:val="154A6454"/>
    <w:rsid w:val="15622DB7"/>
    <w:rsid w:val="156C55BC"/>
    <w:rsid w:val="15762120"/>
    <w:rsid w:val="15A85EC8"/>
    <w:rsid w:val="15B21098"/>
    <w:rsid w:val="15B64A89"/>
    <w:rsid w:val="15E038B4"/>
    <w:rsid w:val="160238AB"/>
    <w:rsid w:val="16175528"/>
    <w:rsid w:val="16270FFB"/>
    <w:rsid w:val="162E2871"/>
    <w:rsid w:val="163B0AEA"/>
    <w:rsid w:val="16702E8A"/>
    <w:rsid w:val="16816861"/>
    <w:rsid w:val="16866209"/>
    <w:rsid w:val="169508EC"/>
    <w:rsid w:val="16A738BE"/>
    <w:rsid w:val="16A8729C"/>
    <w:rsid w:val="16AC5A85"/>
    <w:rsid w:val="16AE5760"/>
    <w:rsid w:val="16B33777"/>
    <w:rsid w:val="16BC70A7"/>
    <w:rsid w:val="16C6339E"/>
    <w:rsid w:val="16D344EE"/>
    <w:rsid w:val="16F22CE4"/>
    <w:rsid w:val="16F75359"/>
    <w:rsid w:val="170D06D9"/>
    <w:rsid w:val="17231CAA"/>
    <w:rsid w:val="172F2D79"/>
    <w:rsid w:val="174B46C0"/>
    <w:rsid w:val="175400B6"/>
    <w:rsid w:val="17557BEF"/>
    <w:rsid w:val="1766753F"/>
    <w:rsid w:val="17742506"/>
    <w:rsid w:val="177E15D6"/>
    <w:rsid w:val="17887D5F"/>
    <w:rsid w:val="17A23AD9"/>
    <w:rsid w:val="17A80401"/>
    <w:rsid w:val="17B0031C"/>
    <w:rsid w:val="17C443A1"/>
    <w:rsid w:val="17D349C1"/>
    <w:rsid w:val="17E4768B"/>
    <w:rsid w:val="17FD6CA6"/>
    <w:rsid w:val="18244F26"/>
    <w:rsid w:val="1830729E"/>
    <w:rsid w:val="18356139"/>
    <w:rsid w:val="184C3483"/>
    <w:rsid w:val="18624A54"/>
    <w:rsid w:val="1870062C"/>
    <w:rsid w:val="187A7D80"/>
    <w:rsid w:val="18817102"/>
    <w:rsid w:val="18830A15"/>
    <w:rsid w:val="18852B28"/>
    <w:rsid w:val="188B5321"/>
    <w:rsid w:val="18A247BD"/>
    <w:rsid w:val="18B828C6"/>
    <w:rsid w:val="18BA6AC4"/>
    <w:rsid w:val="18C272A1"/>
    <w:rsid w:val="18D07C10"/>
    <w:rsid w:val="18EA6F23"/>
    <w:rsid w:val="191C2E55"/>
    <w:rsid w:val="191C4C03"/>
    <w:rsid w:val="192A37C4"/>
    <w:rsid w:val="19377C8F"/>
    <w:rsid w:val="19597C05"/>
    <w:rsid w:val="195E16BF"/>
    <w:rsid w:val="19670574"/>
    <w:rsid w:val="196C5B8A"/>
    <w:rsid w:val="197762DD"/>
    <w:rsid w:val="198804EA"/>
    <w:rsid w:val="19932372"/>
    <w:rsid w:val="19A20DD5"/>
    <w:rsid w:val="19A277FE"/>
    <w:rsid w:val="19AE03F1"/>
    <w:rsid w:val="19AF5A77"/>
    <w:rsid w:val="19C50022"/>
    <w:rsid w:val="19E27BFB"/>
    <w:rsid w:val="19F17E3E"/>
    <w:rsid w:val="19F3005A"/>
    <w:rsid w:val="1A071A03"/>
    <w:rsid w:val="1A073B05"/>
    <w:rsid w:val="1A0933D9"/>
    <w:rsid w:val="1A134258"/>
    <w:rsid w:val="1A18361C"/>
    <w:rsid w:val="1A1F16AE"/>
    <w:rsid w:val="1A367F46"/>
    <w:rsid w:val="1A3B5C77"/>
    <w:rsid w:val="1A4408B5"/>
    <w:rsid w:val="1A442663"/>
    <w:rsid w:val="1A5F124B"/>
    <w:rsid w:val="1A6525DA"/>
    <w:rsid w:val="1A693E78"/>
    <w:rsid w:val="1A78230D"/>
    <w:rsid w:val="1A984BAD"/>
    <w:rsid w:val="1AA03612"/>
    <w:rsid w:val="1AA475A6"/>
    <w:rsid w:val="1AAB623F"/>
    <w:rsid w:val="1AB1581F"/>
    <w:rsid w:val="1AB8220E"/>
    <w:rsid w:val="1AC13CB4"/>
    <w:rsid w:val="1AC437A4"/>
    <w:rsid w:val="1AE4166C"/>
    <w:rsid w:val="1AE41750"/>
    <w:rsid w:val="1AF06CFB"/>
    <w:rsid w:val="1AF11B8D"/>
    <w:rsid w:val="1AF35E37"/>
    <w:rsid w:val="1B11359C"/>
    <w:rsid w:val="1B232DBF"/>
    <w:rsid w:val="1B2A271F"/>
    <w:rsid w:val="1B351FAC"/>
    <w:rsid w:val="1B4346C9"/>
    <w:rsid w:val="1B4D4365"/>
    <w:rsid w:val="1B524B69"/>
    <w:rsid w:val="1B530544"/>
    <w:rsid w:val="1B5B5EB7"/>
    <w:rsid w:val="1B5C1C2F"/>
    <w:rsid w:val="1B6034CD"/>
    <w:rsid w:val="1B6B3D39"/>
    <w:rsid w:val="1B713184"/>
    <w:rsid w:val="1B7A20B5"/>
    <w:rsid w:val="1B7A3E63"/>
    <w:rsid w:val="1B8076CB"/>
    <w:rsid w:val="1B9118D8"/>
    <w:rsid w:val="1B943177"/>
    <w:rsid w:val="1BA209CF"/>
    <w:rsid w:val="1BB13D28"/>
    <w:rsid w:val="1BB4777D"/>
    <w:rsid w:val="1BCD6688"/>
    <w:rsid w:val="1BCF2401"/>
    <w:rsid w:val="1BCF41AF"/>
    <w:rsid w:val="1BD712B5"/>
    <w:rsid w:val="1BD73063"/>
    <w:rsid w:val="1BD75AB8"/>
    <w:rsid w:val="1C0459C2"/>
    <w:rsid w:val="1C1B3B4A"/>
    <w:rsid w:val="1C3B1844"/>
    <w:rsid w:val="1C5B3C94"/>
    <w:rsid w:val="1C676ADD"/>
    <w:rsid w:val="1C766D20"/>
    <w:rsid w:val="1C7A0DCC"/>
    <w:rsid w:val="1C88086E"/>
    <w:rsid w:val="1CC21DD9"/>
    <w:rsid w:val="1CCC06EE"/>
    <w:rsid w:val="1D091942"/>
    <w:rsid w:val="1D0B7468"/>
    <w:rsid w:val="1D152095"/>
    <w:rsid w:val="1D266CE1"/>
    <w:rsid w:val="1D385D84"/>
    <w:rsid w:val="1D3963AF"/>
    <w:rsid w:val="1D5E3A3C"/>
    <w:rsid w:val="1D6A673C"/>
    <w:rsid w:val="1D8B6C02"/>
    <w:rsid w:val="1D8E3BF5"/>
    <w:rsid w:val="1D9247AE"/>
    <w:rsid w:val="1D9F5E03"/>
    <w:rsid w:val="1DA11149"/>
    <w:rsid w:val="1DB52E6D"/>
    <w:rsid w:val="1DB567EC"/>
    <w:rsid w:val="1DBF10A0"/>
    <w:rsid w:val="1DE76856"/>
    <w:rsid w:val="1DEE0C01"/>
    <w:rsid w:val="1DF51A98"/>
    <w:rsid w:val="1E026585"/>
    <w:rsid w:val="1E051CD9"/>
    <w:rsid w:val="1E0F2F88"/>
    <w:rsid w:val="1E185388"/>
    <w:rsid w:val="1E220F0E"/>
    <w:rsid w:val="1E3507E9"/>
    <w:rsid w:val="1E3D060F"/>
    <w:rsid w:val="1E3F7D2E"/>
    <w:rsid w:val="1E4134E4"/>
    <w:rsid w:val="1E4A0464"/>
    <w:rsid w:val="1E5062B3"/>
    <w:rsid w:val="1E523514"/>
    <w:rsid w:val="1E714A66"/>
    <w:rsid w:val="1E74103D"/>
    <w:rsid w:val="1E802593"/>
    <w:rsid w:val="1E8B6156"/>
    <w:rsid w:val="1EA23DFC"/>
    <w:rsid w:val="1EA703CC"/>
    <w:rsid w:val="1EB7330C"/>
    <w:rsid w:val="1ED57D2E"/>
    <w:rsid w:val="1ED62AAE"/>
    <w:rsid w:val="1EDD28CC"/>
    <w:rsid w:val="1EE14925"/>
    <w:rsid w:val="1EE2244B"/>
    <w:rsid w:val="1EEB7FC7"/>
    <w:rsid w:val="1EEC5078"/>
    <w:rsid w:val="1EF1268E"/>
    <w:rsid w:val="1F0625DD"/>
    <w:rsid w:val="1F0A0FF3"/>
    <w:rsid w:val="1F0C74C8"/>
    <w:rsid w:val="1F1A1BE5"/>
    <w:rsid w:val="1F1A5833"/>
    <w:rsid w:val="1F1D7927"/>
    <w:rsid w:val="1F262338"/>
    <w:rsid w:val="1F2B72BB"/>
    <w:rsid w:val="1F4B7FF0"/>
    <w:rsid w:val="1F5771FF"/>
    <w:rsid w:val="1F5A6485"/>
    <w:rsid w:val="1F75506D"/>
    <w:rsid w:val="1F784B5D"/>
    <w:rsid w:val="1F813A12"/>
    <w:rsid w:val="1F833C2E"/>
    <w:rsid w:val="1F83778A"/>
    <w:rsid w:val="1F96425F"/>
    <w:rsid w:val="1FCF29CF"/>
    <w:rsid w:val="1FD52574"/>
    <w:rsid w:val="1FE04BDC"/>
    <w:rsid w:val="1FE24B81"/>
    <w:rsid w:val="1FE81CE3"/>
    <w:rsid w:val="1FE868A9"/>
    <w:rsid w:val="1FF97A4C"/>
    <w:rsid w:val="1FFB7EBA"/>
    <w:rsid w:val="20034907"/>
    <w:rsid w:val="20173E4B"/>
    <w:rsid w:val="20286583"/>
    <w:rsid w:val="202B1BD0"/>
    <w:rsid w:val="203734AE"/>
    <w:rsid w:val="204E48BC"/>
    <w:rsid w:val="206C46C2"/>
    <w:rsid w:val="20717F2A"/>
    <w:rsid w:val="207D3B7F"/>
    <w:rsid w:val="20857532"/>
    <w:rsid w:val="208921B3"/>
    <w:rsid w:val="208C6B12"/>
    <w:rsid w:val="20973DEB"/>
    <w:rsid w:val="209B0B03"/>
    <w:rsid w:val="209B4FA7"/>
    <w:rsid w:val="20A0436C"/>
    <w:rsid w:val="20AC0F62"/>
    <w:rsid w:val="20B26522"/>
    <w:rsid w:val="20B44310"/>
    <w:rsid w:val="20B9542D"/>
    <w:rsid w:val="20CC0866"/>
    <w:rsid w:val="20CC5161"/>
    <w:rsid w:val="20DB35F6"/>
    <w:rsid w:val="20DD55C0"/>
    <w:rsid w:val="20F02932"/>
    <w:rsid w:val="20F46465"/>
    <w:rsid w:val="20F85F56"/>
    <w:rsid w:val="211116EB"/>
    <w:rsid w:val="21132D8F"/>
    <w:rsid w:val="211663DC"/>
    <w:rsid w:val="21240AF9"/>
    <w:rsid w:val="21260D15"/>
    <w:rsid w:val="214B077B"/>
    <w:rsid w:val="21515666"/>
    <w:rsid w:val="215A6C10"/>
    <w:rsid w:val="215C64E4"/>
    <w:rsid w:val="216133FC"/>
    <w:rsid w:val="2162707F"/>
    <w:rsid w:val="21867A05"/>
    <w:rsid w:val="219F4623"/>
    <w:rsid w:val="21B75E11"/>
    <w:rsid w:val="21BE59E4"/>
    <w:rsid w:val="21CB5418"/>
    <w:rsid w:val="21CE6CB6"/>
    <w:rsid w:val="21D56769"/>
    <w:rsid w:val="21DC68D2"/>
    <w:rsid w:val="21DE47B0"/>
    <w:rsid w:val="21E12E8E"/>
    <w:rsid w:val="21E52EF3"/>
    <w:rsid w:val="21F42BC1"/>
    <w:rsid w:val="21FB5D7B"/>
    <w:rsid w:val="21FC7CC7"/>
    <w:rsid w:val="21FE134A"/>
    <w:rsid w:val="22015E94"/>
    <w:rsid w:val="2208666C"/>
    <w:rsid w:val="220B1C3D"/>
    <w:rsid w:val="221D1D20"/>
    <w:rsid w:val="2221328A"/>
    <w:rsid w:val="22334A87"/>
    <w:rsid w:val="22342FBD"/>
    <w:rsid w:val="223B07F0"/>
    <w:rsid w:val="22482F0D"/>
    <w:rsid w:val="224F1BA5"/>
    <w:rsid w:val="22513B6F"/>
    <w:rsid w:val="225C42C2"/>
    <w:rsid w:val="226C6BFB"/>
    <w:rsid w:val="226E2973"/>
    <w:rsid w:val="22857D28"/>
    <w:rsid w:val="228C104B"/>
    <w:rsid w:val="22934188"/>
    <w:rsid w:val="229E2B2D"/>
    <w:rsid w:val="22A46395"/>
    <w:rsid w:val="22BE6801"/>
    <w:rsid w:val="22CC58EC"/>
    <w:rsid w:val="22D11CAC"/>
    <w:rsid w:val="22DB168B"/>
    <w:rsid w:val="22DB5B2F"/>
    <w:rsid w:val="22DE117B"/>
    <w:rsid w:val="22E449E3"/>
    <w:rsid w:val="22F1596D"/>
    <w:rsid w:val="22F4587D"/>
    <w:rsid w:val="22FC7924"/>
    <w:rsid w:val="233500BF"/>
    <w:rsid w:val="23377FF7"/>
    <w:rsid w:val="234F1CFD"/>
    <w:rsid w:val="235558E1"/>
    <w:rsid w:val="23564FB8"/>
    <w:rsid w:val="23580F2E"/>
    <w:rsid w:val="235B27CC"/>
    <w:rsid w:val="23607DE2"/>
    <w:rsid w:val="23642C35"/>
    <w:rsid w:val="236B425F"/>
    <w:rsid w:val="236C4714"/>
    <w:rsid w:val="236E0751"/>
    <w:rsid w:val="237C72AE"/>
    <w:rsid w:val="23836192"/>
    <w:rsid w:val="23901F29"/>
    <w:rsid w:val="239C0061"/>
    <w:rsid w:val="23A34399"/>
    <w:rsid w:val="23A93537"/>
    <w:rsid w:val="23AB72AF"/>
    <w:rsid w:val="23B5012E"/>
    <w:rsid w:val="23B819CC"/>
    <w:rsid w:val="23B908A4"/>
    <w:rsid w:val="23C245F9"/>
    <w:rsid w:val="23C87E61"/>
    <w:rsid w:val="23E46C65"/>
    <w:rsid w:val="23E95BEF"/>
    <w:rsid w:val="23ED5B1A"/>
    <w:rsid w:val="23FA0237"/>
    <w:rsid w:val="23FD0064"/>
    <w:rsid w:val="241A61E3"/>
    <w:rsid w:val="243B4AD7"/>
    <w:rsid w:val="245375B0"/>
    <w:rsid w:val="24637B8A"/>
    <w:rsid w:val="24642C0A"/>
    <w:rsid w:val="246456B0"/>
    <w:rsid w:val="246A53BC"/>
    <w:rsid w:val="246C2EE2"/>
    <w:rsid w:val="24855D52"/>
    <w:rsid w:val="248B40F7"/>
    <w:rsid w:val="24975A86"/>
    <w:rsid w:val="24A81A41"/>
    <w:rsid w:val="24B22173"/>
    <w:rsid w:val="24B95AD9"/>
    <w:rsid w:val="24BE24DA"/>
    <w:rsid w:val="24CF5825"/>
    <w:rsid w:val="24D663E6"/>
    <w:rsid w:val="24D77F2B"/>
    <w:rsid w:val="24E011DB"/>
    <w:rsid w:val="24E560ED"/>
    <w:rsid w:val="24F627AC"/>
    <w:rsid w:val="24FA6740"/>
    <w:rsid w:val="250E110E"/>
    <w:rsid w:val="250F386E"/>
    <w:rsid w:val="252A06A8"/>
    <w:rsid w:val="25441769"/>
    <w:rsid w:val="25592B49"/>
    <w:rsid w:val="255B08F3"/>
    <w:rsid w:val="255D282B"/>
    <w:rsid w:val="25657932"/>
    <w:rsid w:val="25873D4C"/>
    <w:rsid w:val="258B00E2"/>
    <w:rsid w:val="259326F1"/>
    <w:rsid w:val="259F1096"/>
    <w:rsid w:val="25A917A6"/>
    <w:rsid w:val="25A91F14"/>
    <w:rsid w:val="25B032A3"/>
    <w:rsid w:val="25BE27CC"/>
    <w:rsid w:val="25C26B32"/>
    <w:rsid w:val="25C91C6F"/>
    <w:rsid w:val="25D02FFD"/>
    <w:rsid w:val="25D725DE"/>
    <w:rsid w:val="25DD396C"/>
    <w:rsid w:val="25E92311"/>
    <w:rsid w:val="25ED1E01"/>
    <w:rsid w:val="25F74A5C"/>
    <w:rsid w:val="25FA2842"/>
    <w:rsid w:val="26151358"/>
    <w:rsid w:val="26237712"/>
    <w:rsid w:val="2628662C"/>
    <w:rsid w:val="262D45DE"/>
    <w:rsid w:val="262D48F3"/>
    <w:rsid w:val="26325A66"/>
    <w:rsid w:val="26345C82"/>
    <w:rsid w:val="263F63D5"/>
    <w:rsid w:val="26437C73"/>
    <w:rsid w:val="264E03C6"/>
    <w:rsid w:val="26563FA2"/>
    <w:rsid w:val="26581E9C"/>
    <w:rsid w:val="26661FBC"/>
    <w:rsid w:val="26664064"/>
    <w:rsid w:val="266B0F78"/>
    <w:rsid w:val="26775B6F"/>
    <w:rsid w:val="26804A23"/>
    <w:rsid w:val="26871DC8"/>
    <w:rsid w:val="26A53EF9"/>
    <w:rsid w:val="26A94201"/>
    <w:rsid w:val="26AC274F"/>
    <w:rsid w:val="26AD77E2"/>
    <w:rsid w:val="26BE554B"/>
    <w:rsid w:val="26BE72FA"/>
    <w:rsid w:val="26E52AD8"/>
    <w:rsid w:val="26EB3E67"/>
    <w:rsid w:val="26EB717D"/>
    <w:rsid w:val="26F0213C"/>
    <w:rsid w:val="26F1147D"/>
    <w:rsid w:val="26F62F37"/>
    <w:rsid w:val="27044A29"/>
    <w:rsid w:val="27070CA1"/>
    <w:rsid w:val="270A69E3"/>
    <w:rsid w:val="271D34C8"/>
    <w:rsid w:val="27286E69"/>
    <w:rsid w:val="272C6959"/>
    <w:rsid w:val="274041B2"/>
    <w:rsid w:val="27554102"/>
    <w:rsid w:val="276142BF"/>
    <w:rsid w:val="27651E6B"/>
    <w:rsid w:val="276E51C4"/>
    <w:rsid w:val="27783712"/>
    <w:rsid w:val="278F0C96"/>
    <w:rsid w:val="27907362"/>
    <w:rsid w:val="27957201"/>
    <w:rsid w:val="27AB3D22"/>
    <w:rsid w:val="27B23302"/>
    <w:rsid w:val="27BB1A8B"/>
    <w:rsid w:val="27C052F3"/>
    <w:rsid w:val="27D843EB"/>
    <w:rsid w:val="27D86AE1"/>
    <w:rsid w:val="27DA63B5"/>
    <w:rsid w:val="27EB2370"/>
    <w:rsid w:val="27EE3C0E"/>
    <w:rsid w:val="27EE5EC5"/>
    <w:rsid w:val="27FD20A3"/>
    <w:rsid w:val="28041684"/>
    <w:rsid w:val="280B47C0"/>
    <w:rsid w:val="2810627B"/>
    <w:rsid w:val="281A0EA7"/>
    <w:rsid w:val="281D44F4"/>
    <w:rsid w:val="28221DE9"/>
    <w:rsid w:val="28245882"/>
    <w:rsid w:val="28333E1D"/>
    <w:rsid w:val="283A6E54"/>
    <w:rsid w:val="28454BD6"/>
    <w:rsid w:val="28455253"/>
    <w:rsid w:val="28551971"/>
    <w:rsid w:val="285B1C53"/>
    <w:rsid w:val="28620159"/>
    <w:rsid w:val="28846321"/>
    <w:rsid w:val="2886653D"/>
    <w:rsid w:val="289F7086"/>
    <w:rsid w:val="289F721E"/>
    <w:rsid w:val="28A80261"/>
    <w:rsid w:val="28A8200F"/>
    <w:rsid w:val="28AA222B"/>
    <w:rsid w:val="28AB7D51"/>
    <w:rsid w:val="28BB61E6"/>
    <w:rsid w:val="28BE5CD7"/>
    <w:rsid w:val="28C32028"/>
    <w:rsid w:val="28CC490F"/>
    <w:rsid w:val="28DE40AA"/>
    <w:rsid w:val="28EA0BAC"/>
    <w:rsid w:val="2903193C"/>
    <w:rsid w:val="290A4A78"/>
    <w:rsid w:val="290A7832"/>
    <w:rsid w:val="290C07F0"/>
    <w:rsid w:val="29211DC2"/>
    <w:rsid w:val="29310257"/>
    <w:rsid w:val="29345E77"/>
    <w:rsid w:val="294025BD"/>
    <w:rsid w:val="29451F54"/>
    <w:rsid w:val="294C65AD"/>
    <w:rsid w:val="294C6E3F"/>
    <w:rsid w:val="295B3526"/>
    <w:rsid w:val="29736AC1"/>
    <w:rsid w:val="29806583"/>
    <w:rsid w:val="29883D69"/>
    <w:rsid w:val="298B3C4C"/>
    <w:rsid w:val="29912DA0"/>
    <w:rsid w:val="29954C89"/>
    <w:rsid w:val="29A22F02"/>
    <w:rsid w:val="29A70519"/>
    <w:rsid w:val="29CC470E"/>
    <w:rsid w:val="29D37560"/>
    <w:rsid w:val="29D46E34"/>
    <w:rsid w:val="29DD5F45"/>
    <w:rsid w:val="29E277A3"/>
    <w:rsid w:val="29F26D24"/>
    <w:rsid w:val="29FB0865"/>
    <w:rsid w:val="2A06210E"/>
    <w:rsid w:val="2A1262DA"/>
    <w:rsid w:val="2A15033F"/>
    <w:rsid w:val="2A1662C1"/>
    <w:rsid w:val="2A1C2CB5"/>
    <w:rsid w:val="2A1C7367"/>
    <w:rsid w:val="2A2815FA"/>
    <w:rsid w:val="2A3C6EB3"/>
    <w:rsid w:val="2A4144C9"/>
    <w:rsid w:val="2A4915D0"/>
    <w:rsid w:val="2A4D10C0"/>
    <w:rsid w:val="2A587A65"/>
    <w:rsid w:val="2A6375DC"/>
    <w:rsid w:val="2A6428AE"/>
    <w:rsid w:val="2A68414C"/>
    <w:rsid w:val="2A6D6092"/>
    <w:rsid w:val="2A7C7BF7"/>
    <w:rsid w:val="2A7D76B4"/>
    <w:rsid w:val="2A7F4FF2"/>
    <w:rsid w:val="2A8B7E3A"/>
    <w:rsid w:val="2A97233B"/>
    <w:rsid w:val="2A9C3DF6"/>
    <w:rsid w:val="2AA35184"/>
    <w:rsid w:val="2AA8279A"/>
    <w:rsid w:val="2AAB5DE7"/>
    <w:rsid w:val="2AAF3B29"/>
    <w:rsid w:val="2AB761FA"/>
    <w:rsid w:val="2AB90504"/>
    <w:rsid w:val="2ACB16C0"/>
    <w:rsid w:val="2ADA3D27"/>
    <w:rsid w:val="2AE01F34"/>
    <w:rsid w:val="2B09293F"/>
    <w:rsid w:val="2B0D6AA1"/>
    <w:rsid w:val="2B110340"/>
    <w:rsid w:val="2B116592"/>
    <w:rsid w:val="2B1260A3"/>
    <w:rsid w:val="2B2362C5"/>
    <w:rsid w:val="2B2A7653"/>
    <w:rsid w:val="2B3E7332"/>
    <w:rsid w:val="2B437463"/>
    <w:rsid w:val="2B481888"/>
    <w:rsid w:val="2B7807EE"/>
    <w:rsid w:val="2B7E52A9"/>
    <w:rsid w:val="2B98280F"/>
    <w:rsid w:val="2B9D4761"/>
    <w:rsid w:val="2BA411B4"/>
    <w:rsid w:val="2BA50BF7"/>
    <w:rsid w:val="2BBD2276"/>
    <w:rsid w:val="2BBF00EC"/>
    <w:rsid w:val="2BC37CFD"/>
    <w:rsid w:val="2BD5237F"/>
    <w:rsid w:val="2BDD6474"/>
    <w:rsid w:val="2BE536CE"/>
    <w:rsid w:val="2BE710A1"/>
    <w:rsid w:val="2BE758D9"/>
    <w:rsid w:val="2BF346BB"/>
    <w:rsid w:val="2C002162"/>
    <w:rsid w:val="2C025EDA"/>
    <w:rsid w:val="2C09049E"/>
    <w:rsid w:val="2C0A653C"/>
    <w:rsid w:val="2C191F85"/>
    <w:rsid w:val="2C3A5674"/>
    <w:rsid w:val="2C414C55"/>
    <w:rsid w:val="2C464019"/>
    <w:rsid w:val="2C4E2ECE"/>
    <w:rsid w:val="2C5120F7"/>
    <w:rsid w:val="2C520C10"/>
    <w:rsid w:val="2C526E62"/>
    <w:rsid w:val="2C6D5A4A"/>
    <w:rsid w:val="2C8B4122"/>
    <w:rsid w:val="2C8E59C0"/>
    <w:rsid w:val="2C961257"/>
    <w:rsid w:val="2C972AC7"/>
    <w:rsid w:val="2C974875"/>
    <w:rsid w:val="2C9E3E55"/>
    <w:rsid w:val="2CB90C8F"/>
    <w:rsid w:val="2CBC42DB"/>
    <w:rsid w:val="2CCE763C"/>
    <w:rsid w:val="2CD23AFF"/>
    <w:rsid w:val="2CDA29B3"/>
    <w:rsid w:val="2CE61358"/>
    <w:rsid w:val="2CE82D6F"/>
    <w:rsid w:val="2CE90E48"/>
    <w:rsid w:val="2CF0667B"/>
    <w:rsid w:val="2D03015C"/>
    <w:rsid w:val="2D0A3299"/>
    <w:rsid w:val="2D1603F5"/>
    <w:rsid w:val="2D1934DC"/>
    <w:rsid w:val="2D236108"/>
    <w:rsid w:val="2D2B1461"/>
    <w:rsid w:val="2D340315"/>
    <w:rsid w:val="2D343236"/>
    <w:rsid w:val="2D371BB4"/>
    <w:rsid w:val="2D483DC1"/>
    <w:rsid w:val="2D4D587B"/>
    <w:rsid w:val="2D575011"/>
    <w:rsid w:val="2D595FCE"/>
    <w:rsid w:val="2D6D3827"/>
    <w:rsid w:val="2D8E1ADE"/>
    <w:rsid w:val="2D970F3F"/>
    <w:rsid w:val="2D990AC0"/>
    <w:rsid w:val="2D9C5EBB"/>
    <w:rsid w:val="2D9D235F"/>
    <w:rsid w:val="2DA3549B"/>
    <w:rsid w:val="2DC86CB0"/>
    <w:rsid w:val="2DCC2C44"/>
    <w:rsid w:val="2DCD42C6"/>
    <w:rsid w:val="2DD15014"/>
    <w:rsid w:val="2DE24215"/>
    <w:rsid w:val="2DEA1196"/>
    <w:rsid w:val="2DF45CF7"/>
    <w:rsid w:val="2DF72DE4"/>
    <w:rsid w:val="2E0220AF"/>
    <w:rsid w:val="2E033680"/>
    <w:rsid w:val="2E0423DE"/>
    <w:rsid w:val="2E051CB2"/>
    <w:rsid w:val="2E0C1292"/>
    <w:rsid w:val="2E383E35"/>
    <w:rsid w:val="2E4B082A"/>
    <w:rsid w:val="2E4E1A09"/>
    <w:rsid w:val="2E5D4E86"/>
    <w:rsid w:val="2E5D790B"/>
    <w:rsid w:val="2E67296D"/>
    <w:rsid w:val="2E9372BE"/>
    <w:rsid w:val="2E9A3C18"/>
    <w:rsid w:val="2EA80FBB"/>
    <w:rsid w:val="2EB57234"/>
    <w:rsid w:val="2EB931C8"/>
    <w:rsid w:val="2EBB0FEE"/>
    <w:rsid w:val="2EBC487E"/>
    <w:rsid w:val="2EC21951"/>
    <w:rsid w:val="2EC35DF5"/>
    <w:rsid w:val="2EC456C9"/>
    <w:rsid w:val="2EC63002"/>
    <w:rsid w:val="2ED7364E"/>
    <w:rsid w:val="2EE45D6B"/>
    <w:rsid w:val="2EEA2003"/>
    <w:rsid w:val="2EFE6E2D"/>
    <w:rsid w:val="2F065CE2"/>
    <w:rsid w:val="2F0A6B38"/>
    <w:rsid w:val="2F1E74CF"/>
    <w:rsid w:val="2F307202"/>
    <w:rsid w:val="2F3E36CD"/>
    <w:rsid w:val="2F464330"/>
    <w:rsid w:val="2F4B7B98"/>
    <w:rsid w:val="2F5B427F"/>
    <w:rsid w:val="2F5F5A23"/>
    <w:rsid w:val="2F656EAC"/>
    <w:rsid w:val="2F73546C"/>
    <w:rsid w:val="2F754C15"/>
    <w:rsid w:val="2F837332"/>
    <w:rsid w:val="2F882B9B"/>
    <w:rsid w:val="2F946CCB"/>
    <w:rsid w:val="2F9652B7"/>
    <w:rsid w:val="2FA21EAE"/>
    <w:rsid w:val="2FA4659B"/>
    <w:rsid w:val="2FB25158"/>
    <w:rsid w:val="2FB35E69"/>
    <w:rsid w:val="2FB971F8"/>
    <w:rsid w:val="2FC71909"/>
    <w:rsid w:val="2FC71915"/>
    <w:rsid w:val="2FCD159E"/>
    <w:rsid w:val="2FD14541"/>
    <w:rsid w:val="2FD25781"/>
    <w:rsid w:val="2FD61B58"/>
    <w:rsid w:val="2FDC745C"/>
    <w:rsid w:val="2FE204FD"/>
    <w:rsid w:val="2FFA3A98"/>
    <w:rsid w:val="2FFD7934"/>
    <w:rsid w:val="300D4E4E"/>
    <w:rsid w:val="303F594F"/>
    <w:rsid w:val="30446AC1"/>
    <w:rsid w:val="304A7E50"/>
    <w:rsid w:val="30696528"/>
    <w:rsid w:val="306B3788"/>
    <w:rsid w:val="30733ACD"/>
    <w:rsid w:val="307F7AFA"/>
    <w:rsid w:val="308275EA"/>
    <w:rsid w:val="308A649E"/>
    <w:rsid w:val="308C3862"/>
    <w:rsid w:val="309379D8"/>
    <w:rsid w:val="309D61D2"/>
    <w:rsid w:val="30A21A3A"/>
    <w:rsid w:val="30A270F7"/>
    <w:rsid w:val="30AA08EF"/>
    <w:rsid w:val="30AE03DF"/>
    <w:rsid w:val="30C145B6"/>
    <w:rsid w:val="30C23E8A"/>
    <w:rsid w:val="30DF1478"/>
    <w:rsid w:val="30E12562"/>
    <w:rsid w:val="30E520C9"/>
    <w:rsid w:val="30E738F1"/>
    <w:rsid w:val="30EB1633"/>
    <w:rsid w:val="30EC586F"/>
    <w:rsid w:val="30F009F7"/>
    <w:rsid w:val="311B7876"/>
    <w:rsid w:val="311D7312"/>
    <w:rsid w:val="312427F6"/>
    <w:rsid w:val="312A215B"/>
    <w:rsid w:val="312F7772"/>
    <w:rsid w:val="31350B00"/>
    <w:rsid w:val="314174A5"/>
    <w:rsid w:val="31434FCB"/>
    <w:rsid w:val="3147221E"/>
    <w:rsid w:val="314F5556"/>
    <w:rsid w:val="316B2774"/>
    <w:rsid w:val="31833619"/>
    <w:rsid w:val="319770C5"/>
    <w:rsid w:val="319A0963"/>
    <w:rsid w:val="319A6A0F"/>
    <w:rsid w:val="319C6071"/>
    <w:rsid w:val="31A11CF2"/>
    <w:rsid w:val="31AC537E"/>
    <w:rsid w:val="31AF3F03"/>
    <w:rsid w:val="31B47C77"/>
    <w:rsid w:val="31BC6B2B"/>
    <w:rsid w:val="31D67BED"/>
    <w:rsid w:val="31E16592"/>
    <w:rsid w:val="31E3679B"/>
    <w:rsid w:val="31E732FD"/>
    <w:rsid w:val="31EF0CAF"/>
    <w:rsid w:val="31FC5965"/>
    <w:rsid w:val="320C7AB3"/>
    <w:rsid w:val="321B5F48"/>
    <w:rsid w:val="321E3342"/>
    <w:rsid w:val="322841C1"/>
    <w:rsid w:val="323D7C6C"/>
    <w:rsid w:val="32517576"/>
    <w:rsid w:val="32621136"/>
    <w:rsid w:val="327B69E7"/>
    <w:rsid w:val="32BA12BD"/>
    <w:rsid w:val="32BD2B5B"/>
    <w:rsid w:val="32BE5C2C"/>
    <w:rsid w:val="32DD31FD"/>
    <w:rsid w:val="32E93950"/>
    <w:rsid w:val="32EB591A"/>
    <w:rsid w:val="32FA790B"/>
    <w:rsid w:val="32FB6478"/>
    <w:rsid w:val="33024A12"/>
    <w:rsid w:val="3304078A"/>
    <w:rsid w:val="33263B3F"/>
    <w:rsid w:val="3333106F"/>
    <w:rsid w:val="33462B51"/>
    <w:rsid w:val="3353526D"/>
    <w:rsid w:val="335C4122"/>
    <w:rsid w:val="336963EB"/>
    <w:rsid w:val="336D632F"/>
    <w:rsid w:val="337855D5"/>
    <w:rsid w:val="33816EEB"/>
    <w:rsid w:val="338649B1"/>
    <w:rsid w:val="33947D60"/>
    <w:rsid w:val="33AB32FB"/>
    <w:rsid w:val="33B04CB1"/>
    <w:rsid w:val="33B43F5E"/>
    <w:rsid w:val="33BE302F"/>
    <w:rsid w:val="33C06DA7"/>
    <w:rsid w:val="33E706FB"/>
    <w:rsid w:val="33EA5BD2"/>
    <w:rsid w:val="33EB55CD"/>
    <w:rsid w:val="33EC4C02"/>
    <w:rsid w:val="33ED7470"/>
    <w:rsid w:val="33F7209D"/>
    <w:rsid w:val="340C5B48"/>
    <w:rsid w:val="340D2360"/>
    <w:rsid w:val="3410665D"/>
    <w:rsid w:val="3417273F"/>
    <w:rsid w:val="341B3FDD"/>
    <w:rsid w:val="34211214"/>
    <w:rsid w:val="34216FDA"/>
    <w:rsid w:val="34256C0A"/>
    <w:rsid w:val="342E63AB"/>
    <w:rsid w:val="343432F1"/>
    <w:rsid w:val="343E7CCC"/>
    <w:rsid w:val="344F0BC8"/>
    <w:rsid w:val="34670FD0"/>
    <w:rsid w:val="346A6D13"/>
    <w:rsid w:val="346D0005"/>
    <w:rsid w:val="347436ED"/>
    <w:rsid w:val="347C545F"/>
    <w:rsid w:val="347D07F4"/>
    <w:rsid w:val="34853B4C"/>
    <w:rsid w:val="34950E68"/>
    <w:rsid w:val="34986E94"/>
    <w:rsid w:val="34AF62C9"/>
    <w:rsid w:val="34B54432"/>
    <w:rsid w:val="34BD6F83"/>
    <w:rsid w:val="34CB4388"/>
    <w:rsid w:val="34CC177B"/>
    <w:rsid w:val="34DA5C46"/>
    <w:rsid w:val="34E02B31"/>
    <w:rsid w:val="34E56399"/>
    <w:rsid w:val="34E674CF"/>
    <w:rsid w:val="34E97C37"/>
    <w:rsid w:val="34FA6E12"/>
    <w:rsid w:val="35026192"/>
    <w:rsid w:val="350902DA"/>
    <w:rsid w:val="35213875"/>
    <w:rsid w:val="352E5F92"/>
    <w:rsid w:val="354D7158"/>
    <w:rsid w:val="35521C81"/>
    <w:rsid w:val="355937FD"/>
    <w:rsid w:val="35631375"/>
    <w:rsid w:val="35645510"/>
    <w:rsid w:val="35647C06"/>
    <w:rsid w:val="35683252"/>
    <w:rsid w:val="357C0AAC"/>
    <w:rsid w:val="358D0F0B"/>
    <w:rsid w:val="358D5588"/>
    <w:rsid w:val="359A53D6"/>
    <w:rsid w:val="35B9585C"/>
    <w:rsid w:val="35BE10C4"/>
    <w:rsid w:val="35C649A4"/>
    <w:rsid w:val="35CD7559"/>
    <w:rsid w:val="35E13004"/>
    <w:rsid w:val="35ED19A9"/>
    <w:rsid w:val="36121410"/>
    <w:rsid w:val="36127662"/>
    <w:rsid w:val="36146F36"/>
    <w:rsid w:val="3619454C"/>
    <w:rsid w:val="36256338"/>
    <w:rsid w:val="363A3B40"/>
    <w:rsid w:val="365302AE"/>
    <w:rsid w:val="3657011A"/>
    <w:rsid w:val="365D6B2F"/>
    <w:rsid w:val="36604C46"/>
    <w:rsid w:val="36607A0A"/>
    <w:rsid w:val="36631C6B"/>
    <w:rsid w:val="3667350A"/>
    <w:rsid w:val="366E227C"/>
    <w:rsid w:val="366F2E0D"/>
    <w:rsid w:val="367B6A5C"/>
    <w:rsid w:val="36913B0F"/>
    <w:rsid w:val="36987B67"/>
    <w:rsid w:val="369B2FE3"/>
    <w:rsid w:val="36A74ADA"/>
    <w:rsid w:val="36AB5C75"/>
    <w:rsid w:val="36AD60D5"/>
    <w:rsid w:val="36B224F9"/>
    <w:rsid w:val="36CF7301"/>
    <w:rsid w:val="36DA1F2E"/>
    <w:rsid w:val="36DB7A54"/>
    <w:rsid w:val="36E8395A"/>
    <w:rsid w:val="36EC0CC9"/>
    <w:rsid w:val="36F62AE0"/>
    <w:rsid w:val="36FF3742"/>
    <w:rsid w:val="370340CC"/>
    <w:rsid w:val="371B4BEF"/>
    <w:rsid w:val="371D006C"/>
    <w:rsid w:val="372A4537"/>
    <w:rsid w:val="373F410B"/>
    <w:rsid w:val="376C4B50"/>
    <w:rsid w:val="376E2676"/>
    <w:rsid w:val="37757EA8"/>
    <w:rsid w:val="378B147A"/>
    <w:rsid w:val="379C3687"/>
    <w:rsid w:val="37A147F9"/>
    <w:rsid w:val="37C16C4A"/>
    <w:rsid w:val="37D01583"/>
    <w:rsid w:val="37D270A9"/>
    <w:rsid w:val="37E33064"/>
    <w:rsid w:val="37EA3D6D"/>
    <w:rsid w:val="37EE7094"/>
    <w:rsid w:val="37F30DCD"/>
    <w:rsid w:val="37F94635"/>
    <w:rsid w:val="37FA03AE"/>
    <w:rsid w:val="37FC33B8"/>
    <w:rsid w:val="38084878"/>
    <w:rsid w:val="3825367C"/>
    <w:rsid w:val="38296C89"/>
    <w:rsid w:val="382A2A41"/>
    <w:rsid w:val="383002EB"/>
    <w:rsid w:val="38307579"/>
    <w:rsid w:val="38481119"/>
    <w:rsid w:val="384C6E5B"/>
    <w:rsid w:val="38586797"/>
    <w:rsid w:val="385C4BC4"/>
    <w:rsid w:val="385D15DF"/>
    <w:rsid w:val="387C7014"/>
    <w:rsid w:val="387E2D8D"/>
    <w:rsid w:val="388166C1"/>
    <w:rsid w:val="38832151"/>
    <w:rsid w:val="38995E18"/>
    <w:rsid w:val="38AC5B4C"/>
    <w:rsid w:val="38AF73EA"/>
    <w:rsid w:val="38BC0149"/>
    <w:rsid w:val="38C84008"/>
    <w:rsid w:val="38D60A52"/>
    <w:rsid w:val="38D87D1C"/>
    <w:rsid w:val="38E50263"/>
    <w:rsid w:val="38E52E0C"/>
    <w:rsid w:val="38FD63A7"/>
    <w:rsid w:val="390019F4"/>
    <w:rsid w:val="390C2146"/>
    <w:rsid w:val="391334D5"/>
    <w:rsid w:val="39162FC5"/>
    <w:rsid w:val="39186D3D"/>
    <w:rsid w:val="391E1BF5"/>
    <w:rsid w:val="39230172"/>
    <w:rsid w:val="3934169D"/>
    <w:rsid w:val="39396CB4"/>
    <w:rsid w:val="393E3E02"/>
    <w:rsid w:val="394615DD"/>
    <w:rsid w:val="394B4BE7"/>
    <w:rsid w:val="394C2E8B"/>
    <w:rsid w:val="395F496C"/>
    <w:rsid w:val="39611ED4"/>
    <w:rsid w:val="39636459"/>
    <w:rsid w:val="39693A3D"/>
    <w:rsid w:val="396B7F6C"/>
    <w:rsid w:val="397C551E"/>
    <w:rsid w:val="39B417A9"/>
    <w:rsid w:val="39D92970"/>
    <w:rsid w:val="39DA2245"/>
    <w:rsid w:val="39FC5695"/>
    <w:rsid w:val="3A006D8E"/>
    <w:rsid w:val="3A125E82"/>
    <w:rsid w:val="3A2636DC"/>
    <w:rsid w:val="3A342AC3"/>
    <w:rsid w:val="3A3651E5"/>
    <w:rsid w:val="3A39340F"/>
    <w:rsid w:val="3A4A561C"/>
    <w:rsid w:val="3A4C08E3"/>
    <w:rsid w:val="3A63048C"/>
    <w:rsid w:val="3A655FB2"/>
    <w:rsid w:val="3A6D130B"/>
    <w:rsid w:val="3A744481"/>
    <w:rsid w:val="3A871030"/>
    <w:rsid w:val="3A8C7BEF"/>
    <w:rsid w:val="3A906246"/>
    <w:rsid w:val="3A914FF9"/>
    <w:rsid w:val="3A940645"/>
    <w:rsid w:val="3ACC7DDF"/>
    <w:rsid w:val="3AD44EE6"/>
    <w:rsid w:val="3AE375F5"/>
    <w:rsid w:val="3AF255C9"/>
    <w:rsid w:val="3B00217F"/>
    <w:rsid w:val="3B087F5A"/>
    <w:rsid w:val="3B0D6C94"/>
    <w:rsid w:val="3B143534"/>
    <w:rsid w:val="3B2319C9"/>
    <w:rsid w:val="3B2349B7"/>
    <w:rsid w:val="3B253993"/>
    <w:rsid w:val="3B2F65C0"/>
    <w:rsid w:val="3B331C0C"/>
    <w:rsid w:val="3B3D6F2F"/>
    <w:rsid w:val="3B404329"/>
    <w:rsid w:val="3B530501"/>
    <w:rsid w:val="3B5F50F7"/>
    <w:rsid w:val="3B616CFF"/>
    <w:rsid w:val="3B6259F6"/>
    <w:rsid w:val="3B7D0B63"/>
    <w:rsid w:val="3B976654"/>
    <w:rsid w:val="3B9A612F"/>
    <w:rsid w:val="3B9B5A04"/>
    <w:rsid w:val="3BAB28F8"/>
    <w:rsid w:val="3BAE1BDB"/>
    <w:rsid w:val="3BB92868"/>
    <w:rsid w:val="3BBD597A"/>
    <w:rsid w:val="3BC01EFC"/>
    <w:rsid w:val="3BCA786A"/>
    <w:rsid w:val="3BCB4B07"/>
    <w:rsid w:val="3BD31E2F"/>
    <w:rsid w:val="3BF15831"/>
    <w:rsid w:val="3BFC64A2"/>
    <w:rsid w:val="3C105946"/>
    <w:rsid w:val="3C2459F9"/>
    <w:rsid w:val="3C335C3C"/>
    <w:rsid w:val="3C3D6ABB"/>
    <w:rsid w:val="3C471448"/>
    <w:rsid w:val="3C522566"/>
    <w:rsid w:val="3C5F759A"/>
    <w:rsid w:val="3C682256"/>
    <w:rsid w:val="3C6C525A"/>
    <w:rsid w:val="3C6D73A0"/>
    <w:rsid w:val="3C7E15AD"/>
    <w:rsid w:val="3C8B5A78"/>
    <w:rsid w:val="3C925059"/>
    <w:rsid w:val="3C9A5CBB"/>
    <w:rsid w:val="3C9E1C4F"/>
    <w:rsid w:val="3CBD0327"/>
    <w:rsid w:val="3CC50322"/>
    <w:rsid w:val="3CCE23CB"/>
    <w:rsid w:val="3CD17D17"/>
    <w:rsid w:val="3CD25455"/>
    <w:rsid w:val="3D081D42"/>
    <w:rsid w:val="3D0C4E0B"/>
    <w:rsid w:val="3D167A38"/>
    <w:rsid w:val="3D1D2B74"/>
    <w:rsid w:val="3D2831F3"/>
    <w:rsid w:val="3D2A69F0"/>
    <w:rsid w:val="3D3C7F39"/>
    <w:rsid w:val="3D440F09"/>
    <w:rsid w:val="3D4504A0"/>
    <w:rsid w:val="3D51281E"/>
    <w:rsid w:val="3D5D0CD1"/>
    <w:rsid w:val="3D6764E5"/>
    <w:rsid w:val="3D687B67"/>
    <w:rsid w:val="3D695DB9"/>
    <w:rsid w:val="3D6D1908"/>
    <w:rsid w:val="3D762284"/>
    <w:rsid w:val="3D8449A1"/>
    <w:rsid w:val="3D8734BB"/>
    <w:rsid w:val="3D8A3F82"/>
    <w:rsid w:val="3D8F3346"/>
    <w:rsid w:val="3D9646D4"/>
    <w:rsid w:val="3D9A11D4"/>
    <w:rsid w:val="3DA16D89"/>
    <w:rsid w:val="3DA364BE"/>
    <w:rsid w:val="3DAB4624"/>
    <w:rsid w:val="3DD376D7"/>
    <w:rsid w:val="3DD86A9B"/>
    <w:rsid w:val="3DDA0A65"/>
    <w:rsid w:val="3DE041CB"/>
    <w:rsid w:val="3DE47B36"/>
    <w:rsid w:val="3DFA2EB5"/>
    <w:rsid w:val="3E0D48F6"/>
    <w:rsid w:val="3E0E070F"/>
    <w:rsid w:val="3E1868B4"/>
    <w:rsid w:val="3E247F32"/>
    <w:rsid w:val="3E2C5EC2"/>
    <w:rsid w:val="3E377251"/>
    <w:rsid w:val="3E3D7529"/>
    <w:rsid w:val="3E42664B"/>
    <w:rsid w:val="3E5A7334"/>
    <w:rsid w:val="3E7B5D6B"/>
    <w:rsid w:val="3E843E66"/>
    <w:rsid w:val="3E864749"/>
    <w:rsid w:val="3E8F51FE"/>
    <w:rsid w:val="3E926F87"/>
    <w:rsid w:val="3E9A59DE"/>
    <w:rsid w:val="3EAE0C67"/>
    <w:rsid w:val="3EAF4836"/>
    <w:rsid w:val="3EC33DFA"/>
    <w:rsid w:val="3EDC6A5F"/>
    <w:rsid w:val="3EF21DDE"/>
    <w:rsid w:val="3EF43DA9"/>
    <w:rsid w:val="3EFC4A0B"/>
    <w:rsid w:val="3F060E16"/>
    <w:rsid w:val="3F06588A"/>
    <w:rsid w:val="3F0A537A"/>
    <w:rsid w:val="3F0C4D5E"/>
    <w:rsid w:val="3F151A20"/>
    <w:rsid w:val="3F1D1096"/>
    <w:rsid w:val="3F204B9E"/>
    <w:rsid w:val="3F2F0234"/>
    <w:rsid w:val="3F4A7E6C"/>
    <w:rsid w:val="3F4C7741"/>
    <w:rsid w:val="3F6363FE"/>
    <w:rsid w:val="3F6A5E19"/>
    <w:rsid w:val="3F756B8F"/>
    <w:rsid w:val="3F830C89"/>
    <w:rsid w:val="3F852C53"/>
    <w:rsid w:val="3F8C2233"/>
    <w:rsid w:val="3F95482B"/>
    <w:rsid w:val="3FC92B3F"/>
    <w:rsid w:val="3FCC4625"/>
    <w:rsid w:val="4012098A"/>
    <w:rsid w:val="4019356B"/>
    <w:rsid w:val="40414DCB"/>
    <w:rsid w:val="404843AC"/>
    <w:rsid w:val="40592157"/>
    <w:rsid w:val="405D772B"/>
    <w:rsid w:val="406B3BF6"/>
    <w:rsid w:val="406E1CAE"/>
    <w:rsid w:val="40736F4F"/>
    <w:rsid w:val="4093314D"/>
    <w:rsid w:val="40953369"/>
    <w:rsid w:val="40A0133A"/>
    <w:rsid w:val="40A62E81"/>
    <w:rsid w:val="40AD2461"/>
    <w:rsid w:val="40BA692C"/>
    <w:rsid w:val="40BE466E"/>
    <w:rsid w:val="40C31A53"/>
    <w:rsid w:val="40D73297"/>
    <w:rsid w:val="40E35E83"/>
    <w:rsid w:val="40F167F2"/>
    <w:rsid w:val="40FC6F44"/>
    <w:rsid w:val="40FF545D"/>
    <w:rsid w:val="410067C8"/>
    <w:rsid w:val="4125649B"/>
    <w:rsid w:val="41483F38"/>
    <w:rsid w:val="414E6B3B"/>
    <w:rsid w:val="41650F8E"/>
    <w:rsid w:val="4168282C"/>
    <w:rsid w:val="418F0D2A"/>
    <w:rsid w:val="41CC2DBB"/>
    <w:rsid w:val="41D01505"/>
    <w:rsid w:val="420C1409"/>
    <w:rsid w:val="421F2EEA"/>
    <w:rsid w:val="424010B3"/>
    <w:rsid w:val="42474939"/>
    <w:rsid w:val="424C3C57"/>
    <w:rsid w:val="42566E9D"/>
    <w:rsid w:val="42613FF3"/>
    <w:rsid w:val="42660D96"/>
    <w:rsid w:val="427174BE"/>
    <w:rsid w:val="42862F6A"/>
    <w:rsid w:val="428667D2"/>
    <w:rsid w:val="42927B60"/>
    <w:rsid w:val="42A31D6D"/>
    <w:rsid w:val="42A96C58"/>
    <w:rsid w:val="42C31B66"/>
    <w:rsid w:val="42CD1CE0"/>
    <w:rsid w:val="42E1381E"/>
    <w:rsid w:val="42ED6459"/>
    <w:rsid w:val="42EE0B0F"/>
    <w:rsid w:val="42FE58DD"/>
    <w:rsid w:val="43030A5E"/>
    <w:rsid w:val="430A79BB"/>
    <w:rsid w:val="430B346F"/>
    <w:rsid w:val="43170066"/>
    <w:rsid w:val="43174B3D"/>
    <w:rsid w:val="432033BE"/>
    <w:rsid w:val="43413334"/>
    <w:rsid w:val="43476B9D"/>
    <w:rsid w:val="43482915"/>
    <w:rsid w:val="434B790E"/>
    <w:rsid w:val="43572490"/>
    <w:rsid w:val="4360274F"/>
    <w:rsid w:val="436314FD"/>
    <w:rsid w:val="43654272"/>
    <w:rsid w:val="4388071E"/>
    <w:rsid w:val="43977AB6"/>
    <w:rsid w:val="439E0787"/>
    <w:rsid w:val="43A3342B"/>
    <w:rsid w:val="43B35FE0"/>
    <w:rsid w:val="43B6787E"/>
    <w:rsid w:val="43C26223"/>
    <w:rsid w:val="43C77C27"/>
    <w:rsid w:val="43C875B2"/>
    <w:rsid w:val="43DE09EE"/>
    <w:rsid w:val="43DF5027"/>
    <w:rsid w:val="44002FAD"/>
    <w:rsid w:val="44093E52"/>
    <w:rsid w:val="440C56F0"/>
    <w:rsid w:val="441B5933"/>
    <w:rsid w:val="4420119C"/>
    <w:rsid w:val="443609BF"/>
    <w:rsid w:val="443864E5"/>
    <w:rsid w:val="443D30E6"/>
    <w:rsid w:val="4450382F"/>
    <w:rsid w:val="445826E4"/>
    <w:rsid w:val="44627A06"/>
    <w:rsid w:val="4487121B"/>
    <w:rsid w:val="44872FC9"/>
    <w:rsid w:val="449101DD"/>
    <w:rsid w:val="44A818BD"/>
    <w:rsid w:val="44AD0C81"/>
    <w:rsid w:val="44B30B15"/>
    <w:rsid w:val="44DE1391"/>
    <w:rsid w:val="44E64193"/>
    <w:rsid w:val="44F208A0"/>
    <w:rsid w:val="44F248E6"/>
    <w:rsid w:val="44FD328B"/>
    <w:rsid w:val="45105EDB"/>
    <w:rsid w:val="451B225C"/>
    <w:rsid w:val="452410C9"/>
    <w:rsid w:val="45294080"/>
    <w:rsid w:val="45317DFB"/>
    <w:rsid w:val="453A003B"/>
    <w:rsid w:val="455C4456"/>
    <w:rsid w:val="455C6204"/>
    <w:rsid w:val="4565330A"/>
    <w:rsid w:val="456926CF"/>
    <w:rsid w:val="456D3CE4"/>
    <w:rsid w:val="4579042C"/>
    <w:rsid w:val="457C2402"/>
    <w:rsid w:val="457F0571"/>
    <w:rsid w:val="45851176"/>
    <w:rsid w:val="459267E2"/>
    <w:rsid w:val="45C63B94"/>
    <w:rsid w:val="45D65FB6"/>
    <w:rsid w:val="45D93CF8"/>
    <w:rsid w:val="45DA175F"/>
    <w:rsid w:val="45E00BE3"/>
    <w:rsid w:val="45FF375F"/>
    <w:rsid w:val="460E7DA5"/>
    <w:rsid w:val="460F771A"/>
    <w:rsid w:val="461B7E6D"/>
    <w:rsid w:val="461D1E37"/>
    <w:rsid w:val="46340F2E"/>
    <w:rsid w:val="46342CDD"/>
    <w:rsid w:val="463B406B"/>
    <w:rsid w:val="46422483"/>
    <w:rsid w:val="464253F9"/>
    <w:rsid w:val="46537607"/>
    <w:rsid w:val="4659254A"/>
    <w:rsid w:val="465B0637"/>
    <w:rsid w:val="465E3F0D"/>
    <w:rsid w:val="46696E2A"/>
    <w:rsid w:val="466A16E6"/>
    <w:rsid w:val="466E2692"/>
    <w:rsid w:val="46893F2B"/>
    <w:rsid w:val="469A5235"/>
    <w:rsid w:val="469F45FA"/>
    <w:rsid w:val="46A55988"/>
    <w:rsid w:val="46B300A5"/>
    <w:rsid w:val="46C4686E"/>
    <w:rsid w:val="46C6427C"/>
    <w:rsid w:val="46D1677D"/>
    <w:rsid w:val="46D36999"/>
    <w:rsid w:val="46D63D94"/>
    <w:rsid w:val="46DC0B73"/>
    <w:rsid w:val="46E80A74"/>
    <w:rsid w:val="46E93AC7"/>
    <w:rsid w:val="46EE72CF"/>
    <w:rsid w:val="46F34C9E"/>
    <w:rsid w:val="46F506BE"/>
    <w:rsid w:val="47017063"/>
    <w:rsid w:val="470628CB"/>
    <w:rsid w:val="473867FC"/>
    <w:rsid w:val="47443591"/>
    <w:rsid w:val="474B6530"/>
    <w:rsid w:val="475C073D"/>
    <w:rsid w:val="47610391"/>
    <w:rsid w:val="4770243A"/>
    <w:rsid w:val="477B778F"/>
    <w:rsid w:val="478203EC"/>
    <w:rsid w:val="478B2DD0"/>
    <w:rsid w:val="478D4D9A"/>
    <w:rsid w:val="478D6B48"/>
    <w:rsid w:val="47A04ACD"/>
    <w:rsid w:val="47A45C40"/>
    <w:rsid w:val="47B025FA"/>
    <w:rsid w:val="47C02A7A"/>
    <w:rsid w:val="47C6205A"/>
    <w:rsid w:val="47F24BFD"/>
    <w:rsid w:val="4809698F"/>
    <w:rsid w:val="480A63EB"/>
    <w:rsid w:val="480C2163"/>
    <w:rsid w:val="4811697D"/>
    <w:rsid w:val="48253225"/>
    <w:rsid w:val="483D231C"/>
    <w:rsid w:val="484216E1"/>
    <w:rsid w:val="48467E55"/>
    <w:rsid w:val="484C255F"/>
    <w:rsid w:val="484E7228"/>
    <w:rsid w:val="486C0E54"/>
    <w:rsid w:val="487960A3"/>
    <w:rsid w:val="487A3E25"/>
    <w:rsid w:val="487F0B87"/>
    <w:rsid w:val="48853CC3"/>
    <w:rsid w:val="488937B4"/>
    <w:rsid w:val="488B5503"/>
    <w:rsid w:val="48903C06"/>
    <w:rsid w:val="48937E21"/>
    <w:rsid w:val="489A0361"/>
    <w:rsid w:val="489D100D"/>
    <w:rsid w:val="489D2DBB"/>
    <w:rsid w:val="48A00AFD"/>
    <w:rsid w:val="48B545A9"/>
    <w:rsid w:val="48B9447C"/>
    <w:rsid w:val="48B94FF3"/>
    <w:rsid w:val="48C02947"/>
    <w:rsid w:val="48E37AAB"/>
    <w:rsid w:val="48E42798"/>
    <w:rsid w:val="48F13107"/>
    <w:rsid w:val="48F9400D"/>
    <w:rsid w:val="48FD4B4C"/>
    <w:rsid w:val="4900334A"/>
    <w:rsid w:val="490A68E0"/>
    <w:rsid w:val="490E5A67"/>
    <w:rsid w:val="491055FE"/>
    <w:rsid w:val="4924528A"/>
    <w:rsid w:val="49290AF3"/>
    <w:rsid w:val="4929464F"/>
    <w:rsid w:val="49374FBE"/>
    <w:rsid w:val="49441489"/>
    <w:rsid w:val="495F5B3E"/>
    <w:rsid w:val="49697141"/>
    <w:rsid w:val="496F77D7"/>
    <w:rsid w:val="497654FD"/>
    <w:rsid w:val="49777AB0"/>
    <w:rsid w:val="499917D4"/>
    <w:rsid w:val="49AD1724"/>
    <w:rsid w:val="49B64211"/>
    <w:rsid w:val="49C12AD9"/>
    <w:rsid w:val="49C83E68"/>
    <w:rsid w:val="49D2773F"/>
    <w:rsid w:val="49D66FAB"/>
    <w:rsid w:val="49D97E23"/>
    <w:rsid w:val="49F6167F"/>
    <w:rsid w:val="4A02381D"/>
    <w:rsid w:val="4A064FA0"/>
    <w:rsid w:val="4A084BAC"/>
    <w:rsid w:val="4A0B01F8"/>
    <w:rsid w:val="4A0F1A96"/>
    <w:rsid w:val="4A16615C"/>
    <w:rsid w:val="4A4200BE"/>
    <w:rsid w:val="4A4424D7"/>
    <w:rsid w:val="4A45370A"/>
    <w:rsid w:val="4A4A0D21"/>
    <w:rsid w:val="4A54394D"/>
    <w:rsid w:val="4A630034"/>
    <w:rsid w:val="4A7162AD"/>
    <w:rsid w:val="4A745D9D"/>
    <w:rsid w:val="4A8E50B1"/>
    <w:rsid w:val="4A9621B8"/>
    <w:rsid w:val="4AA2290B"/>
    <w:rsid w:val="4AA70614"/>
    <w:rsid w:val="4AB82D0F"/>
    <w:rsid w:val="4ABB577A"/>
    <w:rsid w:val="4AC565F9"/>
    <w:rsid w:val="4AD43990"/>
    <w:rsid w:val="4ADF3B5F"/>
    <w:rsid w:val="4AE814E5"/>
    <w:rsid w:val="4AEB7664"/>
    <w:rsid w:val="4AFD7C19"/>
    <w:rsid w:val="4B0435C5"/>
    <w:rsid w:val="4B0567D1"/>
    <w:rsid w:val="4B103D18"/>
    <w:rsid w:val="4B182BCD"/>
    <w:rsid w:val="4B1F21AD"/>
    <w:rsid w:val="4B236AAE"/>
    <w:rsid w:val="4B451165"/>
    <w:rsid w:val="4B4C2876"/>
    <w:rsid w:val="4B4C7923"/>
    <w:rsid w:val="4B4E2A92"/>
    <w:rsid w:val="4B6F4854"/>
    <w:rsid w:val="4B702A09"/>
    <w:rsid w:val="4B707271"/>
    <w:rsid w:val="4B7A0FC5"/>
    <w:rsid w:val="4B7E1AFC"/>
    <w:rsid w:val="4B810772"/>
    <w:rsid w:val="4B9739F7"/>
    <w:rsid w:val="4BA44460"/>
    <w:rsid w:val="4BBD5522"/>
    <w:rsid w:val="4BC0573E"/>
    <w:rsid w:val="4BEE2503"/>
    <w:rsid w:val="4BEE392E"/>
    <w:rsid w:val="4BEF1B80"/>
    <w:rsid w:val="4BF453E8"/>
    <w:rsid w:val="4BFA0524"/>
    <w:rsid w:val="4C082C41"/>
    <w:rsid w:val="4C245A30"/>
    <w:rsid w:val="4C2757BD"/>
    <w:rsid w:val="4C3C0B3D"/>
    <w:rsid w:val="4C4023DB"/>
    <w:rsid w:val="4C4243A5"/>
    <w:rsid w:val="4C5365B2"/>
    <w:rsid w:val="4C56430C"/>
    <w:rsid w:val="4C575977"/>
    <w:rsid w:val="4C8F3363"/>
    <w:rsid w:val="4C9444D5"/>
    <w:rsid w:val="4C962F60"/>
    <w:rsid w:val="4CB6685F"/>
    <w:rsid w:val="4CBB4158"/>
    <w:rsid w:val="4CBD7ED0"/>
    <w:rsid w:val="4CC307BC"/>
    <w:rsid w:val="4CC367FE"/>
    <w:rsid w:val="4CE52F83"/>
    <w:rsid w:val="4CF51418"/>
    <w:rsid w:val="4D077F3C"/>
    <w:rsid w:val="4D123355"/>
    <w:rsid w:val="4D1B69A4"/>
    <w:rsid w:val="4D20220D"/>
    <w:rsid w:val="4D2A3B31"/>
    <w:rsid w:val="4D312C52"/>
    <w:rsid w:val="4D317F76"/>
    <w:rsid w:val="4D3857A8"/>
    <w:rsid w:val="4D50664E"/>
    <w:rsid w:val="4D53613E"/>
    <w:rsid w:val="4D5D6FBD"/>
    <w:rsid w:val="4D64034B"/>
    <w:rsid w:val="4D7563FD"/>
    <w:rsid w:val="4D77007F"/>
    <w:rsid w:val="4D7F33D7"/>
    <w:rsid w:val="4D830A74"/>
    <w:rsid w:val="4D891B60"/>
    <w:rsid w:val="4D8B384B"/>
    <w:rsid w:val="4D905305"/>
    <w:rsid w:val="4D956757"/>
    <w:rsid w:val="4D964A72"/>
    <w:rsid w:val="4D970721"/>
    <w:rsid w:val="4D981DA3"/>
    <w:rsid w:val="4D9C1254"/>
    <w:rsid w:val="4D9C7AE5"/>
    <w:rsid w:val="4DC66910"/>
    <w:rsid w:val="4DCD6359"/>
    <w:rsid w:val="4E015B9A"/>
    <w:rsid w:val="4E1753BE"/>
    <w:rsid w:val="4E2F0959"/>
    <w:rsid w:val="4E487C6D"/>
    <w:rsid w:val="4E4A12EF"/>
    <w:rsid w:val="4E4D5283"/>
    <w:rsid w:val="4E4F4B57"/>
    <w:rsid w:val="4E793892"/>
    <w:rsid w:val="4E800872"/>
    <w:rsid w:val="4E882794"/>
    <w:rsid w:val="4EA07161"/>
    <w:rsid w:val="4EC569ED"/>
    <w:rsid w:val="4ECD3CCE"/>
    <w:rsid w:val="4ED50EA1"/>
    <w:rsid w:val="4EDF237F"/>
    <w:rsid w:val="4EEC050C"/>
    <w:rsid w:val="4EF61477"/>
    <w:rsid w:val="4F104EC3"/>
    <w:rsid w:val="4F251D5C"/>
    <w:rsid w:val="4F47354A"/>
    <w:rsid w:val="4F5166AD"/>
    <w:rsid w:val="4F5F0DCA"/>
    <w:rsid w:val="4F6732C9"/>
    <w:rsid w:val="4F6B59C1"/>
    <w:rsid w:val="4F754E48"/>
    <w:rsid w:val="4F781E8C"/>
    <w:rsid w:val="4F7D56F4"/>
    <w:rsid w:val="4F911C54"/>
    <w:rsid w:val="4F98252E"/>
    <w:rsid w:val="4FB07878"/>
    <w:rsid w:val="4FBA6948"/>
    <w:rsid w:val="4FE625E0"/>
    <w:rsid w:val="4FF754A7"/>
    <w:rsid w:val="4FF82FCD"/>
    <w:rsid w:val="4FFA0AF3"/>
    <w:rsid w:val="500B71A4"/>
    <w:rsid w:val="501222E0"/>
    <w:rsid w:val="5021480F"/>
    <w:rsid w:val="503E1327"/>
    <w:rsid w:val="505E4123"/>
    <w:rsid w:val="506568B4"/>
    <w:rsid w:val="506E1F2E"/>
    <w:rsid w:val="50760AC1"/>
    <w:rsid w:val="50792360"/>
    <w:rsid w:val="50827466"/>
    <w:rsid w:val="50962ECB"/>
    <w:rsid w:val="5099030C"/>
    <w:rsid w:val="509B0528"/>
    <w:rsid w:val="50A3118B"/>
    <w:rsid w:val="50A42E38"/>
    <w:rsid w:val="50A4577F"/>
    <w:rsid w:val="50AD025B"/>
    <w:rsid w:val="50B73D1F"/>
    <w:rsid w:val="50BD5BC9"/>
    <w:rsid w:val="50BE7D72"/>
    <w:rsid w:val="50C11EEE"/>
    <w:rsid w:val="50C234A3"/>
    <w:rsid w:val="50C57353"/>
    <w:rsid w:val="50C72BB1"/>
    <w:rsid w:val="50CA20D8"/>
    <w:rsid w:val="50CC248F"/>
    <w:rsid w:val="50CC6933"/>
    <w:rsid w:val="50D21A70"/>
    <w:rsid w:val="50DB6B76"/>
    <w:rsid w:val="50E377D9"/>
    <w:rsid w:val="50E517A3"/>
    <w:rsid w:val="50E7376D"/>
    <w:rsid w:val="50E7551B"/>
    <w:rsid w:val="50E97CFC"/>
    <w:rsid w:val="50FA4028"/>
    <w:rsid w:val="51071719"/>
    <w:rsid w:val="510936E3"/>
    <w:rsid w:val="510D65B7"/>
    <w:rsid w:val="511157AB"/>
    <w:rsid w:val="51183927"/>
    <w:rsid w:val="511B51C5"/>
    <w:rsid w:val="5135569D"/>
    <w:rsid w:val="5139389D"/>
    <w:rsid w:val="5142540C"/>
    <w:rsid w:val="514C1822"/>
    <w:rsid w:val="515D758B"/>
    <w:rsid w:val="51714DE5"/>
    <w:rsid w:val="517D19DC"/>
    <w:rsid w:val="518832C8"/>
    <w:rsid w:val="518A40F8"/>
    <w:rsid w:val="518E51FE"/>
    <w:rsid w:val="519D3C50"/>
    <w:rsid w:val="51A0432A"/>
    <w:rsid w:val="51A86090"/>
    <w:rsid w:val="51AC22C1"/>
    <w:rsid w:val="51B7396D"/>
    <w:rsid w:val="51BC0756"/>
    <w:rsid w:val="51C4760A"/>
    <w:rsid w:val="51D51818"/>
    <w:rsid w:val="51E63A25"/>
    <w:rsid w:val="51E7154B"/>
    <w:rsid w:val="51E8779D"/>
    <w:rsid w:val="51FA302C"/>
    <w:rsid w:val="520D7203"/>
    <w:rsid w:val="522E4CC3"/>
    <w:rsid w:val="52350BA2"/>
    <w:rsid w:val="5244713B"/>
    <w:rsid w:val="524B1ADA"/>
    <w:rsid w:val="524B3888"/>
    <w:rsid w:val="525237AD"/>
    <w:rsid w:val="52546BE0"/>
    <w:rsid w:val="525E7A5F"/>
    <w:rsid w:val="52615633"/>
    <w:rsid w:val="526F4DE4"/>
    <w:rsid w:val="527E1EAF"/>
    <w:rsid w:val="528A0778"/>
    <w:rsid w:val="528A2602"/>
    <w:rsid w:val="528E1693"/>
    <w:rsid w:val="528F7C18"/>
    <w:rsid w:val="5290298E"/>
    <w:rsid w:val="52977FD4"/>
    <w:rsid w:val="529E60AD"/>
    <w:rsid w:val="52A25790"/>
    <w:rsid w:val="52A336C4"/>
    <w:rsid w:val="52A96B6F"/>
    <w:rsid w:val="52B07B8F"/>
    <w:rsid w:val="52B45975"/>
    <w:rsid w:val="52BB0165"/>
    <w:rsid w:val="52D94AA4"/>
    <w:rsid w:val="52EA3A62"/>
    <w:rsid w:val="52ED2B91"/>
    <w:rsid w:val="52F50BB8"/>
    <w:rsid w:val="52FF0AA7"/>
    <w:rsid w:val="53097272"/>
    <w:rsid w:val="530D4FE1"/>
    <w:rsid w:val="53193986"/>
    <w:rsid w:val="53202F66"/>
    <w:rsid w:val="53234805"/>
    <w:rsid w:val="532F6D06"/>
    <w:rsid w:val="533802B0"/>
    <w:rsid w:val="534A3B3F"/>
    <w:rsid w:val="53544462"/>
    <w:rsid w:val="536015B5"/>
    <w:rsid w:val="53603363"/>
    <w:rsid w:val="537312E8"/>
    <w:rsid w:val="5379196E"/>
    <w:rsid w:val="539179C0"/>
    <w:rsid w:val="5397158E"/>
    <w:rsid w:val="539C7C39"/>
    <w:rsid w:val="53A21BCD"/>
    <w:rsid w:val="53AF7E46"/>
    <w:rsid w:val="53DD1E36"/>
    <w:rsid w:val="53E9054E"/>
    <w:rsid w:val="54013861"/>
    <w:rsid w:val="5406215C"/>
    <w:rsid w:val="541008E5"/>
    <w:rsid w:val="54302D35"/>
    <w:rsid w:val="543E18F6"/>
    <w:rsid w:val="543F566E"/>
    <w:rsid w:val="54487265"/>
    <w:rsid w:val="544D1B39"/>
    <w:rsid w:val="544D6070"/>
    <w:rsid w:val="544E765F"/>
    <w:rsid w:val="54576514"/>
    <w:rsid w:val="545A4256"/>
    <w:rsid w:val="54605E1E"/>
    <w:rsid w:val="547C41CC"/>
    <w:rsid w:val="547E7F44"/>
    <w:rsid w:val="548337AD"/>
    <w:rsid w:val="54837309"/>
    <w:rsid w:val="5486329D"/>
    <w:rsid w:val="5488491F"/>
    <w:rsid w:val="549A28A4"/>
    <w:rsid w:val="54A83213"/>
    <w:rsid w:val="54AD4386"/>
    <w:rsid w:val="54AF6350"/>
    <w:rsid w:val="54B3506A"/>
    <w:rsid w:val="54BF230B"/>
    <w:rsid w:val="54C6369A"/>
    <w:rsid w:val="54CA0D16"/>
    <w:rsid w:val="54CA318A"/>
    <w:rsid w:val="54D062C6"/>
    <w:rsid w:val="54D2203E"/>
    <w:rsid w:val="54DD4057"/>
    <w:rsid w:val="54DE4E87"/>
    <w:rsid w:val="54E7490F"/>
    <w:rsid w:val="54F621D1"/>
    <w:rsid w:val="550764A4"/>
    <w:rsid w:val="550B2BF6"/>
    <w:rsid w:val="55175CA3"/>
    <w:rsid w:val="55214EB5"/>
    <w:rsid w:val="55364EFD"/>
    <w:rsid w:val="555D4828"/>
    <w:rsid w:val="555F5DD6"/>
    <w:rsid w:val="55747599"/>
    <w:rsid w:val="557A4C8B"/>
    <w:rsid w:val="557B0928"/>
    <w:rsid w:val="5588094F"/>
    <w:rsid w:val="558931E1"/>
    <w:rsid w:val="5589681B"/>
    <w:rsid w:val="55923347"/>
    <w:rsid w:val="55925180"/>
    <w:rsid w:val="55983B1B"/>
    <w:rsid w:val="55985036"/>
    <w:rsid w:val="55A0038E"/>
    <w:rsid w:val="55A8376B"/>
    <w:rsid w:val="55B17EA6"/>
    <w:rsid w:val="55C776C9"/>
    <w:rsid w:val="55C94FAA"/>
    <w:rsid w:val="55DA38A0"/>
    <w:rsid w:val="55DA564E"/>
    <w:rsid w:val="55DC29B6"/>
    <w:rsid w:val="55DD4241"/>
    <w:rsid w:val="55EE4C56"/>
    <w:rsid w:val="55F10BEA"/>
    <w:rsid w:val="55F34962"/>
    <w:rsid w:val="55FD133D"/>
    <w:rsid w:val="5604091D"/>
    <w:rsid w:val="56066443"/>
    <w:rsid w:val="5608596C"/>
    <w:rsid w:val="56173A9F"/>
    <w:rsid w:val="561D378D"/>
    <w:rsid w:val="56327239"/>
    <w:rsid w:val="5647080A"/>
    <w:rsid w:val="56486A5C"/>
    <w:rsid w:val="564B468F"/>
    <w:rsid w:val="564D05DF"/>
    <w:rsid w:val="565117EB"/>
    <w:rsid w:val="56576C9F"/>
    <w:rsid w:val="565A22EB"/>
    <w:rsid w:val="566B6D1E"/>
    <w:rsid w:val="56705FB3"/>
    <w:rsid w:val="56AA0CBE"/>
    <w:rsid w:val="56B539C6"/>
    <w:rsid w:val="56CB4F97"/>
    <w:rsid w:val="56CF0F2B"/>
    <w:rsid w:val="56DF49B3"/>
    <w:rsid w:val="56FA762A"/>
    <w:rsid w:val="57032A2C"/>
    <w:rsid w:val="570F5219"/>
    <w:rsid w:val="571132F2"/>
    <w:rsid w:val="571E156B"/>
    <w:rsid w:val="57315742"/>
    <w:rsid w:val="575D12B5"/>
    <w:rsid w:val="575E5E0B"/>
    <w:rsid w:val="57610A87"/>
    <w:rsid w:val="576A2A02"/>
    <w:rsid w:val="577B1140"/>
    <w:rsid w:val="577B7F21"/>
    <w:rsid w:val="577F181B"/>
    <w:rsid w:val="57921984"/>
    <w:rsid w:val="579737F0"/>
    <w:rsid w:val="57A35F14"/>
    <w:rsid w:val="57AA2DFF"/>
    <w:rsid w:val="57AB7B30"/>
    <w:rsid w:val="57AF5251"/>
    <w:rsid w:val="57B26373"/>
    <w:rsid w:val="57B63F04"/>
    <w:rsid w:val="57B65C47"/>
    <w:rsid w:val="57CD20C2"/>
    <w:rsid w:val="57D675AB"/>
    <w:rsid w:val="57D73717"/>
    <w:rsid w:val="57D95FDD"/>
    <w:rsid w:val="57DB745C"/>
    <w:rsid w:val="57DE0CFA"/>
    <w:rsid w:val="57E04A72"/>
    <w:rsid w:val="57EC3417"/>
    <w:rsid w:val="57F329F7"/>
    <w:rsid w:val="57FF75EE"/>
    <w:rsid w:val="58005114"/>
    <w:rsid w:val="58256929"/>
    <w:rsid w:val="58421289"/>
    <w:rsid w:val="585711D8"/>
    <w:rsid w:val="587578B0"/>
    <w:rsid w:val="588673C8"/>
    <w:rsid w:val="588A08CB"/>
    <w:rsid w:val="58917D2F"/>
    <w:rsid w:val="5894085C"/>
    <w:rsid w:val="58AE4F0C"/>
    <w:rsid w:val="58B71C77"/>
    <w:rsid w:val="58B85899"/>
    <w:rsid w:val="58C425E6"/>
    <w:rsid w:val="58D2260D"/>
    <w:rsid w:val="58D42829"/>
    <w:rsid w:val="58E363A9"/>
    <w:rsid w:val="58E80082"/>
    <w:rsid w:val="58E93DFA"/>
    <w:rsid w:val="58FA4691"/>
    <w:rsid w:val="58FF5129"/>
    <w:rsid w:val="590430A4"/>
    <w:rsid w:val="59123351"/>
    <w:rsid w:val="59166304"/>
    <w:rsid w:val="591F15CA"/>
    <w:rsid w:val="59260BAB"/>
    <w:rsid w:val="592B7F6F"/>
    <w:rsid w:val="592D3CE7"/>
    <w:rsid w:val="595E1678"/>
    <w:rsid w:val="596C096E"/>
    <w:rsid w:val="596D5BD4"/>
    <w:rsid w:val="597162CA"/>
    <w:rsid w:val="597E3DD8"/>
    <w:rsid w:val="59A85A64"/>
    <w:rsid w:val="59C52172"/>
    <w:rsid w:val="59CC1752"/>
    <w:rsid w:val="59F80043"/>
    <w:rsid w:val="5A010894"/>
    <w:rsid w:val="5A032C9A"/>
    <w:rsid w:val="5A056A12"/>
    <w:rsid w:val="5A09252F"/>
    <w:rsid w:val="5A0B2778"/>
    <w:rsid w:val="5A0E2ACB"/>
    <w:rsid w:val="5A25452A"/>
    <w:rsid w:val="5A2A7C7B"/>
    <w:rsid w:val="5A3E2560"/>
    <w:rsid w:val="5A451CE5"/>
    <w:rsid w:val="5A490FF5"/>
    <w:rsid w:val="5A5654C0"/>
    <w:rsid w:val="5A5D3B6E"/>
    <w:rsid w:val="5A623E64"/>
    <w:rsid w:val="5A637A76"/>
    <w:rsid w:val="5A6D33BA"/>
    <w:rsid w:val="5A792B1F"/>
    <w:rsid w:val="5A7F4A16"/>
    <w:rsid w:val="5A874767"/>
    <w:rsid w:val="5A8E07B6"/>
    <w:rsid w:val="5A9A53AC"/>
    <w:rsid w:val="5AA1498D"/>
    <w:rsid w:val="5AA65E1E"/>
    <w:rsid w:val="5AA85BE2"/>
    <w:rsid w:val="5AAD6F28"/>
    <w:rsid w:val="5AAF78B7"/>
    <w:rsid w:val="5AB741B0"/>
    <w:rsid w:val="5ABF4662"/>
    <w:rsid w:val="5ACC12DE"/>
    <w:rsid w:val="5AD63A24"/>
    <w:rsid w:val="5AD97498"/>
    <w:rsid w:val="5B10566E"/>
    <w:rsid w:val="5B1769FD"/>
    <w:rsid w:val="5B21162A"/>
    <w:rsid w:val="5B2B06FA"/>
    <w:rsid w:val="5B2D7FCE"/>
    <w:rsid w:val="5B2E1A1D"/>
    <w:rsid w:val="5B3E16B7"/>
    <w:rsid w:val="5B3F7D02"/>
    <w:rsid w:val="5B764487"/>
    <w:rsid w:val="5B783F74"/>
    <w:rsid w:val="5B7E082A"/>
    <w:rsid w:val="5B834092"/>
    <w:rsid w:val="5B843A1C"/>
    <w:rsid w:val="5B873E3F"/>
    <w:rsid w:val="5B87770C"/>
    <w:rsid w:val="5BB74202"/>
    <w:rsid w:val="5BBE156E"/>
    <w:rsid w:val="5BC85F49"/>
    <w:rsid w:val="5BCB750F"/>
    <w:rsid w:val="5BD20B76"/>
    <w:rsid w:val="5BDD441B"/>
    <w:rsid w:val="5BEA2363"/>
    <w:rsid w:val="5BF31218"/>
    <w:rsid w:val="5BF3594F"/>
    <w:rsid w:val="5BF8682E"/>
    <w:rsid w:val="5BFB00CD"/>
    <w:rsid w:val="5BFE7B8E"/>
    <w:rsid w:val="5C02690E"/>
    <w:rsid w:val="5C1473E0"/>
    <w:rsid w:val="5C196DA7"/>
    <w:rsid w:val="5C1D0043"/>
    <w:rsid w:val="5C292E8C"/>
    <w:rsid w:val="5C2A048C"/>
    <w:rsid w:val="5C2A2760"/>
    <w:rsid w:val="5C35307A"/>
    <w:rsid w:val="5C403D31"/>
    <w:rsid w:val="5C4C6B7A"/>
    <w:rsid w:val="5C6B34A4"/>
    <w:rsid w:val="5C7B120D"/>
    <w:rsid w:val="5C80234E"/>
    <w:rsid w:val="5C8A1451"/>
    <w:rsid w:val="5C8A5083"/>
    <w:rsid w:val="5C8A680C"/>
    <w:rsid w:val="5C974299"/>
    <w:rsid w:val="5CC74453"/>
    <w:rsid w:val="5CF35248"/>
    <w:rsid w:val="5CF76AE6"/>
    <w:rsid w:val="5CF938D1"/>
    <w:rsid w:val="5D0C4701"/>
    <w:rsid w:val="5D0F0395"/>
    <w:rsid w:val="5D1C654D"/>
    <w:rsid w:val="5D221076"/>
    <w:rsid w:val="5D2B2C34"/>
    <w:rsid w:val="5D2D69AC"/>
    <w:rsid w:val="5D397964"/>
    <w:rsid w:val="5D55380D"/>
    <w:rsid w:val="5D5A391C"/>
    <w:rsid w:val="5D5F10C0"/>
    <w:rsid w:val="5D656145"/>
    <w:rsid w:val="5D6879E4"/>
    <w:rsid w:val="5D693773"/>
    <w:rsid w:val="5D6E48CE"/>
    <w:rsid w:val="5D7F6ADB"/>
    <w:rsid w:val="5D891B7B"/>
    <w:rsid w:val="5D9500AD"/>
    <w:rsid w:val="5D964551"/>
    <w:rsid w:val="5DA54794"/>
    <w:rsid w:val="5DAD38EE"/>
    <w:rsid w:val="5DB04EE7"/>
    <w:rsid w:val="5DC15346"/>
    <w:rsid w:val="5DE60919"/>
    <w:rsid w:val="5E006862"/>
    <w:rsid w:val="5E0207B9"/>
    <w:rsid w:val="5E1834A1"/>
    <w:rsid w:val="5E261785"/>
    <w:rsid w:val="5E4A7017"/>
    <w:rsid w:val="5E552BBA"/>
    <w:rsid w:val="5E611C10"/>
    <w:rsid w:val="5E6737F7"/>
    <w:rsid w:val="5E677C9B"/>
    <w:rsid w:val="5E6957C1"/>
    <w:rsid w:val="5E7212CC"/>
    <w:rsid w:val="5E7303EE"/>
    <w:rsid w:val="5E7A0F3F"/>
    <w:rsid w:val="5E8343A9"/>
    <w:rsid w:val="5EA20CD3"/>
    <w:rsid w:val="5EC7073A"/>
    <w:rsid w:val="5ED66574"/>
    <w:rsid w:val="5EDF5A84"/>
    <w:rsid w:val="5EF64F7E"/>
    <w:rsid w:val="5EFC7377"/>
    <w:rsid w:val="5F0454EA"/>
    <w:rsid w:val="5F06174D"/>
    <w:rsid w:val="5F0B0627"/>
    <w:rsid w:val="5F0C439F"/>
    <w:rsid w:val="5F13397F"/>
    <w:rsid w:val="5F180F96"/>
    <w:rsid w:val="5F1871E8"/>
    <w:rsid w:val="5F2D4A41"/>
    <w:rsid w:val="5F3A3602"/>
    <w:rsid w:val="5F3C4C84"/>
    <w:rsid w:val="5F45733B"/>
    <w:rsid w:val="5F4C0C3F"/>
    <w:rsid w:val="5F6277C6"/>
    <w:rsid w:val="5F6D0B1D"/>
    <w:rsid w:val="5F797C86"/>
    <w:rsid w:val="5F84662B"/>
    <w:rsid w:val="5F8D0B82"/>
    <w:rsid w:val="5F8D3732"/>
    <w:rsid w:val="5FC627A0"/>
    <w:rsid w:val="5FCC5339"/>
    <w:rsid w:val="5FD8704C"/>
    <w:rsid w:val="5FE34A5B"/>
    <w:rsid w:val="5FFE1E36"/>
    <w:rsid w:val="60031C46"/>
    <w:rsid w:val="600F4147"/>
    <w:rsid w:val="60161979"/>
    <w:rsid w:val="60163727"/>
    <w:rsid w:val="60232584"/>
    <w:rsid w:val="602F2A3B"/>
    <w:rsid w:val="60327E35"/>
    <w:rsid w:val="604D2EC1"/>
    <w:rsid w:val="606F1014"/>
    <w:rsid w:val="607330CE"/>
    <w:rsid w:val="60822B6A"/>
    <w:rsid w:val="60825176"/>
    <w:rsid w:val="60870181"/>
    <w:rsid w:val="60996106"/>
    <w:rsid w:val="609F2AC4"/>
    <w:rsid w:val="60B06BCD"/>
    <w:rsid w:val="60B82A30"/>
    <w:rsid w:val="60C018E5"/>
    <w:rsid w:val="60C50CA9"/>
    <w:rsid w:val="60EE1F8C"/>
    <w:rsid w:val="60F021CA"/>
    <w:rsid w:val="60F872D1"/>
    <w:rsid w:val="60FA2EE8"/>
    <w:rsid w:val="61054A27"/>
    <w:rsid w:val="61083887"/>
    <w:rsid w:val="610A52BC"/>
    <w:rsid w:val="6117739C"/>
    <w:rsid w:val="611D2366"/>
    <w:rsid w:val="61241643"/>
    <w:rsid w:val="61241E74"/>
    <w:rsid w:val="61243C22"/>
    <w:rsid w:val="612A5DE1"/>
    <w:rsid w:val="613100ED"/>
    <w:rsid w:val="613C71BD"/>
    <w:rsid w:val="61421856"/>
    <w:rsid w:val="614F2E34"/>
    <w:rsid w:val="615227C4"/>
    <w:rsid w:val="61654E3F"/>
    <w:rsid w:val="616704D0"/>
    <w:rsid w:val="617701F5"/>
    <w:rsid w:val="6182292A"/>
    <w:rsid w:val="619012B7"/>
    <w:rsid w:val="61903065"/>
    <w:rsid w:val="619F7F92"/>
    <w:rsid w:val="61B054B5"/>
    <w:rsid w:val="61E81EE3"/>
    <w:rsid w:val="61F94C26"/>
    <w:rsid w:val="61FE605B"/>
    <w:rsid w:val="62000E56"/>
    <w:rsid w:val="62034EC4"/>
    <w:rsid w:val="620B6B90"/>
    <w:rsid w:val="622D4D58"/>
    <w:rsid w:val="62397BA1"/>
    <w:rsid w:val="624F3E49"/>
    <w:rsid w:val="62514EEA"/>
    <w:rsid w:val="625E3163"/>
    <w:rsid w:val="62620EA5"/>
    <w:rsid w:val="62632286"/>
    <w:rsid w:val="62885958"/>
    <w:rsid w:val="628964F1"/>
    <w:rsid w:val="628A03FC"/>
    <w:rsid w:val="62A0552A"/>
    <w:rsid w:val="62B11D45"/>
    <w:rsid w:val="62C92CD3"/>
    <w:rsid w:val="62E716F6"/>
    <w:rsid w:val="62EC69C1"/>
    <w:rsid w:val="62F40B65"/>
    <w:rsid w:val="62F80177"/>
    <w:rsid w:val="62FC2CFE"/>
    <w:rsid w:val="63024505"/>
    <w:rsid w:val="63247F09"/>
    <w:rsid w:val="6328604A"/>
    <w:rsid w:val="63312626"/>
    <w:rsid w:val="63442359"/>
    <w:rsid w:val="63473BF7"/>
    <w:rsid w:val="63506F50"/>
    <w:rsid w:val="635307EE"/>
    <w:rsid w:val="635600A5"/>
    <w:rsid w:val="635B1DB5"/>
    <w:rsid w:val="63711FED"/>
    <w:rsid w:val="63880DDC"/>
    <w:rsid w:val="638906B4"/>
    <w:rsid w:val="638D750D"/>
    <w:rsid w:val="6390559E"/>
    <w:rsid w:val="6397143E"/>
    <w:rsid w:val="639C3F43"/>
    <w:rsid w:val="63AC6CC0"/>
    <w:rsid w:val="63B35731"/>
    <w:rsid w:val="63B53257"/>
    <w:rsid w:val="63CD67F3"/>
    <w:rsid w:val="63CE4319"/>
    <w:rsid w:val="63D77671"/>
    <w:rsid w:val="63EA73A4"/>
    <w:rsid w:val="63EF5D46"/>
    <w:rsid w:val="64055776"/>
    <w:rsid w:val="640E4CAC"/>
    <w:rsid w:val="641206A9"/>
    <w:rsid w:val="64124205"/>
    <w:rsid w:val="64240056"/>
    <w:rsid w:val="64321020"/>
    <w:rsid w:val="643E143A"/>
    <w:rsid w:val="64491666"/>
    <w:rsid w:val="644B5969"/>
    <w:rsid w:val="64634A61"/>
    <w:rsid w:val="646D3B32"/>
    <w:rsid w:val="6472739A"/>
    <w:rsid w:val="64850E7B"/>
    <w:rsid w:val="648B6EEF"/>
    <w:rsid w:val="648F3AA8"/>
    <w:rsid w:val="64A31301"/>
    <w:rsid w:val="64A642D5"/>
    <w:rsid w:val="64AD03D2"/>
    <w:rsid w:val="64C158BF"/>
    <w:rsid w:val="64C33752"/>
    <w:rsid w:val="64CE2EAA"/>
    <w:rsid w:val="64D21BE7"/>
    <w:rsid w:val="64EB29F5"/>
    <w:rsid w:val="650224CC"/>
    <w:rsid w:val="651641C9"/>
    <w:rsid w:val="65165F77"/>
    <w:rsid w:val="65222B6E"/>
    <w:rsid w:val="6531690D"/>
    <w:rsid w:val="653C3090"/>
    <w:rsid w:val="653F54CE"/>
    <w:rsid w:val="65444892"/>
    <w:rsid w:val="654C7BEB"/>
    <w:rsid w:val="65613696"/>
    <w:rsid w:val="65644F35"/>
    <w:rsid w:val="65670581"/>
    <w:rsid w:val="65781D8E"/>
    <w:rsid w:val="65854376"/>
    <w:rsid w:val="658767BE"/>
    <w:rsid w:val="65892531"/>
    <w:rsid w:val="6598698C"/>
    <w:rsid w:val="65BA2DA7"/>
    <w:rsid w:val="65D6331D"/>
    <w:rsid w:val="65DF45BB"/>
    <w:rsid w:val="65E120E1"/>
    <w:rsid w:val="65FE0EE5"/>
    <w:rsid w:val="65FF6A0B"/>
    <w:rsid w:val="66195831"/>
    <w:rsid w:val="661E1587"/>
    <w:rsid w:val="66216982"/>
    <w:rsid w:val="66235BDF"/>
    <w:rsid w:val="662E75B1"/>
    <w:rsid w:val="66342C2E"/>
    <w:rsid w:val="6635242D"/>
    <w:rsid w:val="663E784C"/>
    <w:rsid w:val="66462F0E"/>
    <w:rsid w:val="665706FC"/>
    <w:rsid w:val="6659611C"/>
    <w:rsid w:val="667C6A1A"/>
    <w:rsid w:val="66891512"/>
    <w:rsid w:val="668B6A45"/>
    <w:rsid w:val="668E709D"/>
    <w:rsid w:val="668F1B3D"/>
    <w:rsid w:val="66925AD1"/>
    <w:rsid w:val="6692787F"/>
    <w:rsid w:val="66976C44"/>
    <w:rsid w:val="66BA4C15"/>
    <w:rsid w:val="66CD08B8"/>
    <w:rsid w:val="66E63727"/>
    <w:rsid w:val="6716225F"/>
    <w:rsid w:val="67193AFD"/>
    <w:rsid w:val="67283D40"/>
    <w:rsid w:val="672F3F24"/>
    <w:rsid w:val="673E055F"/>
    <w:rsid w:val="674072DB"/>
    <w:rsid w:val="67551CE3"/>
    <w:rsid w:val="675608AD"/>
    <w:rsid w:val="6759214B"/>
    <w:rsid w:val="678E44EB"/>
    <w:rsid w:val="67A22552"/>
    <w:rsid w:val="67B22DCC"/>
    <w:rsid w:val="67B6759E"/>
    <w:rsid w:val="67BE71AA"/>
    <w:rsid w:val="67CC0B6F"/>
    <w:rsid w:val="67D0065F"/>
    <w:rsid w:val="67D90273"/>
    <w:rsid w:val="67DE5875"/>
    <w:rsid w:val="67E55852"/>
    <w:rsid w:val="67EB1AB4"/>
    <w:rsid w:val="67FA1285"/>
    <w:rsid w:val="67FC3CC5"/>
    <w:rsid w:val="68097BF3"/>
    <w:rsid w:val="68112A26"/>
    <w:rsid w:val="681744E0"/>
    <w:rsid w:val="68264723"/>
    <w:rsid w:val="683C3F47"/>
    <w:rsid w:val="684B418A"/>
    <w:rsid w:val="68551F4F"/>
    <w:rsid w:val="68594AF9"/>
    <w:rsid w:val="686412CD"/>
    <w:rsid w:val="68694610"/>
    <w:rsid w:val="687C10C9"/>
    <w:rsid w:val="687F5BE1"/>
    <w:rsid w:val="68840C16"/>
    <w:rsid w:val="68876EFB"/>
    <w:rsid w:val="68884654"/>
    <w:rsid w:val="68953657"/>
    <w:rsid w:val="689E292E"/>
    <w:rsid w:val="689E42BA"/>
    <w:rsid w:val="689F444F"/>
    <w:rsid w:val="68B96DBB"/>
    <w:rsid w:val="68CA2805"/>
    <w:rsid w:val="68CD1043"/>
    <w:rsid w:val="68E10F1F"/>
    <w:rsid w:val="68E209D9"/>
    <w:rsid w:val="68E937A3"/>
    <w:rsid w:val="68F26D32"/>
    <w:rsid w:val="68FE744E"/>
    <w:rsid w:val="690D143F"/>
    <w:rsid w:val="690F55F8"/>
    <w:rsid w:val="69106F9B"/>
    <w:rsid w:val="691602F4"/>
    <w:rsid w:val="69197DE4"/>
    <w:rsid w:val="691E189E"/>
    <w:rsid w:val="69232A11"/>
    <w:rsid w:val="692A75B8"/>
    <w:rsid w:val="692C3FBB"/>
    <w:rsid w:val="693E15D3"/>
    <w:rsid w:val="69401815"/>
    <w:rsid w:val="69603C65"/>
    <w:rsid w:val="69627681"/>
    <w:rsid w:val="696A6892"/>
    <w:rsid w:val="6977531D"/>
    <w:rsid w:val="697D6733"/>
    <w:rsid w:val="69831701"/>
    <w:rsid w:val="698F62F8"/>
    <w:rsid w:val="69B0699A"/>
    <w:rsid w:val="69BF098B"/>
    <w:rsid w:val="69CC2BFF"/>
    <w:rsid w:val="69DB2C04"/>
    <w:rsid w:val="69EA352F"/>
    <w:rsid w:val="69F10D61"/>
    <w:rsid w:val="69F148BD"/>
    <w:rsid w:val="69F33B09"/>
    <w:rsid w:val="69F60125"/>
    <w:rsid w:val="69FD55B8"/>
    <w:rsid w:val="6A002D52"/>
    <w:rsid w:val="6A0B1C62"/>
    <w:rsid w:val="6A0E36C1"/>
    <w:rsid w:val="6A2406C8"/>
    <w:rsid w:val="6A362F0A"/>
    <w:rsid w:val="6A3B3D8A"/>
    <w:rsid w:val="6A425119"/>
    <w:rsid w:val="6A484E25"/>
    <w:rsid w:val="6A49294B"/>
    <w:rsid w:val="6A696B49"/>
    <w:rsid w:val="6A701C86"/>
    <w:rsid w:val="6A883473"/>
    <w:rsid w:val="6A8D2838"/>
    <w:rsid w:val="6AA162E3"/>
    <w:rsid w:val="6AA33E09"/>
    <w:rsid w:val="6AA61BD5"/>
    <w:rsid w:val="6AA77936"/>
    <w:rsid w:val="6AAE27AE"/>
    <w:rsid w:val="6ABE6E95"/>
    <w:rsid w:val="6AC00E5F"/>
    <w:rsid w:val="6ADE0BD1"/>
    <w:rsid w:val="6ADE3093"/>
    <w:rsid w:val="6AE96859"/>
    <w:rsid w:val="6AEC1C54"/>
    <w:rsid w:val="6AED1528"/>
    <w:rsid w:val="6AF01018"/>
    <w:rsid w:val="6AF74155"/>
    <w:rsid w:val="6B1116BB"/>
    <w:rsid w:val="6B147746"/>
    <w:rsid w:val="6B24787C"/>
    <w:rsid w:val="6B2B10FF"/>
    <w:rsid w:val="6B315033"/>
    <w:rsid w:val="6B347157"/>
    <w:rsid w:val="6B405AFC"/>
    <w:rsid w:val="6B411367"/>
    <w:rsid w:val="6B431148"/>
    <w:rsid w:val="6B4E5234"/>
    <w:rsid w:val="6B573233"/>
    <w:rsid w:val="6B574042"/>
    <w:rsid w:val="6B5B6274"/>
    <w:rsid w:val="6B7B3CF2"/>
    <w:rsid w:val="6B7E6624"/>
    <w:rsid w:val="6B910106"/>
    <w:rsid w:val="6B935D53"/>
    <w:rsid w:val="6B9419A4"/>
    <w:rsid w:val="6BB9765C"/>
    <w:rsid w:val="6BBA58AE"/>
    <w:rsid w:val="6BC77FCB"/>
    <w:rsid w:val="6BE741CA"/>
    <w:rsid w:val="6BF16DF6"/>
    <w:rsid w:val="6C196F71"/>
    <w:rsid w:val="6C1F5711"/>
    <w:rsid w:val="6C226FCB"/>
    <w:rsid w:val="6C264CF2"/>
    <w:rsid w:val="6C31226F"/>
    <w:rsid w:val="6C363AC1"/>
    <w:rsid w:val="6C400E08"/>
    <w:rsid w:val="6C474C68"/>
    <w:rsid w:val="6C494E84"/>
    <w:rsid w:val="6C517895"/>
    <w:rsid w:val="6C552F0B"/>
    <w:rsid w:val="6C5C6966"/>
    <w:rsid w:val="6C833770"/>
    <w:rsid w:val="6C841A18"/>
    <w:rsid w:val="6C850C61"/>
    <w:rsid w:val="6C861C34"/>
    <w:rsid w:val="6C871509"/>
    <w:rsid w:val="6C8C67B7"/>
    <w:rsid w:val="6C904861"/>
    <w:rsid w:val="6C9500C9"/>
    <w:rsid w:val="6C960EA3"/>
    <w:rsid w:val="6C9D744C"/>
    <w:rsid w:val="6CA17875"/>
    <w:rsid w:val="6CA9147F"/>
    <w:rsid w:val="6CA976D1"/>
    <w:rsid w:val="6CC45376"/>
    <w:rsid w:val="6CC8224D"/>
    <w:rsid w:val="6CDA7B30"/>
    <w:rsid w:val="6CEC129F"/>
    <w:rsid w:val="6CED5810"/>
    <w:rsid w:val="6CEF77DA"/>
    <w:rsid w:val="6D167928"/>
    <w:rsid w:val="6D17288C"/>
    <w:rsid w:val="6D1B05CF"/>
    <w:rsid w:val="6D26299B"/>
    <w:rsid w:val="6D350F65"/>
    <w:rsid w:val="6D371181"/>
    <w:rsid w:val="6D4772EC"/>
    <w:rsid w:val="6D505D9E"/>
    <w:rsid w:val="6D5238C5"/>
    <w:rsid w:val="6D54763D"/>
    <w:rsid w:val="6D5E04BB"/>
    <w:rsid w:val="6D5E670D"/>
    <w:rsid w:val="6D9078AF"/>
    <w:rsid w:val="6DA124A9"/>
    <w:rsid w:val="6DA57E98"/>
    <w:rsid w:val="6DAA3FEF"/>
    <w:rsid w:val="6DAE1443"/>
    <w:rsid w:val="6DB66549"/>
    <w:rsid w:val="6DBC21CD"/>
    <w:rsid w:val="6DC0172B"/>
    <w:rsid w:val="6DC76061"/>
    <w:rsid w:val="6DCB690C"/>
    <w:rsid w:val="6DD16EDF"/>
    <w:rsid w:val="6DD41A5B"/>
    <w:rsid w:val="6DD8026E"/>
    <w:rsid w:val="6DE45187"/>
    <w:rsid w:val="6DF43C2E"/>
    <w:rsid w:val="6DF51CA3"/>
    <w:rsid w:val="6DF57072"/>
    <w:rsid w:val="6E005A16"/>
    <w:rsid w:val="6E076DA5"/>
    <w:rsid w:val="6E166FE8"/>
    <w:rsid w:val="6E281945"/>
    <w:rsid w:val="6E407894"/>
    <w:rsid w:val="6E565636"/>
    <w:rsid w:val="6E6E2980"/>
    <w:rsid w:val="6E7855AD"/>
    <w:rsid w:val="6E801118"/>
    <w:rsid w:val="6E8335BD"/>
    <w:rsid w:val="6E841868"/>
    <w:rsid w:val="6E8E12EF"/>
    <w:rsid w:val="6E8E4DD0"/>
    <w:rsid w:val="6E9306EE"/>
    <w:rsid w:val="6E972936"/>
    <w:rsid w:val="6E9A3775"/>
    <w:rsid w:val="6E9D3265"/>
    <w:rsid w:val="6EA168B2"/>
    <w:rsid w:val="6EA463A2"/>
    <w:rsid w:val="6EB14BEE"/>
    <w:rsid w:val="6EB5235D"/>
    <w:rsid w:val="6ECF6A6C"/>
    <w:rsid w:val="6ED446C5"/>
    <w:rsid w:val="6ED74553"/>
    <w:rsid w:val="6EDE7B06"/>
    <w:rsid w:val="6EEB2223"/>
    <w:rsid w:val="6EFC7F8C"/>
    <w:rsid w:val="6F23376B"/>
    <w:rsid w:val="6F2A7D94"/>
    <w:rsid w:val="6F5778B8"/>
    <w:rsid w:val="6F5B1156"/>
    <w:rsid w:val="6F5E0C47"/>
    <w:rsid w:val="6F8331F1"/>
    <w:rsid w:val="6F856EBD"/>
    <w:rsid w:val="6F857F81"/>
    <w:rsid w:val="6F8A5598"/>
    <w:rsid w:val="6F926B42"/>
    <w:rsid w:val="6F944668"/>
    <w:rsid w:val="6F975F07"/>
    <w:rsid w:val="6F9C52CB"/>
    <w:rsid w:val="6FAE1A09"/>
    <w:rsid w:val="6FB645DF"/>
    <w:rsid w:val="6FC06C98"/>
    <w:rsid w:val="6FC82564"/>
    <w:rsid w:val="6FD40F09"/>
    <w:rsid w:val="6FD75BF8"/>
    <w:rsid w:val="7012558D"/>
    <w:rsid w:val="701A2DBF"/>
    <w:rsid w:val="705D2CAC"/>
    <w:rsid w:val="707723D0"/>
    <w:rsid w:val="707C7DFD"/>
    <w:rsid w:val="708021F9"/>
    <w:rsid w:val="7080699B"/>
    <w:rsid w:val="708C533F"/>
    <w:rsid w:val="708E10B8"/>
    <w:rsid w:val="70AB3A18"/>
    <w:rsid w:val="70B54896"/>
    <w:rsid w:val="70C90342"/>
    <w:rsid w:val="70D171F6"/>
    <w:rsid w:val="70F133F4"/>
    <w:rsid w:val="70F5661B"/>
    <w:rsid w:val="710136C7"/>
    <w:rsid w:val="71033854"/>
    <w:rsid w:val="710475CC"/>
    <w:rsid w:val="71094BE2"/>
    <w:rsid w:val="71125845"/>
    <w:rsid w:val="712A5284"/>
    <w:rsid w:val="71360107"/>
    <w:rsid w:val="713B688E"/>
    <w:rsid w:val="71493231"/>
    <w:rsid w:val="71630159"/>
    <w:rsid w:val="71632544"/>
    <w:rsid w:val="716342F2"/>
    <w:rsid w:val="71687B5B"/>
    <w:rsid w:val="717958C4"/>
    <w:rsid w:val="719C5A56"/>
    <w:rsid w:val="71A212BE"/>
    <w:rsid w:val="71A62431"/>
    <w:rsid w:val="71B7145F"/>
    <w:rsid w:val="71BC1C54"/>
    <w:rsid w:val="71D43752"/>
    <w:rsid w:val="71D64AC4"/>
    <w:rsid w:val="71D73331"/>
    <w:rsid w:val="71E44313"/>
    <w:rsid w:val="71F1796A"/>
    <w:rsid w:val="71F31B1A"/>
    <w:rsid w:val="71FB09CF"/>
    <w:rsid w:val="721455EC"/>
    <w:rsid w:val="72154626"/>
    <w:rsid w:val="72262B5D"/>
    <w:rsid w:val="72283FF7"/>
    <w:rsid w:val="722E7212"/>
    <w:rsid w:val="723A0474"/>
    <w:rsid w:val="724A7260"/>
    <w:rsid w:val="725923E4"/>
    <w:rsid w:val="7285473C"/>
    <w:rsid w:val="72864BF7"/>
    <w:rsid w:val="728A50C8"/>
    <w:rsid w:val="729023FC"/>
    <w:rsid w:val="72996E64"/>
    <w:rsid w:val="729B7ABC"/>
    <w:rsid w:val="72AB41A3"/>
    <w:rsid w:val="72B42613"/>
    <w:rsid w:val="72B5390F"/>
    <w:rsid w:val="72D1172F"/>
    <w:rsid w:val="72D74F98"/>
    <w:rsid w:val="72D80D10"/>
    <w:rsid w:val="730003BA"/>
    <w:rsid w:val="73041B05"/>
    <w:rsid w:val="735C36EF"/>
    <w:rsid w:val="73612AB3"/>
    <w:rsid w:val="7375655F"/>
    <w:rsid w:val="737C3CE1"/>
    <w:rsid w:val="738B7B30"/>
    <w:rsid w:val="73C0646E"/>
    <w:rsid w:val="73E060CE"/>
    <w:rsid w:val="73EF187E"/>
    <w:rsid w:val="73F40185"/>
    <w:rsid w:val="73F41B79"/>
    <w:rsid w:val="74096F68"/>
    <w:rsid w:val="742222F5"/>
    <w:rsid w:val="74235FBB"/>
    <w:rsid w:val="742A7349"/>
    <w:rsid w:val="742C1313"/>
    <w:rsid w:val="742F2BB2"/>
    <w:rsid w:val="74365CEE"/>
    <w:rsid w:val="743C1A19"/>
    <w:rsid w:val="74476126"/>
    <w:rsid w:val="74485A21"/>
    <w:rsid w:val="744E128A"/>
    <w:rsid w:val="74554965"/>
    <w:rsid w:val="745A5E80"/>
    <w:rsid w:val="74706664"/>
    <w:rsid w:val="747F3682"/>
    <w:rsid w:val="74890514"/>
    <w:rsid w:val="749C4185"/>
    <w:rsid w:val="74E92D60"/>
    <w:rsid w:val="74F00593"/>
    <w:rsid w:val="74F13428"/>
    <w:rsid w:val="74FA6D1C"/>
    <w:rsid w:val="75022074"/>
    <w:rsid w:val="75067759"/>
    <w:rsid w:val="750925BB"/>
    <w:rsid w:val="75134281"/>
    <w:rsid w:val="752E6DCD"/>
    <w:rsid w:val="75363ACC"/>
    <w:rsid w:val="7551380D"/>
    <w:rsid w:val="755550E4"/>
    <w:rsid w:val="75600BE5"/>
    <w:rsid w:val="7564475C"/>
    <w:rsid w:val="756E770A"/>
    <w:rsid w:val="756F645B"/>
    <w:rsid w:val="75736ACE"/>
    <w:rsid w:val="75742F72"/>
    <w:rsid w:val="757840E4"/>
    <w:rsid w:val="7583797F"/>
    <w:rsid w:val="75A44ED9"/>
    <w:rsid w:val="75A5092B"/>
    <w:rsid w:val="75AE6841"/>
    <w:rsid w:val="75C15A8B"/>
    <w:rsid w:val="75D20F1D"/>
    <w:rsid w:val="75DA2C18"/>
    <w:rsid w:val="75DF4163"/>
    <w:rsid w:val="75E43528"/>
    <w:rsid w:val="75E55C1E"/>
    <w:rsid w:val="75F53987"/>
    <w:rsid w:val="75F54412"/>
    <w:rsid w:val="76045978"/>
    <w:rsid w:val="76157B85"/>
    <w:rsid w:val="761D08E0"/>
    <w:rsid w:val="761F47BD"/>
    <w:rsid w:val="76342701"/>
    <w:rsid w:val="763D7808"/>
    <w:rsid w:val="765D347C"/>
    <w:rsid w:val="766528BB"/>
    <w:rsid w:val="766703E1"/>
    <w:rsid w:val="76696582"/>
    <w:rsid w:val="76826699"/>
    <w:rsid w:val="769E7B7B"/>
    <w:rsid w:val="76B949B4"/>
    <w:rsid w:val="76C4113E"/>
    <w:rsid w:val="76C87133"/>
    <w:rsid w:val="76CD08D5"/>
    <w:rsid w:val="76D17F50"/>
    <w:rsid w:val="76DB4B92"/>
    <w:rsid w:val="770519A8"/>
    <w:rsid w:val="77052AA4"/>
    <w:rsid w:val="77136511"/>
    <w:rsid w:val="77242776"/>
    <w:rsid w:val="77340A39"/>
    <w:rsid w:val="77351FD0"/>
    <w:rsid w:val="773B361B"/>
    <w:rsid w:val="77472422"/>
    <w:rsid w:val="775C313C"/>
    <w:rsid w:val="77626DFA"/>
    <w:rsid w:val="776963DA"/>
    <w:rsid w:val="77754D7F"/>
    <w:rsid w:val="77756B2D"/>
    <w:rsid w:val="77771BE7"/>
    <w:rsid w:val="777F31F2"/>
    <w:rsid w:val="77C17FC5"/>
    <w:rsid w:val="77D1700D"/>
    <w:rsid w:val="77E51F05"/>
    <w:rsid w:val="77EC04CC"/>
    <w:rsid w:val="77ED0DBA"/>
    <w:rsid w:val="77F26296"/>
    <w:rsid w:val="77F57C6E"/>
    <w:rsid w:val="77FF5AF0"/>
    <w:rsid w:val="78160310"/>
    <w:rsid w:val="78393FFF"/>
    <w:rsid w:val="78484242"/>
    <w:rsid w:val="784A77C0"/>
    <w:rsid w:val="784D3606"/>
    <w:rsid w:val="7859559F"/>
    <w:rsid w:val="785A4BCB"/>
    <w:rsid w:val="786A41B8"/>
    <w:rsid w:val="78775729"/>
    <w:rsid w:val="789E0306"/>
    <w:rsid w:val="78A23952"/>
    <w:rsid w:val="78A42DB0"/>
    <w:rsid w:val="78A656AB"/>
    <w:rsid w:val="78B2245C"/>
    <w:rsid w:val="78B47B29"/>
    <w:rsid w:val="78B611AB"/>
    <w:rsid w:val="78BB20BF"/>
    <w:rsid w:val="78D45AD6"/>
    <w:rsid w:val="78E172CC"/>
    <w:rsid w:val="78E21FA1"/>
    <w:rsid w:val="78EA1D1F"/>
    <w:rsid w:val="78F85C68"/>
    <w:rsid w:val="7904172F"/>
    <w:rsid w:val="790F7E27"/>
    <w:rsid w:val="79181E66"/>
    <w:rsid w:val="792A231A"/>
    <w:rsid w:val="79312F28"/>
    <w:rsid w:val="79316829"/>
    <w:rsid w:val="79621333"/>
    <w:rsid w:val="797E66A9"/>
    <w:rsid w:val="797F3C93"/>
    <w:rsid w:val="798518A4"/>
    <w:rsid w:val="798C63B0"/>
    <w:rsid w:val="79A97383"/>
    <w:rsid w:val="79DD2C62"/>
    <w:rsid w:val="79E27E8B"/>
    <w:rsid w:val="79E306C6"/>
    <w:rsid w:val="79E31797"/>
    <w:rsid w:val="79F503F9"/>
    <w:rsid w:val="79F850CE"/>
    <w:rsid w:val="79FD443C"/>
    <w:rsid w:val="7A0128FA"/>
    <w:rsid w:val="7A016D9E"/>
    <w:rsid w:val="7A0E47B7"/>
    <w:rsid w:val="7A1545F8"/>
    <w:rsid w:val="7A1940E8"/>
    <w:rsid w:val="7A195E96"/>
    <w:rsid w:val="7A1D1975"/>
    <w:rsid w:val="7A2237E9"/>
    <w:rsid w:val="7A2605B3"/>
    <w:rsid w:val="7A2B7977"/>
    <w:rsid w:val="7A3507F6"/>
    <w:rsid w:val="7A36761F"/>
    <w:rsid w:val="7A392094"/>
    <w:rsid w:val="7A3A5E0C"/>
    <w:rsid w:val="7A3E5150"/>
    <w:rsid w:val="7A423DF5"/>
    <w:rsid w:val="7A4670D6"/>
    <w:rsid w:val="7A507A6C"/>
    <w:rsid w:val="7A534B63"/>
    <w:rsid w:val="7A540C7C"/>
    <w:rsid w:val="7A546ECE"/>
    <w:rsid w:val="7A552C46"/>
    <w:rsid w:val="7A615382"/>
    <w:rsid w:val="7A67303B"/>
    <w:rsid w:val="7A6730A5"/>
    <w:rsid w:val="7A7B08FF"/>
    <w:rsid w:val="7A82780E"/>
    <w:rsid w:val="7A8C48BA"/>
    <w:rsid w:val="7A995229"/>
    <w:rsid w:val="7AA00365"/>
    <w:rsid w:val="7AAB1D04"/>
    <w:rsid w:val="7AAD767B"/>
    <w:rsid w:val="7ABA4368"/>
    <w:rsid w:val="7AC51B7A"/>
    <w:rsid w:val="7AD05746"/>
    <w:rsid w:val="7AE364A4"/>
    <w:rsid w:val="7AF7469A"/>
    <w:rsid w:val="7B034450"/>
    <w:rsid w:val="7B072192"/>
    <w:rsid w:val="7B164183"/>
    <w:rsid w:val="7B257FFD"/>
    <w:rsid w:val="7B2B78A7"/>
    <w:rsid w:val="7B2F3497"/>
    <w:rsid w:val="7B3311D9"/>
    <w:rsid w:val="7B343476"/>
    <w:rsid w:val="7B384A74"/>
    <w:rsid w:val="7B406FC4"/>
    <w:rsid w:val="7B4A207F"/>
    <w:rsid w:val="7B501B9A"/>
    <w:rsid w:val="7B542EFE"/>
    <w:rsid w:val="7B5A2978"/>
    <w:rsid w:val="7B5A7E4C"/>
    <w:rsid w:val="7B5D5BC0"/>
    <w:rsid w:val="7B667AF9"/>
    <w:rsid w:val="7B7468F8"/>
    <w:rsid w:val="7B8B2DC3"/>
    <w:rsid w:val="7B8F3F36"/>
    <w:rsid w:val="7B9F23CB"/>
    <w:rsid w:val="7BDE5F92"/>
    <w:rsid w:val="7BEE0103"/>
    <w:rsid w:val="7C014E34"/>
    <w:rsid w:val="7C0A0FE4"/>
    <w:rsid w:val="7C0D71FB"/>
    <w:rsid w:val="7C1728A9"/>
    <w:rsid w:val="7C211032"/>
    <w:rsid w:val="7C254906"/>
    <w:rsid w:val="7C2774C6"/>
    <w:rsid w:val="7C2C698C"/>
    <w:rsid w:val="7C3A6597"/>
    <w:rsid w:val="7C480CB4"/>
    <w:rsid w:val="7C4B4301"/>
    <w:rsid w:val="7C4C2D73"/>
    <w:rsid w:val="7C590818"/>
    <w:rsid w:val="7C5E2286"/>
    <w:rsid w:val="7C792C1C"/>
    <w:rsid w:val="7C7C10F6"/>
    <w:rsid w:val="7C7E6484"/>
    <w:rsid w:val="7C8141C6"/>
    <w:rsid w:val="7C853BEA"/>
    <w:rsid w:val="7C881368"/>
    <w:rsid w:val="7C8B294F"/>
    <w:rsid w:val="7C8E41ED"/>
    <w:rsid w:val="7CAA54CB"/>
    <w:rsid w:val="7CB73744"/>
    <w:rsid w:val="7CBE0F77"/>
    <w:rsid w:val="7CE27788"/>
    <w:rsid w:val="7CE309DD"/>
    <w:rsid w:val="7CE502B1"/>
    <w:rsid w:val="7CF229CE"/>
    <w:rsid w:val="7CF93D5D"/>
    <w:rsid w:val="7CFE75C5"/>
    <w:rsid w:val="7CFF1678"/>
    <w:rsid w:val="7D073115"/>
    <w:rsid w:val="7D0746CC"/>
    <w:rsid w:val="7D0C32F1"/>
    <w:rsid w:val="7D0F408D"/>
    <w:rsid w:val="7D3F20B7"/>
    <w:rsid w:val="7D472D1A"/>
    <w:rsid w:val="7D491C6C"/>
    <w:rsid w:val="7D4F72D8"/>
    <w:rsid w:val="7D5176F5"/>
    <w:rsid w:val="7D5429C0"/>
    <w:rsid w:val="7D5D42EC"/>
    <w:rsid w:val="7D6D1902"/>
    <w:rsid w:val="7D6E6D43"/>
    <w:rsid w:val="7D711B45"/>
    <w:rsid w:val="7D7D673C"/>
    <w:rsid w:val="7D80622C"/>
    <w:rsid w:val="7D957F29"/>
    <w:rsid w:val="7D9A2762"/>
    <w:rsid w:val="7DB57A34"/>
    <w:rsid w:val="7DB61C4E"/>
    <w:rsid w:val="7DBB13D0"/>
    <w:rsid w:val="7DBF4FA6"/>
    <w:rsid w:val="7DD02D0F"/>
    <w:rsid w:val="7DDA593C"/>
    <w:rsid w:val="7DE40569"/>
    <w:rsid w:val="7DE60973"/>
    <w:rsid w:val="7DEC3367"/>
    <w:rsid w:val="7DEC566F"/>
    <w:rsid w:val="7DEE3196"/>
    <w:rsid w:val="7DEF0916"/>
    <w:rsid w:val="7DF06F0E"/>
    <w:rsid w:val="7E0D3F64"/>
    <w:rsid w:val="7E1E5218"/>
    <w:rsid w:val="7E751B09"/>
    <w:rsid w:val="7E7713DD"/>
    <w:rsid w:val="7E7A0ECD"/>
    <w:rsid w:val="7E837D82"/>
    <w:rsid w:val="7E861620"/>
    <w:rsid w:val="7E9A4E1F"/>
    <w:rsid w:val="7E9F1065"/>
    <w:rsid w:val="7EA330B6"/>
    <w:rsid w:val="7EA7723A"/>
    <w:rsid w:val="7EB73ECF"/>
    <w:rsid w:val="7EC74AC1"/>
    <w:rsid w:val="7EC9775F"/>
    <w:rsid w:val="7ECD1958"/>
    <w:rsid w:val="7EDB5E10"/>
    <w:rsid w:val="7EF50554"/>
    <w:rsid w:val="7EF56FBB"/>
    <w:rsid w:val="7EF7251E"/>
    <w:rsid w:val="7F0768EB"/>
    <w:rsid w:val="7F143BEC"/>
    <w:rsid w:val="7F160BF6"/>
    <w:rsid w:val="7F192494"/>
    <w:rsid w:val="7F286B7B"/>
    <w:rsid w:val="7F313C82"/>
    <w:rsid w:val="7F315A30"/>
    <w:rsid w:val="7F5931D8"/>
    <w:rsid w:val="7F596D35"/>
    <w:rsid w:val="7F5B65FE"/>
    <w:rsid w:val="7F5E259D"/>
    <w:rsid w:val="7F6C4CBA"/>
    <w:rsid w:val="7F715AF2"/>
    <w:rsid w:val="7F877DA3"/>
    <w:rsid w:val="7F886E69"/>
    <w:rsid w:val="7F8C2C66"/>
    <w:rsid w:val="7F914720"/>
    <w:rsid w:val="7FAB54FD"/>
    <w:rsid w:val="7FAC3308"/>
    <w:rsid w:val="7FB4039A"/>
    <w:rsid w:val="7FBB354B"/>
    <w:rsid w:val="7FE42AA2"/>
    <w:rsid w:val="7FF32CE5"/>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64"/>
    <w:qFormat/>
    <w:uiPriority w:val="0"/>
    <w:pPr>
      <w:spacing w:line="480" w:lineRule="exact"/>
      <w:ind w:firstLine="480" w:firstLineChars="200"/>
    </w:pPr>
    <w:rPr>
      <w:rFonts w:ascii="宋体" w:hAnsi="宋体"/>
      <w:sz w:val="24"/>
    </w:rPr>
  </w:style>
  <w:style w:type="paragraph" w:styleId="3">
    <w:name w:val="Body Text First Indent 2"/>
    <w:basedOn w:val="2"/>
    <w:next w:val="1"/>
    <w:link w:val="120"/>
    <w:qFormat/>
    <w:uiPriority w:val="0"/>
    <w:pPr>
      <w:adjustRightInd/>
      <w:spacing w:after="120" w:line="240" w:lineRule="auto"/>
      <w:ind w:left="420" w:leftChars="200" w:firstLine="210"/>
    </w:pPr>
    <w:rPr>
      <w:sz w:val="21"/>
    </w:rPr>
  </w:style>
  <w:style w:type="paragraph" w:styleId="7">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8"/>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1"/>
    <w:qFormat/>
    <w:uiPriority w:val="0"/>
    <w:pPr>
      <w:shd w:val="clear" w:color="auto" w:fill="000080"/>
    </w:pPr>
  </w:style>
  <w:style w:type="paragraph" w:styleId="21">
    <w:name w:val="annotation text"/>
    <w:basedOn w:val="1"/>
    <w:link w:val="343"/>
    <w:qFormat/>
    <w:uiPriority w:val="99"/>
    <w:pPr>
      <w:jc w:val="left"/>
    </w:pPr>
  </w:style>
  <w:style w:type="paragraph" w:styleId="22">
    <w:name w:val="Salutation"/>
    <w:basedOn w:val="1"/>
    <w:next w:val="1"/>
    <w:link w:val="297"/>
    <w:qFormat/>
    <w:uiPriority w:val="0"/>
    <w:rPr>
      <w:rFonts w:ascii="仿宋_GB2312" w:eastAsia="仿宋_GB2312"/>
      <w:sz w:val="28"/>
      <w:szCs w:val="20"/>
    </w:rPr>
  </w:style>
  <w:style w:type="paragraph" w:styleId="23">
    <w:name w:val="Body Text 3"/>
    <w:basedOn w:val="1"/>
    <w:link w:val="329"/>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9"/>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320"/>
    <w:qFormat/>
    <w:uiPriority w:val="0"/>
    <w:pPr>
      <w:ind w:firstLine="420"/>
    </w:pPr>
    <w:rPr>
      <w:rFonts w:hAnsi="Calibri" w:cs="Times New Roman"/>
      <w:snapToGrid/>
      <w:szCs w:val="20"/>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4"/>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0"/>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31"/>
    <w:qFormat/>
    <w:uiPriority w:val="0"/>
    <w:rPr>
      <w:lang w:val="zh-CN"/>
    </w:rPr>
  </w:style>
  <w:style w:type="paragraph" w:styleId="40">
    <w:name w:val="Balloon Text"/>
    <w:basedOn w:val="1"/>
    <w:link w:val="187"/>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envelope return"/>
    <w:basedOn w:val="1"/>
    <w:qFormat/>
    <w:uiPriority w:val="0"/>
    <w:pPr>
      <w:snapToGrid w:val="0"/>
    </w:pPr>
    <w:rPr>
      <w:rFonts w:ascii="Arial" w:hAnsi="Arial"/>
    </w:rPr>
  </w:style>
  <w:style w:type="paragraph" w:styleId="43">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309"/>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4"/>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1"/>
    <w:qFormat/>
    <w:uiPriority w:val="0"/>
    <w:pPr>
      <w:spacing w:after="120" w:line="480" w:lineRule="auto"/>
    </w:pPr>
  </w:style>
  <w:style w:type="paragraph" w:styleId="59">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1"/>
    <w:next w:val="21"/>
    <w:link w:val="95"/>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_Style 2"/>
    <w:basedOn w:val="1"/>
    <w:next w:val="1"/>
    <w:qFormat/>
    <w:uiPriority w:val="0"/>
    <w:pPr>
      <w:ind w:firstLine="420" w:firstLineChars="200"/>
    </w:p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2"/>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3"/>
    <w:qFormat/>
    <w:uiPriority w:val="0"/>
    <w:rPr>
      <w:rFonts w:ascii="宋体" w:hAnsi="宋体"/>
      <w:kern w:val="2"/>
      <w:sz w:val="21"/>
      <w:szCs w:val="24"/>
    </w:rPr>
  </w:style>
  <w:style w:type="character" w:customStyle="1" w:styleId="121">
    <w:name w:val="font11"/>
    <w:basedOn w:val="70"/>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0"/>
    <w:qFormat/>
    <w:uiPriority w:val="0"/>
    <w:rPr>
      <w:rFonts w:ascii="Arial" w:hAnsi="Arial" w:eastAsia="黑体" w:cs="Arial"/>
      <w:snapToGrid w:val="0"/>
      <w:kern w:val="0"/>
      <w:szCs w:val="21"/>
    </w:rPr>
  </w:style>
  <w:style w:type="character" w:customStyle="1" w:styleId="124">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9"/>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10"/>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5"/>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7"/>
    <w:qFormat/>
    <w:uiPriority w:val="0"/>
    <w:rPr>
      <w:rFonts w:ascii="宋体"/>
      <w:kern w:val="2"/>
      <w:sz w:val="24"/>
      <w:szCs w:val="21"/>
      <w:lang w:val="zh-CN"/>
    </w:rPr>
  </w:style>
  <w:style w:type="character" w:customStyle="1" w:styleId="181">
    <w:name w:val="标题 9 Char"/>
    <w:link w:val="13"/>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0"/>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40"/>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7"/>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20"/>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0"/>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1"/>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8"/>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8"/>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
    <w:qFormat/>
    <w:uiPriority w:val="0"/>
    <w:rPr>
      <w:rFonts w:ascii="宋体" w:hAnsi="宋体"/>
      <w:kern w:val="2"/>
      <w:sz w:val="24"/>
      <w:szCs w:val="24"/>
    </w:rPr>
  </w:style>
  <w:style w:type="character" w:customStyle="1" w:styleId="265">
    <w:name w:val="font01"/>
    <w:basedOn w:val="70"/>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4"/>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1"/>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9"/>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2"/>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9"/>
    <w:qFormat/>
    <w:uiPriority w:val="0"/>
    <w:rPr>
      <w:rFonts w:ascii="黑体" w:hAnsi="Courier New" w:eastAsia="黑体"/>
    </w:rPr>
  </w:style>
  <w:style w:type="character" w:customStyle="1" w:styleId="301">
    <w:name w:val="正文文本 2 Char1"/>
    <w:link w:val="58"/>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8"/>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1"/>
    <w:qFormat/>
    <w:uiPriority w:val="0"/>
    <w:rPr>
      <w:b/>
      <w:bCs/>
      <w:kern w:val="2"/>
      <w:sz w:val="24"/>
      <w:szCs w:val="24"/>
    </w:rPr>
  </w:style>
  <w:style w:type="character" w:customStyle="1" w:styleId="307">
    <w:name w:val="正文文本缩进 2 Char"/>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2"/>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6"/>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8"/>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3"/>
    <w:qFormat/>
    <w:uiPriority w:val="0"/>
    <w:rPr>
      <w:kern w:val="2"/>
      <w:sz w:val="21"/>
    </w:rPr>
  </w:style>
  <w:style w:type="character" w:customStyle="1" w:styleId="330">
    <w:name w:val="font31"/>
    <w:basedOn w:val="70"/>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1"/>
    <w:qFormat/>
    <w:uiPriority w:val="0"/>
    <w:rPr>
      <w:kern w:val="2"/>
      <w:sz w:val="21"/>
      <w:szCs w:val="24"/>
    </w:rPr>
  </w:style>
  <w:style w:type="character" w:customStyle="1" w:styleId="344">
    <w:name w:val="签名 Char"/>
    <w:link w:val="44"/>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2"/>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basedOn w:val="70"/>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5"/>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3"/>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7"/>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5"/>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6"/>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6"/>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2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8"/>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8"/>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4"/>
    <w:qFormat/>
    <w:uiPriority w:val="0"/>
    <w:pPr>
      <w:tabs>
        <w:tab w:val="left" w:pos="840"/>
      </w:tabs>
      <w:adjustRightInd/>
      <w:ind w:left="840" w:hanging="420"/>
    </w:pPr>
  </w:style>
  <w:style w:type="paragraph" w:customStyle="1" w:styleId="625">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8"/>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6"/>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6"/>
    <w:next w:val="55"/>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0"/>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9"/>
    <w:next w:val="1"/>
    <w:qFormat/>
    <w:uiPriority w:val="0"/>
    <w:pPr>
      <w:tabs>
        <w:tab w:val="left" w:pos="1080"/>
      </w:tabs>
      <w:ind w:left="1080" w:hanging="1080"/>
    </w:pPr>
  </w:style>
  <w:style w:type="paragraph" w:customStyle="1" w:styleId="896">
    <w:name w:val="数字标题1"/>
    <w:basedOn w:val="4"/>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9"/>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Other|1"/>
    <w:basedOn w:val="1"/>
    <w:qFormat/>
    <w:uiPriority w:val="0"/>
    <w:pPr>
      <w:jc w:val="center"/>
    </w:pPr>
    <w:rPr>
      <w:rFonts w:ascii="宋体" w:hAnsi="宋体" w:cs="宋体"/>
      <w:sz w:val="18"/>
      <w:szCs w:val="18"/>
      <w:lang w:val="zh-TW" w:eastAsia="zh-TW" w:bidi="zh-TW"/>
    </w:rPr>
  </w:style>
  <w:style w:type="paragraph" w:customStyle="1" w:styleId="965">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966">
    <w:name w:val="Table Normal1"/>
    <w:semiHidden/>
    <w:unhideWhenUsed/>
    <w:qFormat/>
    <w:uiPriority w:val="0"/>
    <w:rPr>
      <w:rFonts w:ascii="Arial" w:hAnsi="Arial" w:cs="Arial"/>
    </w:rPr>
    <w:tblPr>
      <w:tblCellMar>
        <w:top w:w="0" w:type="dxa"/>
        <w:left w:w="0" w:type="dxa"/>
        <w:bottom w:w="0" w:type="dxa"/>
        <w:right w:w="0" w:type="dxa"/>
      </w:tblCellMar>
    </w:tblPr>
  </w:style>
  <w:style w:type="paragraph" w:customStyle="1" w:styleId="967">
    <w:name w:val="B2"/>
    <w:basedOn w:val="1"/>
    <w:qFormat/>
    <w:uiPriority w:val="0"/>
    <w:pPr>
      <w:numPr>
        <w:ilvl w:val="1"/>
        <w:numId w:val="1"/>
      </w:numPr>
      <w:tabs>
        <w:tab w:val="left" w:pos="1418"/>
        <w:tab w:val="clear" w:pos="1440"/>
      </w:tabs>
      <w:snapToGrid w:val="0"/>
      <w:spacing w:before="156"/>
      <w:outlineLvl w:val="1"/>
    </w:pPr>
    <w:rPr>
      <w:rFonts w:ascii="Arial Narrow" w:hAnsi="Arial Narrow" w:eastAsia="仿宋"/>
      <w:b/>
      <w:sz w:val="24"/>
    </w:rPr>
  </w:style>
  <w:style w:type="paragraph" w:customStyle="1" w:styleId="968">
    <w:name w:val="B1"/>
    <w:basedOn w:val="1"/>
    <w:qFormat/>
    <w:uiPriority w:val="0"/>
    <w:pPr>
      <w:numPr>
        <w:ilvl w:val="0"/>
        <w:numId w:val="1"/>
      </w:numPr>
      <w:tabs>
        <w:tab w:val="left" w:pos="1418"/>
      </w:tabs>
      <w:spacing w:before="156"/>
      <w:ind w:left="1418" w:hanging="1418"/>
      <w:outlineLvl w:val="0"/>
    </w:pPr>
    <w:rPr>
      <w:rFonts w:ascii="Arial Narrow" w:hAnsi="Arial Narrow" w:eastAsia="仿宋"/>
      <w:b/>
      <w:sz w:val="28"/>
    </w:rPr>
  </w:style>
  <w:style w:type="paragraph" w:customStyle="1" w:styleId="969">
    <w:name w:val="B3"/>
    <w:basedOn w:val="967"/>
    <w:qFormat/>
    <w:uiPriority w:val="0"/>
    <w:pPr>
      <w:numPr>
        <w:ilvl w:val="2"/>
      </w:numPr>
      <w:outlineLvl w:val="2"/>
    </w:pPr>
    <w:rPr>
      <w:b w:val="0"/>
    </w:rPr>
  </w:style>
  <w:style w:type="paragraph" w:customStyle="1" w:styleId="970">
    <w:name w:val="B4"/>
    <w:basedOn w:val="969"/>
    <w:qFormat/>
    <w:uiPriority w:val="0"/>
    <w:pPr>
      <w:numPr>
        <w:ilvl w:val="3"/>
      </w:numPr>
      <w:outlineLvl w:val="3"/>
    </w:pPr>
  </w:style>
  <w:style w:type="character" w:customStyle="1" w:styleId="971">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DF3D2-F2AE-45F5-8434-967D6537F710}">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89</Pages>
  <Words>45958</Words>
  <Characters>49826</Characters>
  <Lines>71</Lines>
  <Paragraphs>82</Paragraphs>
  <TotalTime>1</TotalTime>
  <ScaleCrop>false</ScaleCrop>
  <LinksUpToDate>false</LinksUpToDate>
  <CharactersWithSpaces>53953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2023-04-25T02:29:00Z</dcterms:created>
  <dc:creator>玥</dc:creator>
  <cp:lastModifiedBy>三三</cp:lastModifiedBy>
  <cp:lastPrinted>2021-12-27T11:06:00Z</cp:lastPrinted>
  <dcterms:modified xsi:type="dcterms:W3CDTF">2023-07-04T01:02:41Z</dcterms:modified>
  <dc:title>杭州市市民卡扩大发卡工程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15684AC93B394FA085104FF9D3B9417F_13</vt:lpwstr>
  </property>
</Properties>
</file>