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360" w:lineRule="auto"/>
        <w:ind w:firstLine="420"/>
        <w:jc w:val="center"/>
        <w:rPr>
          <w:rFonts w:ascii="宋体" w:hAnsi="宋体" w:cs="宋体"/>
          <w:color w:val="auto"/>
          <w:sz w:val="32"/>
          <w:szCs w:val="32"/>
          <w:highlight w:val="none"/>
        </w:rPr>
      </w:pPr>
    </w:p>
    <w:p>
      <w:pPr>
        <w:spacing w:line="360" w:lineRule="auto"/>
        <w:jc w:val="both"/>
        <w:rPr>
          <w:rFonts w:ascii="宋体" w:hAnsi="宋体" w:cs="宋体"/>
          <w:color w:val="auto"/>
          <w:sz w:val="44"/>
          <w:szCs w:val="44"/>
          <w:highlight w:val="none"/>
        </w:rPr>
      </w:pPr>
    </w:p>
    <w:p>
      <w:pPr>
        <w:spacing w:before="120" w:beforeLines="50" w:line="360" w:lineRule="auto"/>
        <w:jc w:val="center"/>
        <w:rPr>
          <w:rFonts w:ascii="宋体" w:hAnsi="宋体" w:cs="宋体"/>
          <w:b/>
          <w:bCs/>
          <w:color w:val="auto"/>
          <w:sz w:val="52"/>
          <w:szCs w:val="52"/>
          <w:highlight w:val="none"/>
        </w:rPr>
      </w:pPr>
      <w:r>
        <w:rPr>
          <w:rFonts w:hint="eastAsia" w:ascii="宋体" w:hAnsi="宋体" w:cs="宋体"/>
          <w:b/>
          <w:bCs/>
          <w:color w:val="auto"/>
          <w:sz w:val="52"/>
          <w:szCs w:val="52"/>
          <w:highlight w:val="none"/>
          <w:lang w:eastAsia="zh-CN"/>
        </w:rPr>
        <w:t>丽水市中心医院体外冲击波碎石机、全自动快速微生物质谱检测系统采购项目</w:t>
      </w:r>
      <w:r>
        <w:rPr>
          <w:rFonts w:hint="eastAsia" w:ascii="宋体" w:hAnsi="宋体" w:cs="宋体"/>
          <w:b/>
          <w:bCs/>
          <w:color w:val="auto"/>
          <w:sz w:val="52"/>
          <w:szCs w:val="52"/>
          <w:highlight w:val="none"/>
        </w:rPr>
        <w:t>公开招标文件</w:t>
      </w:r>
    </w:p>
    <w:p>
      <w:pPr>
        <w:snapToGrid w:val="0"/>
        <w:spacing w:before="120" w:beforeLines="50" w:line="360" w:lineRule="auto"/>
        <w:rPr>
          <w:rFonts w:hint="eastAsia" w:ascii="宋体" w:hAnsi="宋体" w:cs="宋体"/>
          <w:color w:val="auto"/>
          <w:sz w:val="30"/>
          <w:szCs w:val="30"/>
          <w:highlight w:val="none"/>
        </w:rPr>
      </w:pPr>
      <w:r>
        <w:rPr>
          <w:rFonts w:hint="eastAsia" w:ascii="宋体" w:hAnsi="宋体" w:cs="宋体"/>
          <w:color w:val="auto"/>
          <w:sz w:val="30"/>
          <w:szCs w:val="30"/>
          <w:highlight w:val="none"/>
        </w:rPr>
        <w:t xml:space="preserve"> </w:t>
      </w:r>
    </w:p>
    <w:p>
      <w:pPr>
        <w:pStyle w:val="2"/>
        <w:rPr>
          <w:rFonts w:hint="eastAsia" w:ascii="宋体" w:hAnsi="宋体" w:cs="宋体"/>
          <w:color w:val="auto"/>
          <w:sz w:val="30"/>
          <w:szCs w:val="30"/>
          <w:highlight w:val="none"/>
        </w:rPr>
      </w:pPr>
    </w:p>
    <w:p>
      <w:pPr>
        <w:rPr>
          <w:rFonts w:hint="eastAsia" w:ascii="宋体" w:hAnsi="宋体" w:cs="宋体"/>
          <w:color w:val="auto"/>
          <w:sz w:val="30"/>
          <w:szCs w:val="30"/>
          <w:highlight w:val="none"/>
        </w:rPr>
      </w:pPr>
    </w:p>
    <w:p>
      <w:pPr>
        <w:pStyle w:val="2"/>
        <w:rPr>
          <w:color w:val="auto"/>
          <w:highlight w:val="none"/>
        </w:rPr>
      </w:pPr>
    </w:p>
    <w:p>
      <w:pPr>
        <w:pStyle w:val="24"/>
        <w:snapToGrid w:val="0"/>
        <w:spacing w:beforeLines="0" w:afterLines="0" w:line="360" w:lineRule="auto"/>
        <w:rPr>
          <w:rFonts w:hAnsi="宋体"/>
          <w:b/>
          <w:bCs/>
          <w:color w:val="auto"/>
          <w:sz w:val="30"/>
          <w:szCs w:val="30"/>
          <w:highlight w:val="none"/>
        </w:rPr>
      </w:pPr>
    </w:p>
    <w:p>
      <w:pPr>
        <w:pStyle w:val="24"/>
        <w:snapToGrid w:val="0"/>
        <w:spacing w:beforeLines="0" w:afterLines="0" w:line="360" w:lineRule="auto"/>
        <w:rPr>
          <w:rFonts w:hAnsi="宋体"/>
          <w:b/>
          <w:bCs/>
          <w:color w:val="auto"/>
          <w:sz w:val="30"/>
          <w:szCs w:val="30"/>
          <w:highlight w:val="none"/>
        </w:rPr>
      </w:pPr>
      <w:r>
        <w:rPr>
          <w:rFonts w:hint="eastAsia" w:hAnsi="宋体"/>
          <w:b/>
          <w:bCs/>
          <w:color w:val="auto"/>
          <w:sz w:val="30"/>
          <w:szCs w:val="30"/>
          <w:highlight w:val="none"/>
        </w:rPr>
        <w:t>项目编号：CBNB-20221869GLS</w:t>
      </w:r>
    </w:p>
    <w:p>
      <w:pPr>
        <w:pStyle w:val="24"/>
        <w:snapToGrid w:val="0"/>
        <w:spacing w:beforeLines="0" w:afterLines="0" w:line="360" w:lineRule="auto"/>
        <w:rPr>
          <w:rFonts w:hint="eastAsia" w:hAnsi="宋体" w:eastAsia="宋体"/>
          <w:b/>
          <w:bCs/>
          <w:color w:val="auto"/>
          <w:sz w:val="30"/>
          <w:szCs w:val="30"/>
          <w:highlight w:val="none"/>
          <w:lang w:eastAsia="zh-CN"/>
        </w:rPr>
      </w:pPr>
      <w:r>
        <w:rPr>
          <w:rFonts w:hint="eastAsia" w:hAnsi="宋体"/>
          <w:b/>
          <w:bCs/>
          <w:color w:val="auto"/>
          <w:sz w:val="30"/>
          <w:szCs w:val="30"/>
          <w:highlight w:val="none"/>
        </w:rPr>
        <w:t>项目名称：</w:t>
      </w:r>
      <w:r>
        <w:rPr>
          <w:rFonts w:hint="eastAsia" w:hAnsi="宋体"/>
          <w:b/>
          <w:bCs/>
          <w:color w:val="auto"/>
          <w:sz w:val="30"/>
          <w:szCs w:val="30"/>
          <w:highlight w:val="none"/>
          <w:lang w:eastAsia="zh-CN"/>
        </w:rPr>
        <w:t>丽水市中心医院体外冲击波碎石机、全自动快速微生物质谱检测系统采购项目</w:t>
      </w:r>
    </w:p>
    <w:p>
      <w:pPr>
        <w:pStyle w:val="24"/>
        <w:snapToGrid w:val="0"/>
        <w:spacing w:beforeLines="0" w:afterLines="0" w:line="360" w:lineRule="auto"/>
        <w:rPr>
          <w:rFonts w:hAnsi="宋体"/>
          <w:b/>
          <w:bCs/>
          <w:color w:val="auto"/>
          <w:sz w:val="30"/>
          <w:szCs w:val="30"/>
          <w:highlight w:val="none"/>
        </w:rPr>
      </w:pPr>
      <w:r>
        <w:rPr>
          <w:rFonts w:hint="eastAsia" w:hAnsi="宋体"/>
          <w:b/>
          <w:bCs/>
          <w:color w:val="auto"/>
          <w:sz w:val="30"/>
          <w:szCs w:val="30"/>
          <w:highlight w:val="none"/>
        </w:rPr>
        <w:t>采购单位：丽水市中心医院</w:t>
      </w:r>
    </w:p>
    <w:p>
      <w:pPr>
        <w:pStyle w:val="24"/>
        <w:snapToGrid w:val="0"/>
        <w:spacing w:beforeLines="0" w:afterLines="0" w:line="360" w:lineRule="auto"/>
        <w:rPr>
          <w:rFonts w:hAnsi="宋体"/>
          <w:b/>
          <w:bCs/>
          <w:color w:val="auto"/>
          <w:sz w:val="30"/>
          <w:szCs w:val="30"/>
          <w:highlight w:val="none"/>
        </w:rPr>
      </w:pPr>
      <w:r>
        <w:rPr>
          <w:rFonts w:hint="eastAsia" w:hAnsi="宋体"/>
          <w:b/>
          <w:bCs/>
          <w:color w:val="auto"/>
          <w:sz w:val="30"/>
          <w:szCs w:val="30"/>
          <w:highlight w:val="none"/>
        </w:rPr>
        <w:t>代理机构：宁波中基国际招标有限公司</w:t>
      </w:r>
    </w:p>
    <w:p>
      <w:pPr>
        <w:snapToGrid w:val="0"/>
        <w:spacing w:before="120" w:beforeLines="50" w:line="360" w:lineRule="auto"/>
        <w:jc w:val="center"/>
        <w:rPr>
          <w:rFonts w:ascii="宋体" w:hAnsi="宋体" w:cs="宋体"/>
          <w:b/>
          <w:bCs/>
          <w:color w:val="auto"/>
          <w:w w:val="95"/>
          <w:sz w:val="30"/>
          <w:szCs w:val="30"/>
          <w:highlight w:val="none"/>
        </w:rPr>
      </w:pPr>
    </w:p>
    <w:p>
      <w:pPr>
        <w:snapToGrid w:val="0"/>
        <w:spacing w:before="120" w:beforeLines="50" w:line="360" w:lineRule="auto"/>
        <w:rPr>
          <w:rFonts w:ascii="宋体" w:hAnsi="宋体" w:cs="宋体"/>
          <w:b/>
          <w:bCs/>
          <w:color w:val="auto"/>
          <w:w w:val="95"/>
          <w:sz w:val="30"/>
          <w:szCs w:val="30"/>
          <w:highlight w:val="none"/>
        </w:rPr>
      </w:pPr>
    </w:p>
    <w:p>
      <w:pPr>
        <w:snapToGrid w:val="0"/>
        <w:spacing w:before="120" w:beforeLines="50" w:line="360" w:lineRule="auto"/>
        <w:jc w:val="center"/>
        <w:rPr>
          <w:rFonts w:ascii="宋体" w:hAnsi="宋体" w:cs="宋体"/>
          <w:b/>
          <w:bCs/>
          <w:color w:val="auto"/>
          <w:w w:val="95"/>
          <w:sz w:val="30"/>
          <w:szCs w:val="30"/>
          <w:highlight w:val="none"/>
        </w:rPr>
      </w:pPr>
    </w:p>
    <w:p>
      <w:pPr>
        <w:snapToGrid w:val="0"/>
        <w:spacing w:before="120" w:beforeLines="50" w:line="360" w:lineRule="auto"/>
        <w:jc w:val="center"/>
        <w:rPr>
          <w:rFonts w:ascii="宋体" w:hAnsi="宋体" w:cs="宋体"/>
          <w:color w:val="auto"/>
          <w:sz w:val="30"/>
          <w:szCs w:val="30"/>
          <w:highlight w:val="none"/>
        </w:rPr>
      </w:pPr>
      <w:r>
        <w:rPr>
          <w:rFonts w:hint="eastAsia" w:ascii="宋体" w:hAnsi="宋体" w:cs="宋体"/>
          <w:b/>
          <w:bCs/>
          <w:color w:val="auto"/>
          <w:w w:val="95"/>
          <w:sz w:val="30"/>
          <w:szCs w:val="30"/>
          <w:highlight w:val="none"/>
        </w:rPr>
        <w:t>2022 年12月</w:t>
      </w:r>
    </w:p>
    <w:p>
      <w:pPr>
        <w:spacing w:line="360" w:lineRule="auto"/>
        <w:jc w:val="center"/>
        <w:rPr>
          <w:rFonts w:ascii="宋体" w:hAnsi="宋体" w:cs="宋体"/>
          <w:color w:val="auto"/>
          <w:sz w:val="32"/>
          <w:szCs w:val="32"/>
          <w:highlight w:val="none"/>
        </w:rPr>
      </w:pPr>
      <w:r>
        <w:rPr>
          <w:rFonts w:hint="eastAsia" w:ascii="宋体" w:hAnsi="宋体" w:cs="宋体"/>
          <w:color w:val="auto"/>
          <w:highlight w:val="none"/>
        </w:rPr>
        <w:br w:type="page"/>
      </w:r>
    </w:p>
    <w:p>
      <w:pPr>
        <w:spacing w:line="360" w:lineRule="auto"/>
        <w:jc w:val="center"/>
        <w:rPr>
          <w:rFonts w:ascii="宋体" w:hAnsi="宋体" w:cs="宋体"/>
          <w:b/>
          <w:bCs/>
          <w:color w:val="auto"/>
          <w:sz w:val="40"/>
          <w:szCs w:val="40"/>
          <w:highlight w:val="none"/>
        </w:rPr>
      </w:pPr>
      <w:r>
        <w:rPr>
          <w:rFonts w:hint="eastAsia" w:ascii="宋体" w:hAnsi="宋体" w:cs="宋体"/>
          <w:b/>
          <w:bCs/>
          <w:color w:val="auto"/>
          <w:sz w:val="40"/>
          <w:szCs w:val="40"/>
          <w:highlight w:val="none"/>
        </w:rPr>
        <w:t>目    录</w:t>
      </w:r>
    </w:p>
    <w:p>
      <w:pPr>
        <w:pStyle w:val="18"/>
        <w:rPr>
          <w:rFonts w:ascii="宋体" w:hAnsi="宋体" w:cs="宋体"/>
          <w:color w:val="auto"/>
          <w:highlight w:val="none"/>
        </w:rPr>
      </w:pPr>
    </w:p>
    <w:p>
      <w:pPr>
        <w:pStyle w:val="32"/>
        <w:tabs>
          <w:tab w:val="right" w:leader="dot" w:pos="8721"/>
        </w:tabs>
        <w:spacing w:line="480" w:lineRule="auto"/>
        <w:rPr>
          <w:rFonts w:ascii="宋体" w:hAnsi="宋体" w:cs="宋体"/>
          <w:b/>
          <w:bCs/>
          <w:color w:val="auto"/>
          <w:sz w:val="30"/>
          <w:szCs w:val="30"/>
          <w:highlight w:val="none"/>
        </w:rPr>
      </w:pPr>
      <w:r>
        <w:rPr>
          <w:rFonts w:hint="eastAsia" w:ascii="宋体" w:hAnsi="宋体" w:cs="宋体"/>
          <w:b/>
          <w:bCs/>
          <w:color w:val="auto"/>
          <w:sz w:val="30"/>
          <w:szCs w:val="30"/>
          <w:highlight w:val="none"/>
        </w:rPr>
        <w:fldChar w:fldCharType="begin"/>
      </w:r>
      <w:r>
        <w:rPr>
          <w:rFonts w:hint="eastAsia" w:ascii="宋体" w:hAnsi="宋体" w:cs="宋体"/>
          <w:b/>
          <w:bCs/>
          <w:color w:val="auto"/>
          <w:sz w:val="30"/>
          <w:szCs w:val="30"/>
          <w:highlight w:val="none"/>
        </w:rPr>
        <w:instrText xml:space="preserve"> TOC \o "1-3" \h \z \u </w:instrText>
      </w:r>
      <w:r>
        <w:rPr>
          <w:rFonts w:hint="eastAsia" w:ascii="宋体" w:hAnsi="宋体" w:cs="宋体"/>
          <w:b/>
          <w:bCs/>
          <w:color w:val="auto"/>
          <w:sz w:val="30"/>
          <w:szCs w:val="30"/>
          <w:highlight w:val="none"/>
        </w:rPr>
        <w:fldChar w:fldCharType="separate"/>
      </w:r>
      <w:r>
        <w:rPr>
          <w:color w:val="auto"/>
          <w:highlight w:val="none"/>
        </w:rPr>
        <w:fldChar w:fldCharType="begin"/>
      </w:r>
      <w:r>
        <w:rPr>
          <w:color w:val="auto"/>
          <w:highlight w:val="none"/>
        </w:rPr>
        <w:instrText xml:space="preserve"> HYPERLINK \l "_Toc47388278" </w:instrText>
      </w:r>
      <w:r>
        <w:rPr>
          <w:color w:val="auto"/>
          <w:highlight w:val="none"/>
        </w:rPr>
        <w:fldChar w:fldCharType="separate"/>
      </w:r>
      <w:r>
        <w:rPr>
          <w:rFonts w:hint="eastAsia" w:ascii="宋体" w:hAnsi="宋体" w:cs="宋体"/>
          <w:b/>
          <w:bCs/>
          <w:color w:val="auto"/>
          <w:sz w:val="30"/>
          <w:szCs w:val="30"/>
          <w:highlight w:val="none"/>
        </w:rPr>
        <w:t>第一章 公开招标采购公告</w:t>
      </w:r>
      <w:r>
        <w:rPr>
          <w:rFonts w:hint="eastAsia" w:ascii="宋体" w:hAnsi="宋体" w:cs="宋体"/>
          <w:b/>
          <w:bCs/>
          <w:color w:val="auto"/>
          <w:sz w:val="30"/>
          <w:szCs w:val="30"/>
          <w:highlight w:val="none"/>
        </w:rPr>
        <w:tab/>
      </w:r>
      <w:r>
        <w:rPr>
          <w:rFonts w:hint="eastAsia" w:ascii="宋体" w:hAnsi="宋体" w:cs="宋体"/>
          <w:b/>
          <w:bCs/>
          <w:color w:val="auto"/>
          <w:sz w:val="30"/>
          <w:szCs w:val="30"/>
          <w:highlight w:val="none"/>
        </w:rPr>
        <w:fldChar w:fldCharType="begin"/>
      </w:r>
      <w:r>
        <w:rPr>
          <w:rFonts w:hint="eastAsia" w:ascii="宋体" w:hAnsi="宋体" w:cs="宋体"/>
          <w:b/>
          <w:bCs/>
          <w:color w:val="auto"/>
          <w:sz w:val="30"/>
          <w:szCs w:val="30"/>
          <w:highlight w:val="none"/>
        </w:rPr>
        <w:instrText xml:space="preserve"> PAGEREF _Toc47388278 \h </w:instrText>
      </w:r>
      <w:r>
        <w:rPr>
          <w:rFonts w:hint="eastAsia" w:ascii="宋体" w:hAnsi="宋体" w:cs="宋体"/>
          <w:b/>
          <w:bCs/>
          <w:color w:val="auto"/>
          <w:sz w:val="30"/>
          <w:szCs w:val="30"/>
          <w:highlight w:val="none"/>
        </w:rPr>
        <w:fldChar w:fldCharType="separate"/>
      </w:r>
      <w:r>
        <w:rPr>
          <w:rFonts w:hint="eastAsia" w:ascii="宋体" w:hAnsi="宋体" w:cs="宋体"/>
          <w:b/>
          <w:bCs/>
          <w:color w:val="auto"/>
          <w:sz w:val="30"/>
          <w:szCs w:val="30"/>
          <w:highlight w:val="none"/>
        </w:rPr>
        <w:t>3</w:t>
      </w:r>
      <w:r>
        <w:rPr>
          <w:rFonts w:hint="eastAsia" w:ascii="宋体" w:hAnsi="宋体" w:cs="宋体"/>
          <w:b/>
          <w:bCs/>
          <w:color w:val="auto"/>
          <w:sz w:val="30"/>
          <w:szCs w:val="30"/>
          <w:highlight w:val="none"/>
        </w:rPr>
        <w:fldChar w:fldCharType="end"/>
      </w:r>
      <w:r>
        <w:rPr>
          <w:rFonts w:hint="eastAsia" w:ascii="宋体" w:hAnsi="宋体" w:cs="宋体"/>
          <w:b/>
          <w:bCs/>
          <w:color w:val="auto"/>
          <w:sz w:val="30"/>
          <w:szCs w:val="30"/>
          <w:highlight w:val="none"/>
        </w:rPr>
        <w:fldChar w:fldCharType="end"/>
      </w:r>
    </w:p>
    <w:p>
      <w:pPr>
        <w:pStyle w:val="32"/>
        <w:tabs>
          <w:tab w:val="right" w:leader="dot" w:pos="8721"/>
        </w:tabs>
        <w:spacing w:line="480" w:lineRule="auto"/>
        <w:rPr>
          <w:rFonts w:ascii="宋体" w:hAnsi="宋体" w:cs="宋体"/>
          <w:b/>
          <w:bCs/>
          <w:color w:val="auto"/>
          <w:sz w:val="30"/>
          <w:szCs w:val="30"/>
          <w:highlight w:val="none"/>
        </w:rPr>
      </w:pPr>
      <w:r>
        <w:rPr>
          <w:color w:val="auto"/>
          <w:highlight w:val="none"/>
        </w:rPr>
        <w:fldChar w:fldCharType="begin"/>
      </w:r>
      <w:r>
        <w:rPr>
          <w:color w:val="auto"/>
          <w:highlight w:val="none"/>
        </w:rPr>
        <w:instrText xml:space="preserve"> HYPERLINK \l "_Toc47388280" </w:instrText>
      </w:r>
      <w:r>
        <w:rPr>
          <w:color w:val="auto"/>
          <w:highlight w:val="none"/>
        </w:rPr>
        <w:fldChar w:fldCharType="separate"/>
      </w:r>
      <w:r>
        <w:rPr>
          <w:rFonts w:hint="eastAsia" w:ascii="宋体" w:hAnsi="宋体" w:cs="宋体"/>
          <w:b/>
          <w:bCs/>
          <w:color w:val="auto"/>
          <w:sz w:val="30"/>
          <w:szCs w:val="30"/>
          <w:highlight w:val="none"/>
        </w:rPr>
        <w:t>第二章  招标需求</w:t>
      </w:r>
      <w:r>
        <w:rPr>
          <w:rFonts w:hint="eastAsia" w:ascii="宋体" w:hAnsi="宋体" w:cs="宋体"/>
          <w:b/>
          <w:bCs/>
          <w:color w:val="auto"/>
          <w:sz w:val="30"/>
          <w:szCs w:val="30"/>
          <w:highlight w:val="none"/>
        </w:rPr>
        <w:tab/>
      </w:r>
      <w:r>
        <w:rPr>
          <w:rFonts w:hint="eastAsia" w:ascii="宋体" w:hAnsi="宋体" w:cs="宋体"/>
          <w:b/>
          <w:bCs/>
          <w:color w:val="auto"/>
          <w:sz w:val="30"/>
          <w:szCs w:val="30"/>
          <w:highlight w:val="none"/>
        </w:rPr>
        <w:fldChar w:fldCharType="begin"/>
      </w:r>
      <w:r>
        <w:rPr>
          <w:rFonts w:hint="eastAsia" w:ascii="宋体" w:hAnsi="宋体" w:cs="宋体"/>
          <w:b/>
          <w:bCs/>
          <w:color w:val="auto"/>
          <w:sz w:val="30"/>
          <w:szCs w:val="30"/>
          <w:highlight w:val="none"/>
        </w:rPr>
        <w:instrText xml:space="preserve"> PAGEREF _Toc47388280 \h </w:instrText>
      </w:r>
      <w:r>
        <w:rPr>
          <w:rFonts w:hint="eastAsia" w:ascii="宋体" w:hAnsi="宋体" w:cs="宋体"/>
          <w:b/>
          <w:bCs/>
          <w:color w:val="auto"/>
          <w:sz w:val="30"/>
          <w:szCs w:val="30"/>
          <w:highlight w:val="none"/>
        </w:rPr>
        <w:fldChar w:fldCharType="separate"/>
      </w:r>
      <w:r>
        <w:rPr>
          <w:rFonts w:hint="eastAsia" w:ascii="宋体" w:hAnsi="宋体" w:cs="宋体"/>
          <w:b/>
          <w:bCs/>
          <w:color w:val="auto"/>
          <w:sz w:val="30"/>
          <w:szCs w:val="30"/>
          <w:highlight w:val="none"/>
        </w:rPr>
        <w:t>7</w:t>
      </w:r>
      <w:r>
        <w:rPr>
          <w:rFonts w:hint="eastAsia" w:ascii="宋体" w:hAnsi="宋体" w:cs="宋体"/>
          <w:b/>
          <w:bCs/>
          <w:color w:val="auto"/>
          <w:sz w:val="30"/>
          <w:szCs w:val="30"/>
          <w:highlight w:val="none"/>
        </w:rPr>
        <w:fldChar w:fldCharType="end"/>
      </w:r>
      <w:r>
        <w:rPr>
          <w:rFonts w:hint="eastAsia" w:ascii="宋体" w:hAnsi="宋体" w:cs="宋体"/>
          <w:b/>
          <w:bCs/>
          <w:color w:val="auto"/>
          <w:sz w:val="30"/>
          <w:szCs w:val="30"/>
          <w:highlight w:val="none"/>
        </w:rPr>
        <w:fldChar w:fldCharType="end"/>
      </w:r>
    </w:p>
    <w:p>
      <w:pPr>
        <w:pStyle w:val="32"/>
        <w:tabs>
          <w:tab w:val="right" w:leader="dot" w:pos="8721"/>
        </w:tabs>
        <w:spacing w:line="480" w:lineRule="auto"/>
        <w:rPr>
          <w:rFonts w:hint="eastAsia" w:ascii="宋体" w:hAnsi="宋体" w:eastAsia="宋体" w:cs="宋体"/>
          <w:b/>
          <w:bCs/>
          <w:color w:val="auto"/>
          <w:sz w:val="30"/>
          <w:szCs w:val="30"/>
          <w:highlight w:val="none"/>
          <w:lang w:eastAsia="zh-CN"/>
        </w:rPr>
      </w:pPr>
      <w:r>
        <w:rPr>
          <w:color w:val="auto"/>
          <w:highlight w:val="none"/>
        </w:rPr>
        <w:fldChar w:fldCharType="begin"/>
      </w:r>
      <w:r>
        <w:rPr>
          <w:color w:val="auto"/>
          <w:highlight w:val="none"/>
        </w:rPr>
        <w:instrText xml:space="preserve"> HYPERLINK \l "_Toc47388317" </w:instrText>
      </w:r>
      <w:r>
        <w:rPr>
          <w:color w:val="auto"/>
          <w:highlight w:val="none"/>
        </w:rPr>
        <w:fldChar w:fldCharType="separate"/>
      </w:r>
      <w:r>
        <w:rPr>
          <w:rFonts w:hint="eastAsia" w:ascii="宋体" w:hAnsi="宋体" w:cs="宋体"/>
          <w:b/>
          <w:bCs/>
          <w:color w:val="auto"/>
          <w:sz w:val="30"/>
          <w:szCs w:val="30"/>
          <w:highlight w:val="none"/>
        </w:rPr>
        <w:t>第三章  投标人须知</w:t>
      </w:r>
      <w:r>
        <w:rPr>
          <w:rFonts w:hint="eastAsia" w:ascii="宋体" w:hAnsi="宋体" w:cs="宋体"/>
          <w:b/>
          <w:bCs/>
          <w:color w:val="auto"/>
          <w:sz w:val="30"/>
          <w:szCs w:val="30"/>
          <w:highlight w:val="none"/>
        </w:rPr>
        <w:tab/>
      </w:r>
      <w:r>
        <w:rPr>
          <w:rFonts w:hint="eastAsia" w:ascii="宋体" w:hAnsi="宋体" w:cs="宋体"/>
          <w:b/>
          <w:bCs/>
          <w:color w:val="auto"/>
          <w:sz w:val="30"/>
          <w:szCs w:val="30"/>
          <w:highlight w:val="none"/>
        </w:rPr>
        <w:t>1</w:t>
      </w:r>
      <w:r>
        <w:rPr>
          <w:rFonts w:hint="eastAsia" w:ascii="宋体" w:hAnsi="宋体" w:cs="宋体"/>
          <w:b/>
          <w:bCs/>
          <w:color w:val="auto"/>
          <w:sz w:val="30"/>
          <w:szCs w:val="30"/>
          <w:highlight w:val="none"/>
        </w:rPr>
        <w:fldChar w:fldCharType="end"/>
      </w:r>
      <w:r>
        <w:rPr>
          <w:rFonts w:hint="eastAsia" w:ascii="宋体" w:hAnsi="宋体" w:cs="宋体"/>
          <w:b/>
          <w:bCs/>
          <w:color w:val="auto"/>
          <w:sz w:val="30"/>
          <w:szCs w:val="30"/>
          <w:highlight w:val="none"/>
          <w:lang w:val="en-US" w:eastAsia="zh-CN"/>
        </w:rPr>
        <w:t>6</w:t>
      </w:r>
    </w:p>
    <w:p>
      <w:pPr>
        <w:pStyle w:val="32"/>
        <w:tabs>
          <w:tab w:val="right" w:leader="dot" w:pos="8721"/>
        </w:tabs>
        <w:spacing w:line="480" w:lineRule="auto"/>
        <w:rPr>
          <w:rFonts w:ascii="宋体" w:hAnsi="宋体" w:cs="宋体"/>
          <w:b/>
          <w:bCs/>
          <w:color w:val="auto"/>
          <w:sz w:val="30"/>
          <w:szCs w:val="30"/>
          <w:highlight w:val="none"/>
        </w:rPr>
      </w:pPr>
      <w:r>
        <w:rPr>
          <w:color w:val="auto"/>
          <w:highlight w:val="none"/>
        </w:rPr>
        <w:fldChar w:fldCharType="begin"/>
      </w:r>
      <w:r>
        <w:rPr>
          <w:color w:val="auto"/>
          <w:highlight w:val="none"/>
        </w:rPr>
        <w:instrText xml:space="preserve"> HYPERLINK \l "_Toc47388384" </w:instrText>
      </w:r>
      <w:r>
        <w:rPr>
          <w:color w:val="auto"/>
          <w:highlight w:val="none"/>
        </w:rPr>
        <w:fldChar w:fldCharType="separate"/>
      </w:r>
      <w:r>
        <w:rPr>
          <w:rFonts w:hint="eastAsia" w:ascii="宋体" w:hAnsi="宋体" w:cs="宋体"/>
          <w:b/>
          <w:bCs/>
          <w:color w:val="auto"/>
          <w:sz w:val="30"/>
          <w:szCs w:val="30"/>
          <w:highlight w:val="none"/>
        </w:rPr>
        <w:t>第四章  评标办法及评分标准</w:t>
      </w:r>
      <w:r>
        <w:rPr>
          <w:rFonts w:hint="eastAsia" w:ascii="宋体" w:hAnsi="宋体" w:cs="宋体"/>
          <w:b/>
          <w:bCs/>
          <w:color w:val="auto"/>
          <w:sz w:val="30"/>
          <w:szCs w:val="30"/>
          <w:highlight w:val="none"/>
        </w:rPr>
        <w:tab/>
      </w:r>
      <w:r>
        <w:rPr>
          <w:rFonts w:hint="eastAsia" w:ascii="宋体" w:hAnsi="宋体" w:cs="宋体"/>
          <w:b/>
          <w:bCs/>
          <w:color w:val="auto"/>
          <w:sz w:val="30"/>
          <w:szCs w:val="30"/>
          <w:highlight w:val="none"/>
        </w:rPr>
        <w:fldChar w:fldCharType="begin"/>
      </w:r>
      <w:r>
        <w:rPr>
          <w:rFonts w:hint="eastAsia" w:ascii="宋体" w:hAnsi="宋体" w:cs="宋体"/>
          <w:b/>
          <w:bCs/>
          <w:color w:val="auto"/>
          <w:sz w:val="30"/>
          <w:szCs w:val="30"/>
          <w:highlight w:val="none"/>
        </w:rPr>
        <w:instrText xml:space="preserve"> PAGEREF _Toc47388384 \h </w:instrText>
      </w:r>
      <w:r>
        <w:rPr>
          <w:rFonts w:hint="eastAsia" w:ascii="宋体" w:hAnsi="宋体" w:cs="宋体"/>
          <w:b/>
          <w:bCs/>
          <w:color w:val="auto"/>
          <w:sz w:val="30"/>
          <w:szCs w:val="30"/>
          <w:highlight w:val="none"/>
        </w:rPr>
        <w:fldChar w:fldCharType="separate"/>
      </w:r>
      <w:r>
        <w:rPr>
          <w:rFonts w:hint="eastAsia" w:ascii="宋体" w:hAnsi="宋体" w:cs="宋体"/>
          <w:b/>
          <w:bCs/>
          <w:color w:val="auto"/>
          <w:sz w:val="30"/>
          <w:szCs w:val="30"/>
          <w:highlight w:val="none"/>
        </w:rPr>
        <w:t>26</w:t>
      </w:r>
      <w:r>
        <w:rPr>
          <w:rFonts w:hint="eastAsia" w:ascii="宋体" w:hAnsi="宋体" w:cs="宋体"/>
          <w:b/>
          <w:bCs/>
          <w:color w:val="auto"/>
          <w:sz w:val="30"/>
          <w:szCs w:val="30"/>
          <w:highlight w:val="none"/>
        </w:rPr>
        <w:fldChar w:fldCharType="end"/>
      </w:r>
      <w:r>
        <w:rPr>
          <w:rFonts w:hint="eastAsia" w:ascii="宋体" w:hAnsi="宋体" w:cs="宋体"/>
          <w:b/>
          <w:bCs/>
          <w:color w:val="auto"/>
          <w:sz w:val="30"/>
          <w:szCs w:val="30"/>
          <w:highlight w:val="none"/>
        </w:rPr>
        <w:fldChar w:fldCharType="end"/>
      </w:r>
    </w:p>
    <w:p>
      <w:pPr>
        <w:pStyle w:val="32"/>
        <w:tabs>
          <w:tab w:val="right" w:leader="dot" w:pos="8721"/>
        </w:tabs>
        <w:spacing w:line="480" w:lineRule="auto"/>
        <w:rPr>
          <w:rFonts w:hint="eastAsia" w:ascii="宋体" w:hAnsi="宋体" w:eastAsia="宋体" w:cs="宋体"/>
          <w:b/>
          <w:bCs/>
          <w:color w:val="auto"/>
          <w:sz w:val="30"/>
          <w:szCs w:val="30"/>
          <w:highlight w:val="none"/>
          <w:lang w:eastAsia="zh-CN"/>
        </w:rPr>
      </w:pPr>
      <w:r>
        <w:rPr>
          <w:color w:val="auto"/>
          <w:highlight w:val="none"/>
        </w:rPr>
        <w:fldChar w:fldCharType="begin"/>
      </w:r>
      <w:r>
        <w:rPr>
          <w:color w:val="auto"/>
          <w:highlight w:val="none"/>
        </w:rPr>
        <w:instrText xml:space="preserve"> HYPERLINK \l "_Toc47388385" </w:instrText>
      </w:r>
      <w:r>
        <w:rPr>
          <w:color w:val="auto"/>
          <w:highlight w:val="none"/>
        </w:rPr>
        <w:fldChar w:fldCharType="separate"/>
      </w:r>
      <w:r>
        <w:rPr>
          <w:rFonts w:hint="eastAsia" w:ascii="宋体" w:hAnsi="宋体" w:cs="宋体"/>
          <w:b/>
          <w:bCs/>
          <w:color w:val="auto"/>
          <w:sz w:val="30"/>
          <w:szCs w:val="30"/>
          <w:highlight w:val="none"/>
        </w:rPr>
        <w:t>第五章  合同主要条款</w:t>
      </w:r>
      <w:r>
        <w:rPr>
          <w:rFonts w:hint="eastAsia" w:ascii="宋体" w:hAnsi="宋体" w:cs="宋体"/>
          <w:b/>
          <w:bCs/>
          <w:color w:val="auto"/>
          <w:sz w:val="30"/>
          <w:szCs w:val="30"/>
          <w:highlight w:val="none"/>
        </w:rPr>
        <w:tab/>
      </w:r>
      <w:r>
        <w:rPr>
          <w:rFonts w:hint="eastAsia" w:ascii="宋体" w:hAnsi="宋体" w:cs="宋体"/>
          <w:b/>
          <w:bCs/>
          <w:color w:val="auto"/>
          <w:sz w:val="30"/>
          <w:szCs w:val="30"/>
          <w:highlight w:val="none"/>
        </w:rPr>
        <w:t>3</w:t>
      </w:r>
      <w:r>
        <w:rPr>
          <w:rFonts w:hint="eastAsia" w:ascii="宋体" w:hAnsi="宋体" w:cs="宋体"/>
          <w:b/>
          <w:bCs/>
          <w:color w:val="auto"/>
          <w:sz w:val="30"/>
          <w:szCs w:val="30"/>
          <w:highlight w:val="none"/>
        </w:rPr>
        <w:fldChar w:fldCharType="end"/>
      </w:r>
      <w:r>
        <w:rPr>
          <w:rFonts w:hint="eastAsia" w:ascii="宋体" w:hAnsi="宋体" w:cs="宋体"/>
          <w:b/>
          <w:bCs/>
          <w:color w:val="auto"/>
          <w:sz w:val="30"/>
          <w:szCs w:val="30"/>
          <w:highlight w:val="none"/>
          <w:lang w:val="en-US" w:eastAsia="zh-CN"/>
        </w:rPr>
        <w:t>6</w:t>
      </w:r>
    </w:p>
    <w:p>
      <w:pPr>
        <w:pStyle w:val="32"/>
        <w:tabs>
          <w:tab w:val="right" w:leader="dot" w:pos="8721"/>
        </w:tabs>
        <w:spacing w:line="480" w:lineRule="auto"/>
        <w:rPr>
          <w:rFonts w:hint="eastAsia" w:ascii="宋体" w:hAnsi="宋体" w:eastAsia="宋体" w:cs="宋体"/>
          <w:b/>
          <w:bCs/>
          <w:color w:val="auto"/>
          <w:sz w:val="30"/>
          <w:szCs w:val="30"/>
          <w:highlight w:val="none"/>
          <w:lang w:val="en-US" w:eastAsia="zh-CN"/>
        </w:rPr>
      </w:pPr>
      <w:r>
        <w:rPr>
          <w:color w:val="auto"/>
          <w:highlight w:val="none"/>
        </w:rPr>
        <w:fldChar w:fldCharType="begin"/>
      </w:r>
      <w:r>
        <w:rPr>
          <w:color w:val="auto"/>
          <w:highlight w:val="none"/>
        </w:rPr>
        <w:instrText xml:space="preserve"> HYPERLINK \l "_Toc47388386" </w:instrText>
      </w:r>
      <w:r>
        <w:rPr>
          <w:color w:val="auto"/>
          <w:highlight w:val="none"/>
        </w:rPr>
        <w:fldChar w:fldCharType="separate"/>
      </w:r>
      <w:r>
        <w:rPr>
          <w:rFonts w:hint="eastAsia" w:ascii="宋体" w:hAnsi="宋体" w:cs="宋体"/>
          <w:b/>
          <w:bCs/>
          <w:color w:val="auto"/>
          <w:sz w:val="30"/>
          <w:szCs w:val="30"/>
          <w:highlight w:val="none"/>
        </w:rPr>
        <w:t>第六章  投标文件格式</w:t>
      </w:r>
      <w:r>
        <w:rPr>
          <w:rFonts w:hint="eastAsia" w:ascii="宋体" w:hAnsi="宋体" w:cs="宋体"/>
          <w:b/>
          <w:bCs/>
          <w:color w:val="auto"/>
          <w:sz w:val="30"/>
          <w:szCs w:val="30"/>
          <w:highlight w:val="none"/>
        </w:rPr>
        <w:tab/>
      </w:r>
      <w:r>
        <w:rPr>
          <w:rFonts w:hint="eastAsia" w:ascii="宋体" w:hAnsi="宋体" w:cs="宋体"/>
          <w:b/>
          <w:bCs/>
          <w:color w:val="auto"/>
          <w:sz w:val="30"/>
          <w:szCs w:val="30"/>
          <w:highlight w:val="none"/>
          <w:lang w:val="en-US" w:eastAsia="zh-CN"/>
        </w:rPr>
        <w:t>4</w:t>
      </w:r>
      <w:r>
        <w:rPr>
          <w:rFonts w:hint="eastAsia" w:ascii="宋体" w:hAnsi="宋体" w:cs="宋体"/>
          <w:b/>
          <w:bCs/>
          <w:color w:val="auto"/>
          <w:sz w:val="30"/>
          <w:szCs w:val="30"/>
          <w:highlight w:val="none"/>
        </w:rPr>
        <w:fldChar w:fldCharType="end"/>
      </w:r>
      <w:r>
        <w:rPr>
          <w:rFonts w:hint="eastAsia" w:ascii="宋体" w:hAnsi="宋体" w:cs="宋体"/>
          <w:b/>
          <w:bCs/>
          <w:color w:val="auto"/>
          <w:sz w:val="30"/>
          <w:szCs w:val="30"/>
          <w:highlight w:val="none"/>
          <w:lang w:val="en-US" w:eastAsia="zh-CN"/>
        </w:rPr>
        <w:t>0</w:t>
      </w:r>
    </w:p>
    <w:p>
      <w:pPr>
        <w:spacing w:line="480" w:lineRule="auto"/>
        <w:rPr>
          <w:rFonts w:ascii="宋体" w:hAnsi="宋体" w:cs="宋体"/>
          <w:color w:val="auto"/>
          <w:sz w:val="30"/>
          <w:szCs w:val="30"/>
          <w:highlight w:val="none"/>
        </w:rPr>
      </w:pPr>
      <w:r>
        <w:rPr>
          <w:rFonts w:hint="eastAsia" w:ascii="宋体" w:hAnsi="宋体" w:cs="宋体"/>
          <w:b/>
          <w:bCs/>
          <w:color w:val="auto"/>
          <w:sz w:val="30"/>
          <w:szCs w:val="30"/>
          <w:highlight w:val="none"/>
        </w:rPr>
        <w:fldChar w:fldCharType="end"/>
      </w:r>
    </w:p>
    <w:p>
      <w:pPr>
        <w:tabs>
          <w:tab w:val="left" w:pos="855"/>
        </w:tabs>
        <w:spacing w:line="360" w:lineRule="auto"/>
        <w:rPr>
          <w:rFonts w:ascii="宋体" w:hAnsi="宋体" w:cs="宋体"/>
          <w:color w:val="auto"/>
          <w:sz w:val="28"/>
          <w:szCs w:val="28"/>
          <w:highlight w:val="none"/>
        </w:rPr>
      </w:pPr>
    </w:p>
    <w:p>
      <w:pPr>
        <w:spacing w:line="360" w:lineRule="auto"/>
        <w:rPr>
          <w:rFonts w:ascii="宋体" w:hAnsi="宋体" w:cs="宋体"/>
          <w:b/>
          <w:bCs/>
          <w:color w:val="auto"/>
          <w:sz w:val="28"/>
          <w:szCs w:val="28"/>
          <w:highlight w:val="none"/>
        </w:rPr>
      </w:pPr>
      <w:r>
        <w:rPr>
          <w:rFonts w:hint="eastAsia" w:ascii="宋体" w:hAnsi="宋体" w:cs="宋体"/>
          <w:color w:val="auto"/>
          <w:sz w:val="28"/>
          <w:szCs w:val="28"/>
          <w:highlight w:val="none"/>
        </w:rPr>
        <w:t xml:space="preserve"> </w:t>
      </w:r>
    </w:p>
    <w:p>
      <w:pPr>
        <w:pStyle w:val="24"/>
        <w:spacing w:beforeLines="0" w:afterLines="0" w:line="360" w:lineRule="auto"/>
        <w:rPr>
          <w:rFonts w:hAnsi="宋体"/>
          <w:b/>
          <w:bCs/>
          <w:color w:val="auto"/>
          <w:sz w:val="30"/>
          <w:szCs w:val="30"/>
          <w:highlight w:val="none"/>
        </w:rPr>
      </w:pPr>
    </w:p>
    <w:p>
      <w:pPr>
        <w:pStyle w:val="24"/>
        <w:spacing w:beforeLines="0" w:afterLines="0" w:line="360" w:lineRule="auto"/>
        <w:jc w:val="center"/>
        <w:rPr>
          <w:rFonts w:hAnsi="宋体"/>
          <w:b/>
          <w:bCs/>
          <w:color w:val="auto"/>
          <w:sz w:val="30"/>
          <w:szCs w:val="30"/>
          <w:highlight w:val="none"/>
        </w:rPr>
      </w:pPr>
    </w:p>
    <w:p>
      <w:pPr>
        <w:pStyle w:val="24"/>
        <w:spacing w:beforeLines="0" w:afterLines="0" w:line="360" w:lineRule="auto"/>
        <w:jc w:val="center"/>
        <w:rPr>
          <w:rFonts w:hAnsi="宋体"/>
          <w:b/>
          <w:bCs/>
          <w:color w:val="auto"/>
          <w:sz w:val="30"/>
          <w:szCs w:val="30"/>
          <w:highlight w:val="none"/>
        </w:rPr>
      </w:pPr>
    </w:p>
    <w:p>
      <w:pPr>
        <w:pStyle w:val="24"/>
        <w:spacing w:beforeLines="0" w:afterLines="0" w:line="360" w:lineRule="auto"/>
        <w:jc w:val="center"/>
        <w:rPr>
          <w:rFonts w:hAnsi="宋体"/>
          <w:b/>
          <w:bCs/>
          <w:color w:val="auto"/>
          <w:sz w:val="30"/>
          <w:szCs w:val="30"/>
          <w:highlight w:val="none"/>
        </w:rPr>
        <w:sectPr>
          <w:footerReference r:id="rId4" w:type="first"/>
          <w:footerReference r:id="rId3" w:type="default"/>
          <w:pgSz w:w="11907" w:h="16840"/>
          <w:pgMar w:top="1440" w:right="1800" w:bottom="1440" w:left="1800" w:header="720" w:footer="720" w:gutter="0"/>
          <w:cols w:space="720" w:num="1"/>
          <w:docGrid w:linePitch="286" w:charSpace="0"/>
        </w:sectPr>
      </w:pPr>
    </w:p>
    <w:p>
      <w:pPr>
        <w:pStyle w:val="24"/>
        <w:spacing w:beforeLines="0" w:afterLines="0" w:line="360" w:lineRule="auto"/>
        <w:jc w:val="center"/>
        <w:rPr>
          <w:rFonts w:hAnsi="宋体"/>
          <w:b/>
          <w:bCs/>
          <w:color w:val="auto"/>
          <w:sz w:val="30"/>
          <w:szCs w:val="30"/>
          <w:highlight w:val="none"/>
        </w:rPr>
      </w:pPr>
    </w:p>
    <w:p>
      <w:pPr>
        <w:pStyle w:val="43"/>
        <w:rPr>
          <w:rFonts w:ascii="宋体" w:hAnsi="宋体" w:cs="宋体"/>
          <w:color w:val="auto"/>
          <w:highlight w:val="none"/>
        </w:rPr>
      </w:pPr>
      <w:r>
        <w:rPr>
          <w:rFonts w:hint="eastAsia" w:ascii="宋体" w:hAnsi="宋体" w:cs="宋体"/>
          <w:color w:val="auto"/>
          <w:highlight w:val="none"/>
        </w:rPr>
        <w:t xml:space="preserve">  </w:t>
      </w:r>
      <w:bookmarkStart w:id="0" w:name="_Toc11614"/>
      <w:bookmarkStart w:id="1" w:name="_Toc47388278"/>
      <w:bookmarkStart w:id="2" w:name="_Toc397325809"/>
      <w:r>
        <w:rPr>
          <w:rFonts w:hint="eastAsia" w:ascii="宋体" w:hAnsi="宋体" w:cs="宋体"/>
          <w:color w:val="auto"/>
          <w:highlight w:val="none"/>
        </w:rPr>
        <w:t>第一章 公开招标采购公告</w:t>
      </w:r>
      <w:bookmarkEnd w:id="0"/>
      <w:bookmarkEnd w:id="1"/>
      <w:bookmarkEnd w:id="2"/>
    </w:p>
    <w:p>
      <w:pPr>
        <w:pStyle w:val="208"/>
        <w:widowControl w:val="0"/>
        <w:snapToGrid/>
        <w:spacing w:afterLines="0" w:line="360" w:lineRule="auto"/>
        <w:ind w:firstLine="0" w:firstLineChars="0"/>
        <w:rPr>
          <w:rFonts w:ascii="宋体" w:hAnsi="宋体" w:cs="宋体"/>
          <w:color w:val="auto"/>
          <w:sz w:val="21"/>
          <w:szCs w:val="21"/>
          <w:highlight w:val="none"/>
        </w:rPr>
      </w:pPr>
      <w:r>
        <w:rPr>
          <w:rFonts w:hint="eastAsia" w:ascii="宋体" w:hAnsi="宋体" w:cs="宋体"/>
          <w:b/>
          <w:bCs/>
          <w:color w:val="auto"/>
          <w:sz w:val="21"/>
          <w:szCs w:val="21"/>
          <w:highlight w:val="none"/>
        </w:rPr>
        <w:t>项目概况：</w:t>
      </w:r>
    </w:p>
    <w:p>
      <w:pPr>
        <w:pStyle w:val="208"/>
        <w:widowControl w:val="0"/>
        <w:snapToGrid/>
        <w:spacing w:afterLines="0" w:line="360" w:lineRule="auto"/>
        <w:ind w:firstLine="420"/>
        <w:rPr>
          <w:rFonts w:ascii="宋体" w:hAnsi="宋体" w:cs="宋体"/>
          <w:color w:val="auto"/>
          <w:sz w:val="21"/>
          <w:szCs w:val="21"/>
          <w:highlight w:val="none"/>
        </w:rPr>
      </w:pPr>
      <w:r>
        <w:rPr>
          <w:rFonts w:hint="eastAsia" w:ascii="宋体" w:hAnsi="宋体" w:cs="宋体"/>
          <w:color w:val="auto"/>
          <w:sz w:val="21"/>
          <w:szCs w:val="21"/>
          <w:highlight w:val="none"/>
          <w:lang w:eastAsia="zh-CN"/>
        </w:rPr>
        <w:t>丽水市中心医院体外冲击波碎石机、全自动快速微生物质谱检测系统采购项目</w:t>
      </w:r>
      <w:r>
        <w:rPr>
          <w:rFonts w:hint="eastAsia" w:ascii="宋体" w:hAnsi="宋体" w:cs="宋体"/>
          <w:color w:val="auto"/>
          <w:sz w:val="21"/>
          <w:szCs w:val="21"/>
          <w:highlight w:val="none"/>
        </w:rPr>
        <w:t>招标项目的潜在投标人应在政府采购云平台（www.zcygov.cn）获取（下载）招标文件，并于2022年</w:t>
      </w:r>
      <w:r>
        <w:rPr>
          <w:rFonts w:hint="eastAsia" w:ascii="宋体" w:hAnsi="宋体" w:cs="宋体"/>
          <w:color w:val="auto"/>
          <w:sz w:val="21"/>
          <w:szCs w:val="21"/>
          <w:highlight w:val="none"/>
          <w:lang w:val="en-US" w:eastAsia="zh-CN"/>
        </w:rPr>
        <w:t>12</w:t>
      </w:r>
      <w:r>
        <w:rPr>
          <w:rFonts w:hint="eastAsia" w:ascii="宋体" w:hAnsi="宋体" w:cs="宋体"/>
          <w:color w:val="auto"/>
          <w:sz w:val="21"/>
          <w:szCs w:val="21"/>
          <w:highlight w:val="none"/>
        </w:rPr>
        <w:t>月</w:t>
      </w:r>
      <w:r>
        <w:rPr>
          <w:rFonts w:hint="eastAsia" w:ascii="宋体" w:hAnsi="宋体" w:cs="宋体"/>
          <w:color w:val="auto"/>
          <w:sz w:val="21"/>
          <w:szCs w:val="21"/>
          <w:highlight w:val="none"/>
          <w:lang w:val="en-US" w:eastAsia="zh-CN"/>
        </w:rPr>
        <w:t>28</w:t>
      </w:r>
      <w:r>
        <w:rPr>
          <w:rFonts w:hint="eastAsia" w:ascii="宋体" w:hAnsi="宋体" w:cs="宋体"/>
          <w:color w:val="auto"/>
          <w:sz w:val="21"/>
          <w:szCs w:val="21"/>
          <w:highlight w:val="none"/>
        </w:rPr>
        <w:t>日09:</w:t>
      </w:r>
      <w:r>
        <w:rPr>
          <w:rFonts w:hint="eastAsia" w:ascii="宋体" w:hAnsi="宋体" w:cs="宋体"/>
          <w:color w:val="auto"/>
          <w:sz w:val="21"/>
          <w:szCs w:val="21"/>
          <w:highlight w:val="none"/>
          <w:lang w:val="en-US" w:eastAsia="zh-CN"/>
        </w:rPr>
        <w:t>0</w:t>
      </w:r>
      <w:r>
        <w:rPr>
          <w:rFonts w:hint="eastAsia" w:ascii="宋体" w:hAnsi="宋体" w:cs="宋体"/>
          <w:color w:val="auto"/>
          <w:sz w:val="21"/>
          <w:szCs w:val="21"/>
          <w:highlight w:val="none"/>
        </w:rPr>
        <w:t>0（北京时间）前递交（上传）投标文件。 </w:t>
      </w:r>
    </w:p>
    <w:p>
      <w:pPr>
        <w:pStyle w:val="208"/>
        <w:widowControl w:val="0"/>
        <w:snapToGrid/>
        <w:spacing w:afterLines="0" w:line="360" w:lineRule="auto"/>
        <w:ind w:firstLine="0" w:firstLineChars="0"/>
        <w:rPr>
          <w:rFonts w:ascii="宋体" w:hAnsi="宋体" w:cs="宋体"/>
          <w:color w:val="auto"/>
          <w:sz w:val="21"/>
          <w:szCs w:val="21"/>
          <w:highlight w:val="none"/>
        </w:rPr>
      </w:pPr>
      <w:r>
        <w:rPr>
          <w:rFonts w:hint="eastAsia" w:ascii="宋体" w:hAnsi="宋体" w:cs="宋体"/>
          <w:b/>
          <w:bCs/>
          <w:color w:val="auto"/>
          <w:sz w:val="21"/>
          <w:szCs w:val="21"/>
          <w:highlight w:val="none"/>
        </w:rPr>
        <w:t>一、项目基本情况</w:t>
      </w:r>
      <w:r>
        <w:rPr>
          <w:rFonts w:hint="eastAsia" w:ascii="宋体" w:hAnsi="宋体" w:cs="宋体"/>
          <w:color w:val="auto"/>
          <w:sz w:val="21"/>
          <w:szCs w:val="21"/>
          <w:highlight w:val="none"/>
        </w:rPr>
        <w:t xml:space="preserve">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项目编号：CBNB-20221869GLS</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项目名称：</w:t>
      </w:r>
      <w:r>
        <w:rPr>
          <w:rFonts w:hint="eastAsia" w:ascii="宋体" w:hAnsi="宋体" w:cs="宋体"/>
          <w:color w:val="auto"/>
          <w:highlight w:val="none"/>
          <w:lang w:eastAsia="zh-CN"/>
        </w:rPr>
        <w:t>丽水市中心医院体外冲击波碎石机、全自动快速微生物质谱检测系统采购项目</w:t>
      </w:r>
      <w:r>
        <w:rPr>
          <w:rFonts w:hint="eastAsia" w:ascii="宋体" w:hAnsi="宋体" w:cs="宋体"/>
          <w:color w:val="auto"/>
          <w:kern w:val="0"/>
          <w:highlight w:val="none"/>
        </w:rPr>
        <w:t xml:space="preserve">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预算金额（元）：</w:t>
      </w:r>
      <w:r>
        <w:rPr>
          <w:rFonts w:hint="eastAsia" w:ascii="宋体" w:hAnsi="宋体" w:cs="宋体"/>
          <w:color w:val="auto"/>
          <w:kern w:val="0"/>
          <w:highlight w:val="none"/>
          <w:lang w:val="en-US" w:eastAsia="zh-CN"/>
        </w:rPr>
        <w:t>6</w:t>
      </w:r>
      <w:r>
        <w:rPr>
          <w:rFonts w:hint="eastAsia" w:ascii="宋体" w:hAnsi="宋体" w:cs="宋体"/>
          <w:color w:val="auto"/>
          <w:kern w:val="0"/>
          <w:highlight w:val="none"/>
        </w:rPr>
        <w:t>,</w:t>
      </w:r>
      <w:r>
        <w:rPr>
          <w:rFonts w:hint="eastAsia" w:ascii="宋体" w:hAnsi="宋体" w:cs="宋体"/>
          <w:color w:val="auto"/>
          <w:kern w:val="0"/>
          <w:highlight w:val="none"/>
          <w:lang w:val="en-US" w:eastAsia="zh-CN"/>
        </w:rPr>
        <w:t>7</w:t>
      </w:r>
      <w:r>
        <w:rPr>
          <w:rFonts w:hint="eastAsia" w:ascii="宋体" w:hAnsi="宋体" w:cs="宋体"/>
          <w:color w:val="auto"/>
          <w:kern w:val="0"/>
          <w:highlight w:val="none"/>
        </w:rPr>
        <w:t>00,000.00</w:t>
      </w:r>
    </w:p>
    <w:p>
      <w:pPr>
        <w:widowControl/>
        <w:spacing w:line="360" w:lineRule="auto"/>
        <w:ind w:firstLine="420" w:firstLineChars="200"/>
        <w:rPr>
          <w:rFonts w:hint="default" w:ascii="宋体" w:hAnsi="宋体" w:eastAsia="宋体" w:cs="宋体"/>
          <w:color w:val="auto"/>
          <w:kern w:val="0"/>
          <w:highlight w:val="none"/>
          <w:lang w:val="en-US" w:eastAsia="zh-CN"/>
        </w:rPr>
      </w:pPr>
      <w:r>
        <w:rPr>
          <w:rFonts w:hint="eastAsia" w:ascii="宋体" w:hAnsi="宋体" w:cs="宋体"/>
          <w:color w:val="auto"/>
          <w:kern w:val="0"/>
          <w:highlight w:val="none"/>
        </w:rPr>
        <w:t>最高限价（元）：3,500,000.00</w:t>
      </w:r>
      <w:r>
        <w:rPr>
          <w:rFonts w:hint="eastAsia" w:ascii="宋体" w:hAnsi="宋体" w:cs="宋体"/>
          <w:color w:val="auto"/>
          <w:kern w:val="0"/>
          <w:highlight w:val="none"/>
          <w:lang w:eastAsia="zh-CN"/>
        </w:rPr>
        <w:t>；</w:t>
      </w:r>
      <w:r>
        <w:rPr>
          <w:rFonts w:hint="eastAsia" w:ascii="宋体" w:hAnsi="宋体" w:cs="宋体"/>
          <w:color w:val="auto"/>
          <w:kern w:val="0"/>
          <w:highlight w:val="none"/>
          <w:lang w:val="en-US" w:eastAsia="zh-CN"/>
        </w:rPr>
        <w:t>3,200,000.00</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采购需求：</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标项一：</w:t>
      </w:r>
    </w:p>
    <w:p>
      <w:pPr>
        <w:widowControl/>
        <w:spacing w:line="360" w:lineRule="auto"/>
        <w:ind w:left="420" w:leftChars="200"/>
        <w:rPr>
          <w:rFonts w:ascii="宋体" w:hAnsi="宋体" w:cs="宋体"/>
          <w:color w:val="auto"/>
          <w:highlight w:val="none"/>
        </w:rPr>
      </w:pPr>
      <w:r>
        <w:rPr>
          <w:rFonts w:hint="eastAsia" w:ascii="宋体" w:hAnsi="宋体" w:cs="宋体"/>
          <w:color w:val="auto"/>
          <w:kern w:val="0"/>
          <w:highlight w:val="none"/>
        </w:rPr>
        <w:t>标项名称：</w:t>
      </w:r>
      <w:r>
        <w:rPr>
          <w:rFonts w:hint="eastAsia" w:ascii="宋体" w:hAnsi="宋体" w:cs="宋体"/>
          <w:color w:val="auto"/>
          <w:highlight w:val="none"/>
        </w:rPr>
        <w:t>体外冲击波碎石机</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数量：1  </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预算金额（元）：3,500,000.00</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简要规格描述或项目基本概况介绍、用途：</w:t>
      </w:r>
      <w:r>
        <w:rPr>
          <w:rFonts w:hint="eastAsia" w:ascii="宋体" w:hAnsi="宋体" w:cs="宋体"/>
          <w:color w:val="auto"/>
          <w:highlight w:val="none"/>
        </w:rPr>
        <w:t>详见第二章招标需求</w:t>
      </w:r>
      <w:r>
        <w:rPr>
          <w:rFonts w:hint="eastAsia" w:ascii="宋体" w:hAnsi="宋体" w:cs="宋体"/>
          <w:color w:val="auto"/>
          <w:kern w:val="0"/>
          <w:highlight w:val="none"/>
        </w:rPr>
        <w:t>。</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 xml:space="preserve">备注：本项目允许采购进口产品（欢迎国产产品投标）。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合同履约期限：自合同签订生效后开始至双方合同义务完全履行后截止。</w:t>
      </w:r>
    </w:p>
    <w:p>
      <w:pPr>
        <w:widowControl/>
        <w:spacing w:line="360" w:lineRule="auto"/>
        <w:ind w:left="420" w:leftChars="200"/>
        <w:rPr>
          <w:rFonts w:hint="eastAsia" w:ascii="宋体" w:hAnsi="宋体" w:cs="宋体"/>
          <w:color w:val="auto"/>
          <w:kern w:val="0"/>
          <w:highlight w:val="none"/>
        </w:rPr>
      </w:pPr>
      <w:r>
        <w:rPr>
          <w:rFonts w:hint="eastAsia" w:ascii="宋体" w:hAnsi="宋体" w:cs="宋体"/>
          <w:color w:val="auto"/>
          <w:kern w:val="0"/>
          <w:highlight w:val="none"/>
        </w:rPr>
        <w:t>本项目（是）接受联合体投标。</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标项</w:t>
      </w:r>
      <w:r>
        <w:rPr>
          <w:rFonts w:hint="eastAsia" w:ascii="宋体" w:hAnsi="宋体" w:cs="宋体"/>
          <w:color w:val="auto"/>
          <w:kern w:val="0"/>
          <w:highlight w:val="none"/>
          <w:lang w:val="en-US" w:eastAsia="zh-CN"/>
        </w:rPr>
        <w:t>二</w:t>
      </w:r>
      <w:r>
        <w:rPr>
          <w:rFonts w:hint="eastAsia" w:ascii="宋体" w:hAnsi="宋体" w:cs="宋体"/>
          <w:color w:val="auto"/>
          <w:kern w:val="0"/>
          <w:highlight w:val="none"/>
        </w:rPr>
        <w:t>：</w:t>
      </w:r>
    </w:p>
    <w:p>
      <w:pPr>
        <w:widowControl/>
        <w:spacing w:line="360" w:lineRule="auto"/>
        <w:ind w:left="420" w:leftChars="200"/>
        <w:rPr>
          <w:rFonts w:ascii="宋体" w:hAnsi="宋体" w:cs="宋体"/>
          <w:color w:val="auto"/>
          <w:highlight w:val="none"/>
        </w:rPr>
      </w:pPr>
      <w:r>
        <w:rPr>
          <w:rFonts w:hint="eastAsia" w:ascii="宋体" w:hAnsi="宋体" w:cs="宋体"/>
          <w:color w:val="auto"/>
          <w:kern w:val="0"/>
          <w:highlight w:val="none"/>
        </w:rPr>
        <w:t>标项名称：全自动快速微生物质谱检测系统（超高效液相色谱串联质谱系统）</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数量：1  </w:t>
      </w:r>
    </w:p>
    <w:p>
      <w:pPr>
        <w:widowControl/>
        <w:spacing w:line="360" w:lineRule="auto"/>
        <w:ind w:left="420" w:leftChars="200"/>
        <w:rPr>
          <w:rFonts w:hint="default" w:ascii="宋体" w:hAnsi="宋体" w:eastAsia="宋体" w:cs="宋体"/>
          <w:color w:val="auto"/>
          <w:kern w:val="0"/>
          <w:highlight w:val="none"/>
          <w:lang w:val="en-US" w:eastAsia="zh-CN"/>
        </w:rPr>
      </w:pPr>
      <w:r>
        <w:rPr>
          <w:rFonts w:hint="eastAsia" w:ascii="宋体" w:hAnsi="宋体" w:cs="宋体"/>
          <w:color w:val="auto"/>
          <w:kern w:val="0"/>
          <w:highlight w:val="none"/>
        </w:rPr>
        <w:t>预算金额（元）：</w:t>
      </w:r>
      <w:r>
        <w:rPr>
          <w:rFonts w:hint="eastAsia" w:ascii="宋体" w:hAnsi="宋体" w:cs="宋体"/>
          <w:color w:val="auto"/>
          <w:kern w:val="0"/>
          <w:highlight w:val="none"/>
          <w:lang w:val="en-US" w:eastAsia="zh-CN"/>
        </w:rPr>
        <w:t>3,200,000.00</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简要规格描述或项目基本概况介绍、用途：</w:t>
      </w:r>
      <w:r>
        <w:rPr>
          <w:rFonts w:hint="eastAsia" w:ascii="宋体" w:hAnsi="宋体" w:cs="宋体"/>
          <w:color w:val="auto"/>
          <w:highlight w:val="none"/>
        </w:rPr>
        <w:t>详见第二章招标需求</w:t>
      </w:r>
      <w:r>
        <w:rPr>
          <w:rFonts w:hint="eastAsia" w:ascii="宋体" w:hAnsi="宋体" w:cs="宋体"/>
          <w:color w:val="auto"/>
          <w:kern w:val="0"/>
          <w:highlight w:val="none"/>
        </w:rPr>
        <w:t>。</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 xml:space="preserve">备注：本项目允许采购进口产品（欢迎国产产品投标）。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合同履约期限：自合同签订生效后开始至双方合同义务完全履行后截止。</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本项目（是）接受联合体投标。</w:t>
      </w:r>
    </w:p>
    <w:p>
      <w:pPr>
        <w:widowControl/>
        <w:spacing w:line="360" w:lineRule="auto"/>
        <w:ind w:left="420" w:leftChars="200"/>
        <w:rPr>
          <w:rFonts w:ascii="宋体" w:hAnsi="宋体" w:cs="宋体"/>
          <w:color w:val="auto"/>
          <w:kern w:val="0"/>
          <w:highlight w:val="none"/>
        </w:rPr>
      </w:pPr>
    </w:p>
    <w:p>
      <w:pPr>
        <w:widowControl/>
        <w:spacing w:line="360" w:lineRule="auto"/>
        <w:rPr>
          <w:rFonts w:ascii="宋体" w:hAnsi="宋体" w:cs="宋体"/>
          <w:b/>
          <w:bCs/>
          <w:color w:val="auto"/>
          <w:kern w:val="0"/>
          <w:highlight w:val="none"/>
        </w:rPr>
      </w:pPr>
      <w:r>
        <w:rPr>
          <w:rFonts w:hint="eastAsia" w:ascii="宋体" w:hAnsi="宋体" w:cs="宋体"/>
          <w:b/>
          <w:bCs/>
          <w:color w:val="auto"/>
          <w:kern w:val="0"/>
          <w:highlight w:val="none"/>
        </w:rPr>
        <w:t>二、申请人的资格要求</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2.落实政府采购政策需满足的资格要求：无。</w:t>
      </w:r>
    </w:p>
    <w:p>
      <w:pPr>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3.本项目的特定资格要求：</w:t>
      </w:r>
    </w:p>
    <w:p>
      <w:pPr>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3.</w:t>
      </w:r>
      <w:r>
        <w:rPr>
          <w:rFonts w:hint="eastAsia" w:ascii="宋体" w:hAnsi="宋体" w:cs="宋体"/>
          <w:color w:val="auto"/>
          <w:highlight w:val="none"/>
        </w:rPr>
        <w:t>1、</w:t>
      </w:r>
      <w:r>
        <w:rPr>
          <w:rFonts w:hint="eastAsia" w:ascii="宋体" w:hAnsi="宋体" w:cs="宋体"/>
          <w:color w:val="auto"/>
          <w:kern w:val="0"/>
          <w:highlight w:val="none"/>
        </w:rPr>
        <w:t xml:space="preserve">投标人为医疗器械生产企业的：第二类、第三类医疗器械生产企业提供《医疗器械生产许可证》复印件、第一类医疗器械生产企业提供第一类医疗器械生产备案凭证复印件。 </w:t>
      </w:r>
    </w:p>
    <w:p>
      <w:pPr>
        <w:spacing w:line="360" w:lineRule="auto"/>
        <w:ind w:firstLine="420" w:firstLineChars="200"/>
        <w:rPr>
          <w:rFonts w:ascii="宋体" w:hAnsi="宋体" w:cs="宋体"/>
          <w:color w:val="auto"/>
          <w:highlight w:val="none"/>
        </w:rPr>
      </w:pPr>
      <w:r>
        <w:rPr>
          <w:rFonts w:hint="eastAsia" w:ascii="宋体" w:hAnsi="宋体" w:cs="宋体"/>
          <w:color w:val="auto"/>
          <w:kern w:val="0"/>
          <w:highlight w:val="none"/>
        </w:rPr>
        <w:t>3.2、投标人为医疗器械经营企业的：第三类医疗器械经营企业提供《医疗器械经营许可证》复印件、第二类医疗器械经营企业提供第二类医疗器械经营备案凭证复印件。</w:t>
      </w:r>
    </w:p>
    <w:p>
      <w:pPr>
        <w:widowControl/>
        <w:spacing w:line="360" w:lineRule="auto"/>
        <w:rPr>
          <w:rFonts w:ascii="宋体" w:hAnsi="宋体" w:cs="宋体"/>
          <w:b/>
          <w:bCs/>
          <w:color w:val="auto"/>
          <w:kern w:val="0"/>
          <w:highlight w:val="none"/>
        </w:rPr>
      </w:pPr>
      <w:r>
        <w:rPr>
          <w:rFonts w:hint="eastAsia" w:ascii="宋体" w:hAnsi="宋体" w:cs="宋体"/>
          <w:b/>
          <w:bCs/>
          <w:color w:val="auto"/>
          <w:kern w:val="0"/>
          <w:highlight w:val="none"/>
        </w:rPr>
        <w:t>三、获取招标文件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时间：/至2022年</w:t>
      </w:r>
      <w:r>
        <w:rPr>
          <w:rFonts w:hint="eastAsia" w:ascii="宋体" w:hAnsi="宋体" w:cs="宋体"/>
          <w:color w:val="auto"/>
          <w:kern w:val="0"/>
          <w:highlight w:val="none"/>
          <w:lang w:val="en-US" w:eastAsia="zh-CN"/>
        </w:rPr>
        <w:t>12</w:t>
      </w:r>
      <w:r>
        <w:rPr>
          <w:rFonts w:hint="eastAsia" w:ascii="宋体" w:hAnsi="宋体" w:cs="宋体"/>
          <w:color w:val="auto"/>
          <w:kern w:val="0"/>
          <w:highlight w:val="none"/>
        </w:rPr>
        <w:t>月</w:t>
      </w:r>
      <w:r>
        <w:rPr>
          <w:rFonts w:hint="eastAsia" w:ascii="宋体" w:hAnsi="宋体" w:cs="宋体"/>
          <w:color w:val="auto"/>
          <w:kern w:val="0"/>
          <w:highlight w:val="none"/>
          <w:lang w:val="en-US" w:eastAsia="zh-CN"/>
        </w:rPr>
        <w:t>28</w:t>
      </w:r>
      <w:r>
        <w:rPr>
          <w:rFonts w:hint="eastAsia" w:ascii="宋体" w:hAnsi="宋体" w:cs="宋体"/>
          <w:color w:val="auto"/>
          <w:kern w:val="0"/>
          <w:highlight w:val="none"/>
        </w:rPr>
        <w:t>日，每天上午00:00至12:00 ，下午12:00至23:59（北京时间，线上获取法定节假日均可，线下获取文件法定节假日除外）</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地点（网址）：政府采购云平台（www.zcygov.cn）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方式：供应商登录政采云平台https://www.zcygov.cn/在线申请获取采购文件（进入“项目采购”应用，在获取采购文件菜单中选择项目，申请获取采购文件）</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售价（元）：0 </w:t>
      </w:r>
    </w:p>
    <w:p>
      <w:pPr>
        <w:widowControl/>
        <w:spacing w:line="360" w:lineRule="auto"/>
        <w:rPr>
          <w:rFonts w:ascii="宋体" w:hAnsi="宋体" w:cs="宋体"/>
          <w:b/>
          <w:bCs/>
          <w:color w:val="auto"/>
          <w:kern w:val="0"/>
          <w:highlight w:val="none"/>
        </w:rPr>
      </w:pPr>
      <w:r>
        <w:rPr>
          <w:rFonts w:hint="eastAsia" w:ascii="宋体" w:hAnsi="宋体" w:cs="宋体"/>
          <w:b/>
          <w:bCs/>
          <w:color w:val="auto"/>
          <w:kern w:val="0"/>
          <w:highlight w:val="none"/>
        </w:rPr>
        <w:t>四、提交投标文件截止时间、开标时间和地点</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提交投标文件截止时间：2022年</w:t>
      </w:r>
      <w:r>
        <w:rPr>
          <w:rFonts w:hint="eastAsia" w:ascii="宋体" w:hAnsi="宋体" w:cs="宋体"/>
          <w:color w:val="auto"/>
          <w:kern w:val="0"/>
          <w:highlight w:val="none"/>
          <w:lang w:val="en-US" w:eastAsia="zh-CN"/>
        </w:rPr>
        <w:t>12</w:t>
      </w:r>
      <w:r>
        <w:rPr>
          <w:rFonts w:hint="eastAsia" w:ascii="宋体" w:hAnsi="宋体" w:cs="宋体"/>
          <w:color w:val="auto"/>
          <w:kern w:val="0"/>
          <w:highlight w:val="none"/>
        </w:rPr>
        <w:t>月</w:t>
      </w:r>
      <w:r>
        <w:rPr>
          <w:rFonts w:hint="eastAsia" w:ascii="宋体" w:hAnsi="宋体" w:cs="宋体"/>
          <w:color w:val="auto"/>
          <w:kern w:val="0"/>
          <w:highlight w:val="none"/>
          <w:lang w:val="en-US" w:eastAsia="zh-CN"/>
        </w:rPr>
        <w:t>28</w:t>
      </w:r>
      <w:r>
        <w:rPr>
          <w:rFonts w:hint="eastAsia" w:ascii="宋体" w:hAnsi="宋体" w:cs="宋体"/>
          <w:color w:val="auto"/>
          <w:kern w:val="0"/>
          <w:highlight w:val="none"/>
        </w:rPr>
        <w:t>日09:</w:t>
      </w:r>
      <w:r>
        <w:rPr>
          <w:rFonts w:hint="eastAsia" w:ascii="宋体" w:hAnsi="宋体" w:cs="宋体"/>
          <w:color w:val="auto"/>
          <w:kern w:val="0"/>
          <w:highlight w:val="none"/>
          <w:lang w:val="en-US" w:eastAsia="zh-CN"/>
        </w:rPr>
        <w:t>0</w:t>
      </w:r>
      <w:r>
        <w:rPr>
          <w:rFonts w:hint="eastAsia" w:ascii="宋体" w:hAnsi="宋体" w:cs="宋体"/>
          <w:color w:val="auto"/>
          <w:kern w:val="0"/>
          <w:highlight w:val="none"/>
        </w:rPr>
        <w:t>0（北京时间）</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 xml:space="preserve">投标地点（网址）：政府采购云平台（www.zcygov.cn）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开标时间：2022年</w:t>
      </w:r>
      <w:r>
        <w:rPr>
          <w:rFonts w:hint="eastAsia" w:ascii="宋体" w:hAnsi="宋体" w:cs="宋体"/>
          <w:color w:val="auto"/>
          <w:kern w:val="0"/>
          <w:highlight w:val="none"/>
          <w:lang w:val="en-US" w:eastAsia="zh-CN"/>
        </w:rPr>
        <w:t>12</w:t>
      </w:r>
      <w:r>
        <w:rPr>
          <w:rFonts w:hint="eastAsia" w:ascii="宋体" w:hAnsi="宋体" w:cs="宋体"/>
          <w:color w:val="auto"/>
          <w:kern w:val="0"/>
          <w:highlight w:val="none"/>
        </w:rPr>
        <w:t>月</w:t>
      </w:r>
      <w:r>
        <w:rPr>
          <w:rFonts w:hint="eastAsia" w:ascii="宋体" w:hAnsi="宋体" w:cs="宋体"/>
          <w:color w:val="auto"/>
          <w:kern w:val="0"/>
          <w:highlight w:val="none"/>
          <w:lang w:val="en-US" w:eastAsia="zh-CN"/>
        </w:rPr>
        <w:t>28</w:t>
      </w:r>
      <w:r>
        <w:rPr>
          <w:rFonts w:hint="eastAsia" w:ascii="宋体" w:hAnsi="宋体" w:cs="宋体"/>
          <w:color w:val="auto"/>
          <w:kern w:val="0"/>
          <w:highlight w:val="none"/>
        </w:rPr>
        <w:t>日09:</w:t>
      </w:r>
      <w:r>
        <w:rPr>
          <w:rFonts w:hint="eastAsia" w:ascii="宋体" w:hAnsi="宋体" w:cs="宋体"/>
          <w:color w:val="auto"/>
          <w:kern w:val="0"/>
          <w:highlight w:val="none"/>
          <w:lang w:val="en-US" w:eastAsia="zh-CN"/>
        </w:rPr>
        <w:t>0</w:t>
      </w:r>
      <w:r>
        <w:rPr>
          <w:rFonts w:hint="eastAsia" w:ascii="宋体" w:hAnsi="宋体" w:cs="宋体"/>
          <w:color w:val="auto"/>
          <w:kern w:val="0"/>
          <w:highlight w:val="none"/>
        </w:rPr>
        <w:t>0 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开标地点（网址）：政府采购云平台（www.zcygov.cn）和丽水市公共资源交易中心开标室，投标人需准时登录政采云平台进行在线解密。</w:t>
      </w:r>
    </w:p>
    <w:p>
      <w:pPr>
        <w:widowControl/>
        <w:spacing w:line="360" w:lineRule="auto"/>
        <w:rPr>
          <w:rFonts w:ascii="宋体" w:hAnsi="宋体" w:cs="宋体"/>
          <w:b/>
          <w:bCs/>
          <w:color w:val="auto"/>
          <w:kern w:val="0"/>
          <w:highlight w:val="none"/>
        </w:rPr>
      </w:pPr>
      <w:r>
        <w:rPr>
          <w:rFonts w:hint="eastAsia" w:ascii="宋体" w:hAnsi="宋体" w:cs="宋体"/>
          <w:b/>
          <w:bCs/>
          <w:color w:val="auto"/>
          <w:kern w:val="0"/>
          <w:highlight w:val="none"/>
        </w:rPr>
        <w:t>五、公告期限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自本公告发布之日起5个工作日。</w:t>
      </w:r>
    </w:p>
    <w:p>
      <w:pPr>
        <w:widowControl/>
        <w:spacing w:line="360" w:lineRule="auto"/>
        <w:rPr>
          <w:rFonts w:ascii="宋体" w:hAnsi="宋体" w:cs="宋体"/>
          <w:b/>
          <w:bCs/>
          <w:color w:val="auto"/>
          <w:kern w:val="0"/>
          <w:highlight w:val="none"/>
        </w:rPr>
      </w:pPr>
      <w:r>
        <w:rPr>
          <w:rFonts w:hint="eastAsia" w:ascii="宋体" w:hAnsi="宋体" w:cs="宋体"/>
          <w:b/>
          <w:bCs/>
          <w:color w:val="auto"/>
          <w:kern w:val="0"/>
          <w:highlight w:val="none"/>
        </w:rPr>
        <w:t>六、其他补充事宜</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 xml:space="preserve">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4.其他事项：</w:t>
      </w:r>
    </w:p>
    <w:p>
      <w:pPr>
        <w:widowControl/>
        <w:spacing w:line="360" w:lineRule="auto"/>
        <w:ind w:firstLine="420" w:firstLineChars="200"/>
        <w:rPr>
          <w:rFonts w:ascii="宋体" w:hAnsi="宋体" w:cs="宋体"/>
          <w:color w:val="auto"/>
          <w:highlight w:val="none"/>
        </w:rPr>
      </w:pPr>
      <w:r>
        <w:rPr>
          <w:rFonts w:hint="eastAsia" w:ascii="宋体" w:hAnsi="宋体" w:cs="宋体"/>
          <w:color w:val="auto"/>
          <w:kern w:val="0"/>
          <w:highlight w:val="none"/>
        </w:rPr>
        <w:t>4.1</w:t>
      </w:r>
      <w:r>
        <w:rPr>
          <w:rFonts w:hint="eastAsia" w:ascii="宋体" w:hAnsi="宋体" w:cs="宋体"/>
          <w:color w:val="auto"/>
          <w:highlight w:val="none"/>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本项目投标。</w:t>
      </w:r>
    </w:p>
    <w:p>
      <w:pPr>
        <w:widowControl/>
        <w:spacing w:line="360" w:lineRule="auto"/>
        <w:ind w:firstLine="420" w:firstLineChars="200"/>
        <w:rPr>
          <w:rFonts w:ascii="宋体" w:hAnsi="宋体" w:cs="宋体"/>
          <w:color w:val="auto"/>
          <w:highlight w:val="none"/>
        </w:rPr>
      </w:pPr>
      <w:r>
        <w:rPr>
          <w:rFonts w:hint="eastAsia" w:ascii="宋体" w:hAnsi="宋体" w:cs="宋体"/>
          <w:color w:val="auto"/>
          <w:highlight w:val="none"/>
        </w:rPr>
        <w:t>4.2</w:t>
      </w:r>
      <w:r>
        <w:rPr>
          <w:rFonts w:hint="eastAsia" w:ascii="宋体" w:hAnsi="宋体" w:cs="宋体"/>
          <w:color w:val="auto"/>
          <w:kern w:val="0"/>
          <w:highlight w:val="none"/>
        </w:rPr>
        <w:t>落实的政策：</w:t>
      </w:r>
      <w:r>
        <w:rPr>
          <w:rFonts w:hint="eastAsia" w:ascii="宋体" w:hAnsi="宋体" w:cs="宋体"/>
          <w:color w:val="auto"/>
          <w:highlight w:val="none"/>
        </w:rPr>
        <w:t>《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p>
    <w:p>
      <w:pPr>
        <w:widowControl/>
        <w:spacing w:line="360" w:lineRule="auto"/>
        <w:ind w:firstLine="420" w:firstLineChars="200"/>
        <w:rPr>
          <w:rFonts w:ascii="宋体" w:hAnsi="宋体" w:cs="宋体"/>
          <w:b/>
          <w:bCs/>
          <w:color w:val="auto"/>
          <w:kern w:val="0"/>
          <w:highlight w:val="none"/>
        </w:rPr>
      </w:pPr>
      <w:r>
        <w:rPr>
          <w:rFonts w:hint="eastAsia" w:ascii="宋体" w:hAnsi="宋体" w:cs="宋体"/>
          <w:color w:val="auto"/>
          <w:highlight w:val="none"/>
        </w:rPr>
        <w:t>4.3本招标公告中二、申请人的资格要求：第1条中的“重大税收违法案件当事人名单”即为“重大税收违法失信主体”。</w:t>
      </w:r>
    </w:p>
    <w:p>
      <w:pPr>
        <w:widowControl/>
        <w:spacing w:line="360" w:lineRule="auto"/>
        <w:rPr>
          <w:rFonts w:ascii="宋体" w:hAnsi="宋体" w:cs="宋体"/>
          <w:b/>
          <w:bCs/>
          <w:color w:val="auto"/>
          <w:kern w:val="0"/>
          <w:highlight w:val="none"/>
        </w:rPr>
      </w:pPr>
      <w:r>
        <w:rPr>
          <w:rFonts w:hint="eastAsia" w:ascii="宋体" w:hAnsi="宋体" w:cs="宋体"/>
          <w:b/>
          <w:bCs/>
          <w:color w:val="auto"/>
          <w:kern w:val="0"/>
          <w:highlight w:val="none"/>
        </w:rPr>
        <w:t>七、对本次采购提出询问、质疑、投诉，请按以下方式联系</w:t>
      </w:r>
    </w:p>
    <w:p>
      <w:pPr>
        <w:spacing w:line="360" w:lineRule="auto"/>
        <w:ind w:firstLine="420" w:firstLineChars="200"/>
        <w:rPr>
          <w:rFonts w:ascii="宋体" w:hAnsi="宋体" w:cs="宋体"/>
          <w:color w:val="auto"/>
          <w:kern w:val="0"/>
          <w:highlight w:val="none"/>
        </w:rPr>
      </w:pPr>
      <w:r>
        <w:rPr>
          <w:rFonts w:hint="eastAsia" w:ascii="宋体" w:hAnsi="宋体"/>
          <w:color w:val="auto"/>
          <w:highlight w:val="none"/>
        </w:rPr>
        <w:t>1.采购单位：</w:t>
      </w:r>
      <w:r>
        <w:rPr>
          <w:rFonts w:hint="eastAsia" w:ascii="宋体" w:hAnsi="宋体" w:cs="宋体"/>
          <w:color w:val="auto"/>
          <w:kern w:val="0"/>
          <w:highlight w:val="none"/>
        </w:rPr>
        <w:t>丽水市中心医院 </w:t>
      </w:r>
    </w:p>
    <w:p>
      <w:pPr>
        <w:spacing w:line="360" w:lineRule="auto"/>
        <w:ind w:firstLine="420" w:firstLineChars="200"/>
        <w:contextualSpacing/>
        <w:rPr>
          <w:rFonts w:ascii="宋体" w:hAnsi="宋体" w:cs="宋体"/>
          <w:color w:val="auto"/>
          <w:kern w:val="0"/>
          <w:highlight w:val="none"/>
        </w:rPr>
      </w:pPr>
      <w:r>
        <w:rPr>
          <w:rFonts w:hint="eastAsia" w:ascii="宋体" w:hAnsi="宋体" w:cs="宋体"/>
          <w:color w:val="auto"/>
          <w:kern w:val="0"/>
          <w:highlight w:val="none"/>
        </w:rPr>
        <w:t>地址：丽水市莲都区括苍路289号  </w:t>
      </w:r>
    </w:p>
    <w:p>
      <w:pPr>
        <w:spacing w:line="360" w:lineRule="auto"/>
        <w:ind w:firstLine="420" w:firstLineChars="200"/>
        <w:contextualSpacing/>
        <w:rPr>
          <w:rFonts w:ascii="宋体" w:hAnsi="宋体" w:cs="宋体"/>
          <w:color w:val="auto"/>
          <w:kern w:val="0"/>
          <w:highlight w:val="none"/>
        </w:rPr>
      </w:pPr>
      <w:r>
        <w:rPr>
          <w:rFonts w:hint="eastAsia" w:ascii="宋体" w:hAnsi="宋体" w:cs="宋体"/>
          <w:color w:val="auto"/>
          <w:kern w:val="0"/>
          <w:highlight w:val="none"/>
        </w:rPr>
        <w:t>联系人：钟老师</w:t>
      </w:r>
    </w:p>
    <w:p>
      <w:pPr>
        <w:spacing w:line="360" w:lineRule="auto"/>
        <w:ind w:firstLine="420" w:firstLineChars="200"/>
        <w:contextualSpacing/>
        <w:rPr>
          <w:rFonts w:ascii="宋体" w:hAnsi="宋体" w:cs="宋体"/>
          <w:color w:val="auto"/>
          <w:kern w:val="0"/>
          <w:highlight w:val="none"/>
        </w:rPr>
      </w:pPr>
      <w:r>
        <w:rPr>
          <w:rFonts w:hint="eastAsia" w:ascii="宋体" w:hAnsi="宋体" w:cs="宋体"/>
          <w:color w:val="auto"/>
          <w:kern w:val="0"/>
          <w:highlight w:val="none"/>
        </w:rPr>
        <w:t>联系电话：0578-2285462</w:t>
      </w:r>
    </w:p>
    <w:p>
      <w:pPr>
        <w:spacing w:line="360" w:lineRule="auto"/>
        <w:ind w:firstLine="420" w:firstLineChars="200"/>
        <w:contextualSpacing/>
        <w:rPr>
          <w:rFonts w:ascii="宋体" w:hAnsi="宋体" w:cs="宋体"/>
          <w:color w:val="auto"/>
          <w:kern w:val="0"/>
          <w:highlight w:val="none"/>
        </w:rPr>
      </w:pPr>
      <w:r>
        <w:rPr>
          <w:rFonts w:hint="eastAsia" w:ascii="宋体" w:hAnsi="宋体" w:cs="宋体"/>
          <w:color w:val="auto"/>
          <w:kern w:val="0"/>
          <w:highlight w:val="none"/>
        </w:rPr>
        <w:t>质疑联系人：徐处      </w:t>
      </w:r>
    </w:p>
    <w:p>
      <w:pPr>
        <w:spacing w:line="360" w:lineRule="auto"/>
        <w:ind w:firstLine="420" w:firstLineChars="200"/>
        <w:contextualSpacing/>
        <w:rPr>
          <w:rFonts w:ascii="宋体" w:hAnsi="宋体" w:cs="宋体"/>
          <w:color w:val="auto"/>
          <w:highlight w:val="none"/>
        </w:rPr>
      </w:pPr>
      <w:r>
        <w:rPr>
          <w:rFonts w:hint="eastAsia" w:ascii="宋体" w:hAnsi="宋体" w:cs="宋体"/>
          <w:color w:val="auto"/>
          <w:kern w:val="0"/>
          <w:highlight w:val="none"/>
        </w:rPr>
        <w:t>质疑联系方式：0578-2285462</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2.采购代理机构信息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名    称：宁波中基国际招标有限公司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地    址：宁波市鄞州区天童南路666号中基大厦19楼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传    真：0574-87425386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项目联系人（询问）：单琛耘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项目联系方式（询问）：0574-88090150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质疑联系人：杨未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质疑联系方式：0574-87425382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    </w:t>
      </w:r>
    </w:p>
    <w:p>
      <w:pPr>
        <w:widowControl/>
        <w:spacing w:line="360" w:lineRule="auto"/>
        <w:ind w:left="420" w:leftChars="200"/>
        <w:rPr>
          <w:rFonts w:ascii="宋体" w:hAnsi="宋体" w:cs="宋体"/>
          <w:color w:val="auto"/>
          <w:kern w:val="0"/>
          <w:highlight w:val="none"/>
        </w:rPr>
      </w:pPr>
      <w:r>
        <w:rPr>
          <w:rFonts w:hint="eastAsia" w:ascii="宋体" w:hAnsi="宋体" w:cs="宋体"/>
          <w:color w:val="auto"/>
          <w:kern w:val="0"/>
          <w:highlight w:val="none"/>
        </w:rPr>
        <w:t>3.同级政府采购监督管理部门</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名称：丽水市财政局政府采购监管处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地址：丽水市莲都区北苑路190号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传真：0578-2669165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联系人 ：吴先生、叶先生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监督投诉电话：0578-2669165             </w:t>
      </w:r>
    </w:p>
    <w:p>
      <w:pPr>
        <w:widowControl/>
        <w:spacing w:line="360" w:lineRule="auto"/>
        <w:ind w:firstLine="420" w:firstLineChars="200"/>
        <w:rPr>
          <w:rFonts w:ascii="宋体" w:hAnsi="宋体" w:cs="宋体"/>
          <w:color w:val="auto"/>
          <w:kern w:val="0"/>
          <w:highlight w:val="none"/>
        </w:rPr>
      </w:pPr>
      <w:r>
        <w:rPr>
          <w:rFonts w:hint="eastAsia" w:ascii="宋体" w:hAnsi="宋体" w:cs="宋体"/>
          <w:color w:val="auto"/>
          <w:kern w:val="0"/>
          <w:highlight w:val="none"/>
        </w:rPr>
        <w:t>         </w:t>
      </w:r>
    </w:p>
    <w:p>
      <w:pPr>
        <w:widowControl/>
        <w:spacing w:line="360" w:lineRule="auto"/>
        <w:ind w:firstLine="422" w:firstLineChars="200"/>
        <w:rPr>
          <w:rFonts w:ascii="宋体" w:hAnsi="宋体" w:cs="宋体"/>
          <w:b/>
          <w:bCs/>
          <w:color w:val="auto"/>
          <w:highlight w:val="none"/>
        </w:rPr>
      </w:pPr>
      <w:r>
        <w:rPr>
          <w:rFonts w:hint="eastAsia" w:ascii="宋体" w:hAnsi="宋体" w:cs="宋体"/>
          <w:b/>
          <w:bCs/>
          <w:color w:val="auto"/>
          <w:kern w:val="0"/>
          <w:highlight w:val="none"/>
        </w:rPr>
        <w:t>若对项目采购电子交易系统操作有疑问，可登录政采云（https://www.zcygov.cn/），点击右侧咨询小采，获取采小蜜智能服务管家帮助，或拨打政采云服务热线400-881-7190获取热线服务帮助。CA问题联系电话（人工）：汇信CA 400-888-4636；天谷CA 400-087-8198。</w:t>
      </w:r>
    </w:p>
    <w:p>
      <w:pPr>
        <w:pStyle w:val="2"/>
        <w:rPr>
          <w:rFonts w:ascii="宋体" w:cs="宋体"/>
          <w:color w:val="auto"/>
          <w:highlight w:val="none"/>
        </w:rPr>
        <w:sectPr>
          <w:pgSz w:w="11906" w:h="16838"/>
          <w:pgMar w:top="1474" w:right="1797" w:bottom="1247" w:left="1797" w:header="851" w:footer="851" w:gutter="0"/>
          <w:cols w:space="720" w:num="1"/>
          <w:docGrid w:type="lines" w:linePitch="312" w:charSpace="0"/>
        </w:sectPr>
      </w:pPr>
      <w:bookmarkStart w:id="3" w:name="_Toc47388280"/>
    </w:p>
    <w:p>
      <w:pPr>
        <w:pStyle w:val="2"/>
        <w:numPr>
          <w:ilvl w:val="0"/>
          <w:numId w:val="8"/>
        </w:numPr>
        <w:rPr>
          <w:rFonts w:ascii="宋体" w:cs="宋体"/>
          <w:color w:val="auto"/>
          <w:highlight w:val="none"/>
        </w:rPr>
      </w:pPr>
      <w:bookmarkStart w:id="4" w:name="_Toc28324"/>
      <w:r>
        <w:rPr>
          <w:rFonts w:hint="eastAsia" w:ascii="宋体" w:cs="宋体"/>
          <w:color w:val="auto"/>
          <w:highlight w:val="none"/>
        </w:rPr>
        <w:t xml:space="preserve"> 招标需求</w:t>
      </w:r>
      <w:bookmarkEnd w:id="3"/>
      <w:bookmarkEnd w:id="4"/>
      <w:bookmarkStart w:id="5" w:name="_Toc1077"/>
      <w:bookmarkStart w:id="6" w:name="_Toc47388317"/>
    </w:p>
    <w:p>
      <w:pPr>
        <w:rPr>
          <w:rFonts w:ascii="宋体" w:hAnsi="宋体" w:cs="宋体"/>
          <w:color w:val="auto"/>
          <w:highlight w:val="none"/>
        </w:rPr>
      </w:pPr>
    </w:p>
    <w:p>
      <w:pPr>
        <w:pStyle w:val="7"/>
        <w:keepNext w:val="0"/>
        <w:keepLines w:val="0"/>
        <w:pageBreakBefore w:val="0"/>
        <w:widowControl w:val="0"/>
        <w:numPr>
          <w:ilvl w:val="0"/>
          <w:numId w:val="9"/>
        </w:numPr>
        <w:kinsoku/>
        <w:wordWrap/>
        <w:overflowPunct/>
        <w:topLinePunct w:val="0"/>
        <w:autoSpaceDE/>
        <w:autoSpaceDN/>
        <w:bidi w:val="0"/>
        <w:spacing w:line="276" w:lineRule="auto"/>
        <w:ind w:firstLine="0"/>
        <w:textAlignment w:val="auto"/>
        <w:rPr>
          <w:rFonts w:hint="eastAsia" w:ascii="宋体" w:hAnsi="宋体" w:cs="宋体"/>
          <w:b/>
          <w:color w:val="auto"/>
          <w:highlight w:val="none"/>
        </w:rPr>
      </w:pPr>
      <w:r>
        <w:rPr>
          <w:rFonts w:hint="eastAsia" w:ascii="宋体" w:hAnsi="宋体" w:cs="宋体"/>
          <w:b/>
          <w:color w:val="auto"/>
          <w:highlight w:val="none"/>
        </w:rPr>
        <w:t>技术需求：</w:t>
      </w:r>
    </w:p>
    <w:p>
      <w:pPr>
        <w:pStyle w:val="7"/>
        <w:keepNext w:val="0"/>
        <w:keepLines w:val="0"/>
        <w:pageBreakBefore w:val="0"/>
        <w:widowControl w:val="0"/>
        <w:numPr>
          <w:ilvl w:val="0"/>
          <w:numId w:val="0"/>
        </w:numPr>
        <w:kinsoku/>
        <w:wordWrap/>
        <w:overflowPunct/>
        <w:topLinePunct w:val="0"/>
        <w:autoSpaceDE/>
        <w:autoSpaceDN/>
        <w:bidi w:val="0"/>
        <w:spacing w:line="276" w:lineRule="auto"/>
        <w:textAlignment w:val="auto"/>
        <w:rPr>
          <w:rFonts w:hint="default" w:ascii="宋体" w:hAnsi="宋体" w:eastAsia="宋体" w:cs="宋体"/>
          <w:b/>
          <w:color w:val="auto"/>
          <w:highlight w:val="none"/>
          <w:lang w:val="en-US" w:eastAsia="zh-CN"/>
        </w:rPr>
      </w:pPr>
      <w:r>
        <w:rPr>
          <w:rFonts w:hint="eastAsia" w:ascii="宋体" w:hAnsi="宋体" w:cs="宋体"/>
          <w:b/>
          <w:color w:val="auto"/>
          <w:highlight w:val="none"/>
          <w:lang w:val="en-US" w:eastAsia="zh-CN"/>
        </w:rPr>
        <w:t>标项一：</w:t>
      </w:r>
      <w:r>
        <w:rPr>
          <w:rFonts w:hint="eastAsia" w:ascii="宋体" w:hAnsi="宋体" w:cs="宋体"/>
          <w:b/>
          <w:color w:val="auto"/>
          <w:highlight w:val="none"/>
        </w:rPr>
        <w:t>体外冲击波碎石机</w:t>
      </w:r>
      <w:r>
        <w:rPr>
          <w:rFonts w:hint="eastAsia" w:ascii="宋体" w:hAnsi="宋体" w:cs="宋体"/>
          <w:b/>
          <w:color w:val="auto"/>
          <w:highlight w:val="none"/>
          <w:lang w:val="en-US" w:eastAsia="zh-CN"/>
        </w:rPr>
        <w:t xml:space="preserve">                                              数量：1套</w:t>
      </w:r>
    </w:p>
    <w:tbl>
      <w:tblPr>
        <w:tblStyle w:val="47"/>
        <w:tblpPr w:leftFromText="180" w:rightFromText="180" w:vertAnchor="text" w:horzAnchor="page" w:tblpX="1900" w:tblpY="306"/>
        <w:tblOverlap w:val="never"/>
        <w:tblW w:w="492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0"/>
        <w:gridCol w:w="6060"/>
        <w:gridCol w:w="1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jc w:val="center"/>
              <w:textAlignment w:val="auto"/>
              <w:rPr>
                <w:rFonts w:ascii="宋体" w:hAnsi="宋体" w:cs="宋体"/>
                <w:bCs/>
                <w:color w:val="auto"/>
                <w:highlight w:val="none"/>
              </w:rPr>
            </w:pPr>
            <w:r>
              <w:rPr>
                <w:rFonts w:hint="eastAsia" w:ascii="宋体" w:hAnsi="宋体" w:cs="宋体"/>
                <w:b/>
                <w:color w:val="auto"/>
                <w:highlight w:val="none"/>
              </w:rPr>
              <w:t>序号</w:t>
            </w:r>
          </w:p>
        </w:tc>
        <w:tc>
          <w:tcPr>
            <w:tcW w:w="6060"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jc w:val="center"/>
              <w:textAlignment w:val="auto"/>
              <w:rPr>
                <w:rFonts w:ascii="宋体" w:hAnsi="宋体" w:cs="宋体"/>
                <w:b/>
                <w:color w:val="auto"/>
                <w:highlight w:val="none"/>
              </w:rPr>
            </w:pPr>
            <w:r>
              <w:rPr>
                <w:rFonts w:hint="eastAsia" w:ascii="宋体" w:hAnsi="宋体" w:cs="宋体"/>
                <w:b/>
                <w:color w:val="auto"/>
                <w:highlight w:val="none"/>
                <w:lang w:val="en-US" w:eastAsia="zh-CN"/>
              </w:rPr>
              <w:t>技术</w:t>
            </w:r>
            <w:r>
              <w:rPr>
                <w:rFonts w:hint="eastAsia" w:ascii="宋体" w:hAnsi="宋体" w:cs="宋体"/>
                <w:b/>
                <w:color w:val="auto"/>
                <w:highlight w:val="none"/>
              </w:rPr>
              <w:t>参数要求</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ascii="宋体" w:hAnsi="宋体" w:cs="宋体"/>
                <w:b/>
                <w:color w:val="auto"/>
                <w:highlight w:val="none"/>
              </w:rPr>
            </w:pPr>
            <w:r>
              <w:rPr>
                <w:rFonts w:hint="eastAsia" w:ascii="宋体" w:hAnsi="宋体" w:cs="宋体"/>
                <w:b/>
                <w:color w:val="auto"/>
                <w:highlight w:val="none"/>
              </w:rPr>
              <w:t>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★一</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b/>
                <w:bCs/>
                <w:color w:val="auto"/>
                <w:kern w:val="0"/>
                <w:highlight w:val="none"/>
                <w:lang w:bidi="ar"/>
              </w:rPr>
              <w:t>设备临床应用范围：</w:t>
            </w:r>
            <w:r>
              <w:rPr>
                <w:rFonts w:hint="eastAsia" w:ascii="宋体" w:hAnsi="宋体" w:cs="宋体"/>
                <w:color w:val="auto"/>
                <w:kern w:val="0"/>
                <w:highlight w:val="none"/>
                <w:lang w:bidi="ar"/>
              </w:rPr>
              <w:t>用于通过体外冲击波对包括膀胱，尿道，输尿管上中下段，肾盂、肾盏内全部泌尿系结石进行粉碎，且对患者年龄无限制。以国家食品药品监督管理总局实时注册证临床适用范围信息为准（投标文件中提供相关证明）；</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highlight w:val="none"/>
              </w:rPr>
              <w:t>二</w:t>
            </w:r>
          </w:p>
        </w:tc>
        <w:tc>
          <w:tcPr>
            <w:tcW w:w="6060" w:type="dxa"/>
            <w:vAlign w:val="center"/>
          </w:tcPr>
          <w:p>
            <w:pPr>
              <w:widowControl/>
              <w:spacing w:line="300" w:lineRule="auto"/>
              <w:textAlignment w:val="center"/>
              <w:rPr>
                <w:rFonts w:ascii="宋体" w:hAnsi="宋体" w:cs="宋体"/>
                <w:b/>
                <w:bCs/>
                <w:color w:val="auto"/>
                <w:highlight w:val="none"/>
              </w:rPr>
            </w:pPr>
            <w:r>
              <w:rPr>
                <w:rFonts w:hint="eastAsia" w:ascii="宋体" w:hAnsi="宋体" w:cs="宋体"/>
                <w:b/>
                <w:bCs/>
                <w:color w:val="auto"/>
                <w:kern w:val="0"/>
                <w:highlight w:val="none"/>
                <w:lang w:bidi="ar"/>
              </w:rPr>
              <w:t>冲击波主机系统</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2.1</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高能量冲击波主机</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2.1.1</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冲击波波源应为电磁式发生器；</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2.1.2</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冲击波触发频率：≤3Hz，应具备心电触发功能接口；</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2.1.3</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应具备冲击波触发安全防护，确保患者碎石治疗安全性；</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2.2</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冲击波能量场应为整块透镜聚焦（凹透镜、凸透镜均可），具体参数要求如下：</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2.2.1</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焦距＜150±5mm，固定式焦距，单焦域;</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2.2.2</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能级＜10级；</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★2.2.3</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焦点冲击波脉宽：＜0.39μs，</w:t>
            </w:r>
            <w:r>
              <w:rPr>
                <w:rFonts w:hint="eastAsia" w:ascii="宋体" w:hAnsi="宋体" w:cs="宋体"/>
                <w:color w:val="auto"/>
                <w:highlight w:val="none"/>
              </w:rPr>
              <w:t xml:space="preserve"> </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★2.2.4</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焦点冲击波脉冲前沿：＜0.2μs，</w:t>
            </w:r>
            <w:r>
              <w:rPr>
                <w:rFonts w:hint="eastAsia" w:ascii="宋体" w:hAnsi="宋体" w:cs="宋体"/>
                <w:color w:val="auto"/>
                <w:highlight w:val="none"/>
              </w:rPr>
              <w:t xml:space="preserve"> </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2.2.5</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最高能级的峰压＜63Mpa；</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2.2.6</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平均焦域尺寸 （半峰全宽处）：＜8×85mm；</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2.2.7</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输出能量：最小能量＜1mJ，最大能量＜65mJ；</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▲2.2.8</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具备用于儿童体外冲击波碎石，有据可查的病例数国内治疗病例≥500例；具备胰腺结石治疗记录，国内官方文献可查询病例数≥500例（投标文件中提供相关证明）；</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2.3</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治疗头耦合应为水囊耦合，要求；</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2.3.1</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水囊材质：透明医用级硅胶；</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2.3.2</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水囊耦合压力电控调节，可自动恒压补偿；</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2.3.3</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耦合声窗夹角＜62.5°</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2.4</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应具备全自动水循环系统，且具备功能如下：</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2.4.1</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水囊可在 32~37℃间控温，可自动恒温，非人工控制；</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2.4.2</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自动除气功能，减少气泡生成。</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Style w:val="331"/>
                <w:rFonts w:ascii="宋体" w:hAnsi="宋体" w:cs="宋体"/>
                <w:color w:val="auto"/>
                <w:highlight w:val="none"/>
              </w:rPr>
            </w:pPr>
            <w:r>
              <w:rPr>
                <w:rFonts w:hint="eastAsia" w:ascii="宋体" w:hAnsi="宋体" w:cs="宋体"/>
                <w:color w:val="auto"/>
                <w:kern w:val="0"/>
                <w:highlight w:val="none"/>
                <w:lang w:bidi="ar"/>
              </w:rPr>
              <w:t>2.5</w:t>
            </w:r>
          </w:p>
        </w:tc>
        <w:tc>
          <w:tcPr>
            <w:tcW w:w="6060" w:type="dxa"/>
            <w:vAlign w:val="center"/>
          </w:tcPr>
          <w:p>
            <w:pPr>
              <w:widowControl/>
              <w:spacing w:line="300" w:lineRule="auto"/>
              <w:textAlignment w:val="center"/>
              <w:rPr>
                <w:rStyle w:val="331"/>
                <w:rFonts w:ascii="宋体" w:hAnsi="宋体" w:cs="宋体"/>
                <w:color w:val="auto"/>
                <w:highlight w:val="none"/>
              </w:rPr>
            </w:pPr>
            <w:r>
              <w:rPr>
                <w:rFonts w:hint="eastAsia" w:ascii="宋体" w:hAnsi="宋体" w:cs="宋体"/>
                <w:color w:val="auto"/>
                <w:kern w:val="0"/>
                <w:highlight w:val="none"/>
                <w:lang w:bidi="ar"/>
              </w:rPr>
              <w:t>治疗头需要满足既可在治疗床床上位治疗，也可在治疗床下位治疗，且应满足以下运动控制要求：</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2.5.1</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治疗头可做弧形运动，运动范围应≥40°；</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2.5.2</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治疗头可做半圆运动，运动范围应≥175°，误差范围≤0.3°；</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★2.5.3</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highlight w:val="none"/>
              </w:rPr>
              <w:t>治疗头可随X光C臂同步进行三维六向运动，且运动轨迹运动幅度保持一致；</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highlight w:val="none"/>
              </w:rPr>
              <w:t>三</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b/>
                <w:bCs/>
                <w:color w:val="auto"/>
                <w:kern w:val="0"/>
                <w:highlight w:val="none"/>
                <w:lang w:bidi="ar"/>
              </w:rPr>
              <w:t>X光C臂影像定位系统</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3.1</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C形臂设计，与冲击波治疗头为物理硬联接且可保证运动过程影像靶点与冲击波焦点始终重合，其它主部件要求：</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3.2.1</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高频组合式X光球管，功率应≥2.8KW，</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3.2.2</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影像焦点：双焦点，分别≥0.3/1.3mm；</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3.2.3</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X线管透视电压可以，最低＜45kV，最大＜120kV；</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3.3</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影像成像应为影像增强器或数字平板，要求：</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3.3.1</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影像增强器应配备不小于100万像素的CCD相机；或数字平板探测器类型应为非晶硅碘化铯；</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3.3.2</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影像增强器尺寸不应小于9英寸；或数字平板不应小于21cm×21cm；</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3.3.3</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影像增强器应具有三视野，有效视野分别不小于4、6、8英寸；或数字平板照射野30~210mm；</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3.3.4</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影像增强器限束器应为虹膜圆野，或数字平板应为方野。</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3.3.5</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CCD 相机帧率：≥25fp</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3.3.6</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CCD 相机信噪比：＞60dB；</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▲3.3.7</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highlight w:val="none"/>
              </w:rPr>
              <w:t>X光输出分辨率：</w:t>
            </w:r>
            <w:r>
              <w:rPr>
                <w:rFonts w:hint="eastAsia" w:ascii="宋体" w:hAnsi="宋体" w:cs="宋体"/>
                <w:color w:val="auto"/>
                <w:kern w:val="0"/>
                <w:highlight w:val="none"/>
                <w:lang w:bidi="ar"/>
              </w:rPr>
              <w:t>＞23lp/cm</w:t>
            </w:r>
            <w:r>
              <w:rPr>
                <w:rFonts w:hint="eastAsia" w:ascii="宋体" w:hAnsi="宋体" w:cs="宋体"/>
                <w:color w:val="auto"/>
                <w:highlight w:val="none"/>
              </w:rPr>
              <w:t>；</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3.3.8</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图像处理功能：多图显示、伽马校正、图像翻转、边缘锐化、图像缩放、灰度反转、标记测量等；</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3.4</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影像显示应配备≥2台，≥19英寸的医学影像液晶显示器，要求：</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3.4.1</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分辨率：≥1024×1024</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3.4.2</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对比度：1000:1，亮度：&gt; 400cd/m2</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3.4.3</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亮度：&gt; 400cd/m</w:t>
            </w:r>
            <w:r>
              <w:rPr>
                <w:rFonts w:hint="eastAsia" w:ascii="宋体" w:hAnsi="宋体" w:cs="宋体"/>
                <w:color w:val="auto"/>
                <w:kern w:val="0"/>
                <w:highlight w:val="none"/>
                <w:vertAlign w:val="superscript"/>
                <w:lang w:bidi="ar"/>
              </w:rPr>
              <w:t>2</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▲3.5</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X光参数调整设定应必须在隔离室内操作，以减少操作人员X光电离辐射暴露，同时C形臂可分别沿 X，Y，Z 轴进行三轴六向直线平移运动，运动范围≥7cm；</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3.5.1</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highlight w:val="none"/>
              </w:rPr>
              <w:t>C形横向左右平移速度≥3</w:t>
            </w:r>
            <w:r>
              <w:rPr>
                <w:rFonts w:hint="eastAsia" w:ascii="宋体" w:hAnsi="宋体" w:cs="宋体"/>
                <w:color w:val="auto"/>
                <w:kern w:val="0"/>
                <w:highlight w:val="none"/>
                <w:lang w:bidi="ar"/>
              </w:rPr>
              <w:t>mm</w:t>
            </w:r>
            <w:r>
              <w:rPr>
                <w:rFonts w:hint="eastAsia" w:ascii="宋体" w:hAnsi="宋体" w:cs="宋体"/>
                <w:color w:val="auto"/>
                <w:highlight w:val="none"/>
              </w:rPr>
              <w:t>/秒，平移误差范围≤0.1</w:t>
            </w:r>
            <w:r>
              <w:rPr>
                <w:rFonts w:hint="eastAsia" w:ascii="宋体" w:hAnsi="宋体" w:cs="宋体"/>
                <w:color w:val="auto"/>
                <w:kern w:val="0"/>
                <w:highlight w:val="none"/>
                <w:lang w:bidi="ar"/>
              </w:rPr>
              <w:t>mm</w:t>
            </w:r>
            <w:r>
              <w:rPr>
                <w:rFonts w:hint="eastAsia" w:ascii="宋体" w:hAnsi="宋体" w:cs="宋体"/>
                <w:color w:val="auto"/>
                <w:highlight w:val="none"/>
              </w:rPr>
              <w:t>；</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3.5.2</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highlight w:val="none"/>
              </w:rPr>
              <w:t>C形臂可顺时针、逆时针双向旋转，双向旋转角度均≥25°，误差范围≤0.3°；</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highlight w:val="none"/>
              </w:rPr>
              <w:t>四</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b/>
                <w:bCs/>
                <w:color w:val="auto"/>
                <w:kern w:val="0"/>
                <w:highlight w:val="none"/>
                <w:lang w:bidi="ar"/>
              </w:rPr>
              <w:t>超声影像定位系统</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4.1</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可以是独立的超声诊断仪或集成的超声影像系统，应满足以下要求：</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4.2</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既可用于碎石术中的定位，又方便与碎石机分离，转移至门诊或病房用于泌尿科其它常规检查，如：前列腺检查、膀胱检查或穿刺等；</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▲4.3</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碎石术中，超声探头应始终与患者体表完全接触非脱离式耦合，无任何中间物体间隔，无脱离式定位，以保证成像清晰及术中实时监控；超声探头必须可沿人体水平面运动，行程≥12厘米，旋转角度≥85°；沿冠状面（或矢状面）旋转角≥50°；</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4.4</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必须具备机械硬连接装置，确保无论如何调整超声探头，其影像靶点始终与冲击波焦点保持重叠无偏离；</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4.5</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影像不仅显示在超声主机显示器，且可分屏显示于第2台显示器；</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4.6</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空间复合成像：4~9级可调，最高探测深度≥36cm；</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4.7</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二维角度独立偏移成像≥5级可调；</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4.8</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具备数字化动态聚焦、数字化可变孔径及动态变迹技术；</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highlight w:val="none"/>
              </w:rPr>
            </w:pPr>
            <w:r>
              <w:rPr>
                <w:rFonts w:hint="eastAsia" w:ascii="宋体" w:hAnsi="宋体" w:cs="宋体"/>
                <w:color w:val="auto"/>
                <w:kern w:val="0"/>
                <w:highlight w:val="none"/>
                <w:lang w:bidi="ar"/>
              </w:rPr>
              <w:t>4.9</w:t>
            </w:r>
          </w:p>
        </w:tc>
        <w:tc>
          <w:tcPr>
            <w:tcW w:w="6060" w:type="dxa"/>
            <w:vAlign w:val="center"/>
          </w:tcPr>
          <w:p>
            <w:pPr>
              <w:widowControl/>
              <w:spacing w:line="300" w:lineRule="auto"/>
              <w:textAlignment w:val="center"/>
              <w:rPr>
                <w:rFonts w:ascii="宋体" w:hAnsi="宋体" w:cs="宋体"/>
                <w:color w:val="auto"/>
                <w:highlight w:val="none"/>
              </w:rPr>
            </w:pPr>
            <w:r>
              <w:rPr>
                <w:rFonts w:hint="eastAsia" w:ascii="宋体" w:hAnsi="宋体" w:cs="宋体"/>
                <w:color w:val="auto"/>
                <w:kern w:val="0"/>
                <w:highlight w:val="none"/>
                <w:lang w:bidi="ar"/>
              </w:rPr>
              <w:t>可在各种多普勒模式下启用自适应焦点；</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4.10</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具备影像自动优化功能；</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五</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b/>
                <w:bCs/>
                <w:color w:val="auto"/>
                <w:kern w:val="0"/>
                <w:highlight w:val="none"/>
                <w:lang w:bidi="ar"/>
              </w:rPr>
              <w:t>信息和影像管理系统：</w:t>
            </w:r>
            <w:r>
              <w:rPr>
                <w:rFonts w:hint="eastAsia" w:ascii="宋体" w:hAnsi="宋体" w:cs="宋体"/>
                <w:color w:val="auto"/>
                <w:kern w:val="0"/>
                <w:highlight w:val="none"/>
                <w:lang w:bidi="ar"/>
              </w:rPr>
              <w:t>能集中管理患者基本信息、数字图像、治疗规程及报告输出，并具有DICOM3.0标准，可以与医院信息管理系统联网</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5.1</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联机控制X光拍摄和冲击波发射，实现在独立操作室的实时监控与远程操作</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5.2</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可以与医院信息管理系统联网,直接获取患者信息工作列表</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5.3</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可以在碎石治疗过程中自动记录关键治疗参数</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5.4</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可以多种格式存储投标设备中的C臂和超声影像</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5.5</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具有以下DICOM3.0标准功能：</w:t>
            </w:r>
          </w:p>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DICOM患者目录，可存储影像、治疗序列和病例；可进行检索、筛选、编辑和注释；导入、导出功能：可导入DICOM格式的数据和影像资料；可以DICOM、BMP或JPG格式导出影像；可导出单幅影像、序列影像、多治疗序列和病例；</w:t>
            </w:r>
          </w:p>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资料输出功能：可由本地打印机输出和DICOM打印输出，支持打印每页12 副影像；</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六</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b/>
                <w:bCs/>
                <w:color w:val="auto"/>
                <w:kern w:val="0"/>
                <w:highlight w:val="none"/>
                <w:lang w:bidi="ar"/>
              </w:rPr>
              <w:t>治疗床:</w:t>
            </w:r>
            <w:r>
              <w:rPr>
                <w:rFonts w:hint="eastAsia" w:ascii="宋体" w:hAnsi="宋体" w:cs="宋体"/>
                <w:color w:val="auto"/>
                <w:kern w:val="0"/>
                <w:highlight w:val="none"/>
                <w:lang w:bidi="ar"/>
              </w:rPr>
              <w:t xml:space="preserve"> 可为手动治疗床或电动治疗床；治疗床床面长度≥2200mm，床面宽度≤700mm，若为电动治疗床应可通过控制器进行至少五维运动；带制动功能；可折叠方便转运；</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七</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b/>
                <w:bCs/>
                <w:color w:val="auto"/>
                <w:kern w:val="0"/>
                <w:highlight w:val="none"/>
                <w:lang w:bidi="ar"/>
              </w:rPr>
              <w:t>系统控制器</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7.1</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波源主机具备至少2套控制器，既可在床旁控制也可在隔离室控制；</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7.2</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控制器应易于拆卸搬运、可互为备用；</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7.3</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具备触发冲击波功能；</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top"/>
              <w:rPr>
                <w:rFonts w:ascii="宋体" w:hAnsi="宋体" w:cs="宋体"/>
                <w:color w:val="auto"/>
                <w:kern w:val="0"/>
                <w:highlight w:val="none"/>
                <w:lang w:bidi="ar"/>
              </w:rPr>
            </w:pPr>
            <w:r>
              <w:rPr>
                <w:rFonts w:hint="eastAsia" w:ascii="宋体" w:hAnsi="宋体" w:cs="宋体"/>
                <w:color w:val="auto"/>
                <w:kern w:val="0"/>
                <w:highlight w:val="none"/>
                <w:lang w:bidi="ar"/>
              </w:rPr>
              <w:t>7.4</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具备水囊耦合压力控制功能；</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7.5</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可设定冲击波数量、能级、频率等碎石参数；</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八</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b/>
                <w:bCs/>
                <w:color w:val="auto"/>
                <w:kern w:val="0"/>
                <w:highlight w:val="none"/>
                <w:lang w:bidi="ar"/>
              </w:rPr>
              <w:t>配置要求</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8.1</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冲击波主机系统</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8.2</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X光C臂影像定位系统</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8.3</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超声影像定位系统</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8.4</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诊断治疗床</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8.5</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病案工作站</w:t>
            </w:r>
          </w:p>
        </w:tc>
        <w:tc>
          <w:tcPr>
            <w:tcW w:w="1125" w:type="dxa"/>
            <w:vAlign w:val="center"/>
          </w:tcPr>
          <w:p>
            <w:pPr>
              <w:adjustRightInd w:val="0"/>
              <w:snapToGrid w:val="0"/>
              <w:spacing w:line="300" w:lineRule="auto"/>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210" w:type="dxa"/>
            <w:vAlign w:val="center"/>
          </w:tcPr>
          <w:p>
            <w:pPr>
              <w:widowControl/>
              <w:spacing w:line="300" w:lineRule="auto"/>
              <w:jc w:val="center"/>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8.6</w:t>
            </w:r>
          </w:p>
        </w:tc>
        <w:tc>
          <w:tcPr>
            <w:tcW w:w="6060" w:type="dxa"/>
            <w:vAlign w:val="center"/>
          </w:tcPr>
          <w:p>
            <w:pPr>
              <w:widowControl/>
              <w:spacing w:line="300" w:lineRule="auto"/>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系统控制器</w:t>
            </w:r>
          </w:p>
        </w:tc>
        <w:tc>
          <w:tcPr>
            <w:tcW w:w="1125" w:type="dxa"/>
            <w:vAlign w:val="center"/>
          </w:tcPr>
          <w:p>
            <w:pPr>
              <w:adjustRightInd w:val="0"/>
              <w:snapToGrid w:val="0"/>
              <w:spacing w:line="300" w:lineRule="auto"/>
              <w:rPr>
                <w:rFonts w:ascii="宋体" w:hAnsi="宋体" w:cs="宋体"/>
                <w:color w:val="auto"/>
                <w:highlight w:val="none"/>
              </w:rPr>
            </w:pPr>
          </w:p>
        </w:tc>
      </w:tr>
    </w:tbl>
    <w:p>
      <w:pPr>
        <w:pStyle w:val="46"/>
        <w:ind w:left="0" w:leftChars="0" w:firstLine="0" w:firstLineChars="0"/>
        <w:rPr>
          <w:rFonts w:ascii="宋体" w:hAnsi="宋体" w:cs="宋体"/>
          <w:color w:val="auto"/>
          <w:highlight w:val="none"/>
        </w:rPr>
      </w:pPr>
    </w:p>
    <w:p>
      <w:pPr>
        <w:rPr>
          <w:rFonts w:hint="eastAsia" w:ascii="宋体" w:hAnsi="宋体" w:cs="宋体"/>
          <w:b/>
          <w:bCs/>
          <w:color w:val="auto"/>
          <w:highlight w:val="none"/>
          <w:lang w:val="en-US" w:eastAsia="zh-CN"/>
        </w:rPr>
      </w:pPr>
    </w:p>
    <w:p>
      <w:pPr>
        <w:jc w:val="left"/>
        <w:rPr>
          <w:rFonts w:hint="eastAsia" w:ascii="宋体" w:hAnsi="宋体" w:cs="宋体"/>
          <w:b/>
          <w:bCs/>
          <w:color w:val="auto"/>
          <w:highlight w:val="none"/>
          <w:lang w:val="en-US" w:eastAsia="zh-CN"/>
        </w:rPr>
      </w:pPr>
      <w:r>
        <w:rPr>
          <w:rFonts w:hint="eastAsia" w:ascii="宋体" w:hAnsi="宋体" w:cs="宋体"/>
          <w:b/>
          <w:bCs/>
          <w:color w:val="auto"/>
          <w:highlight w:val="none"/>
          <w:lang w:val="en-US" w:eastAsia="zh-CN"/>
        </w:rPr>
        <w:t>标项二：全自动快速微生物质谱检测系统（超高效液相色谱串联质谱系统）   数量：1套</w:t>
      </w:r>
    </w:p>
    <w:tbl>
      <w:tblPr>
        <w:tblStyle w:val="47"/>
        <w:tblpPr w:leftFromText="180" w:rightFromText="180" w:vertAnchor="text" w:horzAnchor="page" w:tblpX="1900" w:tblpY="306"/>
        <w:tblOverlap w:val="never"/>
        <w:tblW w:w="492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0"/>
        <w:gridCol w:w="6060"/>
        <w:gridCol w:w="1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1210"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jc w:val="center"/>
              <w:textAlignment w:val="auto"/>
              <w:rPr>
                <w:rFonts w:hint="eastAsia" w:ascii="宋体" w:hAnsi="宋体" w:eastAsia="宋体" w:cs="宋体"/>
                <w:bCs/>
                <w:color w:val="auto"/>
                <w:sz w:val="21"/>
                <w:szCs w:val="21"/>
                <w:highlight w:val="none"/>
              </w:rPr>
            </w:pPr>
            <w:r>
              <w:rPr>
                <w:rFonts w:hint="eastAsia" w:ascii="宋体" w:hAnsi="宋体" w:eastAsia="宋体" w:cs="宋体"/>
                <w:b/>
                <w:color w:val="auto"/>
                <w:sz w:val="21"/>
                <w:szCs w:val="21"/>
                <w:highlight w:val="none"/>
              </w:rPr>
              <w:t>序号</w:t>
            </w:r>
          </w:p>
        </w:tc>
        <w:tc>
          <w:tcPr>
            <w:tcW w:w="6060"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技术</w:t>
            </w:r>
            <w:r>
              <w:rPr>
                <w:rFonts w:hint="eastAsia" w:ascii="宋体" w:hAnsi="宋体" w:eastAsia="宋体" w:cs="宋体"/>
                <w:b/>
                <w:color w:val="auto"/>
                <w:sz w:val="21"/>
                <w:szCs w:val="21"/>
                <w:highlight w:val="none"/>
              </w:rPr>
              <w:t>参数要求</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jc w:val="center"/>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一</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276" w:lineRule="auto"/>
              <w:ind w:firstLine="0" w:firstLineChars="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配置要求</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1.1</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高效液相色谱-三重四极杆质谱仪主机1套</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1.2</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设备附件1批</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100</w:t>
            </w:r>
            <w:r>
              <w:rPr>
                <w:rFonts w:hint="eastAsia" w:ascii="宋体" w:hAnsi="宋体" w:eastAsia="宋体" w:cs="宋体"/>
                <w:color w:val="auto"/>
                <w:sz w:val="21"/>
                <w:szCs w:val="21"/>
                <w:highlight w:val="none"/>
                <w:lang w:val="en-US" w:eastAsia="zh-CN"/>
              </w:rPr>
              <w:t>mL</w:t>
            </w:r>
            <w:r>
              <w:rPr>
                <w:rFonts w:hint="eastAsia" w:ascii="宋体" w:hAnsi="宋体" w:eastAsia="宋体" w:cs="宋体"/>
                <w:color w:val="auto"/>
                <w:sz w:val="21"/>
                <w:szCs w:val="21"/>
                <w:highlight w:val="none"/>
              </w:rPr>
              <w:t>玻璃流动相瓶×10；500</w:t>
            </w:r>
            <w:r>
              <w:rPr>
                <w:rFonts w:hint="eastAsia" w:ascii="宋体" w:hAnsi="宋体" w:eastAsia="宋体" w:cs="宋体"/>
                <w:color w:val="auto"/>
                <w:sz w:val="21"/>
                <w:szCs w:val="21"/>
                <w:highlight w:val="none"/>
                <w:lang w:val="en-US" w:eastAsia="zh-CN"/>
              </w:rPr>
              <w:t>mL</w:t>
            </w:r>
            <w:r>
              <w:rPr>
                <w:rFonts w:hint="eastAsia" w:ascii="宋体" w:hAnsi="宋体" w:eastAsia="宋体" w:cs="宋体"/>
                <w:color w:val="auto"/>
                <w:sz w:val="21"/>
                <w:szCs w:val="21"/>
                <w:highlight w:val="none"/>
              </w:rPr>
              <w:t>玻璃流动相瓶×10；1000</w:t>
            </w:r>
            <w:r>
              <w:rPr>
                <w:rFonts w:hint="eastAsia" w:ascii="宋体" w:hAnsi="宋体" w:eastAsia="宋体" w:cs="宋体"/>
                <w:color w:val="auto"/>
                <w:sz w:val="21"/>
                <w:szCs w:val="21"/>
                <w:highlight w:val="none"/>
                <w:lang w:val="en-US" w:eastAsia="zh-CN"/>
              </w:rPr>
              <w:t>mL</w:t>
            </w:r>
            <w:r>
              <w:rPr>
                <w:rFonts w:hint="eastAsia" w:ascii="宋体" w:hAnsi="宋体" w:eastAsia="宋体" w:cs="宋体"/>
                <w:color w:val="auto"/>
                <w:sz w:val="21"/>
                <w:szCs w:val="21"/>
                <w:highlight w:val="none"/>
              </w:rPr>
              <w:t>玻璃流动相瓶×10；2000</w:t>
            </w:r>
            <w:r>
              <w:rPr>
                <w:rFonts w:hint="eastAsia" w:ascii="宋体" w:hAnsi="宋体" w:eastAsia="宋体" w:cs="宋体"/>
                <w:color w:val="auto"/>
                <w:sz w:val="21"/>
                <w:szCs w:val="21"/>
                <w:highlight w:val="none"/>
                <w:lang w:val="en-US" w:eastAsia="zh-CN"/>
              </w:rPr>
              <w:t>mL</w:t>
            </w:r>
            <w:r>
              <w:rPr>
                <w:rFonts w:hint="eastAsia" w:ascii="宋体" w:hAnsi="宋体" w:eastAsia="宋体" w:cs="宋体"/>
                <w:color w:val="auto"/>
                <w:sz w:val="21"/>
                <w:szCs w:val="21"/>
                <w:highlight w:val="none"/>
              </w:rPr>
              <w:t>玻璃流动相瓶×10；</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.2</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kern w:val="2"/>
                <w:sz w:val="21"/>
                <w:szCs w:val="21"/>
                <w:highlight w:val="none"/>
                <w:lang w:val="en-US" w:eastAsia="zh-CN" w:bidi="ar-SA"/>
              </w:rPr>
              <w:t>HPLC级甲醇、乙腈各一箱（4L*4）,屈臣氏水一箱（8L*2）；</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.3</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lang w:eastAsia="zh-CN"/>
              </w:rPr>
            </w:pPr>
            <w:r>
              <w:rPr>
                <w:rFonts w:hint="eastAsia" w:ascii="宋体" w:hAnsi="宋体" w:eastAsia="宋体" w:cs="宋体"/>
                <w:color w:val="auto"/>
                <w:sz w:val="21"/>
                <w:szCs w:val="21"/>
                <w:highlight w:val="none"/>
              </w:rPr>
              <w:t>LIS审核电脑一套（电脑配置内存≥32G，硬盘2T，CPU性能i7 9700及以上，27寸2k显示屏）</w:t>
            </w:r>
            <w:r>
              <w:rPr>
                <w:rFonts w:hint="eastAsia" w:ascii="宋体" w:hAnsi="宋体" w:eastAsia="宋体" w:cs="宋体"/>
                <w:color w:val="auto"/>
                <w:sz w:val="21"/>
                <w:szCs w:val="21"/>
                <w:highlight w:val="none"/>
                <w:lang w:eastAsia="zh-CN"/>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.4</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氩气（氩气需配套钢瓶，供液质联用仪使用，纯度要求≥99.999%）；</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.5</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质谱配套适用气源装置一套</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氮气发生器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.6</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适配UPS电源一套；</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.7</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质谱专有维护工具包1个；废液防溢出监测报警器1个；调谐液1套；</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.8</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减压阀（配套氩气钢瓶）</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.9</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液相管路适配在线过滤片×100；</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.10</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2"/>
                <w:sz w:val="21"/>
                <w:szCs w:val="21"/>
                <w:highlight w:val="none"/>
                <w:u w:val="none"/>
                <w:lang w:val="en-US" w:eastAsia="zh-CN" w:bidi="ar-SA"/>
              </w:rPr>
              <w:t>在线过滤器</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.11</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val="en-US" w:eastAsia="zh-CN"/>
              </w:rPr>
              <w:t>超声波清洗机</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.12</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液相万向负压气罩一套及安装；</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.13</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氮气吹干仪</w:t>
            </w:r>
            <w:r>
              <w:rPr>
                <w:rFonts w:hint="eastAsia" w:ascii="宋体" w:hAnsi="宋体" w:eastAsia="宋体" w:cs="宋体"/>
                <w:color w:val="auto"/>
                <w:sz w:val="21"/>
                <w:szCs w:val="21"/>
                <w:highlight w:val="none"/>
                <w:lang w:eastAsia="zh-CN"/>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.14</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kern w:val="2"/>
                <w:sz w:val="21"/>
                <w:szCs w:val="21"/>
                <w:highlight w:val="none"/>
                <w:lang w:val="en-US" w:eastAsia="zh-CN" w:bidi="ar-SA"/>
              </w:rPr>
              <w:t>氮气发生器一台；</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w:t>
            </w:r>
            <w:r>
              <w:rPr>
                <w:rFonts w:hint="eastAsia" w:ascii="宋体" w:hAnsi="宋体" w:eastAsia="宋体" w:cs="宋体"/>
                <w:b w:val="0"/>
                <w:bCs/>
                <w:color w:val="auto"/>
                <w:sz w:val="21"/>
                <w:szCs w:val="21"/>
                <w:highlight w:val="none"/>
                <w:lang w:val="en-US" w:eastAsia="zh-CN"/>
              </w:rPr>
              <w:t>5</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适用通风柜一台及安装；</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ind w:left="0" w:leftChars="0" w:firstLine="0" w:firstLineChars="0"/>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w:t>
            </w:r>
            <w:r>
              <w:rPr>
                <w:rFonts w:hint="eastAsia" w:ascii="宋体" w:hAnsi="宋体" w:eastAsia="宋体" w:cs="宋体"/>
                <w:b w:val="0"/>
                <w:bCs/>
                <w:color w:val="auto"/>
                <w:sz w:val="21"/>
                <w:szCs w:val="21"/>
                <w:highlight w:val="none"/>
                <w:lang w:val="en-US" w:eastAsia="zh-CN"/>
              </w:rPr>
              <w:t>6</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液相万向负压气罩一套及安装；</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ind w:left="0" w:leftChars="0" w:firstLine="0" w:firstLineChars="0"/>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w:t>
            </w:r>
            <w:r>
              <w:rPr>
                <w:rFonts w:hint="eastAsia" w:ascii="宋体" w:hAnsi="宋体" w:eastAsia="宋体" w:cs="宋体"/>
                <w:b w:val="0"/>
                <w:bCs/>
                <w:color w:val="auto"/>
                <w:sz w:val="21"/>
                <w:szCs w:val="21"/>
                <w:highlight w:val="none"/>
                <w:lang w:val="en-US" w:eastAsia="zh-CN"/>
              </w:rPr>
              <w:t>7</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VORTEX漩涡震荡仪×</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ind w:left="0" w:leftChars="0" w:firstLine="0" w:firstLineChars="0"/>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w:t>
            </w:r>
            <w:r>
              <w:rPr>
                <w:rFonts w:hint="eastAsia" w:ascii="宋体" w:hAnsi="宋体" w:eastAsia="宋体" w:cs="宋体"/>
                <w:b w:val="0"/>
                <w:bCs/>
                <w:color w:val="auto"/>
                <w:sz w:val="21"/>
                <w:szCs w:val="21"/>
                <w:highlight w:val="none"/>
                <w:lang w:val="en-US" w:eastAsia="zh-CN"/>
              </w:rPr>
              <w:t>8</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eastAsia="zh-CN"/>
              </w:rPr>
              <w:t>多管涡旋振荡器</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ind w:left="0" w:leftChars="0" w:firstLine="0" w:firstLineChars="0"/>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.1</w:t>
            </w:r>
            <w:r>
              <w:rPr>
                <w:rFonts w:hint="eastAsia" w:ascii="宋体" w:hAnsi="宋体" w:eastAsia="宋体" w:cs="宋体"/>
                <w:b w:val="0"/>
                <w:bCs/>
                <w:color w:val="auto"/>
                <w:sz w:val="21"/>
                <w:szCs w:val="21"/>
                <w:highlight w:val="none"/>
                <w:lang w:val="en-US" w:eastAsia="zh-CN"/>
              </w:rPr>
              <w:t>9</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低温冷冻离心机×</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ind w:left="0" w:leftChars="0" w:firstLine="0" w:firstLineChars="0"/>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20</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恒温水浴锅×</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ind w:left="0" w:leftChars="0" w:firstLine="0" w:firstLineChars="0"/>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21</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负压装置</w:t>
            </w:r>
            <w:r>
              <w:rPr>
                <w:rFonts w:hint="eastAsia" w:ascii="宋体" w:hAnsi="宋体" w:eastAsia="宋体" w:cs="宋体"/>
                <w:color w:val="auto"/>
                <w:sz w:val="21"/>
                <w:szCs w:val="21"/>
                <w:highlight w:val="none"/>
                <w:lang w:eastAsia="zh-CN"/>
              </w:rPr>
              <w:t>（配套机械泵过板用）</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ind w:left="0" w:leftChars="0" w:firstLine="0" w:firstLineChars="0"/>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22</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val="en-US" w:eastAsia="zh-CN"/>
              </w:rPr>
              <w:t>移液器：</w:t>
            </w:r>
            <w:r>
              <w:rPr>
                <w:rFonts w:hint="eastAsia" w:ascii="宋体" w:hAnsi="宋体" w:eastAsia="宋体" w:cs="宋体"/>
                <w:color w:val="auto"/>
                <w:sz w:val="21"/>
                <w:szCs w:val="21"/>
                <w:highlight w:val="none"/>
              </w:rPr>
              <w:t>0.5-10μL移液器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0μL移液器，5-50μL移液器，10-100μL移液器，20-200μL移液器，100-1000μL移液器，</w:t>
            </w:r>
            <w:r>
              <w:rPr>
                <w:rFonts w:hint="eastAsia" w:ascii="宋体" w:hAnsi="宋体" w:eastAsia="宋体" w:cs="宋体"/>
                <w:color w:val="auto"/>
                <w:sz w:val="21"/>
                <w:szCs w:val="21"/>
                <w:highlight w:val="none"/>
                <w:lang w:val="en-US" w:eastAsia="zh-CN"/>
              </w:rPr>
              <w:t>200</w:t>
            </w:r>
            <w:r>
              <w:rPr>
                <w:rFonts w:hint="eastAsia" w:ascii="宋体" w:hAnsi="宋体" w:eastAsia="宋体" w:cs="宋体"/>
                <w:color w:val="auto"/>
                <w:sz w:val="21"/>
                <w:szCs w:val="21"/>
                <w:highlight w:val="none"/>
                <w:lang w:eastAsia="zh-CN"/>
              </w:rPr>
              <w:t>μL</w:t>
            </w:r>
            <w:r>
              <w:rPr>
                <w:rFonts w:hint="eastAsia" w:ascii="宋体" w:hAnsi="宋体" w:eastAsia="宋体" w:cs="宋体"/>
                <w:color w:val="auto"/>
                <w:sz w:val="21"/>
                <w:szCs w:val="21"/>
                <w:highlight w:val="none"/>
                <w:lang w:val="en-US" w:eastAsia="zh-CN"/>
              </w:rPr>
              <w:t xml:space="preserve"> 8通道移液器（排枪）各</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ind w:left="0" w:leftChars="0" w:firstLine="0" w:firstLineChars="0"/>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23</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val="en-US" w:eastAsia="zh-CN"/>
              </w:rPr>
              <w:t>1.5mL和2.0mLEP管，塑料离心管50mL；</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ind w:left="0" w:leftChars="0" w:firstLine="0" w:firstLineChars="0"/>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24</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val="en-US" w:eastAsia="zh-CN"/>
              </w:rPr>
              <w:t>离心管架（适配1.5mL、2.0mL、50mL离心管）；</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1.2</w:t>
            </w: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25</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色谱柱：适用于投标机型，用于临床治疗药物监测、维生素、激素、氨基酸等检测的色谱柱各5根</w:t>
            </w:r>
            <w:r>
              <w:rPr>
                <w:rFonts w:hint="eastAsia" w:ascii="宋体" w:hAnsi="宋体" w:eastAsia="宋体" w:cs="宋体"/>
                <w:color w:val="auto"/>
                <w:sz w:val="21"/>
                <w:szCs w:val="21"/>
                <w:highlight w:val="none"/>
                <w:lang w:eastAsia="zh-CN"/>
              </w:rPr>
              <w:t>（具体根据实际开展项目情况）</w:t>
            </w:r>
            <w:r>
              <w:rPr>
                <w:rFonts w:hint="eastAsia" w:ascii="宋体" w:hAnsi="宋体" w:eastAsia="宋体" w:cs="宋体"/>
                <w:color w:val="auto"/>
                <w:sz w:val="21"/>
                <w:szCs w:val="21"/>
                <w:highlight w:val="none"/>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二</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lang w:val="en-US" w:eastAsia="zh-CN"/>
              </w:rPr>
            </w:pPr>
            <w:r>
              <w:rPr>
                <w:rFonts w:hint="eastAsia" w:ascii="宋体" w:hAnsi="宋体" w:eastAsia="宋体" w:cs="宋体"/>
                <w:b/>
                <w:bCs/>
                <w:color w:val="auto"/>
                <w:sz w:val="21"/>
                <w:szCs w:val="21"/>
                <w:highlight w:val="none"/>
              </w:rPr>
              <w:t>超高效液相色谱部分</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2.1</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二元高压梯度泵</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2.1.2</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lang w:eastAsia="zh-CN"/>
              </w:rPr>
            </w:pPr>
            <w:r>
              <w:rPr>
                <w:rFonts w:hint="eastAsia" w:ascii="宋体" w:hAnsi="宋体" w:eastAsia="宋体" w:cs="宋体"/>
                <w:color w:val="auto"/>
                <w:sz w:val="21"/>
                <w:szCs w:val="21"/>
                <w:highlight w:val="none"/>
              </w:rPr>
              <w:t>流量范围：0.01ml/min-2.000ml/min，递增率 0.001ml/min</w:t>
            </w:r>
            <w:r>
              <w:rPr>
                <w:rFonts w:hint="eastAsia" w:ascii="宋体" w:hAnsi="宋体" w:eastAsia="宋体" w:cs="宋体"/>
                <w:color w:val="auto"/>
                <w:sz w:val="21"/>
                <w:szCs w:val="21"/>
                <w:highlight w:val="none"/>
                <w:lang w:eastAsia="zh-CN"/>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2.1.3</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lang w:eastAsia="zh-CN"/>
              </w:rPr>
            </w:pPr>
            <w:r>
              <w:rPr>
                <w:rFonts w:hint="eastAsia" w:ascii="宋体" w:hAnsi="宋体" w:eastAsia="宋体" w:cs="宋体"/>
                <w:color w:val="auto"/>
                <w:sz w:val="21"/>
                <w:szCs w:val="21"/>
                <w:highlight w:val="none"/>
              </w:rPr>
              <w:t>流量精度：≤0.075%RSD</w:t>
            </w:r>
            <w:r>
              <w:rPr>
                <w:rFonts w:hint="eastAsia" w:ascii="宋体" w:hAnsi="宋体" w:eastAsia="宋体" w:cs="宋体"/>
                <w:color w:val="auto"/>
                <w:sz w:val="21"/>
                <w:szCs w:val="21"/>
                <w:highlight w:val="none"/>
                <w:lang w:eastAsia="zh-CN"/>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2.1.4</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lang w:eastAsia="zh-CN"/>
              </w:rPr>
            </w:pPr>
            <w:r>
              <w:rPr>
                <w:rFonts w:hint="eastAsia" w:ascii="宋体" w:hAnsi="宋体" w:eastAsia="宋体" w:cs="宋体"/>
                <w:color w:val="auto"/>
                <w:sz w:val="21"/>
                <w:szCs w:val="21"/>
                <w:highlight w:val="none"/>
              </w:rPr>
              <w:t>流速准确度：±1.0%</w:t>
            </w:r>
            <w:r>
              <w:rPr>
                <w:rFonts w:hint="eastAsia" w:ascii="宋体" w:hAnsi="宋体" w:eastAsia="宋体" w:cs="宋体"/>
                <w:color w:val="auto"/>
                <w:sz w:val="21"/>
                <w:szCs w:val="21"/>
                <w:highlight w:val="none"/>
                <w:lang w:eastAsia="zh-CN"/>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2.1</w:t>
            </w:r>
            <w:r>
              <w:rPr>
                <w:rFonts w:hint="eastAsia" w:ascii="宋体" w:hAnsi="宋体" w:eastAsia="宋体" w:cs="宋体"/>
                <w:b w:val="0"/>
                <w:bCs/>
                <w:color w:val="auto"/>
                <w:sz w:val="21"/>
                <w:szCs w:val="21"/>
                <w:highlight w:val="none"/>
              </w:rPr>
              <w:t>.5</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lang w:eastAsia="zh-CN"/>
              </w:rPr>
            </w:pPr>
            <w:r>
              <w:rPr>
                <w:rFonts w:hint="eastAsia" w:ascii="宋体" w:hAnsi="宋体" w:eastAsia="宋体" w:cs="宋体"/>
                <w:color w:val="auto"/>
                <w:sz w:val="21"/>
                <w:szCs w:val="21"/>
                <w:highlight w:val="none"/>
              </w:rPr>
              <w:t>操作压力范围：≥18000psi</w:t>
            </w:r>
            <w:r>
              <w:rPr>
                <w:rFonts w:hint="eastAsia" w:ascii="宋体" w:hAnsi="宋体" w:eastAsia="宋体" w:cs="宋体"/>
                <w:color w:val="auto"/>
                <w:sz w:val="21"/>
                <w:szCs w:val="21"/>
                <w:highlight w:val="none"/>
                <w:lang w:eastAsia="zh-CN"/>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2.1</w:t>
            </w:r>
            <w:r>
              <w:rPr>
                <w:rFonts w:hint="eastAsia" w:ascii="宋体" w:hAnsi="宋体" w:eastAsia="宋体" w:cs="宋体"/>
                <w:b w:val="0"/>
                <w:bCs/>
                <w:color w:val="auto"/>
                <w:sz w:val="21"/>
                <w:szCs w:val="21"/>
                <w:highlight w:val="none"/>
              </w:rPr>
              <w:t>.6</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lang w:eastAsia="zh-CN"/>
              </w:rPr>
            </w:pPr>
            <w:r>
              <w:rPr>
                <w:rFonts w:hint="eastAsia" w:ascii="宋体" w:hAnsi="宋体" w:eastAsia="宋体" w:cs="宋体"/>
                <w:color w:val="auto"/>
                <w:sz w:val="21"/>
                <w:szCs w:val="21"/>
                <w:highlight w:val="none"/>
              </w:rPr>
              <w:t>可压缩性补偿：自动连续调节</w:t>
            </w:r>
            <w:r>
              <w:rPr>
                <w:rFonts w:hint="eastAsia" w:ascii="宋体" w:hAnsi="宋体" w:eastAsia="宋体" w:cs="宋体"/>
                <w:color w:val="auto"/>
                <w:sz w:val="21"/>
                <w:szCs w:val="21"/>
                <w:highlight w:val="none"/>
                <w:lang w:eastAsia="zh-CN"/>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2.1</w:t>
            </w:r>
            <w:r>
              <w:rPr>
                <w:rFonts w:hint="eastAsia" w:ascii="宋体" w:hAnsi="宋体" w:eastAsia="宋体" w:cs="宋体"/>
                <w:b w:val="0"/>
                <w:bCs/>
                <w:color w:val="auto"/>
                <w:sz w:val="21"/>
                <w:szCs w:val="21"/>
                <w:highlight w:val="none"/>
              </w:rPr>
              <w:t>.7</w:t>
            </w:r>
          </w:p>
        </w:tc>
        <w:tc>
          <w:tcPr>
            <w:tcW w:w="6060" w:type="dxa"/>
            <w:vAlign w:val="center"/>
          </w:tcPr>
          <w:p>
            <w:pPr>
              <w:keepNext w:val="0"/>
              <w:keepLines w:val="0"/>
              <w:pageBreakBefore w:val="0"/>
              <w:kinsoku/>
              <w:wordWrap/>
              <w:overflowPunct/>
              <w:topLinePunct w:val="0"/>
              <w:autoSpaceDE/>
              <w:autoSpaceDN/>
              <w:bidi w:val="0"/>
              <w:spacing w:line="276" w:lineRule="auto"/>
              <w:rPr>
                <w:rFonts w:hint="eastAsia" w:ascii="宋体" w:hAnsi="宋体" w:eastAsia="宋体" w:cs="宋体"/>
                <w:b/>
                <w:color w:val="auto"/>
                <w:sz w:val="21"/>
                <w:szCs w:val="21"/>
                <w:highlight w:val="none"/>
                <w:lang w:eastAsia="zh-CN"/>
              </w:rPr>
            </w:pPr>
            <w:r>
              <w:rPr>
                <w:rFonts w:hint="eastAsia" w:ascii="宋体" w:hAnsi="宋体" w:eastAsia="宋体" w:cs="宋体"/>
                <w:color w:val="auto"/>
                <w:sz w:val="21"/>
                <w:szCs w:val="21"/>
                <w:highlight w:val="none"/>
              </w:rPr>
              <w:t>梯度洗脱：0-100%，最小递增率为 0.1%</w:t>
            </w:r>
            <w:r>
              <w:rPr>
                <w:rFonts w:hint="eastAsia" w:ascii="宋体" w:hAnsi="宋体" w:eastAsia="宋体" w:cs="宋体"/>
                <w:color w:val="auto"/>
                <w:sz w:val="21"/>
                <w:szCs w:val="21"/>
                <w:highlight w:val="none"/>
                <w:lang w:eastAsia="zh-CN"/>
              </w:rPr>
              <w:t>；</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2.1</w:t>
            </w:r>
            <w:r>
              <w:rPr>
                <w:rFonts w:hint="eastAsia" w:ascii="宋体" w:hAnsi="宋体" w:eastAsia="宋体" w:cs="宋体"/>
                <w:b w:val="0"/>
                <w:bCs/>
                <w:i w:val="0"/>
                <w:iCs w:val="0"/>
                <w:color w:val="auto"/>
                <w:kern w:val="0"/>
                <w:sz w:val="21"/>
                <w:szCs w:val="21"/>
                <w:highlight w:val="none"/>
                <w:u w:val="none"/>
                <w:lang w:val="en-US" w:eastAsia="zh-CN" w:bidi="ar"/>
              </w:rPr>
              <w:t>.8</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Style w:val="339"/>
                <w:rFonts w:hint="eastAsia" w:ascii="宋体" w:hAnsi="宋体" w:eastAsia="宋体" w:cs="宋体"/>
                <w:color w:val="auto"/>
                <w:sz w:val="21"/>
                <w:szCs w:val="21"/>
                <w:highlight w:val="none"/>
                <w:lang w:val="en-US" w:eastAsia="zh-CN" w:bidi="ar"/>
              </w:rPr>
              <w:t>混合精度：</w:t>
            </w:r>
            <w:r>
              <w:rPr>
                <w:rFonts w:hint="eastAsia" w:ascii="宋体" w:hAnsi="宋体" w:eastAsia="宋体" w:cs="宋体"/>
                <w:color w:val="auto"/>
                <w:sz w:val="21"/>
                <w:szCs w:val="21"/>
                <w:highlight w:val="none"/>
                <w:lang w:val="en-US" w:eastAsia="zh-CN" w:bidi="ar"/>
              </w:rPr>
              <w:t>&lt;0.2%</w:t>
            </w:r>
            <w:r>
              <w:rPr>
                <w:rStyle w:val="339"/>
                <w:rFonts w:hint="eastAsia" w:ascii="宋体" w:hAnsi="宋体" w:eastAsia="宋体" w:cs="宋体"/>
                <w:color w:val="auto"/>
                <w:sz w:val="21"/>
                <w:szCs w:val="21"/>
                <w:highlight w:val="none"/>
                <w:lang w:val="en-US" w:eastAsia="zh-CN" w:bidi="ar"/>
              </w:rPr>
              <w:t>，不随反压变化；</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2.1</w:t>
            </w:r>
            <w:r>
              <w:rPr>
                <w:rFonts w:hint="eastAsia" w:ascii="宋体" w:hAnsi="宋体" w:eastAsia="宋体" w:cs="宋体"/>
                <w:b w:val="0"/>
                <w:bCs/>
                <w:color w:val="auto"/>
                <w:sz w:val="21"/>
                <w:szCs w:val="21"/>
                <w:highlight w:val="none"/>
                <w:lang w:val="en-US" w:eastAsia="zh-CN" w:bidi="ar"/>
              </w:rPr>
              <w:t>.9</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Style w:val="339"/>
                <w:rFonts w:hint="eastAsia" w:ascii="宋体" w:hAnsi="宋体" w:eastAsia="宋体" w:cs="宋体"/>
                <w:color w:val="auto"/>
                <w:sz w:val="21"/>
                <w:szCs w:val="21"/>
                <w:highlight w:val="none"/>
                <w:lang w:val="en-US" w:eastAsia="zh-CN" w:bidi="ar"/>
              </w:rPr>
              <w:t>梯度模式：预编可选</w:t>
            </w:r>
            <w:r>
              <w:rPr>
                <w:rFonts w:hint="eastAsia" w:ascii="宋体" w:hAnsi="宋体" w:eastAsia="宋体" w:cs="宋体"/>
                <w:color w:val="auto"/>
                <w:sz w:val="21"/>
                <w:szCs w:val="21"/>
                <w:highlight w:val="none"/>
                <w:lang w:val="en-US" w:eastAsia="zh-CN" w:bidi="ar"/>
              </w:rPr>
              <w:t xml:space="preserve">≥11 </w:t>
            </w:r>
            <w:r>
              <w:rPr>
                <w:rStyle w:val="339"/>
                <w:rFonts w:hint="eastAsia" w:ascii="宋体" w:hAnsi="宋体" w:eastAsia="宋体" w:cs="宋体"/>
                <w:color w:val="auto"/>
                <w:sz w:val="21"/>
                <w:szCs w:val="21"/>
                <w:highlight w:val="none"/>
                <w:lang w:val="en-US" w:eastAsia="zh-CN" w:bidi="ar"/>
              </w:rPr>
              <w:t>条梯度曲线，包括线性、凹线（</w:t>
            </w:r>
            <w:r>
              <w:rPr>
                <w:rFonts w:hint="eastAsia" w:ascii="宋体" w:hAnsi="宋体" w:eastAsia="宋体" w:cs="宋体"/>
                <w:color w:val="auto"/>
                <w:sz w:val="21"/>
                <w:szCs w:val="21"/>
                <w:highlight w:val="none"/>
                <w:lang w:val="en-US" w:eastAsia="zh-CN" w:bidi="ar"/>
              </w:rPr>
              <w:t>4</w:t>
            </w:r>
            <w:r>
              <w:rPr>
                <w:rStyle w:val="339"/>
                <w:rFonts w:hint="eastAsia" w:ascii="宋体" w:hAnsi="宋体" w:eastAsia="宋体" w:cs="宋体"/>
                <w:color w:val="auto"/>
                <w:sz w:val="21"/>
                <w:szCs w:val="21"/>
                <w:highlight w:val="none"/>
                <w:lang w:val="en-US" w:eastAsia="zh-CN" w:bidi="ar"/>
              </w:rPr>
              <w:t>）、凸线（</w:t>
            </w:r>
            <w:r>
              <w:rPr>
                <w:rFonts w:hint="eastAsia" w:ascii="宋体" w:hAnsi="宋体" w:eastAsia="宋体" w:cs="宋体"/>
                <w:color w:val="auto"/>
                <w:sz w:val="21"/>
                <w:szCs w:val="21"/>
                <w:highlight w:val="none"/>
                <w:lang w:val="en-US" w:eastAsia="zh-CN" w:bidi="ar"/>
              </w:rPr>
              <w:t>4</w:t>
            </w:r>
            <w:r>
              <w:rPr>
                <w:rStyle w:val="339"/>
                <w:rFonts w:hint="eastAsia" w:ascii="宋体" w:hAnsi="宋体" w:eastAsia="宋体" w:cs="宋体"/>
                <w:color w:val="auto"/>
                <w:sz w:val="21"/>
                <w:szCs w:val="21"/>
                <w:highlight w:val="none"/>
                <w:lang w:val="en-US" w:eastAsia="zh-CN" w:bidi="ar"/>
              </w:rPr>
              <w:t>）和步进（</w:t>
            </w:r>
            <w:r>
              <w:rPr>
                <w:rFonts w:hint="eastAsia" w:ascii="宋体" w:hAnsi="宋体" w:eastAsia="宋体" w:cs="宋体"/>
                <w:color w:val="auto"/>
                <w:sz w:val="21"/>
                <w:szCs w:val="21"/>
                <w:highlight w:val="none"/>
                <w:lang w:val="en-US" w:eastAsia="zh-CN" w:bidi="ar"/>
              </w:rPr>
              <w:t>2</w:t>
            </w:r>
            <w:r>
              <w:rPr>
                <w:rStyle w:val="339"/>
                <w:rFonts w:hint="eastAsia" w:ascii="宋体" w:hAnsi="宋体" w:eastAsia="宋体" w:cs="宋体"/>
                <w:color w:val="auto"/>
                <w:sz w:val="21"/>
                <w:szCs w:val="21"/>
                <w:highlight w:val="none"/>
                <w:lang w:val="en-US" w:eastAsia="zh-CN" w:bidi="ar"/>
              </w:rPr>
              <w:t>） 梯度变化，无需模拟即可实现（投标文件中需提供详细中英文原版说明书作为证明文件）。</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2.1</w:t>
            </w:r>
            <w:r>
              <w:rPr>
                <w:rFonts w:hint="eastAsia" w:ascii="宋体" w:hAnsi="宋体" w:eastAsia="宋体" w:cs="宋体"/>
                <w:b w:val="0"/>
                <w:bCs/>
                <w:color w:val="auto"/>
                <w:sz w:val="21"/>
                <w:szCs w:val="21"/>
                <w:highlight w:val="none"/>
                <w:lang w:val="en-US" w:eastAsia="zh-CN" w:bidi="ar"/>
              </w:rPr>
              <w:t>.10</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Style w:val="339"/>
                <w:rFonts w:hint="eastAsia" w:ascii="宋体" w:hAnsi="宋体" w:eastAsia="宋体" w:cs="宋体"/>
                <w:color w:val="auto"/>
                <w:sz w:val="21"/>
                <w:szCs w:val="21"/>
                <w:highlight w:val="none"/>
                <w:lang w:val="en-US" w:eastAsia="zh-CN" w:bidi="ar"/>
              </w:rPr>
              <w:t>内置在线脱气装置通道</w:t>
            </w:r>
            <w:r>
              <w:rPr>
                <w:rFonts w:hint="eastAsia" w:ascii="宋体" w:hAnsi="宋体" w:eastAsia="宋体" w:cs="宋体"/>
                <w:color w:val="auto"/>
                <w:sz w:val="21"/>
                <w:szCs w:val="21"/>
                <w:highlight w:val="none"/>
                <w:lang w:val="en-US" w:eastAsia="zh-CN" w:bidi="ar"/>
              </w:rPr>
              <w:t>≥6；</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val="en-US" w:eastAsia="zh-CN"/>
              </w:rPr>
              <w:t>2.1</w:t>
            </w:r>
            <w:r>
              <w:rPr>
                <w:rFonts w:hint="eastAsia" w:ascii="宋体" w:hAnsi="宋体" w:eastAsia="宋体" w:cs="宋体"/>
                <w:b w:val="0"/>
                <w:bCs/>
                <w:i w:val="0"/>
                <w:iCs w:val="0"/>
                <w:color w:val="auto"/>
                <w:kern w:val="0"/>
                <w:sz w:val="21"/>
                <w:szCs w:val="21"/>
                <w:highlight w:val="none"/>
                <w:u w:val="none"/>
                <w:lang w:val="en-US" w:eastAsia="zh-CN" w:bidi="ar"/>
              </w:rPr>
              <w:t>.11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Style w:val="101"/>
                <w:rFonts w:hint="eastAsia" w:ascii="宋体" w:hAnsi="宋体" w:eastAsia="宋体" w:cs="宋体"/>
                <w:color w:val="auto"/>
                <w:sz w:val="21"/>
                <w:szCs w:val="21"/>
                <w:highlight w:val="none"/>
                <w:lang w:val="en-US" w:eastAsia="zh-CN" w:bidi="ar"/>
              </w:rPr>
              <w:t>带柱塞杆自动清洗装置；</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i w:val="0"/>
                <w:iCs w:val="0"/>
                <w:color w:val="auto"/>
                <w:kern w:val="0"/>
                <w:sz w:val="21"/>
                <w:szCs w:val="21"/>
                <w:highlight w:val="none"/>
                <w:u w:val="none"/>
                <w:lang w:val="en-US" w:eastAsia="zh-CN" w:bidi="ar"/>
              </w:rPr>
              <w:t>2.2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自动进样器</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i w:val="0"/>
                <w:iCs w:val="0"/>
                <w:color w:val="auto"/>
                <w:kern w:val="0"/>
                <w:sz w:val="21"/>
                <w:szCs w:val="21"/>
                <w:highlight w:val="none"/>
                <w:u w:val="none"/>
                <w:lang w:val="en-US" w:eastAsia="zh-CN" w:bidi="ar"/>
              </w:rPr>
              <w:t>2.2.1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样品盘：≥96 位 2ml 样品瓶；</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i w:val="0"/>
                <w:iCs w:val="0"/>
                <w:color w:val="auto"/>
                <w:kern w:val="0"/>
                <w:sz w:val="21"/>
                <w:szCs w:val="21"/>
                <w:highlight w:val="none"/>
                <w:u w:val="none"/>
                <w:lang w:val="en-US" w:eastAsia="zh-CN" w:bidi="ar"/>
              </w:rPr>
              <w:t>2.2.2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进样量：0.1-100ul；</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i w:val="0"/>
                <w:iCs w:val="0"/>
                <w:color w:val="auto"/>
                <w:kern w:val="0"/>
                <w:sz w:val="21"/>
                <w:szCs w:val="21"/>
                <w:highlight w:val="none"/>
                <w:u w:val="none"/>
                <w:lang w:val="en-US" w:eastAsia="zh-CN" w:bidi="ar"/>
              </w:rPr>
              <w:t>2.2.3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样品污染度：≤0.001%或 0.002%（可调）；</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i w:val="0"/>
                <w:iCs w:val="0"/>
                <w:color w:val="auto"/>
                <w:kern w:val="0"/>
                <w:sz w:val="21"/>
                <w:szCs w:val="21"/>
                <w:highlight w:val="none"/>
                <w:u w:val="none"/>
                <w:lang w:val="en-US" w:eastAsia="zh-CN" w:bidi="ar"/>
              </w:rPr>
              <w:t>2.2.4</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带样品冷却控温：4 ℃ - 40℃；</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i w:val="0"/>
                <w:iCs w:val="0"/>
                <w:color w:val="auto"/>
                <w:kern w:val="0"/>
                <w:sz w:val="21"/>
                <w:szCs w:val="21"/>
                <w:highlight w:val="none"/>
                <w:u w:val="none"/>
                <w:lang w:val="en-US" w:eastAsia="zh-CN" w:bidi="ar"/>
              </w:rPr>
              <w:t>2.2.5</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样品管理器采用流通针式设计，针内壁的分析过程中不断被流动相清洗，同时配备专门的进样针外壁清洗流路，最大程度的抑制交叉污染的产生；</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i w:val="0"/>
                <w:iCs w:val="0"/>
                <w:color w:val="auto"/>
                <w:kern w:val="0"/>
                <w:sz w:val="21"/>
                <w:szCs w:val="21"/>
                <w:highlight w:val="none"/>
                <w:u w:val="none"/>
                <w:lang w:val="en-US" w:eastAsia="zh-CN" w:bidi="ar"/>
              </w:rPr>
              <w:t>2.3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柱温箱</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color w:val="auto"/>
                <w:sz w:val="21"/>
                <w:szCs w:val="21"/>
                <w:highlight w:val="none"/>
              </w:rPr>
            </w:pPr>
            <w:r>
              <w:rPr>
                <w:rFonts w:hint="eastAsia" w:ascii="宋体" w:hAnsi="宋体" w:eastAsia="宋体" w:cs="宋体"/>
                <w:b w:val="0"/>
                <w:bCs/>
                <w:i w:val="0"/>
                <w:iCs w:val="0"/>
                <w:color w:val="auto"/>
                <w:kern w:val="0"/>
                <w:sz w:val="21"/>
                <w:szCs w:val="21"/>
                <w:highlight w:val="none"/>
                <w:u w:val="none"/>
                <w:lang w:val="en-US" w:eastAsia="zh-CN" w:bidi="ar"/>
              </w:rPr>
              <w:t>2.3.1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b/>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柱温箱温度范围：室温10-90˚C；</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2.3.2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温度稳定性：≤± 0.3˚C；</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2.3.3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温度准确度：±0.5˚C；</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2.3.4</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色谱柱信息跟踪记录：配有智能芯片信息技术，在线记录色谱柱使用信息（液相主机可读取每根色谱柱最近 50 次历史使用记录）。</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三</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质谱仪部分</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原理：液相色谱－三重四极杆串联质谱联用仪；</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复合离子源（ESI/APCI 复合离子源）:一次进样可以在ESI+，ESI-，APCI+，APCI-四种电离方式之间快速切换,并可同时得到每一种电离方式的谱图(四个通道)数据。ESI 和 APCI 采集切换速率≤20ms。</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3.2.1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离子源具有双控温区域：脱溶剂气温度可以在 30 秒内升温至 650℃或以上（投标文件中需提供温度设置证明文件），且需满足离子源接口作为另一控温区域，温度设置≥120 度，提高脱溶剂化效果, （投标文件中需提供软件温度设置截图证明）。</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3.2.2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采用非毛细管离子导入技术防止样品热降解后堵塞，以提高抗污染能力（投标文件中需提供厂家设计图纸作为证明文件）。</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3.2.3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离子源具有真空隔离阀，无需卸真空，即可拆洗离子源锥孔，常规维护免工具。</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3.2.4</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内置全自动注射泵和直接进样瓶 3 个，可通过软件自动切换，实现质谱直接进样自动调谐和校准，以及化合物质谱条件开发，每次可同时优化多个化合物，开发好的质谱条件可以自动保存为方法文件，直接用于样品分析。</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碰撞池：直线型碰撞池，降低碰撞池清洗频次，具有加速离子传输和离子富集功能。</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color w:val="auto"/>
                <w:sz w:val="21"/>
                <w:szCs w:val="21"/>
                <w:highlight w:val="none"/>
              </w:rPr>
              <w:t>▲</w:t>
            </w:r>
            <w:r>
              <w:rPr>
                <w:rFonts w:hint="eastAsia" w:ascii="宋体" w:hAnsi="宋体" w:eastAsia="宋体" w:cs="宋体"/>
                <w:b w:val="0"/>
                <w:bCs/>
                <w:i w:val="0"/>
                <w:iCs w:val="0"/>
                <w:color w:val="auto"/>
                <w:kern w:val="0"/>
                <w:sz w:val="21"/>
                <w:szCs w:val="21"/>
                <w:highlight w:val="none"/>
                <w:u w:val="none"/>
                <w:lang w:val="en-US" w:eastAsia="zh-CN" w:bidi="ar"/>
              </w:rPr>
              <w:t>3.4</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检测器系统：偏轴设计的光电倍增管，密封在真空玻璃管中，寿命 10 年保证. 能够满足长期大量脏样品定量分析的数据可靠性和重复性。</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3.5</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真空系统：特殊设计的抽溶剂大抽速机械泵和长寿命涡轮分子泵组合差分抽气高真空系统, 无需额外水冷却系统。自动断电保护功能。</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3.6</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扫描方式:</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3.6.1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具有全扫描(Full Scan)、选择离子扫描(SIM)、子离子扫描（Product Ion Scan）、母离子扫描（Precursor Ion Scan）、中性丢失扫描（Neutral Loss Scan）、多反应监测扫描（MRM）。</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3.6.2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双重扫描 MRM 模式：在一针进样同时得到 MRM 和Full Scan 数据，用于评估检测过程中的样品背景基质情况，避免假阴性的产生一种富含信息的扫描模式，可以在高选择性准确定量目标倾倒物的同时提供样品背景监控信息，且为液相方法开发及前处理方法开发提供依据，大大提高复杂样品定量准确性。MRM 和Full Sacn 切换时间≤ 3ms。</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3.6.3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动态阈值二级全扫描子离子确认功能：在检测MRM通道的同时采集目标化合物的完整子离子全扫描信号，并自动同标准品二级全扫描谱图实现比对、确证，在定量分析的同时实现定性功能，大大降低复杂痕量样品的假阳性。</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3.7</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Style w:val="340"/>
                <w:rFonts w:hint="eastAsia" w:ascii="宋体" w:hAnsi="宋体" w:eastAsia="宋体" w:cs="宋体"/>
                <w:color w:val="auto"/>
                <w:sz w:val="21"/>
                <w:szCs w:val="21"/>
                <w:highlight w:val="none"/>
                <w:lang w:val="en-US" w:eastAsia="zh-CN" w:bidi="ar"/>
              </w:rPr>
              <w:t>检测性能：</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3.7.1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Style w:val="340"/>
                <w:rFonts w:hint="eastAsia" w:ascii="宋体" w:hAnsi="宋体" w:eastAsia="宋体" w:cs="宋体"/>
                <w:color w:val="auto"/>
                <w:sz w:val="21"/>
                <w:szCs w:val="21"/>
                <w:highlight w:val="none"/>
                <w:lang w:val="en-US" w:eastAsia="zh-CN" w:bidi="ar"/>
              </w:rPr>
              <w:t>质量范围：</w:t>
            </w:r>
            <w:r>
              <w:rPr>
                <w:rFonts w:hint="eastAsia" w:ascii="宋体" w:hAnsi="宋体" w:eastAsia="宋体" w:cs="宋体"/>
                <w:i w:val="0"/>
                <w:iCs w:val="0"/>
                <w:color w:val="auto"/>
                <w:kern w:val="0"/>
                <w:sz w:val="21"/>
                <w:szCs w:val="21"/>
                <w:highlight w:val="none"/>
                <w:u w:val="none"/>
                <w:lang w:val="en-US" w:eastAsia="zh-CN" w:bidi="ar"/>
              </w:rPr>
              <w:t>m/z 2-2048 amu；</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3.7.2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Style w:val="340"/>
                <w:rFonts w:hint="eastAsia" w:ascii="宋体" w:hAnsi="宋体" w:eastAsia="宋体" w:cs="宋体"/>
                <w:color w:val="auto"/>
                <w:sz w:val="21"/>
                <w:szCs w:val="21"/>
                <w:highlight w:val="none"/>
                <w:lang w:val="en-US" w:eastAsia="zh-CN" w:bidi="ar"/>
              </w:rPr>
              <w:t>扫描速率：</w:t>
            </w:r>
            <w:r>
              <w:rPr>
                <w:rStyle w:val="341"/>
                <w:rFonts w:hint="eastAsia" w:ascii="宋体" w:hAnsi="宋体" w:eastAsia="宋体" w:cs="宋体"/>
                <w:color w:val="auto"/>
                <w:sz w:val="21"/>
                <w:szCs w:val="21"/>
                <w:highlight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20000 amu/s</w:t>
            </w:r>
            <w:r>
              <w:rPr>
                <w:rStyle w:val="340"/>
                <w:rFonts w:hint="eastAsia" w:ascii="宋体" w:hAnsi="宋体" w:eastAsia="宋体" w:cs="宋体"/>
                <w:color w:val="auto"/>
                <w:sz w:val="21"/>
                <w:szCs w:val="21"/>
                <w:highlight w:val="none"/>
                <w:lang w:val="en-US" w:eastAsia="zh-CN" w:bidi="ar"/>
              </w:rPr>
              <w:t>（</w:t>
            </w:r>
            <w:r>
              <w:rPr>
                <w:rFonts w:hint="eastAsia" w:ascii="宋体" w:hAnsi="宋体" w:eastAsia="宋体" w:cs="宋体"/>
                <w:i w:val="0"/>
                <w:iCs w:val="0"/>
                <w:color w:val="auto"/>
                <w:kern w:val="0"/>
                <w:sz w:val="21"/>
                <w:szCs w:val="21"/>
                <w:highlight w:val="none"/>
                <w:u w:val="none"/>
                <w:lang w:val="en-US" w:eastAsia="zh-CN" w:bidi="ar"/>
              </w:rPr>
              <w:t xml:space="preserve">0.1amu </w:t>
            </w:r>
            <w:r>
              <w:rPr>
                <w:rStyle w:val="340"/>
                <w:rFonts w:hint="eastAsia" w:ascii="宋体" w:hAnsi="宋体" w:eastAsia="宋体" w:cs="宋体"/>
                <w:color w:val="auto"/>
                <w:sz w:val="21"/>
                <w:szCs w:val="21"/>
                <w:highlight w:val="none"/>
                <w:lang w:val="en-US" w:eastAsia="zh-CN" w:bidi="ar"/>
              </w:rPr>
              <w:t>步进）；</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3.7.3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Style w:val="340"/>
                <w:rFonts w:hint="eastAsia" w:ascii="宋体" w:hAnsi="宋体" w:eastAsia="宋体" w:cs="宋体"/>
                <w:color w:val="auto"/>
                <w:sz w:val="21"/>
                <w:szCs w:val="21"/>
                <w:highlight w:val="none"/>
                <w:lang w:val="en-US" w:eastAsia="zh-CN" w:bidi="ar"/>
              </w:rPr>
              <w:t>线性范围：定量超过六个数量级；</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3.7.4</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Style w:val="340"/>
                <w:rFonts w:hint="eastAsia" w:ascii="宋体" w:hAnsi="宋体" w:eastAsia="宋体" w:cs="宋体"/>
                <w:color w:val="auto"/>
                <w:sz w:val="21"/>
                <w:szCs w:val="21"/>
                <w:highlight w:val="none"/>
                <w:lang w:val="en-US" w:eastAsia="zh-CN" w:bidi="ar"/>
              </w:rPr>
              <w:t>分辨率：半峰宽</w:t>
            </w:r>
            <w:r>
              <w:rPr>
                <w:rFonts w:hint="eastAsia" w:ascii="宋体" w:hAnsi="宋体" w:eastAsia="宋体" w:cs="宋体"/>
                <w:i w:val="0"/>
                <w:iCs w:val="0"/>
                <w:color w:val="auto"/>
                <w:kern w:val="0"/>
                <w:sz w:val="21"/>
                <w:szCs w:val="21"/>
                <w:highlight w:val="none"/>
                <w:u w:val="none"/>
                <w:lang w:val="en-US" w:eastAsia="zh-CN" w:bidi="ar"/>
              </w:rPr>
              <w:t>≤0.5 Da；</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3.7.5</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质量数稳定性：平均标准偏差≤0.1Da /24Hr，全质量范围偏差≤0.01%；</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pStyle w:val="45"/>
              <w:keepNext w:val="0"/>
              <w:keepLines w:val="0"/>
              <w:pageBreakBefore w:val="0"/>
              <w:kinsoku/>
              <w:wordWrap/>
              <w:overflowPunct/>
              <w:topLinePunct w:val="0"/>
              <w:autoSpaceDE/>
              <w:autoSpaceDN/>
              <w:bidi w:val="0"/>
              <w:spacing w:line="276" w:lineRule="auto"/>
              <w:ind w:firstLine="210" w:firstLineChars="100"/>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color w:val="auto"/>
                <w:sz w:val="21"/>
                <w:szCs w:val="21"/>
                <w:highlight w:val="none"/>
              </w:rPr>
              <w:t>▲</w:t>
            </w:r>
            <w:r>
              <w:rPr>
                <w:rFonts w:hint="eastAsia" w:ascii="宋体" w:hAnsi="宋体" w:eastAsia="宋体" w:cs="宋体"/>
                <w:b w:val="0"/>
                <w:bCs/>
                <w:i w:val="0"/>
                <w:iCs w:val="0"/>
                <w:color w:val="auto"/>
                <w:kern w:val="0"/>
                <w:sz w:val="21"/>
                <w:szCs w:val="21"/>
                <w:highlight w:val="none"/>
                <w:u w:val="none"/>
                <w:lang w:val="en-US" w:eastAsia="zh-CN" w:bidi="ar"/>
              </w:rPr>
              <w:t>3.7.6</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灵敏度：ESI 正离子灵敏度: 1pg 利血平， 原始数据或无平滑数据m/z 609&gt;195， S/N&gt;750,000:1, ESI 负离子灵敏度: 1pg 氯霉素， 原始数据或无平滑数据m/z 321&gt;152， S/N &gt;750,000:1；</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pStyle w:val="45"/>
              <w:keepNext w:val="0"/>
              <w:keepLines w:val="0"/>
              <w:pageBreakBefore w:val="0"/>
              <w:kinsoku/>
              <w:wordWrap/>
              <w:overflowPunct/>
              <w:topLinePunct w:val="0"/>
              <w:autoSpaceDE/>
              <w:autoSpaceDN/>
              <w:bidi w:val="0"/>
              <w:spacing w:line="276" w:lineRule="auto"/>
              <w:ind w:firstLine="210" w:firstLineChars="100"/>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3.7.7</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一次进样可完成＞32000 组MRM 的同时分析；</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82" w:hRule="atLeast"/>
        </w:trPr>
        <w:tc>
          <w:tcPr>
            <w:tcW w:w="1210" w:type="dxa"/>
            <w:vAlign w:val="center"/>
          </w:tcPr>
          <w:p>
            <w:pPr>
              <w:pStyle w:val="45"/>
              <w:keepNext w:val="0"/>
              <w:keepLines w:val="0"/>
              <w:pageBreakBefore w:val="0"/>
              <w:kinsoku/>
              <w:wordWrap/>
              <w:overflowPunct/>
              <w:topLinePunct w:val="0"/>
              <w:autoSpaceDE/>
              <w:autoSpaceDN/>
              <w:bidi w:val="0"/>
              <w:spacing w:line="276" w:lineRule="auto"/>
              <w:ind w:firstLine="210" w:firstLineChars="100"/>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3.7.8</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最小驻留时间≤1ms；</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pStyle w:val="45"/>
              <w:keepNext w:val="0"/>
              <w:keepLines w:val="0"/>
              <w:pageBreakBefore w:val="0"/>
              <w:kinsoku/>
              <w:wordWrap/>
              <w:overflowPunct/>
              <w:topLinePunct w:val="0"/>
              <w:autoSpaceDE/>
              <w:autoSpaceDN/>
              <w:bidi w:val="0"/>
              <w:spacing w:line="276" w:lineRule="auto"/>
              <w:ind w:firstLine="210" w:firstLineChars="100"/>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3.7.9</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正负离子采集切换速率≤15 ms；</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3.8</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工作站软件</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3.8.1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自动实现仪器的功能配置、条件优化、数据采集、数据处理、快速定量；</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color w:val="auto"/>
                <w:sz w:val="21"/>
                <w:szCs w:val="21"/>
                <w:highlight w:val="none"/>
              </w:rPr>
              <w:t>▲</w:t>
            </w:r>
            <w:r>
              <w:rPr>
                <w:rFonts w:hint="eastAsia" w:ascii="宋体" w:hAnsi="宋体" w:eastAsia="宋体" w:cs="宋体"/>
                <w:b w:val="0"/>
                <w:bCs/>
                <w:i w:val="0"/>
                <w:iCs w:val="0"/>
                <w:color w:val="auto"/>
                <w:kern w:val="0"/>
                <w:sz w:val="21"/>
                <w:szCs w:val="21"/>
                <w:highlight w:val="none"/>
                <w:u w:val="none"/>
                <w:lang w:val="en-US" w:eastAsia="zh-CN" w:bidi="ar"/>
              </w:rPr>
              <w:t>3.8.2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软件同时控制液相、质谱。液相色谱、质谱仪及相应的工作软件必须为同一厂家生产， 以保证提供服务的一致性。</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3.8.3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具备智能系统，能自动地：确保您的系统待用,进行质量校正和设置质谱分辨率，以便您不用进行此项操作,通过生成化合物明确的质谱方法（SIR 或 MRM）和优化针对特定分析环境的API 源条件达到最佳检测限,检查液相色谱/质谱系统性能，确保分析结果准确,通过监测系统参数和解析系统报警使系统的运行时间最大化。</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3.8.4</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质控自动化工具，能提供“及时”定量数据质量监测，以确定QC 或空白样品是否落在用户指定的误差范围内。能决定或许样品是否被注入或是需要进行更详细的检查，确保实验室的资源得到最充分利用。</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3.8.5</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有系统检测软件按照分析操作的情况绘制短期，中期和长期的批间趋势图，长期监测系统健康。</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color w:val="auto"/>
                <w:sz w:val="21"/>
                <w:szCs w:val="21"/>
                <w:highlight w:val="none"/>
              </w:rPr>
              <w:t>▲</w:t>
            </w:r>
            <w:r>
              <w:rPr>
                <w:rFonts w:hint="eastAsia" w:ascii="宋体" w:hAnsi="宋体" w:eastAsia="宋体" w:cs="宋体"/>
                <w:b w:val="0"/>
                <w:bCs/>
                <w:color w:val="auto"/>
                <w:sz w:val="21"/>
                <w:szCs w:val="21"/>
                <w:highlight w:val="none"/>
                <w:lang w:val="en-US" w:eastAsia="zh-CN"/>
              </w:rPr>
              <w:t>四</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全系统：</w:t>
            </w:r>
            <w:r>
              <w:rPr>
                <w:rFonts w:hint="eastAsia" w:ascii="宋体" w:hAnsi="宋体" w:cs="宋体"/>
                <w:b w:val="0"/>
                <w:bCs w:val="0"/>
                <w:i w:val="0"/>
                <w:iCs w:val="0"/>
                <w:color w:val="auto"/>
                <w:kern w:val="0"/>
                <w:sz w:val="21"/>
                <w:szCs w:val="21"/>
                <w:highlight w:val="none"/>
                <w:u w:val="none"/>
                <w:lang w:val="en-US" w:eastAsia="zh-CN" w:bidi="ar"/>
              </w:rPr>
              <w:t>全系统需</w:t>
            </w:r>
            <w:r>
              <w:rPr>
                <w:rFonts w:hint="eastAsia" w:ascii="宋体" w:hAnsi="宋体" w:eastAsia="宋体" w:cs="宋体"/>
                <w:i w:val="0"/>
                <w:iCs w:val="0"/>
                <w:color w:val="auto"/>
                <w:kern w:val="0"/>
                <w:sz w:val="21"/>
                <w:szCs w:val="21"/>
                <w:highlight w:val="none"/>
                <w:u w:val="none"/>
                <w:lang w:val="en-US" w:eastAsia="zh-CN" w:bidi="ar"/>
              </w:rPr>
              <w:t>具有医疗器械注册证，包括但不限于超高效液相色谱仪、三重四级杆质谱检测器、软件（投标文件中需提供相关证明）。</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五</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试剂性能</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5.1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相关试剂具备医疗器械注册证或备案证（投标文件中需提供相关证明）。</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5.1.1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试剂品牌：仪器质保期间使用仪器供应商提供的试剂。</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5.1.2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试剂满足预期开展项目：检测项目及具体检测内容详见附表2</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5.1.3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试剂盒测试性能：临床样本回收实验（空白血清基质加标）、空白实验、重复性实验等验证所有项目分析性能满足试剂盒说明书声明的性能水平。（安装现场测试，买卖双方签字确认原始实验数据）。</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10" w:type="dxa"/>
            <w:vAlign w:val="center"/>
          </w:tcPr>
          <w:p>
            <w:pPr>
              <w:keepNext w:val="0"/>
              <w:keepLines w:val="0"/>
              <w:pageBreakBefore w:val="0"/>
              <w:widowControl/>
              <w:suppressLineNumbers w:val="0"/>
              <w:kinsoku/>
              <w:wordWrap/>
              <w:overflowPunct/>
              <w:topLinePunct w:val="0"/>
              <w:autoSpaceDE/>
              <w:autoSpaceDN/>
              <w:bidi w:val="0"/>
              <w:spacing w:line="276" w:lineRule="auto"/>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六</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检验项目</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pStyle w:val="2"/>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25羟基维生素D检测项目：25羟维生素D2，25羟维生素D3，25-羟基维生素D总</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脂溶性维生素检测项目：维生素A，维生素E，25羟维生素D2，25羟维生素D3，维生素K</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水溶性维生素检测项目：维生素B1，维生素B2，维生素B3(烟酸)，维生素B3（烟酰胺），维生素B5，维生素B6，维生素B7，维生素B9，维生素B12</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pStyle w:val="2"/>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6.4</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儿茶酚胺检测项目：多巴胺，肾上腺素，去甲肾上腺素，变肾上腺素，去甲变肾上腺素，3-甲氧酪胺，高香草酸，香草扁桃酸</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pStyle w:val="2"/>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6.5</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甾体激素检测项目：睾酮，孕酮，雄烯二酮，脱氢表雄酮硫酸酯，二氢睾酮，脱氢表雄酮，17α-羟孕酮，雌酮，孕烯醇酮，皮质醇，皮质酮，脱氧皮质酮，11-去氧皮质醇</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6.6</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高同型半胱氨酸（HCY）血症及其代谢通路中产物检测项目：同型半胱氨酸、甲硫氨酸、胱硫醚、5-甲基四氢叶酸、维生素B2、维生素B6、维生素B9、维生素B12</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6.7</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叶酸、同型半胱氨酸代谢通路中产物检测项目：维生素B2、维生素B6、维生素B9、S-腺苷甲硫氨酸、S-腺苷同型半胱氨酸、5-甲酰四氢叶酸、5-甲基四氢叶酸、同型半胱氨酸</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pStyle w:val="2"/>
              <w:jc w:val="center"/>
              <w:rPr>
                <w:rFonts w:hint="eastAsia"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6.8</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治疗药物浓度监测（抗精神类药物）项目：氯氮平、氯丙嗪、利培酮/9-羟基利培酮、喹硫平、阿立哌唑、脱氢阿利哌唑、奥氮平、齐拉西酮、帕利哌酮、氨磺必利</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pStyle w:val="2"/>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6.9</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治疗药物浓度监测（抗癫痫类药物）项目：苯巴比妥、苯妥英、丙戊酸、卡马西平、奥卡西平/10-羟基卡马西平</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pStyle w:val="2"/>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6.10</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治疗药物浓度监测（免疫抑制剂）项目：环孢霉素A、他克莫司**506</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6.11</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治疗药物浓度监测（抗结核药物）项目：异烟肼、利福平、吡嗪酰胺、乙胺丁醇、莫西沙星、利奈唑胺</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6.12</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治疗药物浓度监测（抗肿瘤药物）项目：甲氨蝶呤</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6.13</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胆汁酸检测项目：胆酸(CA) 、甘氨胆酸(GCA) 、牛磺胆酸(TCA) 、 熊脱氧胆酸(UDCA)、 甘氨熊脱氧胆酸( GUDCA) 、牛磺熊脱氧胆酸( TUDCA） 、 鹅脱氧胆酸(CDCA) 、甘氨鹅脱氧胆酸( GCDCA) 、牛磺鹅脱氧胆酸( TCDCA) 、脱氧胆酸(DCA) 、甘氨脱氧胆酸(DCA）、 牛磺脱氧胆酸(TDCA) 、 石胆酸(LCA) 、甘氨石胆酸(GLCA)、牛磺石胆酸(TLCA)</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6.14</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氨基酸检测</w:t>
            </w:r>
            <w:r>
              <w:rPr>
                <w:rFonts w:hint="eastAsia" w:ascii="宋体" w:hAnsi="宋体" w:cs="宋体"/>
                <w:i w:val="0"/>
                <w:iCs w:val="0"/>
                <w:color w:val="auto"/>
                <w:kern w:val="0"/>
                <w:sz w:val="21"/>
                <w:szCs w:val="21"/>
                <w:highlight w:val="none"/>
                <w:u w:val="none"/>
                <w:lang w:val="en-US" w:eastAsia="zh-CN" w:bidi="ar"/>
              </w:rPr>
              <w:t>项目：</w:t>
            </w:r>
            <w:r>
              <w:rPr>
                <w:rFonts w:hint="eastAsia" w:ascii="宋体" w:hAnsi="宋体" w:eastAsia="宋体" w:cs="宋体"/>
                <w:i w:val="0"/>
                <w:iCs w:val="0"/>
                <w:color w:val="auto"/>
                <w:kern w:val="0"/>
                <w:sz w:val="21"/>
                <w:szCs w:val="21"/>
                <w:highlight w:val="none"/>
                <w:u w:val="none"/>
                <w:lang w:val="en-US" w:eastAsia="zh-CN" w:bidi="ar"/>
              </w:rPr>
              <w:t>苯丙氨酸、赖氨酸、亮氨酸、缬氨酸、异亮氨酸、苏氨酸、甲硫氨酸、色氨酸、酪氨酸、组氨酸、精氨酸、胱氨酸、牛磺酸、脯氨酸、甘氨酸、天冬氨酸、谷氨酰胺、肌氨酸、组胺、瓜氨酸、丙氨酸、鸟氨酸、4-氨基丁酸、犬尿氨酸、谷氨酸、丝氨酸。</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1210" w:type="dxa"/>
            <w:vAlign w:val="center"/>
          </w:tcPr>
          <w:p>
            <w:pPr>
              <w:keepNext w:val="0"/>
              <w:keepLines w:val="0"/>
              <w:pageBreakBefore w:val="0"/>
              <w:kinsoku/>
              <w:wordWrap/>
              <w:overflowPunct/>
              <w:topLinePunct w:val="0"/>
              <w:autoSpaceDE/>
              <w:autoSpaceDN/>
              <w:bidi w:val="0"/>
              <w:spacing w:line="276" w:lineRule="auto"/>
              <w:jc w:val="center"/>
              <w:rPr>
                <w:rFonts w:hint="default" w:ascii="宋体" w:hAnsi="宋体" w:eastAsia="宋体" w:cs="宋体"/>
                <w:b w:val="0"/>
                <w:bCs/>
                <w:i w:val="0"/>
                <w:iCs w:val="0"/>
                <w:color w:val="auto"/>
                <w:kern w:val="0"/>
                <w:sz w:val="21"/>
                <w:szCs w:val="21"/>
                <w:highlight w:val="none"/>
                <w:u w:val="none"/>
                <w:lang w:val="en-US" w:eastAsia="zh-CN" w:bidi="ar"/>
              </w:rPr>
            </w:pPr>
            <w:r>
              <w:rPr>
                <w:rFonts w:hint="eastAsia" w:ascii="宋体" w:hAnsi="宋体" w:eastAsia="宋体" w:cs="宋体"/>
                <w:b w:val="0"/>
                <w:bCs/>
                <w:i w:val="0"/>
                <w:iCs w:val="0"/>
                <w:color w:val="auto"/>
                <w:kern w:val="0"/>
                <w:sz w:val="21"/>
                <w:szCs w:val="21"/>
                <w:highlight w:val="none"/>
                <w:u w:val="none"/>
                <w:lang w:val="en-US" w:eastAsia="zh-CN" w:bidi="ar"/>
              </w:rPr>
              <w:t>6.15</w:t>
            </w:r>
          </w:p>
        </w:tc>
        <w:tc>
          <w:tcPr>
            <w:tcW w:w="6060" w:type="dxa"/>
            <w:vAlign w:val="center"/>
          </w:tcPr>
          <w:p>
            <w:pPr>
              <w:keepNext w:val="0"/>
              <w:keepLines w:val="0"/>
              <w:pageBreakBefore w:val="0"/>
              <w:widowControl/>
              <w:suppressLineNumbers w:val="0"/>
              <w:kinsoku/>
              <w:wordWrap/>
              <w:overflowPunct/>
              <w:topLinePunct w:val="0"/>
              <w:autoSpaceDE/>
              <w:autoSpaceDN/>
              <w:bidi w:val="0"/>
              <w:spacing w:line="276"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环境荷尔蒙检测项目：对羟基苯甲酸甲酯（MP）、对羟基苯甲酸乙酯（EP）、对羟基苯甲酸丙酯（PP）、对羟基苯甲酸丁酯（BP）、双酚A（BPA）、双酚B（BPB）、壬基酚（4-NP），辛基酚（4-OP）、己烯雌酚（DES）、17α-乙炔基雌二醇（EE2）、邻苯二甲酸甲酯（MMP）、邻苯二甲酸乙酯（MEP）、邻苯二甲酸单丁基酯（MBP）、邻苯二甲酸苄基酯（MBzP）、邻苯二甲酸（2-乙基己酯）酯（MEHP）</w:t>
            </w:r>
          </w:p>
        </w:tc>
        <w:tc>
          <w:tcPr>
            <w:tcW w:w="1125" w:type="dxa"/>
            <w:vAlign w:val="center"/>
          </w:tcPr>
          <w:p>
            <w:pPr>
              <w:keepNext w:val="0"/>
              <w:keepLines w:val="0"/>
              <w:pageBreakBefore w:val="0"/>
              <w:widowControl w:val="0"/>
              <w:kinsoku/>
              <w:wordWrap/>
              <w:overflowPunct/>
              <w:topLinePunct w:val="0"/>
              <w:autoSpaceDE/>
              <w:autoSpaceDN/>
              <w:bidi w:val="0"/>
              <w:adjustRightInd w:val="0"/>
              <w:snapToGrid w:val="0"/>
              <w:spacing w:line="276" w:lineRule="auto"/>
              <w:textAlignment w:val="auto"/>
              <w:rPr>
                <w:rFonts w:hint="eastAsia" w:ascii="宋体" w:hAnsi="宋体" w:eastAsia="宋体" w:cs="宋体"/>
                <w:b/>
                <w:color w:val="auto"/>
                <w:sz w:val="21"/>
                <w:szCs w:val="21"/>
                <w:highlight w:val="none"/>
              </w:rPr>
            </w:pPr>
          </w:p>
        </w:tc>
      </w:tr>
    </w:tbl>
    <w:p>
      <w:pPr>
        <w:pStyle w:val="2"/>
        <w:jc w:val="both"/>
        <w:rPr>
          <w:rFonts w:hint="default"/>
          <w:color w:val="auto"/>
          <w:sz w:val="21"/>
          <w:szCs w:val="21"/>
          <w:highlight w:val="none"/>
          <w:lang w:val="en-US" w:eastAsia="zh-CN"/>
        </w:rPr>
      </w:pPr>
    </w:p>
    <w:p>
      <w:pPr>
        <w:pStyle w:val="2"/>
        <w:rPr>
          <w:rFonts w:hint="eastAsia"/>
          <w:color w:val="auto"/>
          <w:highlight w:val="none"/>
          <w:lang w:val="en-US" w:eastAsia="zh-CN"/>
        </w:rPr>
        <w:sectPr>
          <w:headerReference r:id="rId5" w:type="default"/>
          <w:footerReference r:id="rId6" w:type="default"/>
          <w:pgSz w:w="11906" w:h="16838"/>
          <w:pgMar w:top="1474" w:right="1797" w:bottom="1247" w:left="1797" w:header="851" w:footer="851" w:gutter="0"/>
          <w:cols w:space="720" w:num="1"/>
          <w:docGrid w:type="lines" w:linePitch="312" w:charSpace="0"/>
        </w:sectPr>
      </w:pPr>
    </w:p>
    <w:p>
      <w:pPr>
        <w:pStyle w:val="329"/>
        <w:snapToGrid w:val="0"/>
        <w:spacing w:line="360" w:lineRule="auto"/>
        <w:ind w:firstLine="0" w:firstLineChars="0"/>
        <w:rPr>
          <w:rFonts w:ascii="宋体" w:hAnsi="宋体" w:cs="宋体"/>
          <w:b/>
          <w:bCs/>
          <w:color w:val="auto"/>
          <w:highlight w:val="none"/>
        </w:rPr>
      </w:pPr>
      <w:r>
        <w:rPr>
          <w:rFonts w:hint="eastAsia" w:ascii="宋体" w:hAnsi="宋体" w:cs="宋体"/>
          <w:b/>
          <w:bCs/>
          <w:color w:val="auto"/>
          <w:highlight w:val="none"/>
        </w:rPr>
        <w:t>二、商务要求</w:t>
      </w:r>
    </w:p>
    <w:tbl>
      <w:tblPr>
        <w:tblStyle w:val="47"/>
        <w:tblW w:w="0" w:type="auto"/>
        <w:tblInd w:w="-108" w:type="dxa"/>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Layout w:type="fixed"/>
        <w:tblCellMar>
          <w:top w:w="0" w:type="dxa"/>
          <w:left w:w="108" w:type="dxa"/>
          <w:bottom w:w="0" w:type="dxa"/>
          <w:right w:w="108" w:type="dxa"/>
        </w:tblCellMar>
      </w:tblPr>
      <w:tblGrid>
        <w:gridCol w:w="1379"/>
        <w:gridCol w:w="7143"/>
      </w:tblGrid>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blHeader/>
        </w:trPr>
        <w:tc>
          <w:tcPr>
            <w:tcW w:w="1379" w:type="dxa"/>
            <w:tcBorders>
              <w:tl2br w:val="nil"/>
              <w:tr2bl w:val="nil"/>
            </w:tcBorders>
            <w:vAlign w:val="center"/>
          </w:tcPr>
          <w:p>
            <w:pPr>
              <w:spacing w:line="360"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序号</w:t>
            </w:r>
          </w:p>
        </w:tc>
        <w:tc>
          <w:tcPr>
            <w:tcW w:w="7143" w:type="dxa"/>
            <w:tcBorders>
              <w:tl2br w:val="nil"/>
              <w:tr2bl w:val="nil"/>
            </w:tcBorders>
            <w:vAlign w:val="center"/>
          </w:tcPr>
          <w:p>
            <w:pPr>
              <w:pStyle w:val="18"/>
              <w:spacing w:after="0"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商务要求</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★一</w:t>
            </w:r>
          </w:p>
        </w:tc>
        <w:tc>
          <w:tcPr>
            <w:tcW w:w="7143" w:type="dxa"/>
            <w:tcBorders>
              <w:tl2br w:val="nil"/>
              <w:tr2bl w:val="nil"/>
            </w:tcBorders>
            <w:vAlign w:val="center"/>
          </w:tcPr>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付款方式：</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合同生效并具备实施条件后，采购人收到供应商预付款保函后7个工作日内支付合同金额的40%作为预付款；项目验收合格并收到中标人正式发票之日起7个工作日内一次性付清合同款。</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w:t>
            </w:r>
          </w:p>
        </w:tc>
        <w:tc>
          <w:tcPr>
            <w:tcW w:w="7143" w:type="dxa"/>
            <w:tcBorders>
              <w:tl2br w:val="nil"/>
              <w:tr2bl w:val="nil"/>
            </w:tcBorders>
            <w:vAlign w:val="center"/>
          </w:tcPr>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其他要求</w:t>
            </w:r>
            <w:r>
              <w:rPr>
                <w:rFonts w:hint="eastAsia" w:ascii="宋体" w:hAnsi="宋体" w:eastAsia="宋体" w:cs="宋体"/>
                <w:b/>
                <w:bCs/>
                <w:color w:val="auto"/>
                <w:sz w:val="21"/>
                <w:szCs w:val="21"/>
                <w:highlight w:val="none"/>
              </w:rPr>
              <w:t>：</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w:t>
            </w:r>
          </w:p>
        </w:tc>
        <w:tc>
          <w:tcPr>
            <w:tcW w:w="7143" w:type="dxa"/>
            <w:tcBorders>
              <w:tl2br w:val="nil"/>
              <w:tr2bl w:val="nil"/>
            </w:tcBorders>
            <w:vAlign w:val="center"/>
          </w:tcPr>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列出详细的设备配置清单（包括附件及选配件），清单包括：硬件、软件、附件及选配件的规格型号、接口。提供分项价格并提供价格的折扣率，同时提供试剂耗品的清单及供应价（各种包装规格分别报价）。招标文件中未提及的某些属选配的功能、软硬件，供方必须充分告知采购人，以采购人选择为准。若在交付使用后采购人发现其功能或软件未告知采购人的，中标人必须无条件提供。</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提供各类必要证件（书），全套设备必须为全新，未曾使用过的原装产品，软件版本为最新版本（投标文件中须注明设备进入市场时间及软件最新版本号）。</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招标设备如为法定商检产品或国家强检计量设备，由中标人负责进行商检或计量等，费用包含在投标总价之内。</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标人必须以招标人需要的机型进行投标，在投标时如实响应招标文件技术文件并提供完全配置，不得欺骗、隐瞒，投标后对招标文件的响应内容，不得以任何理由加价，招、投标文件为合同的组成部分，具备同等法律效力。</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90"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2.5</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提供电子版SOP文件、纸质和电子版操作手册（包括纸质版两套和电子版一套）、维修手册（包括维修技术资料及线路图）、软件、维修零配件、维修密码等。</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2.6</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提供近三年内国内医院的用户名单、联系电话。（同规格型号的用户）</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2.7</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如实提供有注册证医疗器械的使用年限或使用期限。</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2.8</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提供制造商原厂data sheet，提供符合上述参数和配置要求的详细配置清单及单价，必需的耗材清单，承诺长期供应的优惠价格。应标技术文件参数应与官方网站的数据或原厂data sheet保持一致，并以此验收。</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2.9</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免费开放所有接口，便于信息系统接入。</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.10</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投标设备使用寿命≥10年。</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2.11</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lang w:val="en-US" w:eastAsia="zh-CN"/>
              </w:rPr>
              <w:t>标项二：</w:t>
            </w:r>
            <w:r>
              <w:rPr>
                <w:rFonts w:hint="eastAsia" w:ascii="宋体" w:hAnsi="宋体" w:eastAsia="宋体" w:cs="宋体"/>
                <w:color w:val="auto"/>
                <w:sz w:val="21"/>
                <w:szCs w:val="21"/>
                <w:highlight w:val="none"/>
              </w:rPr>
              <w:t>提供驻场技术支持1名</w:t>
            </w:r>
            <w:r>
              <w:rPr>
                <w:rFonts w:hint="eastAsia" w:ascii="宋体" w:hAnsi="宋体" w:eastAsia="宋体" w:cs="宋体"/>
                <w:color w:val="auto"/>
                <w:sz w:val="21"/>
                <w:szCs w:val="21"/>
                <w:highlight w:val="none"/>
                <w:lang w:eastAsia="zh-CN"/>
              </w:rPr>
              <w:t>：协助日常工作以及应对大批量检测项目。</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val="0"/>
                <w:bCs/>
                <w:color w:val="auto"/>
                <w:sz w:val="21"/>
                <w:szCs w:val="21"/>
                <w:highlight w:val="none"/>
              </w:rPr>
              <w:t>▲</w:t>
            </w:r>
            <w:r>
              <w:rPr>
                <w:rFonts w:hint="eastAsia" w:ascii="宋体" w:hAnsi="宋体" w:eastAsia="宋体" w:cs="宋体"/>
                <w:color w:val="auto"/>
                <w:sz w:val="21"/>
                <w:szCs w:val="21"/>
                <w:highlight w:val="none"/>
                <w:lang w:val="en-US" w:eastAsia="zh-CN"/>
              </w:rPr>
              <w:t>2.12</w:t>
            </w:r>
          </w:p>
        </w:tc>
        <w:tc>
          <w:tcPr>
            <w:tcW w:w="7143" w:type="dxa"/>
            <w:tcBorders>
              <w:tl2br w:val="nil"/>
              <w:tr2bl w:val="nil"/>
            </w:tcBorders>
            <w:vAlign w:val="center"/>
          </w:tcPr>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标项二：</w:t>
            </w:r>
            <w:r>
              <w:rPr>
                <w:rFonts w:hint="eastAsia" w:ascii="宋体" w:hAnsi="宋体" w:eastAsia="宋体" w:cs="宋体"/>
                <w:color w:val="auto"/>
                <w:sz w:val="21"/>
                <w:szCs w:val="21"/>
                <w:highlight w:val="none"/>
              </w:rPr>
              <w:t>投标人需勘察医院既定设备安置场所，提供医院质谱实验室隔断改造装修方案图。</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i w:val="0"/>
                <w:iCs w:val="0"/>
                <w:color w:val="auto"/>
                <w:kern w:val="0"/>
                <w:sz w:val="21"/>
                <w:szCs w:val="21"/>
                <w:highlight w:val="none"/>
                <w:u w:val="none"/>
                <w:lang w:val="en-US" w:eastAsia="zh-CN" w:bidi="ar"/>
              </w:rPr>
              <w:t>★</w:t>
            </w:r>
            <w:r>
              <w:rPr>
                <w:rFonts w:hint="eastAsia" w:ascii="宋体" w:hAnsi="宋体" w:eastAsia="宋体" w:cs="宋体"/>
                <w:color w:val="auto"/>
                <w:sz w:val="21"/>
                <w:szCs w:val="21"/>
                <w:highlight w:val="none"/>
                <w:lang w:val="en-US" w:eastAsia="zh-CN"/>
              </w:rPr>
              <w:t>2.13</w:t>
            </w:r>
          </w:p>
        </w:tc>
        <w:tc>
          <w:tcPr>
            <w:tcW w:w="7143" w:type="dxa"/>
            <w:tcBorders>
              <w:tl2br w:val="nil"/>
              <w:tr2bl w:val="nil"/>
            </w:tcBorders>
            <w:vAlign w:val="center"/>
          </w:tcPr>
          <w:p>
            <w:pPr>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标项二：</w:t>
            </w:r>
            <w:r>
              <w:rPr>
                <w:rFonts w:hint="eastAsia" w:ascii="宋体" w:hAnsi="宋体" w:eastAsia="宋体" w:cs="宋体"/>
                <w:i w:val="0"/>
                <w:iCs w:val="0"/>
                <w:color w:val="auto"/>
                <w:kern w:val="0"/>
                <w:sz w:val="21"/>
                <w:szCs w:val="21"/>
                <w:highlight w:val="none"/>
                <w:u w:val="none"/>
                <w:lang w:val="en-US" w:eastAsia="zh-CN" w:bidi="ar"/>
              </w:rPr>
              <w:t>投标人须承诺设备配套试剂最高限价为：浙江省医疗物价的40%（试剂数量不作限制）。试剂报价应包括主试剂、辅助试剂、消耗品、质控品、校准品、损耗等所有配套耗材费用和其他伴随服务费用。</w:t>
            </w:r>
            <w:r>
              <w:rPr>
                <w:rFonts w:hint="eastAsia" w:ascii="宋体" w:hAnsi="宋体" w:cs="宋体"/>
                <w:i w:val="0"/>
                <w:iCs w:val="0"/>
                <w:color w:val="auto"/>
                <w:kern w:val="0"/>
                <w:sz w:val="21"/>
                <w:szCs w:val="21"/>
                <w:highlight w:val="none"/>
                <w:u w:val="none"/>
                <w:lang w:val="en-US" w:eastAsia="zh-CN" w:bidi="ar"/>
              </w:rPr>
              <w:t>本项目不包含试剂采购，具体采购量由采购人与投标人另行协商确定</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w:t>
            </w:r>
          </w:p>
        </w:tc>
        <w:tc>
          <w:tcPr>
            <w:tcW w:w="7143" w:type="dxa"/>
            <w:tcBorders>
              <w:tl2br w:val="nil"/>
              <w:tr2bl w:val="nil"/>
            </w:tcBorders>
            <w:vAlign w:val="center"/>
          </w:tcPr>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售后服务</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★3.1</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b/>
                <w:bCs/>
                <w:color w:val="auto"/>
                <w:kern w:val="0"/>
                <w:sz w:val="21"/>
                <w:szCs w:val="21"/>
                <w:highlight w:val="none"/>
              </w:rPr>
              <w:t>设备验收合格后整机及附属设备免费保修</w:t>
            </w:r>
            <w:r>
              <w:rPr>
                <w:rFonts w:hint="eastAsia" w:ascii="宋体" w:hAnsi="宋体" w:eastAsia="宋体" w:cs="宋体"/>
                <w:b/>
                <w:bCs/>
                <w:color w:val="auto"/>
                <w:kern w:val="0"/>
                <w:sz w:val="21"/>
                <w:szCs w:val="21"/>
                <w:highlight w:val="none"/>
                <w:lang w:eastAsia="zh-CN"/>
              </w:rPr>
              <w:t>：</w:t>
            </w:r>
            <w:r>
              <w:rPr>
                <w:rFonts w:hint="eastAsia" w:ascii="宋体" w:hAnsi="宋体" w:eastAsia="宋体" w:cs="宋体"/>
                <w:b/>
                <w:bCs/>
                <w:color w:val="auto"/>
                <w:kern w:val="0"/>
                <w:sz w:val="21"/>
                <w:szCs w:val="21"/>
                <w:highlight w:val="none"/>
                <w:lang w:val="en-US" w:eastAsia="zh-CN"/>
              </w:rPr>
              <w:t>标项一</w:t>
            </w:r>
            <w:r>
              <w:rPr>
                <w:rFonts w:hint="eastAsia" w:ascii="宋体" w:hAnsi="宋体" w:eastAsia="宋体" w:cs="宋体"/>
                <w:b/>
                <w:bCs/>
                <w:color w:val="auto"/>
                <w:kern w:val="0"/>
                <w:sz w:val="21"/>
                <w:szCs w:val="21"/>
                <w:highlight w:val="none"/>
                <w:u w:val="single"/>
              </w:rPr>
              <w:t>≥1年</w:t>
            </w:r>
            <w:r>
              <w:rPr>
                <w:rFonts w:hint="eastAsia" w:ascii="宋体" w:hAnsi="宋体" w:eastAsia="宋体" w:cs="宋体"/>
                <w:b/>
                <w:bCs/>
                <w:color w:val="auto"/>
                <w:kern w:val="0"/>
                <w:sz w:val="21"/>
                <w:szCs w:val="21"/>
                <w:highlight w:val="none"/>
                <w:u w:val="single"/>
                <w:lang w:eastAsia="zh-CN"/>
              </w:rPr>
              <w:t>；</w:t>
            </w:r>
            <w:r>
              <w:rPr>
                <w:rFonts w:hint="eastAsia" w:ascii="宋体" w:hAnsi="宋体" w:eastAsia="宋体" w:cs="宋体"/>
                <w:b/>
                <w:bCs/>
                <w:color w:val="auto"/>
                <w:kern w:val="0"/>
                <w:sz w:val="21"/>
                <w:szCs w:val="21"/>
                <w:highlight w:val="none"/>
                <w:u w:val="single"/>
                <w:lang w:val="en-US" w:eastAsia="zh-CN"/>
              </w:rPr>
              <w:t>标项二≥5年</w:t>
            </w:r>
            <w:r>
              <w:rPr>
                <w:rFonts w:hint="eastAsia" w:ascii="宋体" w:hAnsi="宋体" w:eastAsia="宋体" w:cs="宋体"/>
                <w:b/>
                <w:bCs/>
                <w:color w:val="auto"/>
                <w:kern w:val="0"/>
                <w:sz w:val="21"/>
                <w:szCs w:val="21"/>
                <w:highlight w:val="none"/>
                <w:u w:val="single"/>
              </w:rPr>
              <w:t>，</w:t>
            </w:r>
            <w:r>
              <w:rPr>
                <w:rFonts w:hint="eastAsia" w:ascii="宋体" w:hAnsi="宋体" w:eastAsia="宋体" w:cs="宋体"/>
                <w:b/>
                <w:bCs/>
                <w:color w:val="auto"/>
                <w:kern w:val="0"/>
                <w:sz w:val="21"/>
                <w:szCs w:val="21"/>
                <w:highlight w:val="none"/>
              </w:rPr>
              <w:t>保证零配件供应7年及以上（保修起始时间以医院验收合格之日为准）。</w:t>
            </w:r>
            <w:r>
              <w:rPr>
                <w:rFonts w:hint="eastAsia" w:ascii="宋体" w:hAnsi="宋体" w:eastAsia="宋体" w:cs="宋体"/>
                <w:color w:val="auto"/>
                <w:kern w:val="0"/>
                <w:sz w:val="21"/>
                <w:szCs w:val="21"/>
                <w:highlight w:val="none"/>
              </w:rPr>
              <w:t>投标人需提供保修期后每年整机保修费用，</w:t>
            </w:r>
            <w:r>
              <w:rPr>
                <w:rFonts w:hint="eastAsia" w:ascii="宋体" w:hAnsi="宋体" w:eastAsia="宋体" w:cs="宋体"/>
                <w:color w:val="auto"/>
                <w:sz w:val="21"/>
                <w:szCs w:val="21"/>
                <w:highlight w:val="none"/>
              </w:rPr>
              <w:t>单独报价，</w:t>
            </w:r>
            <w:r>
              <w:rPr>
                <w:rFonts w:hint="eastAsia" w:ascii="宋体" w:hAnsi="宋体" w:eastAsia="宋体" w:cs="宋体"/>
                <w:color w:val="auto"/>
                <w:kern w:val="0"/>
                <w:sz w:val="21"/>
                <w:szCs w:val="21"/>
                <w:highlight w:val="none"/>
              </w:rPr>
              <w:t>并且保证价格为真实、有效，并作为售后服务的评标依据，保修期后需要保修的，不高于此价格（如技术需求中有相关要求，以技术需求准）。</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3.2</w:t>
            </w:r>
          </w:p>
        </w:tc>
        <w:tc>
          <w:tcPr>
            <w:tcW w:w="7143" w:type="dxa"/>
            <w:tcBorders>
              <w:tl2br w:val="nil"/>
              <w:tr2bl w:val="nil"/>
            </w:tcBorders>
            <w:vAlign w:val="center"/>
          </w:tcPr>
          <w:p>
            <w:pPr>
              <w:spacing w:line="360" w:lineRule="auto"/>
              <w:rPr>
                <w:rFonts w:hint="eastAsia" w:ascii="宋体" w:hAnsi="宋体" w:eastAsia="宋体" w:cs="宋体"/>
                <w:b/>
                <w:bCs/>
                <w:color w:val="auto"/>
                <w:kern w:val="0"/>
                <w:sz w:val="21"/>
                <w:szCs w:val="21"/>
                <w:highlight w:val="none"/>
              </w:rPr>
            </w:pPr>
            <w:r>
              <w:rPr>
                <w:rFonts w:hint="eastAsia" w:ascii="宋体" w:hAnsi="宋体" w:eastAsia="宋体" w:cs="宋体"/>
                <w:color w:val="auto"/>
                <w:sz w:val="21"/>
                <w:szCs w:val="21"/>
                <w:highlight w:val="none"/>
              </w:rPr>
              <w:t>保修范围内设备的故障维修响应时间≤2小时，到达现场时间≤24小时（包括节假日），8个工作小时未修复须提供备品备件。每次现场服务后提供详细的维修报告单。</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3</w:t>
            </w:r>
          </w:p>
        </w:tc>
        <w:tc>
          <w:tcPr>
            <w:tcW w:w="7143" w:type="dxa"/>
            <w:tcBorders>
              <w:tl2br w:val="nil"/>
              <w:tr2bl w:val="nil"/>
            </w:tcBorders>
            <w:vAlign w:val="center"/>
          </w:tcPr>
          <w:p>
            <w:pPr>
              <w:spacing w:line="360" w:lineRule="auto"/>
              <w:rPr>
                <w:rFonts w:hint="eastAsia" w:ascii="宋体" w:hAnsi="宋体" w:eastAsia="宋体" w:cs="宋体"/>
                <w:b/>
                <w:bCs/>
                <w:color w:val="auto"/>
                <w:kern w:val="0"/>
                <w:sz w:val="21"/>
                <w:szCs w:val="21"/>
                <w:highlight w:val="none"/>
              </w:rPr>
            </w:pPr>
            <w:r>
              <w:rPr>
                <w:rFonts w:hint="eastAsia" w:ascii="宋体" w:hAnsi="宋体" w:eastAsia="宋体" w:cs="宋体"/>
                <w:color w:val="auto"/>
                <w:sz w:val="21"/>
                <w:szCs w:val="21"/>
                <w:highlight w:val="none"/>
              </w:rPr>
              <w:t>保修期内每年开机率不低于95%（一年按365天计），即停机天数不超过18个自然日/年，如开机率达不到要求，每停机超过1个自然日保修期相应延长5个自然日。</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4</w:t>
            </w:r>
          </w:p>
        </w:tc>
        <w:tc>
          <w:tcPr>
            <w:tcW w:w="7143" w:type="dxa"/>
            <w:tcBorders>
              <w:tl2br w:val="nil"/>
              <w:tr2bl w:val="nil"/>
            </w:tcBorders>
            <w:vAlign w:val="center"/>
          </w:tcPr>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按规范进行每年至少2次的维保、检测服务并提供详细的维保及检测报告（提供有关测试证明）等。</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5</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保修期内，确保设备通过浙江省卫生厅的质控检查和技术监督局等有关部门的技术检测。如不合格，承担重检费用，直至通过检测。</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6</w:t>
            </w:r>
          </w:p>
        </w:tc>
        <w:tc>
          <w:tcPr>
            <w:tcW w:w="7143" w:type="dxa"/>
            <w:tcBorders>
              <w:tl2br w:val="nil"/>
              <w:tr2bl w:val="nil"/>
            </w:tcBorders>
            <w:vAlign w:val="center"/>
          </w:tcPr>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在保质期内出现问题，所产生的维修费用（包括零部件费用.运返费用等费用)均由投标人承担；</w:t>
            </w:r>
            <w:r>
              <w:rPr>
                <w:rFonts w:hint="eastAsia" w:ascii="宋体" w:hAnsi="宋体" w:eastAsia="宋体" w:cs="宋体"/>
                <w:color w:val="auto"/>
                <w:sz w:val="21"/>
                <w:szCs w:val="21"/>
                <w:highlight w:val="none"/>
              </w:rPr>
              <w:t>保修期后，</w:t>
            </w:r>
            <w:r>
              <w:rPr>
                <w:rFonts w:hint="eastAsia" w:ascii="宋体" w:hAnsi="宋体" w:eastAsia="宋体" w:cs="宋体"/>
                <w:color w:val="auto"/>
                <w:kern w:val="0"/>
                <w:sz w:val="21"/>
                <w:szCs w:val="21"/>
                <w:highlight w:val="none"/>
              </w:rPr>
              <w:t>投标人应提供终身维修，</w:t>
            </w:r>
            <w:r>
              <w:rPr>
                <w:rFonts w:hint="eastAsia" w:ascii="宋体" w:hAnsi="宋体" w:eastAsia="宋体" w:cs="宋体"/>
                <w:color w:val="auto"/>
                <w:sz w:val="21"/>
                <w:szCs w:val="21"/>
                <w:highlight w:val="none"/>
              </w:rPr>
              <w:t>对设备进行维修免收差旅费、人工费等，仅收损坏更换的零备件费。必须做到先维修后付款。要求原厂或原厂授权维修服务机构进行书面承诺。</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7</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提供保修期后消耗品和常用零配件的供应价格与折扣，折扣按最大优惠程度供应（供应价格和折扣，在投标文件中明确）。</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90"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8</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操作培训及考核和工程师的维护、维修培训（列出具体的培训方案。如提供院外培训，投标人负责采购人人员培训期间的一切费用(包括会务费、差旅费、食宿费用等），投标人应知晓所有这些费用已包含在合同总价中。</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9</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提供售后服务地址、联系人、电话等信息。</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10</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提供软件光盘，软件终身免费升级。</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3.1</w:t>
            </w:r>
            <w:r>
              <w:rPr>
                <w:rFonts w:hint="eastAsia" w:ascii="宋体" w:hAnsi="宋体" w:eastAsia="宋体" w:cs="宋体"/>
                <w:color w:val="auto"/>
                <w:sz w:val="21"/>
                <w:szCs w:val="21"/>
                <w:highlight w:val="none"/>
                <w:lang w:val="en-US" w:eastAsia="zh-CN"/>
              </w:rPr>
              <w:t>1</w:t>
            </w:r>
          </w:p>
        </w:tc>
        <w:tc>
          <w:tcPr>
            <w:tcW w:w="7143" w:type="dxa"/>
            <w:tcBorders>
              <w:tl2br w:val="nil"/>
              <w:tr2bl w:val="nil"/>
            </w:tcBorders>
            <w:vAlign w:val="center"/>
          </w:tcPr>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如属计量器具、放射类设备，则卖方提供经买方认可的且具有资质的检测机构出具的计量、放射防护检测合格报告，检测费用包含在合同总价中。</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若设备有信息系统接口，则全部免费开放。</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w:t>
            </w:r>
          </w:p>
        </w:tc>
        <w:tc>
          <w:tcPr>
            <w:tcW w:w="7143" w:type="dxa"/>
            <w:tcBorders>
              <w:tl2br w:val="nil"/>
              <w:tr2bl w:val="nil"/>
            </w:tcBorders>
            <w:vAlign w:val="center"/>
          </w:tcPr>
          <w:p>
            <w:pPr>
              <w:spacing w:line="360" w:lineRule="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安装及验收</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4.1</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安装地点：医院指定地点。</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4.2</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安装要求：到货后</w:t>
            </w:r>
            <w:r>
              <w:rPr>
                <w:rFonts w:hint="eastAsia" w:ascii="宋体" w:hAnsi="宋体" w:eastAsia="宋体" w:cs="宋体"/>
                <w:color w:val="auto"/>
                <w:sz w:val="21"/>
                <w:szCs w:val="21"/>
                <w:highlight w:val="none"/>
              </w:rPr>
              <w:t>接到采购人通知7天内全部安装调试完成。</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4.3</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安装、验收前所产生的一切费用及风险（包括运输费、保险费、装卸及搬运费用等）由供方负责提供。</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4.4</w:t>
            </w:r>
          </w:p>
        </w:tc>
        <w:tc>
          <w:tcPr>
            <w:tcW w:w="7143" w:type="dxa"/>
            <w:tcBorders>
              <w:tl2br w:val="nil"/>
              <w:tr2bl w:val="nil"/>
            </w:tcBorders>
            <w:vAlign w:val="center"/>
          </w:tcPr>
          <w:p>
            <w:pPr>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安装、验收标准：应与产品技术数据及投标文件技术文件一致，符合我国有关技术规范和技术标准，符合合同要求。</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4.5</w:t>
            </w:r>
          </w:p>
        </w:tc>
        <w:tc>
          <w:tcPr>
            <w:tcW w:w="7143" w:type="dxa"/>
            <w:tcBorders>
              <w:tl2br w:val="nil"/>
              <w:tr2bl w:val="nil"/>
            </w:tcBorders>
            <w:vAlign w:val="center"/>
          </w:tcPr>
          <w:p>
            <w:pPr>
              <w:widowControl/>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验收：符合医院的验收规范。</w:t>
            </w:r>
          </w:p>
          <w:p>
            <w:pPr>
              <w:widowControl/>
              <w:spacing w:line="360" w:lineRule="auto"/>
              <w:rPr>
                <w:rFonts w:hint="eastAsia" w:ascii="宋体" w:hAnsi="宋体" w:eastAsia="宋体" w:cs="宋体"/>
                <w:color w:val="auto"/>
                <w:kern w:val="0"/>
                <w:sz w:val="21"/>
                <w:szCs w:val="21"/>
                <w:highlight w:val="none"/>
              </w:rPr>
            </w:pPr>
            <w:r>
              <w:rPr>
                <w:rFonts w:hint="eastAsia" w:ascii="宋体" w:hAnsi="宋体" w:eastAsia="宋体" w:cs="宋体"/>
                <w:b/>
                <w:bCs/>
                <w:color w:val="auto"/>
                <w:kern w:val="0"/>
                <w:sz w:val="21"/>
                <w:szCs w:val="21"/>
                <w:highlight w:val="none"/>
              </w:rPr>
              <w:t>注：1.提供规范的安装验收报告；2.提供电子版和纸质简明操作规程（至少包括使用前检查准备、操作步骤、注意事项、适用范围或禁忌证，日常维护、应急处理方案等）；3.提供厂家标准维保（PM）内容。</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54" w:hRule="atLeast"/>
        </w:trPr>
        <w:tc>
          <w:tcPr>
            <w:tcW w:w="1379" w:type="dxa"/>
            <w:tcBorders>
              <w:tl2br w:val="nil"/>
              <w:tr2bl w:val="nil"/>
            </w:tcBorders>
            <w:vAlign w:val="center"/>
          </w:tcPr>
          <w:p>
            <w:pPr>
              <w:spacing w:line="360"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eastAsia="宋体" w:cs="宋体"/>
                <w:b/>
                <w:bCs/>
                <w:color w:val="auto"/>
                <w:kern w:val="0"/>
                <w:sz w:val="21"/>
                <w:szCs w:val="21"/>
                <w:highlight w:val="none"/>
              </w:rPr>
              <w:t>五</w:t>
            </w:r>
          </w:p>
        </w:tc>
        <w:tc>
          <w:tcPr>
            <w:tcW w:w="7143" w:type="dxa"/>
            <w:tcBorders>
              <w:tl2br w:val="nil"/>
              <w:tr2bl w:val="nil"/>
            </w:tcBorders>
            <w:vAlign w:val="center"/>
          </w:tcPr>
          <w:p>
            <w:pPr>
              <w:spacing w:line="360" w:lineRule="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交货期：合同签订之日起</w:t>
            </w:r>
            <w:r>
              <w:rPr>
                <w:rFonts w:hint="eastAsia" w:ascii="宋体" w:hAnsi="宋体" w:eastAsia="宋体" w:cs="宋体"/>
                <w:b/>
                <w:bCs/>
                <w:color w:val="auto"/>
                <w:kern w:val="0"/>
                <w:sz w:val="21"/>
                <w:szCs w:val="21"/>
                <w:highlight w:val="none"/>
                <w:u w:val="single"/>
              </w:rPr>
              <w:t>30天</w:t>
            </w:r>
            <w:r>
              <w:rPr>
                <w:rFonts w:hint="eastAsia" w:ascii="宋体" w:hAnsi="宋体" w:eastAsia="宋体" w:cs="宋体"/>
                <w:b/>
                <w:bCs/>
                <w:color w:val="auto"/>
                <w:kern w:val="0"/>
                <w:sz w:val="21"/>
                <w:szCs w:val="21"/>
                <w:highlight w:val="none"/>
              </w:rPr>
              <w:t>内。</w:t>
            </w:r>
          </w:p>
        </w:tc>
      </w:tr>
    </w:tbl>
    <w:p>
      <w:pPr>
        <w:pStyle w:val="329"/>
        <w:snapToGrid w:val="0"/>
        <w:spacing w:line="360" w:lineRule="auto"/>
        <w:ind w:firstLine="0" w:firstLineChars="0"/>
        <w:rPr>
          <w:rFonts w:ascii="宋体" w:hAnsi="宋体" w:cs="宋体"/>
          <w:b/>
          <w:bCs/>
          <w:color w:val="auto"/>
          <w:highlight w:val="none"/>
        </w:rPr>
      </w:pPr>
    </w:p>
    <w:p>
      <w:pPr>
        <w:pStyle w:val="46"/>
        <w:rPr>
          <w:rFonts w:ascii="宋体" w:hAnsi="宋体" w:cs="宋体"/>
          <w:color w:val="auto"/>
          <w:highlight w:val="none"/>
        </w:rPr>
      </w:pPr>
    </w:p>
    <w:p>
      <w:pPr>
        <w:snapToGrid w:val="0"/>
        <w:spacing w:line="360" w:lineRule="auto"/>
        <w:rPr>
          <w:rFonts w:ascii="宋体" w:hAnsi="宋体" w:cs="宋体"/>
          <w:b/>
          <w:bCs/>
          <w:color w:val="auto"/>
          <w:highlight w:val="none"/>
        </w:rPr>
      </w:pPr>
    </w:p>
    <w:p>
      <w:pPr>
        <w:snapToGrid w:val="0"/>
        <w:spacing w:line="360" w:lineRule="auto"/>
        <w:rPr>
          <w:rFonts w:ascii="宋体" w:hAnsi="宋体" w:cs="宋体"/>
          <w:b/>
          <w:bCs/>
          <w:color w:val="auto"/>
          <w:highlight w:val="none"/>
        </w:rPr>
      </w:pPr>
      <w:r>
        <w:rPr>
          <w:rFonts w:hint="eastAsia" w:ascii="宋体" w:hAnsi="宋体" w:cs="宋体"/>
          <w:b/>
          <w:bCs/>
          <w:color w:val="auto"/>
          <w:highlight w:val="none"/>
        </w:rPr>
        <w:br w:type="page"/>
      </w:r>
    </w:p>
    <w:p>
      <w:pPr>
        <w:rPr>
          <w:rFonts w:ascii="宋体" w:hAnsi="宋体" w:cs="宋体"/>
          <w:color w:val="auto"/>
          <w:highlight w:val="none"/>
        </w:rPr>
        <w:sectPr>
          <w:pgSz w:w="11906" w:h="16838"/>
          <w:pgMar w:top="1474" w:right="1797" w:bottom="1247" w:left="1797" w:header="851" w:footer="851" w:gutter="0"/>
          <w:cols w:space="720" w:num="1"/>
          <w:docGrid w:type="lines" w:linePitch="312" w:charSpace="0"/>
        </w:sectPr>
      </w:pPr>
    </w:p>
    <w:p>
      <w:pPr>
        <w:pStyle w:val="2"/>
        <w:rPr>
          <w:rFonts w:ascii="宋体" w:cs="宋体"/>
          <w:color w:val="auto"/>
          <w:highlight w:val="none"/>
        </w:rPr>
      </w:pPr>
      <w:r>
        <w:rPr>
          <w:rFonts w:hint="eastAsia" w:ascii="宋体" w:cs="宋体"/>
          <w:color w:val="auto"/>
          <w:highlight w:val="none"/>
        </w:rPr>
        <w:t>第三章  投标人须知</w:t>
      </w:r>
      <w:bookmarkEnd w:id="5"/>
      <w:bookmarkEnd w:id="6"/>
    </w:p>
    <w:p>
      <w:pPr>
        <w:snapToGrid w:val="0"/>
        <w:spacing w:before="120" w:beforeLines="50" w:after="120" w:afterLines="50" w:line="360" w:lineRule="auto"/>
        <w:ind w:left="238"/>
        <w:jc w:val="center"/>
        <w:outlineLvl w:val="1"/>
        <w:rPr>
          <w:rFonts w:ascii="宋体" w:hAnsi="宋体" w:cs="宋体"/>
          <w:color w:val="auto"/>
          <w:highlight w:val="none"/>
        </w:rPr>
      </w:pPr>
      <w:bookmarkStart w:id="7" w:name="_Toc4833"/>
      <w:bookmarkStart w:id="8" w:name="_Toc47388318"/>
      <w:bookmarkStart w:id="9" w:name="_Toc417922226"/>
      <w:r>
        <w:rPr>
          <w:rFonts w:hint="eastAsia" w:ascii="宋体" w:hAnsi="宋体" w:cs="宋体"/>
          <w:color w:val="auto"/>
          <w:highlight w:val="none"/>
        </w:rPr>
        <w:t>前附表</w:t>
      </w:r>
      <w:bookmarkEnd w:id="7"/>
      <w:bookmarkEnd w:id="8"/>
      <w:bookmarkEnd w:id="9"/>
    </w:p>
    <w:tbl>
      <w:tblPr>
        <w:tblStyle w:val="47"/>
        <w:tblW w:w="9240" w:type="dxa"/>
        <w:tblInd w:w="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9"/>
        <w:gridCol w:w="83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序号</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1</w:t>
            </w:r>
          </w:p>
        </w:tc>
        <w:tc>
          <w:tcPr>
            <w:tcW w:w="8371" w:type="dxa"/>
            <w:tcBorders>
              <w:top w:val="single" w:color="auto" w:sz="4" w:space="0"/>
              <w:left w:val="single" w:color="auto" w:sz="4" w:space="0"/>
              <w:bottom w:val="single" w:color="auto" w:sz="4" w:space="0"/>
            </w:tcBorders>
            <w:vAlign w:val="center"/>
          </w:tcPr>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rPr>
              <w:t>项目名称：</w:t>
            </w:r>
            <w:r>
              <w:rPr>
                <w:rFonts w:hint="eastAsia" w:ascii="宋体" w:hAnsi="宋体" w:cs="宋体"/>
                <w:color w:val="auto"/>
                <w:highlight w:val="none"/>
                <w:lang w:eastAsia="zh-CN"/>
              </w:rPr>
              <w:t>丽水市中心医院体外冲击波碎石机、全自动快速微生物质谱检测系统采购项目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★2</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b/>
                <w:bCs/>
                <w:color w:val="auto"/>
                <w:highlight w:val="none"/>
              </w:rPr>
            </w:pPr>
            <w:r>
              <w:rPr>
                <w:rFonts w:hint="eastAsia" w:ascii="宋体" w:hAnsi="宋体" w:cs="宋体"/>
                <w:b/>
                <w:bCs/>
                <w:color w:val="auto"/>
                <w:highlight w:val="none"/>
              </w:rPr>
              <w:t>投标报价及费用：</w:t>
            </w:r>
          </w:p>
          <w:p>
            <w:pPr>
              <w:overflowPunct w:val="0"/>
              <w:spacing w:line="360" w:lineRule="auto"/>
              <w:ind w:left="63" w:leftChars="1" w:hanging="61" w:hangingChars="29"/>
              <w:rPr>
                <w:rFonts w:ascii="宋体" w:hAnsi="宋体" w:cs="宋体"/>
                <w:b/>
                <w:bCs/>
                <w:color w:val="auto"/>
                <w:highlight w:val="none"/>
              </w:rPr>
            </w:pPr>
            <w:r>
              <w:rPr>
                <w:rFonts w:hint="eastAsia" w:ascii="宋体" w:hAnsi="宋体" w:cs="宋体"/>
                <w:b/>
                <w:bCs/>
                <w:color w:val="auto"/>
                <w:highlight w:val="none"/>
              </w:rPr>
              <w:t>1、投标报价是履行合同的最终价格，应包括设备价、安装调试、系统集成、货物运至项目现场的运输费、保险费、培训费、售后服务、利润、税金等一切与本次采购相关的费用。</w:t>
            </w:r>
          </w:p>
          <w:p>
            <w:pPr>
              <w:overflowPunct w:val="0"/>
              <w:spacing w:line="360" w:lineRule="auto"/>
              <w:ind w:left="63" w:leftChars="1" w:hanging="61" w:hangingChars="29"/>
              <w:rPr>
                <w:rFonts w:ascii="宋体" w:hAnsi="宋体" w:cs="宋体"/>
                <w:b/>
                <w:bCs/>
                <w:color w:val="auto"/>
                <w:highlight w:val="none"/>
              </w:rPr>
            </w:pPr>
            <w:r>
              <w:rPr>
                <w:rFonts w:hint="eastAsia" w:ascii="宋体" w:hAnsi="宋体" w:cs="宋体"/>
                <w:b/>
                <w:bCs/>
                <w:color w:val="auto"/>
                <w:highlight w:val="none"/>
              </w:rPr>
              <w:t>本项目预算金额/最高限价：详见第一章公开招标采购公告。投标报价超过预算金额或最高限价的作无效标处理。</w:t>
            </w:r>
          </w:p>
          <w:p>
            <w:pPr>
              <w:spacing w:line="360" w:lineRule="auto"/>
              <w:rPr>
                <w:rFonts w:ascii="宋体" w:hAnsi="宋体" w:cs="宋体"/>
                <w:b/>
                <w:bCs/>
                <w:color w:val="auto"/>
                <w:highlight w:val="none"/>
              </w:rPr>
            </w:pPr>
            <w:r>
              <w:rPr>
                <w:rFonts w:hint="eastAsia" w:ascii="宋体" w:hAnsi="宋体" w:cs="宋体"/>
                <w:color w:val="auto"/>
                <w:highlight w:val="none"/>
              </w:rPr>
              <w:t>★</w:t>
            </w:r>
            <w:r>
              <w:rPr>
                <w:rFonts w:hint="eastAsia" w:ascii="宋体" w:hAnsi="宋体" w:cs="宋体"/>
                <w:b/>
                <w:bCs/>
                <w:color w:val="auto"/>
                <w:highlight w:val="none"/>
              </w:rPr>
              <w:t>2、不论投标结果如何，投标人均应自行承担所有与投标有关的全部费用；</w:t>
            </w:r>
          </w:p>
          <w:p>
            <w:pPr>
              <w:spacing w:line="400" w:lineRule="exact"/>
              <w:rPr>
                <w:rFonts w:ascii="宋体" w:hAnsi="宋体" w:cs="宋体"/>
                <w:color w:val="auto"/>
                <w:highlight w:val="none"/>
              </w:rPr>
            </w:pPr>
            <w:r>
              <w:rPr>
                <w:rFonts w:hint="eastAsia" w:ascii="宋体" w:hAnsi="宋体" w:cs="宋体"/>
                <w:color w:val="auto"/>
                <w:highlight w:val="none"/>
              </w:rPr>
              <w:t>★</w:t>
            </w:r>
            <w:r>
              <w:rPr>
                <w:rFonts w:hint="eastAsia" w:ascii="宋体" w:hAnsi="宋体" w:cs="宋体"/>
                <w:b/>
                <w:bCs/>
                <w:color w:val="auto"/>
                <w:highlight w:val="none"/>
              </w:rPr>
              <w:t>3、</w:t>
            </w:r>
            <w:r>
              <w:rPr>
                <w:rFonts w:hint="eastAsia" w:ascii="宋体" w:hAnsi="宋体" w:cs="宋体"/>
                <w:color w:val="auto"/>
                <w:highlight w:val="none"/>
              </w:rPr>
              <w:t>中标服务费的收取标准：</w:t>
            </w:r>
          </w:p>
          <w:p>
            <w:pPr>
              <w:spacing w:line="400" w:lineRule="exact"/>
              <w:rPr>
                <w:rFonts w:ascii="宋体" w:hAnsi="宋体" w:cs="宋体"/>
                <w:color w:val="auto"/>
                <w:highlight w:val="none"/>
              </w:rPr>
            </w:pPr>
            <w:r>
              <w:rPr>
                <w:rFonts w:hint="eastAsia" w:ascii="宋体" w:hAnsi="宋体" w:cs="宋体"/>
                <w:color w:val="auto"/>
                <w:highlight w:val="none"/>
              </w:rPr>
              <w:t>（1）中标服务费的收取标准：招标公司参照国家发改委发改办价格[2003]857号通知、原国家计委计价格[2002]1980号文件和国家发改委发改价格[2011]534号通知中货物招标费率规定的标准下浮10%，按照中标通知书确定的中标总金额，向中标人收取中标服务费。</w:t>
            </w:r>
          </w:p>
          <w:p>
            <w:pPr>
              <w:spacing w:line="400" w:lineRule="exact"/>
              <w:rPr>
                <w:rFonts w:ascii="宋体" w:hAnsi="宋体" w:cs="宋体"/>
                <w:color w:val="auto"/>
                <w:highlight w:val="none"/>
              </w:rPr>
            </w:pPr>
            <w:r>
              <w:rPr>
                <w:rFonts w:hint="eastAsia" w:ascii="宋体" w:hAnsi="宋体" w:cs="宋体"/>
                <w:color w:val="auto"/>
                <w:highlight w:val="none"/>
              </w:rPr>
              <w:t>（2）中标人接到本公司通知后5个工作日内向本招标公司支付中标服务费。</w:t>
            </w:r>
          </w:p>
          <w:p>
            <w:pPr>
              <w:spacing w:line="400" w:lineRule="exact"/>
              <w:rPr>
                <w:rFonts w:ascii="宋体" w:hAnsi="宋体" w:cs="宋体"/>
                <w:color w:val="auto"/>
                <w:highlight w:val="none"/>
              </w:rPr>
            </w:pPr>
            <w:r>
              <w:rPr>
                <w:rFonts w:hint="eastAsia" w:ascii="宋体" w:hAnsi="宋体" w:cs="宋体"/>
                <w:color w:val="auto"/>
                <w:highlight w:val="none"/>
              </w:rPr>
              <w:t>（3）中标服务费只收现金、银行票汇款、电汇款。</w:t>
            </w:r>
          </w:p>
          <w:p>
            <w:pPr>
              <w:spacing w:line="400" w:lineRule="exact"/>
              <w:rPr>
                <w:rFonts w:ascii="宋体" w:hAnsi="宋体" w:cs="宋体"/>
                <w:color w:val="auto"/>
                <w:highlight w:val="none"/>
              </w:rPr>
            </w:pPr>
            <w:r>
              <w:rPr>
                <w:rFonts w:hint="eastAsia" w:ascii="宋体" w:hAnsi="宋体" w:cs="宋体"/>
                <w:color w:val="auto"/>
                <w:highlight w:val="none"/>
              </w:rPr>
              <w:t>（4）中标服务费均汇入以下账户：</w:t>
            </w:r>
          </w:p>
          <w:p>
            <w:pPr>
              <w:spacing w:line="400" w:lineRule="exact"/>
              <w:rPr>
                <w:rFonts w:ascii="宋体" w:hAnsi="宋体" w:cs="宋体"/>
                <w:color w:val="auto"/>
                <w:highlight w:val="none"/>
              </w:rPr>
            </w:pPr>
            <w:r>
              <w:rPr>
                <w:rFonts w:hint="eastAsia" w:ascii="宋体" w:hAnsi="宋体" w:cs="宋体"/>
                <w:color w:val="auto"/>
                <w:highlight w:val="none"/>
              </w:rPr>
              <w:t>开户银行：宁波银行丽水分行</w:t>
            </w:r>
          </w:p>
          <w:p>
            <w:pPr>
              <w:spacing w:line="400" w:lineRule="exact"/>
              <w:rPr>
                <w:rFonts w:ascii="宋体" w:hAnsi="宋体" w:cs="宋体"/>
                <w:color w:val="auto"/>
                <w:highlight w:val="none"/>
              </w:rPr>
            </w:pPr>
            <w:r>
              <w:rPr>
                <w:rFonts w:hint="eastAsia" w:ascii="宋体" w:hAnsi="宋体" w:cs="宋体"/>
                <w:color w:val="auto"/>
                <w:highlight w:val="none"/>
              </w:rPr>
              <w:t>帐号：90010122000220378</w:t>
            </w:r>
          </w:p>
          <w:p>
            <w:pPr>
              <w:spacing w:line="360" w:lineRule="auto"/>
              <w:rPr>
                <w:rFonts w:ascii="宋体" w:hAnsi="宋体" w:cs="宋体"/>
                <w:color w:val="auto"/>
                <w:highlight w:val="none"/>
              </w:rPr>
            </w:pPr>
            <w:r>
              <w:rPr>
                <w:rFonts w:hint="eastAsia" w:ascii="宋体" w:hAnsi="宋体" w:cs="宋体"/>
                <w:color w:val="auto"/>
                <w:highlight w:val="none"/>
              </w:rPr>
              <w:t>户名：宁波中基国际招标有限公司丽水分公司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6"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3</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b/>
                <w:bCs/>
                <w:color w:val="auto"/>
                <w:highlight w:val="none"/>
              </w:rPr>
            </w:pPr>
            <w:r>
              <w:rPr>
                <w:rFonts w:hint="eastAsia" w:ascii="宋体" w:hAnsi="宋体" w:cs="宋体"/>
                <w:color w:val="auto"/>
                <w:highlight w:val="none"/>
              </w:rPr>
              <w:t>★投标保证金：无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6"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4</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现场踏勘：本项目不组织统一踏勘，投标人可自行前往现场踏勘，费用自理。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5</w:t>
            </w:r>
          </w:p>
        </w:tc>
        <w:tc>
          <w:tcPr>
            <w:tcW w:w="8371" w:type="dxa"/>
            <w:tcBorders>
              <w:top w:val="single" w:color="auto" w:sz="4" w:space="0"/>
              <w:left w:val="single" w:color="auto" w:sz="4" w:space="0"/>
              <w:bottom w:val="single" w:color="auto" w:sz="4" w:space="0"/>
            </w:tcBorders>
            <w:vAlign w:val="center"/>
          </w:tcPr>
          <w:p>
            <w:pPr>
              <w:snapToGrid w:val="0"/>
              <w:spacing w:line="360" w:lineRule="auto"/>
              <w:rPr>
                <w:rFonts w:ascii="宋体" w:hAnsi="宋体" w:cs="宋体"/>
                <w:color w:val="auto"/>
                <w:highlight w:val="none"/>
              </w:rPr>
            </w:pPr>
            <w:r>
              <w:rPr>
                <w:rFonts w:hint="eastAsia" w:ascii="宋体" w:hAnsi="宋体" w:cs="宋体"/>
                <w:color w:val="auto"/>
                <w:highlight w:val="none"/>
              </w:rPr>
              <w:t>投标文件组成：本项目实行网上投标，供应商应准备以下投标文件：</w:t>
            </w:r>
          </w:p>
          <w:p>
            <w:pPr>
              <w:snapToGrid w:val="0"/>
              <w:spacing w:line="360" w:lineRule="auto"/>
              <w:rPr>
                <w:rFonts w:ascii="宋体" w:hAnsi="宋体" w:cs="宋体"/>
                <w:color w:val="auto"/>
                <w:highlight w:val="none"/>
              </w:rPr>
            </w:pPr>
            <w:r>
              <w:rPr>
                <w:rFonts w:hint="eastAsia" w:ascii="宋体" w:hAnsi="宋体" w:cs="宋体"/>
                <w:color w:val="auto"/>
                <w:highlight w:val="none"/>
              </w:rPr>
              <w:t>（1）供应商于“政采云”上提供电子加密投标文件。</w:t>
            </w:r>
          </w:p>
          <w:p>
            <w:pPr>
              <w:snapToGrid w:val="0"/>
              <w:spacing w:line="360" w:lineRule="auto"/>
              <w:rPr>
                <w:rFonts w:ascii="宋体" w:hAnsi="宋体" w:cs="宋体"/>
                <w:color w:val="auto"/>
                <w:highlight w:val="none"/>
              </w:rPr>
            </w:pPr>
            <w:r>
              <w:rPr>
                <w:rFonts w:hint="eastAsia" w:ascii="宋体" w:hAnsi="宋体" w:cs="宋体"/>
                <w:color w:val="auto"/>
                <w:highlight w:val="none"/>
              </w:rPr>
              <w:t>（2）以电子邮件提供的备份电子投标文件数量1份。（自行决定，非必须要求）</w:t>
            </w:r>
          </w:p>
          <w:p>
            <w:pPr>
              <w:snapToGrid w:val="0"/>
              <w:spacing w:line="360" w:lineRule="auto"/>
              <w:rPr>
                <w:rFonts w:ascii="宋体" w:hAnsi="宋体" w:cs="宋体"/>
                <w:color w:val="auto"/>
                <w:highlight w:val="none"/>
              </w:rPr>
            </w:pPr>
            <w:r>
              <w:rPr>
                <w:rFonts w:hint="eastAsia" w:ascii="宋体" w:hAnsi="宋体" w:cs="宋体"/>
                <w:color w:val="auto"/>
                <w:highlight w:val="none"/>
              </w:rPr>
              <w:t>备份投标文件是否提交由投标人自行决定，如不提交的，当电子投标文件无法解密时，将导致无备份投标文件而失去投标资格。如提交备份投标文件的，应在投标截止时间前将最后生成的具有电子签章的备份投标文件通过电子邮件方式传送至代理机构邮箱（4893224@qq.com）。</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9"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6</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投标截止时间及地点：详见第一章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7</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开标时间及地点：详见第一章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8</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评标办法及评分标准：详见第四章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9</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评标结果公示：评标结束后，评标结果公示于浙江省政府采购网，宁波中基国际招标有限公司网站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10</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签订合同时间：中标通知书发出后30日内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11</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履约保证金金额：不适用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★12</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投标文件有效期：自投标截止日起90天。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869" w:type="dxa"/>
            <w:tcBorders>
              <w:top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13</w:t>
            </w:r>
          </w:p>
        </w:tc>
        <w:tc>
          <w:tcPr>
            <w:tcW w:w="8371" w:type="dxa"/>
            <w:tcBorders>
              <w:top w:val="single" w:color="auto" w:sz="4" w:space="0"/>
              <w:left w:val="single" w:color="auto" w:sz="4" w:space="0"/>
              <w:bottom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解释：本招标文件的解释权属于招标采购单位。</w:t>
            </w:r>
          </w:p>
        </w:tc>
      </w:tr>
    </w:tbl>
    <w:p>
      <w:pPr>
        <w:pStyle w:val="24"/>
        <w:snapToGrid w:val="0"/>
        <w:spacing w:beforeLines="0" w:afterLines="0" w:line="360" w:lineRule="auto"/>
        <w:rPr>
          <w:rFonts w:hAnsi="宋体"/>
          <w:b/>
          <w:bCs/>
          <w:color w:val="auto"/>
          <w:sz w:val="21"/>
          <w:szCs w:val="21"/>
          <w:highlight w:val="none"/>
        </w:rPr>
      </w:pPr>
      <w:r>
        <w:rPr>
          <w:rFonts w:hint="eastAsia" w:hAnsi="宋体"/>
          <w:color w:val="auto"/>
          <w:highlight w:val="none"/>
        </w:rPr>
        <w:br w:type="page"/>
      </w:r>
      <w:r>
        <w:rPr>
          <w:rFonts w:hint="eastAsia" w:hAnsi="宋体"/>
          <w:b/>
          <w:bCs/>
          <w:color w:val="auto"/>
          <w:sz w:val="21"/>
          <w:szCs w:val="21"/>
          <w:highlight w:val="none"/>
        </w:rPr>
        <w:t>一   总  则</w:t>
      </w:r>
    </w:p>
    <w:p>
      <w:pPr>
        <w:snapToGrid w:val="0"/>
        <w:spacing w:line="360" w:lineRule="auto"/>
        <w:ind w:firstLine="413" w:firstLineChars="196"/>
        <w:jc w:val="left"/>
        <w:outlineLvl w:val="1"/>
        <w:rPr>
          <w:rFonts w:ascii="宋体" w:hAnsi="宋体" w:cs="宋体"/>
          <w:b/>
          <w:bCs/>
          <w:color w:val="auto"/>
          <w:highlight w:val="none"/>
        </w:rPr>
      </w:pPr>
      <w:bookmarkStart w:id="10" w:name="_Toc417922227"/>
      <w:bookmarkStart w:id="11" w:name="_Toc609"/>
      <w:bookmarkStart w:id="12" w:name="_Toc47388319"/>
      <w:r>
        <w:rPr>
          <w:rFonts w:hint="eastAsia" w:ascii="宋体" w:hAnsi="宋体" w:cs="宋体"/>
          <w:b/>
          <w:bCs/>
          <w:color w:val="auto"/>
          <w:highlight w:val="none"/>
        </w:rPr>
        <w:t>（一） 适用范围</w:t>
      </w:r>
      <w:bookmarkEnd w:id="10"/>
      <w:bookmarkEnd w:id="11"/>
      <w:bookmarkEnd w:id="12"/>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本招标文件适用于</w:t>
      </w:r>
      <w:r>
        <w:rPr>
          <w:rFonts w:hint="eastAsia" w:ascii="宋体" w:hAnsi="宋体" w:cs="宋体"/>
          <w:color w:val="auto"/>
          <w:highlight w:val="none"/>
          <w:lang w:eastAsia="zh-CN"/>
        </w:rPr>
        <w:t>丽水市中心医院体外冲击波碎石机、全自动快速微生物质谱检测系统采购项目</w:t>
      </w:r>
      <w:r>
        <w:rPr>
          <w:rFonts w:hint="eastAsia" w:ascii="宋体" w:hAnsi="宋体" w:cs="宋体"/>
          <w:color w:val="auto"/>
          <w:highlight w:val="none"/>
        </w:rPr>
        <w:t>的招标、投标、评标、定标、验收、合同履约、付款等行为（法律、法规另有规定的，从其规定）。</w:t>
      </w:r>
    </w:p>
    <w:p>
      <w:pPr>
        <w:snapToGrid w:val="0"/>
        <w:spacing w:before="120" w:beforeLines="50" w:line="360" w:lineRule="auto"/>
        <w:ind w:firstLine="310" w:firstLineChars="147"/>
        <w:jc w:val="left"/>
        <w:outlineLvl w:val="1"/>
        <w:rPr>
          <w:rFonts w:ascii="宋体" w:hAnsi="宋体" w:cs="宋体"/>
          <w:b/>
          <w:bCs/>
          <w:color w:val="auto"/>
          <w:highlight w:val="none"/>
        </w:rPr>
      </w:pPr>
      <w:bookmarkStart w:id="13" w:name="_Toc417922228"/>
      <w:bookmarkStart w:id="14" w:name="_Toc47388320"/>
      <w:bookmarkStart w:id="15" w:name="_Toc24971"/>
      <w:r>
        <w:rPr>
          <w:rFonts w:hint="eastAsia" w:ascii="宋体" w:hAnsi="宋体" w:cs="宋体"/>
          <w:b/>
          <w:bCs/>
          <w:color w:val="auto"/>
          <w:highlight w:val="none"/>
        </w:rPr>
        <w:t>（二）定义</w:t>
      </w:r>
      <w:bookmarkEnd w:id="13"/>
      <w:bookmarkEnd w:id="14"/>
      <w:bookmarkEnd w:id="15"/>
    </w:p>
    <w:p>
      <w:pPr>
        <w:snapToGrid w:val="0"/>
        <w:spacing w:before="120" w:beforeLines="50" w:line="360" w:lineRule="auto"/>
        <w:ind w:firstLine="411" w:firstLineChars="196"/>
        <w:jc w:val="left"/>
        <w:outlineLvl w:val="1"/>
        <w:rPr>
          <w:rFonts w:ascii="宋体" w:hAnsi="宋体" w:cs="宋体"/>
          <w:color w:val="auto"/>
          <w:highlight w:val="none"/>
        </w:rPr>
      </w:pPr>
      <w:bookmarkStart w:id="16" w:name="_Toc47388321"/>
      <w:bookmarkStart w:id="17" w:name="_Toc31362"/>
      <w:bookmarkStart w:id="18" w:name="_Toc417922229"/>
      <w:r>
        <w:rPr>
          <w:rFonts w:hint="eastAsia" w:ascii="宋体" w:hAnsi="宋体" w:cs="宋体"/>
          <w:color w:val="auto"/>
          <w:highlight w:val="none"/>
        </w:rPr>
        <w:t>1. 招标采购单位系指组织本次招标的代理机构和采购单位。</w:t>
      </w:r>
      <w:bookmarkEnd w:id="16"/>
      <w:bookmarkEnd w:id="17"/>
    </w:p>
    <w:p>
      <w:pPr>
        <w:snapToGrid w:val="0"/>
        <w:spacing w:before="120" w:beforeLines="50" w:line="360" w:lineRule="auto"/>
        <w:ind w:firstLine="411" w:firstLineChars="196"/>
        <w:jc w:val="left"/>
        <w:outlineLvl w:val="1"/>
        <w:rPr>
          <w:rFonts w:ascii="宋体" w:hAnsi="宋体" w:cs="宋体"/>
          <w:color w:val="auto"/>
          <w:highlight w:val="none"/>
        </w:rPr>
      </w:pPr>
      <w:bookmarkStart w:id="19" w:name="_Toc3566"/>
      <w:bookmarkStart w:id="20" w:name="_Toc47388322"/>
      <w:r>
        <w:rPr>
          <w:rFonts w:hint="eastAsia" w:ascii="宋体" w:hAnsi="宋体" w:cs="宋体"/>
          <w:color w:val="auto"/>
          <w:highlight w:val="none"/>
        </w:rPr>
        <w:t>2.“投标人”系指向招标方提交投标文件的单位。</w:t>
      </w:r>
      <w:bookmarkEnd w:id="19"/>
      <w:bookmarkEnd w:id="20"/>
    </w:p>
    <w:p>
      <w:pPr>
        <w:snapToGrid w:val="0"/>
        <w:spacing w:before="120" w:beforeLines="50" w:line="360" w:lineRule="auto"/>
        <w:ind w:firstLine="411" w:firstLineChars="196"/>
        <w:jc w:val="left"/>
        <w:outlineLvl w:val="1"/>
        <w:rPr>
          <w:rFonts w:ascii="宋体" w:hAnsi="宋体" w:cs="宋体"/>
          <w:color w:val="auto"/>
          <w:highlight w:val="none"/>
        </w:rPr>
      </w:pPr>
      <w:bookmarkStart w:id="21" w:name="_Toc29602"/>
      <w:bookmarkStart w:id="22" w:name="_Toc47388323"/>
      <w:r>
        <w:rPr>
          <w:rFonts w:hint="eastAsia" w:ascii="宋体" w:hAnsi="宋体" w:cs="宋体"/>
          <w:color w:val="auto"/>
          <w:highlight w:val="none"/>
        </w:rPr>
        <w:t>3.“服务”系指招标文件规定投标人须承担的服务。</w:t>
      </w:r>
      <w:bookmarkEnd w:id="21"/>
      <w:bookmarkEnd w:id="22"/>
    </w:p>
    <w:p>
      <w:pPr>
        <w:snapToGrid w:val="0"/>
        <w:spacing w:before="120" w:beforeLines="50" w:line="360" w:lineRule="auto"/>
        <w:ind w:firstLine="411" w:firstLineChars="196"/>
        <w:jc w:val="left"/>
        <w:outlineLvl w:val="1"/>
        <w:rPr>
          <w:rFonts w:ascii="宋体" w:hAnsi="宋体" w:cs="宋体"/>
          <w:color w:val="auto"/>
          <w:highlight w:val="none"/>
        </w:rPr>
      </w:pPr>
      <w:bookmarkStart w:id="23" w:name="_Toc29129"/>
      <w:bookmarkStart w:id="24" w:name="_Toc47388324"/>
      <w:r>
        <w:rPr>
          <w:rFonts w:hint="eastAsia" w:ascii="宋体" w:hAnsi="宋体" w:cs="宋体"/>
          <w:color w:val="auto"/>
          <w:highlight w:val="none"/>
        </w:rPr>
        <w:t>4.“项目”系指投标人按招标文件规定向采购人提供的服务。</w:t>
      </w:r>
      <w:bookmarkEnd w:id="23"/>
      <w:bookmarkEnd w:id="24"/>
    </w:p>
    <w:p>
      <w:pPr>
        <w:snapToGrid w:val="0"/>
        <w:spacing w:before="120" w:beforeLines="50" w:line="360" w:lineRule="auto"/>
        <w:ind w:firstLine="411" w:firstLineChars="196"/>
        <w:jc w:val="left"/>
        <w:outlineLvl w:val="1"/>
        <w:rPr>
          <w:rFonts w:ascii="宋体" w:hAnsi="宋体" w:cs="宋体"/>
          <w:color w:val="auto"/>
          <w:highlight w:val="none"/>
        </w:rPr>
      </w:pPr>
      <w:bookmarkStart w:id="25" w:name="_Toc47388325"/>
      <w:bookmarkStart w:id="26" w:name="_Toc31744"/>
      <w:r>
        <w:rPr>
          <w:rFonts w:hint="eastAsia" w:ascii="宋体" w:hAnsi="宋体" w:cs="宋体"/>
          <w:color w:val="auto"/>
          <w:highlight w:val="none"/>
        </w:rPr>
        <w:t>5.“书面形式”包括信函、传真、电报等。</w:t>
      </w:r>
      <w:bookmarkEnd w:id="25"/>
      <w:bookmarkEnd w:id="26"/>
    </w:p>
    <w:p>
      <w:pPr>
        <w:snapToGrid w:val="0"/>
        <w:spacing w:before="120" w:beforeLines="50" w:line="360" w:lineRule="auto"/>
        <w:ind w:firstLine="411" w:firstLineChars="196"/>
        <w:jc w:val="left"/>
        <w:outlineLvl w:val="1"/>
        <w:rPr>
          <w:rFonts w:ascii="宋体" w:hAnsi="宋体" w:cs="宋体"/>
          <w:color w:val="auto"/>
          <w:highlight w:val="none"/>
        </w:rPr>
      </w:pPr>
      <w:bookmarkStart w:id="27" w:name="_Toc22539"/>
      <w:bookmarkStart w:id="28" w:name="_Toc47388326"/>
      <w:r>
        <w:rPr>
          <w:rFonts w:hint="eastAsia" w:ascii="宋体" w:hAnsi="宋体" w:cs="宋体"/>
          <w:color w:val="auto"/>
          <w:highlight w:val="none"/>
        </w:rPr>
        <w:t>6. “★”系指实质性要求条款。</w:t>
      </w:r>
      <w:bookmarkEnd w:id="27"/>
      <w:bookmarkEnd w:id="28"/>
    </w:p>
    <w:p>
      <w:pPr>
        <w:snapToGrid w:val="0"/>
        <w:spacing w:before="120" w:beforeLines="50" w:line="360" w:lineRule="auto"/>
        <w:ind w:firstLine="413" w:firstLineChars="196"/>
        <w:jc w:val="left"/>
        <w:outlineLvl w:val="1"/>
        <w:rPr>
          <w:rFonts w:ascii="宋体" w:hAnsi="宋体" w:cs="宋体"/>
          <w:b/>
          <w:bCs/>
          <w:color w:val="auto"/>
          <w:highlight w:val="none"/>
        </w:rPr>
      </w:pPr>
      <w:bookmarkStart w:id="29" w:name="_Toc47388327"/>
      <w:bookmarkStart w:id="30" w:name="_Toc31175"/>
      <w:r>
        <w:rPr>
          <w:rFonts w:hint="eastAsia" w:ascii="宋体" w:hAnsi="宋体" w:cs="宋体"/>
          <w:b/>
          <w:bCs/>
          <w:color w:val="auto"/>
          <w:highlight w:val="none"/>
        </w:rPr>
        <w:t>（三）招标方式</w:t>
      </w:r>
      <w:bookmarkEnd w:id="18"/>
      <w:bookmarkEnd w:id="29"/>
      <w:bookmarkEnd w:id="30"/>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本次招标采用公开招标方式进行。</w:t>
      </w:r>
    </w:p>
    <w:p>
      <w:pPr>
        <w:snapToGrid w:val="0"/>
        <w:spacing w:before="120" w:beforeLines="50" w:line="360" w:lineRule="auto"/>
        <w:ind w:firstLine="413" w:firstLineChars="196"/>
        <w:jc w:val="left"/>
        <w:outlineLvl w:val="1"/>
        <w:rPr>
          <w:rFonts w:ascii="宋体" w:hAnsi="宋体" w:cs="宋体"/>
          <w:b/>
          <w:bCs/>
          <w:color w:val="auto"/>
          <w:highlight w:val="none"/>
        </w:rPr>
      </w:pPr>
      <w:bookmarkStart w:id="31" w:name="_Toc47388328"/>
      <w:bookmarkStart w:id="32" w:name="_Toc16683"/>
      <w:bookmarkStart w:id="33" w:name="_Toc417922230"/>
      <w:r>
        <w:rPr>
          <w:rFonts w:hint="eastAsia" w:ascii="宋体" w:hAnsi="宋体" w:cs="宋体"/>
          <w:b/>
          <w:bCs/>
          <w:color w:val="auto"/>
          <w:highlight w:val="none"/>
        </w:rPr>
        <w:t>（四）投标委托</w:t>
      </w:r>
      <w:bookmarkEnd w:id="31"/>
      <w:bookmarkEnd w:id="32"/>
      <w:bookmarkEnd w:id="33"/>
    </w:p>
    <w:p>
      <w:pPr>
        <w:pStyle w:val="19"/>
        <w:snapToGrid w:val="0"/>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投标人代表须携带有效身份证件。如投标人代表不是法定代表人，须有法定代表人出具的授权委托书（正本用原件，副本可用复印件，格式见第六章）。</w:t>
      </w:r>
    </w:p>
    <w:p>
      <w:pPr>
        <w:snapToGrid w:val="0"/>
        <w:spacing w:before="120" w:beforeLines="50" w:line="360" w:lineRule="auto"/>
        <w:ind w:firstLine="413" w:firstLineChars="196"/>
        <w:jc w:val="left"/>
        <w:outlineLvl w:val="1"/>
        <w:rPr>
          <w:rFonts w:ascii="宋体" w:hAnsi="宋体" w:cs="宋体"/>
          <w:b/>
          <w:bCs/>
          <w:color w:val="auto"/>
          <w:highlight w:val="none"/>
        </w:rPr>
      </w:pPr>
      <w:bookmarkStart w:id="34" w:name="_Toc417922231"/>
      <w:bookmarkStart w:id="35" w:name="_Toc15019"/>
      <w:bookmarkStart w:id="36" w:name="_Toc47388329"/>
      <w:r>
        <w:rPr>
          <w:rFonts w:hint="eastAsia" w:ascii="宋体" w:hAnsi="宋体" w:cs="宋体"/>
          <w:b/>
          <w:bCs/>
          <w:color w:val="auto"/>
          <w:highlight w:val="none"/>
        </w:rPr>
        <w:t>（五）投标费用</w:t>
      </w:r>
      <w:bookmarkEnd w:id="34"/>
      <w:bookmarkEnd w:id="35"/>
      <w:bookmarkEnd w:id="36"/>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不论投标结果如何，投标人均应自行承担所有与投标有关的全部费用（招标文件有相反规定除外）。</w:t>
      </w:r>
    </w:p>
    <w:p>
      <w:pPr>
        <w:snapToGrid w:val="0"/>
        <w:spacing w:before="120" w:beforeLines="50" w:line="360" w:lineRule="auto"/>
        <w:ind w:firstLine="413" w:firstLineChars="196"/>
        <w:jc w:val="left"/>
        <w:rPr>
          <w:rFonts w:ascii="宋体" w:hAnsi="宋体" w:cs="宋体"/>
          <w:b/>
          <w:bCs/>
          <w:color w:val="auto"/>
          <w:highlight w:val="none"/>
        </w:rPr>
      </w:pPr>
      <w:r>
        <w:rPr>
          <w:rFonts w:hint="eastAsia" w:ascii="宋体" w:hAnsi="宋体" w:cs="宋体"/>
          <w:b/>
          <w:bCs/>
          <w:color w:val="auto"/>
          <w:highlight w:val="none"/>
        </w:rPr>
        <w:t>（六）联合体投标</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1.本项目接受联合体投标（联合体投标的须在投标文件中提供联合体协议书，明确各联合投标单位的责任和义务）。</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2.招标公告规定接受联合体投标的，除应符合招标公告规定的合格供应商的资格要求外，还应遵守以下规定：</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（1）联合体各方应按招标文件提供的格式签订联合体协议书，明确联合体牵头人和各方工作内容和义务。</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（2）联合体中有同类资质的供应商按照联合体分工承担相同工作的，应当按照资质等级较低的供应商确定联合体的资质等级。</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（3）联合体各方不得再单独参加或者与其他供应商另外组成联合体参加同一合同项下的投标。</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（4）联合体各方应当共同与招标人签订采购合同，就采购合同约定的事项对招标人承担连带责任。</w:t>
      </w:r>
    </w:p>
    <w:p>
      <w:pPr>
        <w:snapToGrid w:val="0"/>
        <w:spacing w:before="120" w:beforeLines="50" w:line="360" w:lineRule="auto"/>
        <w:ind w:firstLine="413" w:firstLineChars="196"/>
        <w:jc w:val="left"/>
        <w:rPr>
          <w:rFonts w:ascii="宋体" w:hAnsi="宋体" w:cs="宋体"/>
          <w:b/>
          <w:bCs/>
          <w:color w:val="auto"/>
          <w:kern w:val="0"/>
          <w:highlight w:val="none"/>
        </w:rPr>
      </w:pPr>
      <w:r>
        <w:rPr>
          <w:rFonts w:hint="eastAsia" w:ascii="宋体" w:hAnsi="宋体" w:cs="宋体"/>
          <w:b/>
          <w:bCs/>
          <w:color w:val="auto"/>
          <w:highlight w:val="none"/>
        </w:rPr>
        <w:t>（七）</w:t>
      </w:r>
      <w:r>
        <w:rPr>
          <w:rFonts w:hint="eastAsia" w:ascii="宋体" w:hAnsi="宋体" w:cs="宋体"/>
          <w:b/>
          <w:bCs/>
          <w:color w:val="auto"/>
          <w:kern w:val="0"/>
          <w:highlight w:val="none"/>
        </w:rPr>
        <w:t>转包与分包</w:t>
      </w:r>
    </w:p>
    <w:p>
      <w:pPr>
        <w:snapToGrid w:val="0"/>
        <w:spacing w:line="360" w:lineRule="auto"/>
        <w:ind w:firstLine="420" w:firstLineChars="200"/>
        <w:jc w:val="left"/>
        <w:rPr>
          <w:rFonts w:ascii="宋体" w:hAnsi="宋体" w:cs="宋体"/>
          <w:color w:val="auto"/>
          <w:kern w:val="0"/>
          <w:highlight w:val="none"/>
        </w:rPr>
      </w:pPr>
      <w:r>
        <w:rPr>
          <w:rFonts w:hint="eastAsia" w:ascii="宋体" w:hAnsi="宋体" w:cs="宋体"/>
          <w:color w:val="auto"/>
          <w:kern w:val="0"/>
          <w:highlight w:val="none"/>
        </w:rPr>
        <w:t>本项目不允许转包，经采购人同意，允许分包。</w:t>
      </w:r>
    </w:p>
    <w:p>
      <w:pPr>
        <w:spacing w:line="360" w:lineRule="auto"/>
        <w:jc w:val="left"/>
        <w:rPr>
          <w:rFonts w:ascii="宋体" w:hAnsi="宋体" w:cs="宋体"/>
          <w:b/>
          <w:bCs/>
          <w:color w:val="auto"/>
          <w:highlight w:val="none"/>
        </w:rPr>
      </w:pPr>
      <w:bookmarkStart w:id="37" w:name="_Toc417922232"/>
      <w:r>
        <w:rPr>
          <w:rFonts w:hint="eastAsia" w:ascii="宋体" w:hAnsi="宋体" w:cs="宋体"/>
          <w:b/>
          <w:bCs/>
          <w:color w:val="auto"/>
          <w:highlight w:val="none"/>
        </w:rPr>
        <w:t xml:space="preserve">   （八）特别说明：</w:t>
      </w:r>
    </w:p>
    <w:p>
      <w:pPr>
        <w:widowControl/>
        <w:spacing w:line="360" w:lineRule="auto"/>
        <w:ind w:firstLine="422" w:firstLineChars="200"/>
        <w:jc w:val="left"/>
        <w:rPr>
          <w:rFonts w:ascii="宋体" w:hAnsi="宋体" w:cs="宋体"/>
          <w:color w:val="auto"/>
          <w:highlight w:val="none"/>
        </w:rPr>
      </w:pPr>
      <w:r>
        <w:rPr>
          <w:rFonts w:hint="eastAsia" w:ascii="宋体" w:hAnsi="宋体" w:cs="宋体"/>
          <w:b/>
          <w:bCs/>
          <w:color w:val="auto"/>
          <w:highlight w:val="none"/>
        </w:rPr>
        <w:t xml:space="preserve"> </w:t>
      </w:r>
      <w:r>
        <w:rPr>
          <w:rFonts w:hint="eastAsia" w:ascii="宋体" w:hAnsi="宋体" w:cs="宋体"/>
          <w:color w:val="auto"/>
          <w:highlight w:val="none"/>
        </w:rPr>
        <w:t>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widowControl/>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widowControl/>
        <w:spacing w:line="360" w:lineRule="auto"/>
        <w:ind w:firstLine="420" w:firstLineChars="200"/>
        <w:jc w:val="left"/>
        <w:rPr>
          <w:rFonts w:ascii="宋体" w:hAnsi="宋体" w:cs="宋体"/>
          <w:color w:val="auto"/>
          <w:highlight w:val="none"/>
        </w:rPr>
      </w:pPr>
      <w:r>
        <w:rPr>
          <w:rFonts w:hint="eastAsia" w:ascii="宋体" w:hAnsi="宋体" w:cs="宋体"/>
          <w:color w:val="auto"/>
          <w:kern w:val="0"/>
          <w:highlight w:val="none"/>
        </w:rPr>
        <w:t>非单一产品采购项目，多家投标人提供的核心产品品牌相同的，按前款处理。</w:t>
      </w:r>
    </w:p>
    <w:p>
      <w:pPr>
        <w:widowControl/>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★2.投标人应仔细阅读招标文件的所有内容，按照招标文件的要求提交投标文件，并对所提供的全部资料的真实性承担法律责任。</w:t>
      </w:r>
    </w:p>
    <w:p>
      <w:pPr>
        <w:pStyle w:val="24"/>
        <w:spacing w:beforeLines="0" w:afterLines="0" w:line="360" w:lineRule="auto"/>
        <w:ind w:firstLine="420" w:firstLineChars="200"/>
        <w:rPr>
          <w:rFonts w:hAnsi="宋体"/>
          <w:b/>
          <w:bCs/>
          <w:color w:val="auto"/>
          <w:sz w:val="21"/>
          <w:szCs w:val="21"/>
          <w:highlight w:val="none"/>
        </w:rPr>
      </w:pPr>
      <w:r>
        <w:rPr>
          <w:rFonts w:hint="eastAsia" w:hAnsi="宋体"/>
          <w:color w:val="auto"/>
          <w:sz w:val="21"/>
          <w:szCs w:val="21"/>
          <w:highlight w:val="none"/>
        </w:rPr>
        <w:t>★3.投标人在投标活动中提供任何虚假材料，其投标无效，并报监管部门查处；</w:t>
      </w:r>
      <w:r>
        <w:rPr>
          <w:rFonts w:hint="eastAsia" w:hAnsi="宋体"/>
          <w:b/>
          <w:bCs/>
          <w:color w:val="auto"/>
          <w:sz w:val="21"/>
          <w:szCs w:val="21"/>
          <w:highlight w:val="none"/>
        </w:rPr>
        <w:t xml:space="preserve"> </w:t>
      </w:r>
    </w:p>
    <w:p>
      <w:pPr>
        <w:widowControl/>
        <w:spacing w:line="360" w:lineRule="auto"/>
        <w:ind w:firstLine="422" w:firstLineChars="200"/>
        <w:jc w:val="left"/>
        <w:rPr>
          <w:rFonts w:ascii="宋体" w:hAnsi="宋体" w:cs="宋体"/>
          <w:color w:val="auto"/>
          <w:highlight w:val="none"/>
        </w:rPr>
      </w:pPr>
      <w:r>
        <w:rPr>
          <w:rFonts w:hint="eastAsia" w:ascii="宋体" w:hAnsi="宋体" w:cs="宋体"/>
          <w:b/>
          <w:bCs/>
          <w:color w:val="auto"/>
          <w:highlight w:val="none"/>
        </w:rPr>
        <w:t>（九）、关于分公司投标</w:t>
      </w:r>
    </w:p>
    <w:p>
      <w:pPr>
        <w:pStyle w:val="24"/>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除银行、保险、石油石化、电力、通信等行业外，法人的分支机构不能参加投标。</w:t>
      </w:r>
    </w:p>
    <w:p>
      <w:pPr>
        <w:widowControl/>
        <w:spacing w:line="360" w:lineRule="auto"/>
        <w:ind w:firstLine="422" w:firstLineChars="200"/>
        <w:jc w:val="left"/>
        <w:rPr>
          <w:rFonts w:ascii="宋体" w:hAnsi="宋体" w:cs="宋体"/>
          <w:b/>
          <w:bCs/>
          <w:color w:val="auto"/>
          <w:highlight w:val="none"/>
        </w:rPr>
      </w:pPr>
      <w:r>
        <w:rPr>
          <w:rFonts w:hint="eastAsia" w:ascii="宋体" w:hAnsi="宋体" w:cs="宋体"/>
          <w:b/>
          <w:bCs/>
          <w:color w:val="auto"/>
          <w:highlight w:val="none"/>
        </w:rPr>
        <w:t>（十）、关于知识产权</w:t>
      </w:r>
    </w:p>
    <w:p>
      <w:pPr>
        <w:widowControl/>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1.投标人必须保证，采购人在中华人民共和国境内使用投标货物、资料、技术、服务或其任何一部分时，享有不受限制的无偿使用权，如有第三方向采购人提出侵犯其专利权、商标权或其它知识产权的主张，该责任应由投标人承担。</w:t>
      </w:r>
    </w:p>
    <w:p>
      <w:pPr>
        <w:widowControl/>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2.投标报价应包含所有应向所有权人支付的专利权、商标权或其它知识产权的一切相关费用。</w:t>
      </w:r>
    </w:p>
    <w:p>
      <w:pPr>
        <w:pStyle w:val="24"/>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3.系统软件、通用软件必须是具有在中国境内的合法使用权或版权的正版软件，涉及到第三方提出侵权或知识产权的起诉及支付版税等费用由投标人承担所有责任及费用。</w:t>
      </w:r>
    </w:p>
    <w:p>
      <w:pPr>
        <w:pStyle w:val="24"/>
        <w:widowControl/>
        <w:spacing w:beforeLines="0" w:afterLines="0" w:line="360" w:lineRule="auto"/>
        <w:ind w:firstLine="422" w:firstLineChars="200"/>
        <w:jc w:val="left"/>
        <w:rPr>
          <w:rFonts w:hAnsi="宋体"/>
          <w:b/>
          <w:bCs/>
          <w:color w:val="auto"/>
          <w:sz w:val="21"/>
          <w:szCs w:val="21"/>
          <w:highlight w:val="none"/>
        </w:rPr>
      </w:pPr>
      <w:r>
        <w:rPr>
          <w:rFonts w:hint="eastAsia" w:hAnsi="宋体"/>
          <w:b/>
          <w:bCs/>
          <w:color w:val="auto"/>
          <w:sz w:val="21"/>
          <w:szCs w:val="21"/>
          <w:highlight w:val="none"/>
        </w:rPr>
        <w:t>（十一）、质疑和投诉</w:t>
      </w:r>
    </w:p>
    <w:p>
      <w:pPr>
        <w:pStyle w:val="24"/>
        <w:spacing w:before="120" w:after="120" w:line="360" w:lineRule="auto"/>
        <w:ind w:firstLine="420" w:firstLineChars="200"/>
        <w:rPr>
          <w:rFonts w:hAnsi="宋体"/>
          <w:color w:val="auto"/>
          <w:sz w:val="21"/>
          <w:szCs w:val="21"/>
          <w:highlight w:val="none"/>
        </w:rPr>
      </w:pPr>
      <w:r>
        <w:rPr>
          <w:rFonts w:hint="eastAsia" w:hAnsi="宋体"/>
          <w:color w:val="auto"/>
          <w:sz w:val="21"/>
          <w:szCs w:val="21"/>
          <w:highlight w:val="none"/>
        </w:rPr>
        <w:t>1. 供应商认为采购文件、采购过程、中标或者成交结果使自己的权益受到损害的，须在应知其利益受损之日起七个工作日内以书面形式向采购人、采购代理机构提出质疑。供应商应当在法定质疑期内一次性提出针对同一采购程序环节的质疑。</w:t>
      </w:r>
    </w:p>
    <w:p>
      <w:pPr>
        <w:pStyle w:val="24"/>
        <w:spacing w:before="120" w:after="120" w:line="360" w:lineRule="auto"/>
        <w:ind w:firstLine="420" w:firstLineChars="200"/>
        <w:rPr>
          <w:rFonts w:hAnsi="宋体"/>
          <w:color w:val="auto"/>
          <w:sz w:val="21"/>
          <w:szCs w:val="21"/>
          <w:highlight w:val="none"/>
        </w:rPr>
      </w:pPr>
      <w:r>
        <w:rPr>
          <w:rFonts w:hint="eastAsia" w:hAnsi="宋体"/>
          <w:color w:val="auto"/>
          <w:sz w:val="21"/>
          <w:szCs w:val="21"/>
          <w:highlight w:val="none"/>
        </w:rPr>
        <w:t>2. 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pPr>
        <w:pStyle w:val="24"/>
        <w:spacing w:before="120" w:after="120" w:line="360" w:lineRule="auto"/>
        <w:ind w:firstLine="420" w:firstLineChars="200"/>
        <w:rPr>
          <w:rFonts w:hAnsi="宋体"/>
          <w:color w:val="auto"/>
          <w:sz w:val="21"/>
          <w:szCs w:val="21"/>
          <w:highlight w:val="none"/>
        </w:rPr>
      </w:pPr>
      <w:r>
        <w:rPr>
          <w:rFonts w:hint="eastAsia" w:hAnsi="宋体"/>
          <w:color w:val="auto"/>
          <w:sz w:val="21"/>
          <w:szCs w:val="21"/>
          <w:highlight w:val="none"/>
        </w:rPr>
        <w:t>3.供应商提出质疑应当提交质疑函和必要的证明材料，质疑函应当面以书面形式提出，质疑函格式和内容须符合财政部《质疑函范本》要求，供应商可到中国政府采购网自行下载财政部《质疑函范本》。</w:t>
      </w:r>
    </w:p>
    <w:p>
      <w:pPr>
        <w:pStyle w:val="24"/>
        <w:spacing w:before="120" w:after="120" w:line="360" w:lineRule="auto"/>
        <w:ind w:firstLine="420" w:firstLineChars="200"/>
        <w:rPr>
          <w:rFonts w:hAnsi="宋体"/>
          <w:color w:val="auto"/>
          <w:sz w:val="21"/>
          <w:szCs w:val="21"/>
          <w:highlight w:val="none"/>
        </w:rPr>
      </w:pPr>
      <w:r>
        <w:rPr>
          <w:rFonts w:hint="eastAsia" w:hAnsi="宋体"/>
          <w:color w:val="auto"/>
          <w:sz w:val="21"/>
          <w:szCs w:val="21"/>
          <w:highlight w:val="none"/>
        </w:rPr>
        <w:t>4. 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采购文件第一章有关联系方式。</w:t>
      </w:r>
    </w:p>
    <w:p>
      <w:pPr>
        <w:pStyle w:val="24"/>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5. 供应商对采购人或采购代理机构的质疑答复不满意或者采购人或采购代理机构未在规定时间内作出答复的，可以在答复期满后十五个工作日内向同级采购监管部门投诉。</w:t>
      </w:r>
      <w:bookmarkEnd w:id="37"/>
      <w:bookmarkStart w:id="38" w:name="_Toc417922237"/>
    </w:p>
    <w:p>
      <w:pPr>
        <w:pStyle w:val="24"/>
        <w:snapToGrid w:val="0"/>
        <w:spacing w:beforeLines="0" w:afterLines="0" w:line="360" w:lineRule="auto"/>
        <w:ind w:firstLine="413" w:firstLineChars="196"/>
        <w:jc w:val="left"/>
        <w:outlineLvl w:val="0"/>
        <w:rPr>
          <w:rFonts w:hAnsi="宋体"/>
          <w:b/>
          <w:bCs/>
          <w:color w:val="auto"/>
          <w:sz w:val="21"/>
          <w:szCs w:val="21"/>
          <w:highlight w:val="none"/>
        </w:rPr>
      </w:pPr>
      <w:bookmarkStart w:id="39" w:name="_Toc7892"/>
      <w:bookmarkStart w:id="40" w:name="_Toc47388330"/>
      <w:r>
        <w:rPr>
          <w:rFonts w:hint="eastAsia" w:hAnsi="宋体"/>
          <w:b/>
          <w:bCs/>
          <w:color w:val="auto"/>
          <w:sz w:val="21"/>
          <w:szCs w:val="21"/>
          <w:highlight w:val="none"/>
        </w:rPr>
        <w:t>二  招标文件</w:t>
      </w:r>
      <w:bookmarkEnd w:id="38"/>
      <w:bookmarkEnd w:id="39"/>
      <w:bookmarkEnd w:id="40"/>
    </w:p>
    <w:p>
      <w:pPr>
        <w:snapToGrid w:val="0"/>
        <w:spacing w:line="360" w:lineRule="auto"/>
        <w:ind w:firstLine="413" w:firstLineChars="196"/>
        <w:jc w:val="left"/>
        <w:rPr>
          <w:rFonts w:ascii="宋体" w:hAnsi="宋体" w:cs="宋体"/>
          <w:b/>
          <w:bCs/>
          <w:color w:val="auto"/>
          <w:highlight w:val="none"/>
        </w:rPr>
      </w:pPr>
      <w:r>
        <w:rPr>
          <w:rFonts w:hint="eastAsia" w:ascii="宋体" w:hAnsi="宋体" w:cs="宋体"/>
          <w:b/>
          <w:bCs/>
          <w:color w:val="auto"/>
          <w:highlight w:val="none"/>
        </w:rPr>
        <w:t>（一）招标文件的构成。本招标文件由以下部份组成：</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1.招标公告</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2.招标需求</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3.投标人须知</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4.评标办法及标准</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5.合同主要条款</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6.投标文件格式</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7.本项目招标文件的澄清、答复、修改、补充的内容</w:t>
      </w:r>
    </w:p>
    <w:p>
      <w:pPr>
        <w:snapToGrid w:val="0"/>
        <w:spacing w:before="120" w:beforeLines="50" w:line="360" w:lineRule="auto"/>
        <w:ind w:firstLine="413" w:firstLineChars="196"/>
        <w:jc w:val="left"/>
        <w:rPr>
          <w:rFonts w:ascii="宋体" w:hAnsi="宋体" w:cs="宋体"/>
          <w:b/>
          <w:bCs/>
          <w:color w:val="auto"/>
          <w:highlight w:val="none"/>
        </w:rPr>
      </w:pPr>
      <w:r>
        <w:rPr>
          <w:rFonts w:hint="eastAsia" w:ascii="宋体" w:hAnsi="宋体" w:cs="宋体"/>
          <w:b/>
          <w:bCs/>
          <w:color w:val="auto"/>
          <w:highlight w:val="none"/>
        </w:rPr>
        <w:t>（二）投标人的风险</w:t>
      </w:r>
    </w:p>
    <w:p>
      <w:pPr>
        <w:pStyle w:val="38"/>
        <w:widowControl/>
        <w:snapToGrid/>
        <w:spacing w:line="360" w:lineRule="auto"/>
        <w:ind w:firstLine="420"/>
        <w:rPr>
          <w:rFonts w:ascii="宋体" w:eastAsia="宋体" w:cs="宋体"/>
          <w:color w:val="auto"/>
          <w:sz w:val="21"/>
          <w:szCs w:val="21"/>
          <w:highlight w:val="none"/>
        </w:rPr>
      </w:pPr>
      <w:r>
        <w:rPr>
          <w:rFonts w:hint="eastAsia" w:ascii="宋体" w:eastAsia="宋体" w:cs="宋体"/>
          <w:color w:val="auto"/>
          <w:sz w:val="21"/>
          <w:szCs w:val="21"/>
          <w:highlight w:val="none"/>
        </w:rPr>
        <w:t>1.投标人应详细阅读采购文件中的全部内容和要求，按照采购文件的要求提交投标文件，没有按照采购文件要求提供投标文件和资料导致的风险由投标人承担，并对所提供的全部资料的真实性承担法律责任。</w:t>
      </w:r>
    </w:p>
    <w:p>
      <w:pPr>
        <w:pStyle w:val="38"/>
        <w:snapToGrid/>
        <w:spacing w:line="360" w:lineRule="auto"/>
        <w:ind w:firstLine="420"/>
        <w:rPr>
          <w:rFonts w:ascii="宋体" w:eastAsia="宋体" w:cs="宋体"/>
          <w:color w:val="auto"/>
          <w:sz w:val="21"/>
          <w:szCs w:val="21"/>
          <w:highlight w:val="none"/>
        </w:rPr>
      </w:pPr>
      <w:r>
        <w:rPr>
          <w:rFonts w:hint="eastAsia" w:ascii="宋体" w:eastAsia="宋体" w:cs="宋体"/>
          <w:color w:val="auto"/>
          <w:sz w:val="21"/>
          <w:szCs w:val="21"/>
          <w:highlight w:val="none"/>
        </w:rPr>
        <w:t>2.无论因何种原因导致本次采购活动终止致投标人损失的，相关责任人均不承担任何责任。</w:t>
      </w:r>
    </w:p>
    <w:p>
      <w:pPr>
        <w:pStyle w:val="13"/>
        <w:widowControl w:val="0"/>
        <w:tabs>
          <w:tab w:val="clear" w:pos="454"/>
        </w:tabs>
        <w:snapToGrid w:val="0"/>
        <w:spacing w:before="120" w:beforeLines="50" w:afterLines="0" w:line="360" w:lineRule="auto"/>
        <w:ind w:left="0" w:firstLine="413" w:firstLineChars="196"/>
        <w:rPr>
          <w:rFonts w:ascii="宋体" w:hAnsi="宋体" w:cs="宋体"/>
          <w:b/>
          <w:bCs/>
          <w:color w:val="auto"/>
          <w:sz w:val="21"/>
          <w:szCs w:val="21"/>
          <w:highlight w:val="none"/>
        </w:rPr>
      </w:pPr>
      <w:r>
        <w:rPr>
          <w:rFonts w:hint="eastAsia" w:ascii="宋体" w:hAnsi="宋体" w:cs="宋体"/>
          <w:b/>
          <w:bCs/>
          <w:color w:val="auto"/>
          <w:sz w:val="21"/>
          <w:szCs w:val="21"/>
          <w:highlight w:val="none"/>
        </w:rPr>
        <w:t xml:space="preserve">（三）招标文件的澄清与修改 </w:t>
      </w:r>
    </w:p>
    <w:p>
      <w:pPr>
        <w:pStyle w:val="38"/>
        <w:widowControl/>
        <w:snapToGrid/>
        <w:spacing w:line="360" w:lineRule="auto"/>
        <w:ind w:firstLine="420"/>
        <w:rPr>
          <w:rFonts w:ascii="宋体" w:eastAsia="宋体" w:cs="宋体"/>
          <w:color w:val="auto"/>
          <w:sz w:val="21"/>
          <w:szCs w:val="21"/>
          <w:highlight w:val="none"/>
        </w:rPr>
      </w:pPr>
      <w:bookmarkStart w:id="41" w:name="_Toc417922238"/>
      <w:r>
        <w:rPr>
          <w:rFonts w:hint="eastAsia" w:ascii="宋体" w:eastAsia="宋体" w:cs="宋体"/>
          <w:color w:val="auto"/>
          <w:sz w:val="21"/>
          <w:szCs w:val="21"/>
          <w:highlight w:val="none"/>
        </w:rPr>
        <w:t>1.采购人对招标文件进行必要的澄清或者修改的，在发布招标公告的网站上发布更正公告。澄清或者修改的内容可能影响投标文件编制的，更正公告在投标截止时间至少15日前发出；不足15日的，顺延提交投标文件截止时间。</w:t>
      </w:r>
    </w:p>
    <w:p>
      <w:pPr>
        <w:pStyle w:val="38"/>
        <w:widowControl/>
        <w:snapToGrid/>
        <w:spacing w:line="360" w:lineRule="auto"/>
        <w:ind w:firstLine="420"/>
        <w:rPr>
          <w:rFonts w:ascii="宋体" w:eastAsia="宋体" w:cs="宋体"/>
          <w:color w:val="auto"/>
          <w:sz w:val="21"/>
          <w:szCs w:val="21"/>
          <w:highlight w:val="none"/>
        </w:rPr>
      </w:pPr>
      <w:r>
        <w:rPr>
          <w:rFonts w:hint="eastAsia" w:ascii="宋体" w:eastAsia="宋体" w:cs="宋体"/>
          <w:color w:val="auto"/>
          <w:sz w:val="21"/>
          <w:szCs w:val="21"/>
          <w:highlight w:val="none"/>
        </w:rPr>
        <w:t>2.更正公告为招标文件的组成部分，一经在网站发布，视同已通知所有招标文件的收受人，不再采用其它方式传达相关信息，若因未能及时了解到上述网站上发布的相关信息而导致的一切后果自行承担。</w:t>
      </w:r>
    </w:p>
    <w:p>
      <w:pPr>
        <w:pStyle w:val="38"/>
        <w:widowControl/>
        <w:snapToGrid/>
        <w:spacing w:line="360" w:lineRule="auto"/>
        <w:ind w:firstLine="420"/>
        <w:rPr>
          <w:rFonts w:ascii="宋体" w:eastAsia="宋体" w:cs="宋体"/>
          <w:color w:val="auto"/>
          <w:sz w:val="21"/>
          <w:szCs w:val="21"/>
          <w:highlight w:val="none"/>
        </w:rPr>
      </w:pPr>
      <w:r>
        <w:rPr>
          <w:rFonts w:hint="eastAsia" w:ascii="宋体" w:eastAsia="宋体" w:cs="宋体"/>
          <w:color w:val="auto"/>
          <w:sz w:val="21"/>
          <w:szCs w:val="21"/>
          <w:highlight w:val="none"/>
        </w:rPr>
        <w:t>3.如更正公告有重新发布电子招标文件的，投标人应下载最新发布的电子招标文件制作投标文件。</w:t>
      </w:r>
    </w:p>
    <w:p>
      <w:pPr>
        <w:pStyle w:val="24"/>
        <w:spacing w:beforeLines="0" w:afterLines="0" w:line="360" w:lineRule="auto"/>
        <w:ind w:firstLine="420" w:firstLineChars="200"/>
        <w:rPr>
          <w:rFonts w:hAnsi="宋体"/>
          <w:color w:val="auto"/>
          <w:sz w:val="21"/>
          <w:szCs w:val="21"/>
          <w:highlight w:val="none"/>
        </w:rPr>
      </w:pPr>
      <w:r>
        <w:rPr>
          <w:rFonts w:hint="eastAsia" w:hAnsi="宋体"/>
          <w:color w:val="auto"/>
          <w:sz w:val="21"/>
          <w:szCs w:val="21"/>
          <w:highlight w:val="none"/>
        </w:rPr>
        <w:t>4.投标人在规定的时间内未对招标文件提出疑问、质疑或要求澄清的，将视其为无异议。对招标文件中描述有歧义或前后不一致的地方，评标委员会有权进行评判，但对同一条款的评判应适用于每个投标人。</w:t>
      </w:r>
    </w:p>
    <w:p>
      <w:pPr>
        <w:pStyle w:val="24"/>
        <w:snapToGrid w:val="0"/>
        <w:spacing w:beforeLines="0" w:afterLines="0" w:line="360" w:lineRule="auto"/>
        <w:ind w:firstLine="413" w:firstLineChars="196"/>
        <w:jc w:val="left"/>
        <w:outlineLvl w:val="1"/>
        <w:rPr>
          <w:rFonts w:hAnsi="宋体"/>
          <w:b/>
          <w:bCs/>
          <w:color w:val="auto"/>
          <w:sz w:val="21"/>
          <w:szCs w:val="21"/>
          <w:highlight w:val="none"/>
        </w:rPr>
      </w:pPr>
      <w:bookmarkStart w:id="42" w:name="_Toc327"/>
      <w:bookmarkStart w:id="43" w:name="_Toc47388331"/>
      <w:r>
        <w:rPr>
          <w:rFonts w:hint="eastAsia" w:hAnsi="宋体"/>
          <w:b/>
          <w:bCs/>
          <w:color w:val="auto"/>
          <w:sz w:val="21"/>
          <w:szCs w:val="21"/>
          <w:highlight w:val="none"/>
        </w:rPr>
        <w:t>三、投标文件的编制</w:t>
      </w:r>
      <w:bookmarkEnd w:id="41"/>
      <w:bookmarkEnd w:id="42"/>
      <w:bookmarkEnd w:id="43"/>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（一）投标文件的组成</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ab/>
      </w:r>
      <w:r>
        <w:rPr>
          <w:rFonts w:hint="eastAsia" w:ascii="宋体" w:hAnsi="宋体" w:cs="宋体"/>
          <w:color w:val="auto"/>
          <w:highlight w:val="none"/>
        </w:rPr>
        <w:t>投标文件至少包含以下部分：</w:t>
      </w:r>
    </w:p>
    <w:p>
      <w:pPr>
        <w:snapToGrid w:val="0"/>
        <w:spacing w:line="360" w:lineRule="auto"/>
        <w:jc w:val="left"/>
        <w:rPr>
          <w:rFonts w:ascii="宋体" w:hAnsi="宋体" w:cs="宋体"/>
          <w:b/>
          <w:bCs/>
          <w:color w:val="auto"/>
          <w:highlight w:val="none"/>
        </w:rPr>
      </w:pPr>
      <w:bookmarkStart w:id="44" w:name="_Hlk105610750"/>
      <w:bookmarkStart w:id="45" w:name="_Toc47388342"/>
      <w:bookmarkStart w:id="46" w:name="_Toc417922239"/>
      <w:r>
        <w:rPr>
          <w:rFonts w:hint="eastAsia" w:ascii="宋体" w:hAnsi="宋体" w:cs="宋体"/>
          <w:b/>
          <w:bCs/>
          <w:color w:val="auto"/>
          <w:highlight w:val="none"/>
        </w:rPr>
        <w:t>1.报价文件：</w:t>
      </w:r>
    </w:p>
    <w:p>
      <w:pPr>
        <w:numPr>
          <w:ilvl w:val="0"/>
          <w:numId w:val="10"/>
        </w:numPr>
        <w:tabs>
          <w:tab w:val="left" w:pos="518"/>
          <w:tab w:val="left" w:pos="840"/>
        </w:tabs>
        <w:spacing w:line="360" w:lineRule="auto"/>
        <w:rPr>
          <w:rFonts w:ascii="宋体" w:hAnsi="宋体" w:cs="宋体"/>
          <w:color w:val="auto"/>
          <w:highlight w:val="none"/>
        </w:rPr>
      </w:pPr>
      <w:r>
        <w:rPr>
          <w:rFonts w:hint="eastAsia" w:ascii="宋体" w:hAnsi="宋体" w:cs="宋体"/>
          <w:color w:val="auto"/>
          <w:highlight w:val="none"/>
        </w:rPr>
        <w:t xml:space="preserve">投标函（格式详见第六章投标文件格式）； </w:t>
      </w:r>
    </w:p>
    <w:p>
      <w:pPr>
        <w:numPr>
          <w:ilvl w:val="0"/>
          <w:numId w:val="10"/>
        </w:numPr>
        <w:tabs>
          <w:tab w:val="left" w:pos="518"/>
          <w:tab w:val="left" w:pos="840"/>
        </w:tabs>
        <w:spacing w:line="360" w:lineRule="auto"/>
        <w:ind w:left="0" w:firstLine="420" w:firstLineChars="200"/>
        <w:rPr>
          <w:rFonts w:ascii="宋体" w:hAnsi="宋体" w:cs="宋体"/>
          <w:color w:val="auto"/>
          <w:highlight w:val="none"/>
        </w:rPr>
      </w:pPr>
      <w:r>
        <w:rPr>
          <w:rFonts w:hint="eastAsia" w:ascii="宋体" w:hAnsi="宋体" w:cs="宋体"/>
          <w:color w:val="auto"/>
          <w:highlight w:val="none"/>
        </w:rPr>
        <w:t>开标一览表（格式详见第六章投标文件格式）；</w:t>
      </w:r>
    </w:p>
    <w:p>
      <w:pPr>
        <w:numPr>
          <w:ilvl w:val="0"/>
          <w:numId w:val="10"/>
        </w:numPr>
        <w:tabs>
          <w:tab w:val="left" w:pos="518"/>
          <w:tab w:val="left" w:pos="840"/>
        </w:tabs>
        <w:spacing w:line="360" w:lineRule="auto"/>
        <w:ind w:left="0" w:firstLine="420" w:firstLineChars="200"/>
        <w:rPr>
          <w:rFonts w:ascii="宋体" w:hAnsi="宋体" w:cs="宋体"/>
          <w:color w:val="auto"/>
          <w:highlight w:val="none"/>
        </w:rPr>
      </w:pPr>
      <w:r>
        <w:rPr>
          <w:rFonts w:hint="eastAsia" w:ascii="宋体" w:hAnsi="宋体" w:cs="宋体"/>
          <w:color w:val="auto"/>
          <w:highlight w:val="none"/>
        </w:rPr>
        <w:t>投标报价明细表（格式详见第六章投标文件格式）；</w:t>
      </w:r>
    </w:p>
    <w:p>
      <w:pPr>
        <w:numPr>
          <w:ilvl w:val="0"/>
          <w:numId w:val="10"/>
        </w:numPr>
        <w:tabs>
          <w:tab w:val="left" w:pos="518"/>
          <w:tab w:val="left" w:pos="840"/>
        </w:tabs>
        <w:spacing w:line="360" w:lineRule="auto"/>
        <w:ind w:left="0" w:firstLine="420" w:firstLineChars="200"/>
        <w:rPr>
          <w:rFonts w:ascii="宋体" w:hAnsi="宋体" w:cs="宋体"/>
          <w:color w:val="auto"/>
          <w:highlight w:val="none"/>
        </w:rPr>
      </w:pPr>
      <w:r>
        <w:rPr>
          <w:rFonts w:hint="eastAsia" w:ascii="宋体" w:hAnsi="宋体" w:cs="宋体"/>
          <w:color w:val="auto"/>
          <w:highlight w:val="none"/>
        </w:rPr>
        <w:t>中小企业声明函（格式详见第六章投标文件格式，如是请提供）；</w:t>
      </w:r>
    </w:p>
    <w:p>
      <w:pPr>
        <w:numPr>
          <w:ilvl w:val="0"/>
          <w:numId w:val="10"/>
        </w:numPr>
        <w:tabs>
          <w:tab w:val="left" w:pos="518"/>
          <w:tab w:val="left" w:pos="840"/>
        </w:tabs>
        <w:spacing w:line="360" w:lineRule="auto"/>
        <w:ind w:left="0" w:firstLine="420" w:firstLineChars="200"/>
        <w:rPr>
          <w:rFonts w:ascii="宋体" w:hAnsi="宋体" w:cs="宋体"/>
          <w:color w:val="auto"/>
          <w:highlight w:val="none"/>
        </w:rPr>
      </w:pPr>
      <w:r>
        <w:rPr>
          <w:rFonts w:hint="eastAsia" w:ascii="宋体" w:hAnsi="宋体" w:cs="宋体"/>
          <w:color w:val="auto"/>
          <w:highlight w:val="none"/>
        </w:rPr>
        <w:t>残疾人福利性单位声明函（格式详见第六章投标文件格式，如是请提供）；</w:t>
      </w:r>
    </w:p>
    <w:p>
      <w:pPr>
        <w:numPr>
          <w:ilvl w:val="0"/>
          <w:numId w:val="10"/>
        </w:numPr>
        <w:tabs>
          <w:tab w:val="left" w:pos="518"/>
          <w:tab w:val="left" w:pos="840"/>
        </w:tabs>
        <w:spacing w:line="360" w:lineRule="auto"/>
        <w:ind w:left="0" w:firstLine="420" w:firstLineChars="200"/>
        <w:rPr>
          <w:rFonts w:ascii="宋体" w:hAnsi="宋体" w:cs="宋体"/>
          <w:color w:val="auto"/>
          <w:highlight w:val="none"/>
        </w:rPr>
      </w:pPr>
      <w:r>
        <w:rPr>
          <w:rFonts w:hint="eastAsia" w:ascii="宋体" w:hAnsi="宋体" w:cs="宋体"/>
          <w:color w:val="auto"/>
          <w:highlight w:val="none"/>
        </w:rPr>
        <w:t>投标人针对报价需要说明的其他文件和说明。</w:t>
      </w:r>
    </w:p>
    <w:p>
      <w:pPr>
        <w:tabs>
          <w:tab w:val="left" w:pos="518"/>
        </w:tabs>
        <w:spacing w:line="360" w:lineRule="auto"/>
        <w:rPr>
          <w:rFonts w:ascii="宋体" w:hAnsi="宋体" w:cs="宋体"/>
          <w:b/>
          <w:bCs/>
          <w:color w:val="auto"/>
          <w:highlight w:val="none"/>
        </w:rPr>
      </w:pPr>
      <w:r>
        <w:rPr>
          <w:rFonts w:hint="eastAsia" w:ascii="宋体" w:hAnsi="宋体" w:cs="宋体"/>
          <w:b/>
          <w:bCs/>
          <w:color w:val="auto"/>
          <w:highlight w:val="none"/>
        </w:rPr>
        <w:t>2.资格证明文件：</w:t>
      </w:r>
    </w:p>
    <w:p>
      <w:pPr>
        <w:numPr>
          <w:ilvl w:val="0"/>
          <w:numId w:val="11"/>
        </w:numPr>
        <w:tabs>
          <w:tab w:val="left" w:pos="518"/>
          <w:tab w:val="left" w:pos="840"/>
        </w:tabs>
        <w:spacing w:line="360" w:lineRule="auto"/>
        <w:rPr>
          <w:rFonts w:ascii="宋体" w:hAnsi="宋体" w:cs="宋体"/>
          <w:color w:val="auto"/>
          <w:highlight w:val="none"/>
        </w:rPr>
      </w:pPr>
      <w:bookmarkStart w:id="47" w:name="_Toc27222"/>
      <w:bookmarkStart w:id="48" w:name="_Toc47388334"/>
      <w:r>
        <w:rPr>
          <w:rFonts w:hint="eastAsia" w:ascii="宋体" w:hAnsi="宋体" w:cs="宋体"/>
          <w:color w:val="auto"/>
          <w:highlight w:val="none"/>
        </w:rPr>
        <w:t>投标人的营业执照副本复印件（格式详见第六章投标文件格式）联合体投标的，联合体双方须分别提供</w:t>
      </w:r>
      <w:bookmarkEnd w:id="47"/>
      <w:bookmarkEnd w:id="48"/>
      <w:r>
        <w:rPr>
          <w:rFonts w:hint="eastAsia" w:ascii="宋体" w:hAnsi="宋体" w:cs="宋体"/>
          <w:color w:val="auto"/>
          <w:highlight w:val="none"/>
        </w:rPr>
        <w:t>；</w:t>
      </w:r>
    </w:p>
    <w:p>
      <w:pPr>
        <w:numPr>
          <w:ilvl w:val="0"/>
          <w:numId w:val="11"/>
        </w:numPr>
        <w:tabs>
          <w:tab w:val="left" w:pos="518"/>
          <w:tab w:val="left" w:pos="840"/>
        </w:tabs>
        <w:spacing w:line="360" w:lineRule="auto"/>
        <w:ind w:left="0" w:firstLine="420" w:firstLineChars="200"/>
        <w:rPr>
          <w:rFonts w:ascii="宋体" w:hAnsi="宋体" w:cs="宋体"/>
          <w:color w:val="auto"/>
          <w:highlight w:val="none"/>
        </w:rPr>
      </w:pPr>
      <w:bookmarkStart w:id="49" w:name="_Toc1635"/>
      <w:bookmarkStart w:id="50" w:name="_Toc47388340"/>
      <w:r>
        <w:rPr>
          <w:rFonts w:hint="eastAsia" w:ascii="宋体" w:hAnsi="宋体" w:cs="宋体"/>
          <w:color w:val="auto"/>
          <w:highlight w:val="none"/>
        </w:rPr>
        <w:t>投标人资格声明函（格式详见第六章投标文件格式）</w:t>
      </w:r>
      <w:bookmarkEnd w:id="49"/>
      <w:bookmarkEnd w:id="50"/>
      <w:r>
        <w:rPr>
          <w:rFonts w:hint="eastAsia" w:ascii="宋体" w:hAnsi="宋体" w:cs="宋体"/>
          <w:color w:val="auto"/>
          <w:highlight w:val="none"/>
        </w:rPr>
        <w:t>联合体投标的，联合体双方须分别提供；</w:t>
      </w:r>
    </w:p>
    <w:p>
      <w:pPr>
        <w:numPr>
          <w:ilvl w:val="0"/>
          <w:numId w:val="12"/>
        </w:numPr>
        <w:tabs>
          <w:tab w:val="left" w:pos="420"/>
          <w:tab w:val="clear" w:pos="840"/>
        </w:tabs>
        <w:spacing w:line="360" w:lineRule="auto"/>
        <w:rPr>
          <w:rFonts w:ascii="宋体" w:hAnsi="宋体" w:cs="宋体"/>
          <w:color w:val="auto"/>
          <w:highlight w:val="none"/>
        </w:rPr>
      </w:pPr>
      <w:bookmarkStart w:id="51" w:name="_Toc21309"/>
      <w:bookmarkStart w:id="52" w:name="_Toc47388341"/>
      <w:r>
        <w:rPr>
          <w:rFonts w:hint="eastAsia" w:ascii="宋体" w:hAnsi="宋体" w:cs="宋体"/>
          <w:color w:val="auto"/>
          <w:highlight w:val="none"/>
        </w:rPr>
        <w:t>投标人的特定条件的证明文件：</w:t>
      </w:r>
      <w:bookmarkEnd w:id="51"/>
      <w:bookmarkEnd w:id="52"/>
    </w:p>
    <w:p>
      <w:pPr>
        <w:spacing w:line="360" w:lineRule="auto"/>
        <w:ind w:firstLine="630" w:firstLineChars="300"/>
        <w:rPr>
          <w:rFonts w:ascii="宋体" w:hAnsi="宋体" w:cs="宋体"/>
          <w:color w:val="auto"/>
          <w:kern w:val="0"/>
          <w:highlight w:val="none"/>
        </w:rPr>
      </w:pPr>
      <w:r>
        <w:rPr>
          <w:rFonts w:hint="eastAsia" w:ascii="宋体" w:hAnsi="宋体" w:cs="宋体"/>
          <w:color w:val="auto"/>
          <w:kern w:val="0"/>
          <w:highlight w:val="none"/>
        </w:rPr>
        <w:t xml:space="preserve">投标人为医疗器械生产企业的：第二类、第三类医疗器械生产企业提供《医疗器械生产许可证》复印件、第一类医疗器械生产企业提供第一类医疗器械生产备案凭证复印件； </w:t>
      </w:r>
    </w:p>
    <w:p>
      <w:pPr>
        <w:spacing w:line="360" w:lineRule="auto"/>
        <w:ind w:firstLine="630" w:firstLineChars="300"/>
        <w:rPr>
          <w:rFonts w:ascii="宋体" w:hAnsi="宋体" w:cs="宋体"/>
          <w:color w:val="auto"/>
          <w:kern w:val="0"/>
          <w:highlight w:val="none"/>
        </w:rPr>
      </w:pPr>
      <w:r>
        <w:rPr>
          <w:rFonts w:hint="eastAsia" w:ascii="宋体" w:hAnsi="宋体" w:cs="宋体"/>
          <w:color w:val="auto"/>
          <w:kern w:val="0"/>
          <w:highlight w:val="none"/>
        </w:rPr>
        <w:t>投标人为医疗器械经营企业的：第三类医疗器械经营企业提供《医疗器械经营许可证》复印件、第二类医疗器械经营企业提供第二类医疗器械经营备案凭证复印件；</w:t>
      </w:r>
    </w:p>
    <w:p>
      <w:pPr>
        <w:numPr>
          <w:ilvl w:val="0"/>
          <w:numId w:val="13"/>
        </w:numPr>
        <w:tabs>
          <w:tab w:val="left" w:pos="420"/>
          <w:tab w:val="clear" w:pos="840"/>
        </w:tabs>
        <w:spacing w:line="360" w:lineRule="auto"/>
        <w:rPr>
          <w:rFonts w:ascii="宋体" w:hAnsi="宋体" w:cs="宋体"/>
          <w:color w:val="auto"/>
          <w:highlight w:val="none"/>
        </w:rPr>
      </w:pPr>
      <w:r>
        <w:rPr>
          <w:rFonts w:hint="eastAsia" w:ascii="宋体" w:hAnsi="宋体" w:cs="宋体"/>
          <w:color w:val="auto"/>
          <w:highlight w:val="none"/>
        </w:rPr>
        <w:t>联合体投标协议书（格式详见第六章投标文件格式，联合体投标的须提供）。</w:t>
      </w:r>
    </w:p>
    <w:p>
      <w:pPr>
        <w:tabs>
          <w:tab w:val="left" w:pos="518"/>
        </w:tabs>
        <w:spacing w:line="360" w:lineRule="auto"/>
        <w:ind w:left="40" w:firstLine="211" w:firstLineChars="100"/>
        <w:rPr>
          <w:rFonts w:ascii="宋体" w:hAnsi="宋体" w:cs="宋体"/>
          <w:b/>
          <w:bCs/>
          <w:color w:val="auto"/>
          <w:highlight w:val="none"/>
        </w:rPr>
      </w:pPr>
      <w:r>
        <w:rPr>
          <w:rFonts w:hint="eastAsia" w:ascii="宋体" w:hAnsi="宋体" w:cs="宋体"/>
          <w:b/>
          <w:bCs/>
          <w:color w:val="auto"/>
          <w:highlight w:val="none"/>
        </w:rPr>
        <w:t>3.商务技术文件：</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投标人自查表②符合性自查表（格式详见第六章投标文件格式）；</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法定代表人身份证明、法定代表人授权委托书（或联合投标授权委托书）（格式    详见第六章投标文件格式）；</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商务条款响应（偏离）表（格式详见第六章投标文件格式）；</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技术条款响应（偏离）表（格式详见第六章投标文件格式）；</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技术需求中要求提供的证明资料（加盖公章）；</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运行、维修成本方案；</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安装、调试、验收方法或方案；</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技术服务、技术培训；</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售后服务响应情况；</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投标人所投产品的节能环保产品认证证书复印件及所投产品</w:t>
      </w:r>
      <w:r>
        <w:rPr>
          <w:rFonts w:hint="eastAsia" w:ascii="宋体" w:hAnsi="宋体" w:cs="宋体"/>
          <w:color w:val="auto"/>
          <w:highlight w:val="none"/>
          <w:lang w:val="zh-CN"/>
        </w:rPr>
        <w:t>属于“节能产品政府采购清单”</w:t>
      </w:r>
      <w:r>
        <w:rPr>
          <w:rFonts w:hint="eastAsia" w:ascii="宋体" w:hAnsi="宋体" w:cs="宋体"/>
          <w:color w:val="auto"/>
          <w:highlight w:val="none"/>
        </w:rPr>
        <w:t>中所列产品的</w:t>
      </w:r>
      <w:r>
        <w:rPr>
          <w:rFonts w:hint="eastAsia" w:ascii="宋体" w:hAnsi="宋体" w:cs="宋体"/>
          <w:color w:val="auto"/>
          <w:highlight w:val="none"/>
          <w:lang w:val="zh-CN"/>
        </w:rPr>
        <w:t>相关证明资料或截图</w:t>
      </w:r>
      <w:r>
        <w:rPr>
          <w:rFonts w:hint="eastAsia" w:ascii="宋体" w:hAnsi="宋体" w:cs="宋体"/>
          <w:color w:val="auto"/>
          <w:highlight w:val="none"/>
        </w:rPr>
        <w:t>（如有请提供，加盖公章）；</w:t>
      </w:r>
    </w:p>
    <w:p>
      <w:pPr>
        <w:numPr>
          <w:ilvl w:val="0"/>
          <w:numId w:val="14"/>
        </w:numPr>
        <w:spacing w:line="360" w:lineRule="auto"/>
        <w:rPr>
          <w:rFonts w:ascii="宋体" w:hAnsi="宋体" w:cs="宋体"/>
          <w:color w:val="auto"/>
          <w:highlight w:val="none"/>
        </w:rPr>
      </w:pPr>
      <w:r>
        <w:rPr>
          <w:rFonts w:hint="eastAsia" w:ascii="宋体" w:hAnsi="宋体" w:cs="宋体"/>
          <w:color w:val="auto"/>
          <w:highlight w:val="none"/>
        </w:rPr>
        <w:t>业绩一览表（格式详见第六章投标文件格式）、投标产品的销售业绩的合同复印件（加盖公章）（根据评分标准提供）；</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（12）其他采购需求或评分标准所需资料；</w:t>
      </w:r>
    </w:p>
    <w:bookmarkEnd w:id="44"/>
    <w:p>
      <w:pPr>
        <w:snapToGrid w:val="0"/>
        <w:spacing w:line="360" w:lineRule="auto"/>
        <w:ind w:firstLine="411" w:firstLineChars="196"/>
        <w:jc w:val="left"/>
        <w:outlineLvl w:val="0"/>
        <w:rPr>
          <w:rFonts w:ascii="宋体" w:hAnsi="宋体" w:cs="宋体"/>
          <w:color w:val="auto"/>
          <w:highlight w:val="none"/>
        </w:rPr>
      </w:pPr>
      <w:bookmarkStart w:id="53" w:name="_Toc21913"/>
      <w:r>
        <w:rPr>
          <w:rFonts w:hint="eastAsia" w:ascii="宋体" w:hAnsi="宋体" w:cs="宋体"/>
          <w:color w:val="auto"/>
          <w:highlight w:val="none"/>
        </w:rPr>
        <w:t>（二）投标文件的语言及计量</w:t>
      </w:r>
      <w:bookmarkEnd w:id="45"/>
      <w:bookmarkEnd w:id="46"/>
      <w:bookmarkEnd w:id="53"/>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★1投标文件以及投标方与招标方就有关投标事宜的所有来往函电，均应以中文汉语书写。除签名、盖章、专用名称等特殊情形外，以中文汉语以外的文字表述的投标文件视同未提供。</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★2投标计量单位，招标文件已有明确规定的，使用招标文件规定的计量单位；招标文件没有规定的，应采用中华人民共和国法定计量单位（例如货币单位：人民币元），否则视同未响应。</w:t>
      </w:r>
    </w:p>
    <w:p>
      <w:pPr>
        <w:snapToGrid w:val="0"/>
        <w:spacing w:before="120" w:beforeLines="50" w:line="360" w:lineRule="auto"/>
        <w:ind w:firstLine="413" w:firstLineChars="196"/>
        <w:jc w:val="left"/>
        <w:outlineLvl w:val="0"/>
        <w:rPr>
          <w:rFonts w:ascii="宋体" w:hAnsi="宋体" w:cs="宋体"/>
          <w:b/>
          <w:bCs/>
          <w:color w:val="auto"/>
          <w:highlight w:val="none"/>
        </w:rPr>
      </w:pPr>
      <w:r>
        <w:rPr>
          <w:rFonts w:hint="eastAsia" w:ascii="宋体" w:hAnsi="宋体" w:cs="宋体"/>
          <w:b/>
          <w:bCs/>
          <w:color w:val="auto"/>
          <w:highlight w:val="none"/>
        </w:rPr>
        <w:tab/>
      </w:r>
      <w:bookmarkStart w:id="54" w:name="_Toc28665"/>
      <w:bookmarkStart w:id="55" w:name="_Toc417922240"/>
      <w:bookmarkStart w:id="56" w:name="_Toc47388343"/>
      <w:r>
        <w:rPr>
          <w:rFonts w:hint="eastAsia" w:ascii="宋体" w:hAnsi="宋体" w:cs="宋体"/>
          <w:b/>
          <w:bCs/>
          <w:color w:val="auto"/>
          <w:highlight w:val="none"/>
        </w:rPr>
        <w:t>（三）投标报价</w:t>
      </w:r>
      <w:bookmarkEnd w:id="54"/>
      <w:bookmarkEnd w:id="55"/>
      <w:bookmarkEnd w:id="56"/>
    </w:p>
    <w:p>
      <w:pPr>
        <w:snapToGrid w:val="0"/>
        <w:spacing w:before="120" w:beforeLines="50" w:line="360" w:lineRule="auto"/>
        <w:ind w:firstLine="413" w:firstLineChars="196"/>
        <w:jc w:val="left"/>
        <w:outlineLvl w:val="0"/>
        <w:rPr>
          <w:rFonts w:ascii="宋体" w:hAnsi="宋体" w:cs="宋体"/>
          <w:b/>
          <w:bCs/>
          <w:color w:val="auto"/>
          <w:highlight w:val="none"/>
        </w:rPr>
      </w:pPr>
      <w:r>
        <w:rPr>
          <w:rFonts w:hint="eastAsia" w:ascii="宋体" w:hAnsi="宋体" w:cs="宋体"/>
          <w:b/>
          <w:bCs/>
          <w:color w:val="auto"/>
          <w:highlight w:val="none"/>
        </w:rPr>
        <w:tab/>
      </w:r>
      <w:bookmarkStart w:id="57" w:name="_Toc26606"/>
      <w:bookmarkStart w:id="58" w:name="_Toc47388344"/>
      <w:bookmarkStart w:id="59" w:name="_Toc417922241"/>
      <w:r>
        <w:rPr>
          <w:rFonts w:hint="eastAsia" w:ascii="宋体" w:hAnsi="宋体" w:cs="宋体"/>
          <w:b/>
          <w:bCs/>
          <w:color w:val="auto"/>
          <w:highlight w:val="none"/>
        </w:rPr>
        <w:t>1.投标报价应按招标文件中相关附表格式填写。</w:t>
      </w:r>
      <w:bookmarkEnd w:id="57"/>
      <w:bookmarkEnd w:id="58"/>
      <w:bookmarkEnd w:id="59"/>
    </w:p>
    <w:p>
      <w:pPr>
        <w:overflowPunct w:val="0"/>
        <w:spacing w:line="360" w:lineRule="auto"/>
        <w:ind w:left="63" w:leftChars="30" w:firstLine="103" w:firstLineChars="49"/>
        <w:rPr>
          <w:rFonts w:ascii="宋体" w:hAnsi="宋体" w:cs="宋体"/>
          <w:b/>
          <w:bCs/>
          <w:color w:val="auto"/>
          <w:highlight w:val="none"/>
        </w:rPr>
      </w:pPr>
      <w:r>
        <w:rPr>
          <w:rFonts w:hint="eastAsia" w:ascii="宋体" w:hAnsi="宋体" w:cs="宋体"/>
          <w:b/>
          <w:bCs/>
          <w:color w:val="auto"/>
          <w:highlight w:val="none"/>
        </w:rPr>
        <w:tab/>
      </w:r>
      <w:bookmarkStart w:id="60" w:name="_Toc417922242"/>
      <w:r>
        <w:rPr>
          <w:rFonts w:hint="eastAsia" w:ascii="宋体" w:hAnsi="宋体" w:cs="宋体"/>
          <w:color w:val="auto"/>
          <w:highlight w:val="none"/>
        </w:rPr>
        <w:t>★</w:t>
      </w:r>
      <w:r>
        <w:rPr>
          <w:rFonts w:hint="eastAsia" w:ascii="宋体" w:hAnsi="宋体" w:cs="宋体"/>
          <w:b/>
          <w:bCs/>
          <w:color w:val="auto"/>
          <w:highlight w:val="none"/>
        </w:rPr>
        <w:t>2.</w:t>
      </w:r>
      <w:bookmarkEnd w:id="60"/>
      <w:r>
        <w:rPr>
          <w:rFonts w:hint="eastAsia" w:ascii="宋体" w:hAnsi="宋体" w:cs="宋体"/>
          <w:b/>
          <w:bCs/>
          <w:color w:val="auto"/>
          <w:highlight w:val="none"/>
        </w:rPr>
        <w:t xml:space="preserve"> 投标报价是详见第三章前附表2。</w:t>
      </w:r>
    </w:p>
    <w:p>
      <w:pPr>
        <w:snapToGrid w:val="0"/>
        <w:spacing w:before="120" w:beforeLines="50" w:line="360" w:lineRule="auto"/>
        <w:ind w:firstLine="413" w:firstLineChars="196"/>
        <w:jc w:val="left"/>
        <w:outlineLvl w:val="0"/>
        <w:rPr>
          <w:rFonts w:ascii="宋体" w:hAnsi="宋体" w:cs="宋体"/>
          <w:b/>
          <w:bCs/>
          <w:color w:val="auto"/>
          <w:highlight w:val="none"/>
        </w:rPr>
      </w:pPr>
      <w:r>
        <w:rPr>
          <w:rFonts w:hint="eastAsia" w:ascii="宋体" w:hAnsi="宋体" w:cs="宋体"/>
          <w:b/>
          <w:bCs/>
          <w:color w:val="auto"/>
          <w:highlight w:val="none"/>
        </w:rPr>
        <w:tab/>
      </w:r>
      <w:bookmarkStart w:id="61" w:name="_Toc47388345"/>
      <w:bookmarkStart w:id="62" w:name="_Toc417922243"/>
      <w:bookmarkStart w:id="63" w:name="_Toc26755"/>
      <w:r>
        <w:rPr>
          <w:rFonts w:hint="eastAsia" w:ascii="宋体" w:hAnsi="宋体" w:cs="宋体"/>
          <w:color w:val="auto"/>
          <w:highlight w:val="none"/>
        </w:rPr>
        <w:t>★</w:t>
      </w:r>
      <w:r>
        <w:rPr>
          <w:rFonts w:hint="eastAsia" w:ascii="宋体" w:hAnsi="宋体" w:cs="宋体"/>
          <w:b/>
          <w:bCs/>
          <w:color w:val="auto"/>
          <w:highlight w:val="none"/>
        </w:rPr>
        <w:t>3.投标文针对同一内容只允许有一个报价，有选择的或有条件的报价将不予接受。</w:t>
      </w:r>
      <w:bookmarkEnd w:id="61"/>
      <w:bookmarkEnd w:id="62"/>
      <w:bookmarkEnd w:id="63"/>
    </w:p>
    <w:p>
      <w:pPr>
        <w:snapToGrid w:val="0"/>
        <w:spacing w:before="120" w:beforeLines="50" w:line="360" w:lineRule="auto"/>
        <w:ind w:firstLine="413" w:firstLineChars="196"/>
        <w:jc w:val="left"/>
        <w:outlineLvl w:val="0"/>
        <w:rPr>
          <w:rFonts w:ascii="宋体" w:hAnsi="宋体" w:cs="宋体"/>
          <w:b/>
          <w:bCs/>
          <w:color w:val="auto"/>
          <w:highlight w:val="none"/>
        </w:rPr>
      </w:pPr>
      <w:bookmarkStart w:id="64" w:name="_Toc13397"/>
      <w:bookmarkStart w:id="65" w:name="_Toc47388346"/>
      <w:bookmarkStart w:id="66" w:name="_Toc417922244"/>
      <w:r>
        <w:rPr>
          <w:rFonts w:hint="eastAsia" w:ascii="宋体" w:hAnsi="宋体" w:cs="宋体"/>
          <w:b/>
          <w:bCs/>
          <w:color w:val="auto"/>
          <w:highlight w:val="none"/>
        </w:rPr>
        <w:t>（四）投标文件的有效期</w:t>
      </w:r>
      <w:bookmarkEnd w:id="64"/>
      <w:bookmarkEnd w:id="65"/>
      <w:bookmarkEnd w:id="66"/>
    </w:p>
    <w:p>
      <w:pPr>
        <w:pStyle w:val="13"/>
        <w:widowControl w:val="0"/>
        <w:tabs>
          <w:tab w:val="clear" w:pos="454"/>
        </w:tabs>
        <w:snapToGrid w:val="0"/>
        <w:spacing w:afterLines="0" w:line="360" w:lineRule="auto"/>
        <w:ind w:left="0" w:firstLine="420" w:firstLineChars="200"/>
        <w:rPr>
          <w:rFonts w:ascii="宋体" w:hAnsi="宋体" w:cs="宋体"/>
          <w:b/>
          <w:bCs/>
          <w:color w:val="auto"/>
          <w:sz w:val="21"/>
          <w:szCs w:val="21"/>
          <w:highlight w:val="none"/>
        </w:rPr>
      </w:pPr>
      <w:r>
        <w:rPr>
          <w:rFonts w:hint="eastAsia" w:ascii="宋体" w:hAnsi="宋体" w:cs="宋体"/>
          <w:color w:val="auto"/>
          <w:sz w:val="21"/>
          <w:szCs w:val="21"/>
          <w:highlight w:val="none"/>
        </w:rPr>
        <w:t>★</w:t>
      </w:r>
      <w:r>
        <w:rPr>
          <w:rFonts w:hint="eastAsia" w:ascii="宋体" w:hAnsi="宋体" w:cs="宋体"/>
          <w:b/>
          <w:bCs/>
          <w:color w:val="auto"/>
          <w:sz w:val="21"/>
          <w:szCs w:val="21"/>
          <w:highlight w:val="none"/>
        </w:rPr>
        <w:t>1.自投标截止日起</w:t>
      </w:r>
      <w:r>
        <w:rPr>
          <w:rFonts w:hint="eastAsia" w:ascii="宋体" w:hAnsi="宋体" w:cs="宋体"/>
          <w:b/>
          <w:bCs/>
          <w:color w:val="auto"/>
          <w:sz w:val="21"/>
          <w:szCs w:val="21"/>
          <w:highlight w:val="none"/>
          <w:u w:val="single"/>
        </w:rPr>
        <w:t xml:space="preserve">90 </w:t>
      </w:r>
      <w:r>
        <w:rPr>
          <w:rFonts w:hint="eastAsia" w:ascii="宋体" w:hAnsi="宋体" w:cs="宋体"/>
          <w:b/>
          <w:bCs/>
          <w:color w:val="auto"/>
          <w:sz w:val="21"/>
          <w:szCs w:val="21"/>
          <w:highlight w:val="none"/>
        </w:rPr>
        <w:t>天投标文件应保持有效。有效期不足的投标文件将被拒绝。</w:t>
      </w:r>
    </w:p>
    <w:p>
      <w:pPr>
        <w:pStyle w:val="13"/>
        <w:widowControl w:val="0"/>
        <w:tabs>
          <w:tab w:val="clear" w:pos="454"/>
        </w:tabs>
        <w:snapToGrid w:val="0"/>
        <w:spacing w:afterLines="0" w:line="360" w:lineRule="auto"/>
        <w:ind w:left="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2.在特殊情况下，招标人可与投标人协商延长投标书的有效期，这种要求和答复均以书面形式进行。</w:t>
      </w:r>
    </w:p>
    <w:p>
      <w:pPr>
        <w:snapToGrid w:val="0"/>
        <w:spacing w:line="360" w:lineRule="auto"/>
        <w:ind w:firstLine="420" w:firstLineChars="200"/>
        <w:jc w:val="left"/>
        <w:outlineLvl w:val="0"/>
        <w:rPr>
          <w:rFonts w:ascii="宋体" w:hAnsi="宋体" w:cs="宋体"/>
          <w:b/>
          <w:bCs/>
          <w:color w:val="auto"/>
          <w:highlight w:val="none"/>
        </w:rPr>
      </w:pPr>
      <w:bookmarkStart w:id="67" w:name="_Toc417922245"/>
      <w:bookmarkStart w:id="68" w:name="_Toc47388347"/>
      <w:bookmarkStart w:id="69" w:name="_Toc4957"/>
      <w:r>
        <w:rPr>
          <w:rFonts w:hint="eastAsia" w:ascii="宋体" w:hAnsi="宋体" w:cs="宋体"/>
          <w:color w:val="auto"/>
          <w:highlight w:val="none"/>
        </w:rPr>
        <w:t>3.投标人可拒绝接受延期要求而不会导致投标保证金被没收。同意延长有效期的投标人需要相应延长投标保证金的有效期，但不能修改投标文件。</w:t>
      </w:r>
      <w:bookmarkEnd w:id="67"/>
      <w:bookmarkEnd w:id="68"/>
      <w:bookmarkEnd w:id="69"/>
      <w:r>
        <w:rPr>
          <w:rFonts w:hint="eastAsia" w:ascii="宋体" w:hAnsi="宋体" w:cs="宋体"/>
          <w:b/>
          <w:bCs/>
          <w:color w:val="auto"/>
          <w:highlight w:val="none"/>
        </w:rPr>
        <w:t xml:space="preserve"> </w:t>
      </w:r>
    </w:p>
    <w:p>
      <w:pPr>
        <w:snapToGrid w:val="0"/>
        <w:spacing w:line="360" w:lineRule="auto"/>
        <w:ind w:firstLine="420" w:firstLineChars="200"/>
        <w:jc w:val="left"/>
        <w:outlineLvl w:val="0"/>
        <w:rPr>
          <w:rFonts w:ascii="宋体" w:hAnsi="宋体" w:cs="宋体"/>
          <w:b/>
          <w:bCs/>
          <w:color w:val="auto"/>
          <w:highlight w:val="none"/>
        </w:rPr>
      </w:pPr>
      <w:bookmarkStart w:id="70" w:name="_Toc27965"/>
      <w:bookmarkStart w:id="71" w:name="_Toc47388348"/>
      <w:bookmarkStart w:id="72" w:name="_Toc417922246"/>
      <w:r>
        <w:rPr>
          <w:rFonts w:hint="eastAsia" w:ascii="宋体" w:hAnsi="宋体" w:cs="宋体"/>
          <w:color w:val="auto"/>
          <w:highlight w:val="none"/>
        </w:rPr>
        <w:t>4.中标人的投标文件自开标之日起至合同履行完毕止均应保持有效。</w:t>
      </w:r>
      <w:bookmarkEnd w:id="70"/>
      <w:bookmarkEnd w:id="71"/>
      <w:bookmarkEnd w:id="72"/>
    </w:p>
    <w:p>
      <w:pPr>
        <w:snapToGrid w:val="0"/>
        <w:spacing w:before="120" w:beforeLines="50" w:line="360" w:lineRule="auto"/>
        <w:ind w:firstLine="413" w:firstLineChars="196"/>
        <w:jc w:val="left"/>
        <w:outlineLvl w:val="0"/>
        <w:rPr>
          <w:rFonts w:ascii="宋体" w:hAnsi="宋体" w:cs="宋体"/>
          <w:b/>
          <w:bCs/>
          <w:color w:val="auto"/>
          <w:highlight w:val="none"/>
        </w:rPr>
      </w:pPr>
      <w:bookmarkStart w:id="73" w:name="_Toc8457"/>
      <w:bookmarkStart w:id="74" w:name="_Toc447886489"/>
      <w:bookmarkStart w:id="75" w:name="_Toc47388363"/>
      <w:bookmarkStart w:id="76" w:name="_Toc447886351"/>
      <w:r>
        <w:rPr>
          <w:rFonts w:hint="eastAsia" w:ascii="宋体" w:hAnsi="宋体" w:cs="宋体"/>
          <w:b/>
          <w:bCs/>
          <w:color w:val="auto"/>
          <w:highlight w:val="none"/>
        </w:rPr>
        <w:t>（五）投标文件的签署和份数</w:t>
      </w:r>
      <w:bookmarkEnd w:id="73"/>
      <w:bookmarkEnd w:id="74"/>
      <w:bookmarkEnd w:id="75"/>
      <w:bookmarkEnd w:id="76"/>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1.投标人应按本招标文件规定的格式和顺序编制、装订投标文件并标注页码，投标文件内容不完整、编排混乱导致投标文件被误读、漏读或者查找不到相关内容的，是投标人的责任。</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w:t>
      </w:r>
      <w:r>
        <w:rPr>
          <w:rFonts w:hint="eastAsia" w:ascii="宋体" w:hAnsi="宋体" w:cs="宋体"/>
          <w:b/>
          <w:bCs/>
          <w:color w:val="auto"/>
          <w:highlight w:val="none"/>
        </w:rPr>
        <w:t>2.投标人应提供电子投标文件。电子投标文件中所须加盖公章（联合体的，只需盖联合体牵头人CA章）。</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3.投标文件须由投标人在规定位置盖章并由法定代表人或法定代表人的授权委托人签署，投标人应写全称。</w:t>
      </w: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4.投标文件不得涂改，若有修改错漏处，须加盖单位公章或者法定代表人或授权委托人签字或盖章。投标文件因字迹潦草或表达不清所引起的后果由投标人负责。</w:t>
      </w:r>
    </w:p>
    <w:p>
      <w:pPr>
        <w:snapToGrid w:val="0"/>
        <w:spacing w:before="120" w:beforeLines="50" w:line="360" w:lineRule="auto"/>
        <w:ind w:firstLine="310" w:firstLineChars="147"/>
        <w:jc w:val="left"/>
        <w:rPr>
          <w:rFonts w:ascii="宋体" w:hAnsi="宋体" w:cs="宋体"/>
          <w:b/>
          <w:bCs/>
          <w:color w:val="auto"/>
          <w:highlight w:val="none"/>
        </w:rPr>
      </w:pPr>
      <w:r>
        <w:rPr>
          <w:rFonts w:hint="eastAsia" w:ascii="宋体" w:hAnsi="宋体" w:cs="宋体"/>
          <w:b/>
          <w:bCs/>
          <w:color w:val="auto"/>
          <w:highlight w:val="none"/>
        </w:rPr>
        <w:t>（六）投标文件的上传递交、修改和撤回</w:t>
      </w:r>
    </w:p>
    <w:p>
      <w:pPr>
        <w:snapToGrid w:val="0"/>
        <w:spacing w:before="120" w:beforeLines="50" w:line="360" w:lineRule="auto"/>
        <w:ind w:firstLine="411" w:firstLineChars="196"/>
        <w:jc w:val="left"/>
        <w:outlineLvl w:val="2"/>
        <w:rPr>
          <w:rFonts w:ascii="宋体" w:hAnsi="宋体" w:cs="宋体"/>
          <w:color w:val="auto"/>
          <w:highlight w:val="none"/>
        </w:rPr>
      </w:pPr>
      <w:bookmarkStart w:id="77" w:name="_Toc11204"/>
      <w:bookmarkStart w:id="78" w:name="_Toc47388364"/>
      <w:bookmarkStart w:id="79" w:name="_Toc447886352"/>
      <w:bookmarkStart w:id="80" w:name="_Toc447886490"/>
      <w:r>
        <w:rPr>
          <w:rFonts w:hint="eastAsia" w:ascii="宋体" w:hAnsi="宋体" w:cs="宋体"/>
          <w:color w:val="auto"/>
          <w:highlight w:val="none"/>
        </w:rPr>
        <w:t>1.投标文件的上传递交：</w:t>
      </w:r>
      <w:bookmarkEnd w:id="77"/>
      <w:bookmarkEnd w:id="78"/>
    </w:p>
    <w:p>
      <w:pPr>
        <w:snapToGrid w:val="0"/>
        <w:spacing w:before="120" w:beforeLines="50" w:line="360" w:lineRule="auto"/>
        <w:ind w:firstLine="411" w:firstLineChars="196"/>
        <w:jc w:val="left"/>
        <w:outlineLvl w:val="2"/>
        <w:rPr>
          <w:rFonts w:ascii="宋体" w:hAnsi="宋体" w:cs="宋体"/>
          <w:color w:val="auto"/>
          <w:highlight w:val="none"/>
        </w:rPr>
      </w:pPr>
      <w:bookmarkStart w:id="81" w:name="_Toc47388365"/>
      <w:bookmarkStart w:id="82" w:name="_Toc18986"/>
      <w:r>
        <w:rPr>
          <w:rFonts w:hint="eastAsia" w:ascii="宋体" w:hAnsi="宋体" w:cs="宋体"/>
          <w:color w:val="auto"/>
          <w:highlight w:val="none"/>
        </w:rPr>
        <w:t>（1）电子加密投标文件的上传递交：</w:t>
      </w:r>
      <w:bookmarkEnd w:id="81"/>
      <w:bookmarkEnd w:id="82"/>
    </w:p>
    <w:p>
      <w:pPr>
        <w:snapToGrid w:val="0"/>
        <w:spacing w:before="120" w:beforeLines="50" w:line="360" w:lineRule="auto"/>
        <w:ind w:firstLine="411" w:firstLineChars="196"/>
        <w:jc w:val="left"/>
        <w:outlineLvl w:val="2"/>
        <w:rPr>
          <w:rFonts w:ascii="宋体" w:hAnsi="宋体" w:cs="宋体"/>
          <w:color w:val="auto"/>
          <w:highlight w:val="none"/>
        </w:rPr>
      </w:pPr>
      <w:bookmarkStart w:id="83" w:name="_Toc28964"/>
      <w:bookmarkStart w:id="84" w:name="_Toc47388366"/>
      <w:r>
        <w:rPr>
          <w:rFonts w:hint="eastAsia" w:ascii="宋体" w:hAnsi="宋体" w:cs="宋体"/>
          <w:color w:val="auto"/>
          <w:highlight w:val="none"/>
        </w:rPr>
        <w:t>★a.投标人应在投标截止时间前将电子加密投标文件成功上传递交至政府采购云平台，否则投标无效；</w:t>
      </w:r>
      <w:bookmarkEnd w:id="83"/>
      <w:bookmarkEnd w:id="84"/>
    </w:p>
    <w:p>
      <w:pPr>
        <w:snapToGrid w:val="0"/>
        <w:spacing w:before="120" w:beforeLines="50" w:line="360" w:lineRule="auto"/>
        <w:ind w:firstLine="411" w:firstLineChars="196"/>
        <w:jc w:val="left"/>
        <w:outlineLvl w:val="2"/>
        <w:rPr>
          <w:rFonts w:ascii="宋体" w:hAnsi="宋体" w:cs="宋体"/>
          <w:color w:val="auto"/>
          <w:highlight w:val="none"/>
        </w:rPr>
      </w:pPr>
      <w:bookmarkStart w:id="85" w:name="_Toc31716"/>
      <w:bookmarkStart w:id="86" w:name="_Toc47388367"/>
      <w:r>
        <w:rPr>
          <w:rFonts w:hint="eastAsia" w:ascii="宋体" w:hAnsi="宋体" w:cs="宋体"/>
          <w:color w:val="auto"/>
          <w:highlight w:val="none"/>
        </w:rPr>
        <w:t>b.电子加密投标文件成功上传递交后，投标人可自行打印投标文件接收回执。</w:t>
      </w:r>
      <w:bookmarkEnd w:id="85"/>
      <w:bookmarkEnd w:id="86"/>
    </w:p>
    <w:p>
      <w:pPr>
        <w:snapToGrid w:val="0"/>
        <w:spacing w:before="120" w:beforeLines="50" w:line="360" w:lineRule="auto"/>
        <w:ind w:firstLine="411" w:firstLineChars="196"/>
        <w:jc w:val="left"/>
        <w:outlineLvl w:val="2"/>
        <w:rPr>
          <w:rFonts w:ascii="宋体" w:hAnsi="宋体" w:cs="宋体"/>
          <w:color w:val="auto"/>
          <w:highlight w:val="none"/>
        </w:rPr>
      </w:pPr>
      <w:bookmarkStart w:id="87" w:name="_Toc2573"/>
      <w:bookmarkStart w:id="88" w:name="_Toc47388368"/>
      <w:r>
        <w:rPr>
          <w:rFonts w:hint="eastAsia" w:ascii="宋体" w:hAnsi="宋体" w:cs="宋体"/>
          <w:color w:val="auto"/>
          <w:highlight w:val="none"/>
        </w:rPr>
        <w:t>（2）备份投标文件的密封包装、递交：</w:t>
      </w:r>
      <w:bookmarkEnd w:id="87"/>
      <w:bookmarkEnd w:id="88"/>
    </w:p>
    <w:p>
      <w:pPr>
        <w:snapToGrid w:val="0"/>
        <w:spacing w:before="120" w:beforeLines="50" w:line="360" w:lineRule="auto"/>
        <w:ind w:firstLine="411" w:firstLineChars="196"/>
        <w:jc w:val="left"/>
        <w:outlineLvl w:val="2"/>
        <w:rPr>
          <w:rFonts w:ascii="宋体" w:hAnsi="宋体" w:cs="宋体"/>
          <w:color w:val="auto"/>
          <w:highlight w:val="none"/>
        </w:rPr>
      </w:pPr>
      <w:bookmarkStart w:id="89" w:name="_Toc47388369"/>
      <w:bookmarkStart w:id="90" w:name="_Toc3075"/>
      <w:r>
        <w:rPr>
          <w:rFonts w:hint="eastAsia" w:ascii="宋体" w:hAnsi="宋体" w:cs="宋体"/>
          <w:color w:val="auto"/>
          <w:highlight w:val="none"/>
        </w:rPr>
        <w:t>a.投标人在政府采购云平台完成电子加密投标文件的上传递交后，还可以通过电子邮件在投标截止时间前递交备份投标文件；</w:t>
      </w:r>
      <w:bookmarkEnd w:id="89"/>
      <w:bookmarkEnd w:id="90"/>
    </w:p>
    <w:p>
      <w:pPr>
        <w:snapToGrid w:val="0"/>
        <w:spacing w:before="120" w:beforeLines="50" w:line="360" w:lineRule="auto"/>
        <w:ind w:firstLine="411" w:firstLineChars="196"/>
        <w:jc w:val="left"/>
        <w:outlineLvl w:val="2"/>
        <w:rPr>
          <w:rFonts w:ascii="宋体" w:hAnsi="宋体" w:cs="宋体"/>
          <w:color w:val="auto"/>
          <w:highlight w:val="none"/>
        </w:rPr>
      </w:pPr>
      <w:bookmarkStart w:id="91" w:name="_Toc6588"/>
      <w:bookmarkStart w:id="92" w:name="_Toc47388370"/>
      <w:r>
        <w:rPr>
          <w:rFonts w:hint="eastAsia" w:ascii="宋体" w:hAnsi="宋体" w:cs="宋体"/>
          <w:color w:val="auto"/>
          <w:highlight w:val="none"/>
        </w:rPr>
        <w:t>★b.通过政府采购云平台成功上传递交的电子加密投标文件已按时解密的，备份投标文件自动失效。投标截止时间前，投标人仅递交备份投标文件而未将电子加密投标文件成功上传递交至政府采购云平台的，投标无效。</w:t>
      </w:r>
      <w:bookmarkEnd w:id="91"/>
      <w:bookmarkEnd w:id="92"/>
    </w:p>
    <w:p>
      <w:pPr>
        <w:snapToGrid w:val="0"/>
        <w:spacing w:before="120" w:beforeLines="50" w:line="360" w:lineRule="auto"/>
        <w:ind w:firstLine="411" w:firstLineChars="196"/>
        <w:jc w:val="left"/>
        <w:outlineLvl w:val="2"/>
        <w:rPr>
          <w:rFonts w:ascii="宋体" w:hAnsi="宋体" w:cs="宋体"/>
          <w:color w:val="auto"/>
          <w:highlight w:val="none"/>
        </w:rPr>
      </w:pPr>
      <w:bookmarkStart w:id="93" w:name="_Toc10991"/>
      <w:bookmarkStart w:id="94" w:name="_Toc47388371"/>
      <w:r>
        <w:rPr>
          <w:rFonts w:hint="eastAsia" w:ascii="宋体" w:hAnsi="宋体" w:cs="宋体"/>
          <w:color w:val="auto"/>
          <w:highlight w:val="none"/>
        </w:rPr>
        <w:t>3.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上传递交的投标文件，政府采购云平台将予以拒收。</w:t>
      </w:r>
      <w:bookmarkEnd w:id="93"/>
      <w:bookmarkEnd w:id="94"/>
    </w:p>
    <w:bookmarkEnd w:id="79"/>
    <w:bookmarkEnd w:id="80"/>
    <w:p>
      <w:pPr>
        <w:snapToGrid w:val="0"/>
        <w:spacing w:line="360" w:lineRule="auto"/>
        <w:jc w:val="left"/>
        <w:rPr>
          <w:rFonts w:ascii="宋体" w:hAnsi="宋体" w:cs="宋体"/>
          <w:b/>
          <w:bCs/>
          <w:color w:val="auto"/>
          <w:highlight w:val="none"/>
        </w:rPr>
      </w:pPr>
      <w:r>
        <w:rPr>
          <w:rFonts w:hint="eastAsia" w:ascii="宋体" w:hAnsi="宋体" w:cs="宋体"/>
          <w:b/>
          <w:bCs/>
          <w:color w:val="auto"/>
          <w:highlight w:val="none"/>
        </w:rPr>
        <w:t>四、特别说明</w:t>
      </w:r>
    </w:p>
    <w:p>
      <w:pPr>
        <w:pStyle w:val="19"/>
        <w:snapToGrid w:val="0"/>
        <w:spacing w:line="360" w:lineRule="auto"/>
        <w:ind w:firstLine="404" w:firstLineChars="200"/>
        <w:rPr>
          <w:rFonts w:hAnsi="宋体"/>
          <w:color w:val="auto"/>
          <w:sz w:val="21"/>
          <w:szCs w:val="21"/>
          <w:highlight w:val="none"/>
        </w:rPr>
      </w:pPr>
      <w:bookmarkStart w:id="95" w:name="_Toc28996"/>
      <w:bookmarkStart w:id="96" w:name="_Toc47388384"/>
      <w:r>
        <w:rPr>
          <w:rFonts w:hint="eastAsia" w:hAnsi="宋体"/>
          <w:color w:val="auto"/>
          <w:sz w:val="21"/>
          <w:szCs w:val="21"/>
          <w:highlight w:val="none"/>
        </w:rPr>
        <w:t>1.进口产品采购需符合“财政部关于印发《政府采购进口产品管理办法》的通知（财库[2007]119号）”第四、八、九、十、十一条的规定。</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2.本项目</w:t>
      </w:r>
      <w:r>
        <w:rPr>
          <w:rFonts w:hint="eastAsia" w:ascii="宋体" w:hAnsi="宋体" w:cs="宋体"/>
          <w:color w:val="auto"/>
          <w:highlight w:val="none"/>
          <w:u w:val="single"/>
        </w:rPr>
        <w:t xml:space="preserve"> 非 </w:t>
      </w:r>
      <w:r>
        <w:rPr>
          <w:rFonts w:hint="eastAsia" w:ascii="宋体" w:hAnsi="宋体" w:cs="宋体"/>
          <w:color w:val="auto"/>
          <w:highlight w:val="none"/>
        </w:rPr>
        <w:t>专门面向中小企业采购。</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3.本项目对应的中小企业划分标准所属行业：</w:t>
      </w:r>
      <w:r>
        <w:rPr>
          <w:rFonts w:hint="eastAsia" w:ascii="宋体" w:hAnsi="宋体" w:cs="宋体"/>
          <w:color w:val="auto"/>
          <w:highlight w:val="none"/>
          <w:u w:val="single"/>
        </w:rPr>
        <w:t>工业。</w:t>
      </w:r>
      <w:r>
        <w:rPr>
          <w:rFonts w:hint="eastAsia" w:ascii="宋体" w:hAnsi="宋体" w:cs="宋体"/>
          <w:color w:val="auto"/>
          <w:highlight w:val="none"/>
        </w:rPr>
        <w:t xml:space="preserve"> </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4.小微企业是指中华人民共和国境内依法设立，依据国务院批准的中小企业划分标准确定的小型企业和微型企业，但与大企业的负责人为同一人，或者与大企业存在直接控股、管理关系的除外。</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符合中小企业划分标准的个体工商户，在政府采购活动中视同中小企业。</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国务院批准的中小企业划分标准：具体见工信部联企业[2011]300号。</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5.在政府采购活动中，供应商提供的货物、工程或者服务符合下列情形的，可享受小型、微型企业（以下简称小微企业）的价格扣除：</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（1）在货物采购项目中，货物由小微企业制造，即货物由小微企业生产且使用该小微企业商号或者注册商标；</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（2）在工程采购项目中，工程由小微企业承建，即工程施工单位为小微企业；</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（3）在服务采购项目中，服务由小微企业承接，即提供服务的人员为小微企业依照《中华人民共和国劳动合同法》订立劳动合同的从业人员。</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以联合体形式参加政府采购活动，联合体各方均为小微企业的，联合体视同小微企业。</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6.在货物采购项目中，供应商提供的货物既有中小企业制造货物，也有大型企业制造货物的，不享受的小微企业价格扣除。</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7.本项目对符合《政府采购促进中小企业发展管理办法》（财库﹝2020﹞46号）和《财政部关于进一步加大政府采购支持中小企业力度的通知》（财库〔2022〕19号）规定的小微企业报价给予20%（工程项目为5%）的扣除，用扣除后的价格参加评审。</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6%（工程项目为2%）的扣除，用扣除后的价格参加评审。组成联合体或者接受分包的小微企业与联合体内其他企业、分包企业之间存在直接控股、管理关系的，不享受价格扣除优惠政策。</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8.小微企业应按照招标文件格式要求提供《中小企业声明函》。</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9.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10.根据《关于促进残疾人就业政府采购政策的通知》（财库[2017]141号）规定，在政府采购活动中，残疾人福利性单位视同小型、微型企业。残疾人福利性单位参加政府采购活动时，提供《残疾人福利性单位声明函》。</w:t>
      </w:r>
    </w:p>
    <w:p>
      <w:pPr>
        <w:adjustRightInd w:val="0"/>
        <w:snapToGrid w:val="0"/>
        <w:spacing w:line="360" w:lineRule="auto"/>
        <w:ind w:firstLine="420" w:firstLineChars="200"/>
        <w:rPr>
          <w:rFonts w:ascii="宋体" w:hAnsi="宋体" w:cs="宋体"/>
          <w:color w:val="auto"/>
          <w:highlight w:val="none"/>
        </w:rPr>
      </w:pPr>
      <w:r>
        <w:rPr>
          <w:rFonts w:hint="eastAsia" w:ascii="宋体" w:hAnsi="宋体" w:cs="宋体"/>
          <w:color w:val="auto"/>
          <w:highlight w:val="none"/>
        </w:rPr>
        <w:t>11.按规定享受扶持政策获得政府采购合同的，小微企业不得将合同分包给大中型企业，中型企业不得将合同分包给大型企业。</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12.供应商按照《政府采购促进中小企业发展管理办法》（财库﹝2020﹞46号）规定提供声明函内容不实的，属于提供虚假材料谋取中标、成交，依照《中华人民共和国政府采购法》等国家有关规定追究相应责任。</w:t>
      </w:r>
    </w:p>
    <w:p>
      <w:pPr>
        <w:pStyle w:val="2"/>
        <w:rPr>
          <w:rFonts w:ascii="宋体" w:cs="宋体"/>
          <w:color w:val="auto"/>
          <w:highlight w:val="none"/>
        </w:rPr>
      </w:pPr>
    </w:p>
    <w:p>
      <w:pPr>
        <w:pStyle w:val="2"/>
        <w:rPr>
          <w:rFonts w:ascii="宋体" w:cs="宋体"/>
          <w:color w:val="auto"/>
          <w:highlight w:val="none"/>
        </w:rPr>
      </w:pPr>
    </w:p>
    <w:p>
      <w:pPr>
        <w:pStyle w:val="2"/>
        <w:rPr>
          <w:rFonts w:ascii="宋体" w:cs="宋体"/>
          <w:color w:val="auto"/>
          <w:highlight w:val="none"/>
        </w:rPr>
      </w:pPr>
    </w:p>
    <w:p>
      <w:pPr>
        <w:pStyle w:val="2"/>
        <w:rPr>
          <w:rFonts w:ascii="宋体" w:cs="宋体"/>
          <w:color w:val="auto"/>
          <w:highlight w:val="none"/>
        </w:rPr>
      </w:pPr>
    </w:p>
    <w:p>
      <w:pPr>
        <w:pStyle w:val="2"/>
        <w:rPr>
          <w:rFonts w:ascii="宋体" w:cs="宋体"/>
          <w:color w:val="auto"/>
          <w:highlight w:val="none"/>
        </w:rPr>
      </w:pPr>
    </w:p>
    <w:p>
      <w:pPr>
        <w:pStyle w:val="2"/>
        <w:rPr>
          <w:rFonts w:ascii="宋体" w:cs="宋体"/>
          <w:color w:val="auto"/>
          <w:highlight w:val="none"/>
        </w:rPr>
      </w:pPr>
      <w:r>
        <w:rPr>
          <w:rFonts w:hint="eastAsia" w:ascii="宋体" w:cs="宋体"/>
          <w:color w:val="auto"/>
          <w:highlight w:val="none"/>
        </w:rPr>
        <w:t>第四章  评标办法及评分标准</w:t>
      </w:r>
      <w:bookmarkEnd w:id="95"/>
      <w:bookmarkEnd w:id="96"/>
    </w:p>
    <w:p>
      <w:pPr>
        <w:spacing w:line="360" w:lineRule="auto"/>
        <w:ind w:firstLine="422" w:firstLineChars="200"/>
        <w:rPr>
          <w:rFonts w:ascii="宋体" w:hAnsi="宋体" w:cs="宋体"/>
          <w:b/>
          <w:bCs/>
          <w:color w:val="auto"/>
          <w:highlight w:val="none"/>
        </w:rPr>
      </w:pPr>
      <w:r>
        <w:rPr>
          <w:rFonts w:hint="eastAsia" w:ascii="宋体" w:hAnsi="宋体" w:cs="宋体"/>
          <w:b/>
          <w:bCs/>
          <w:color w:val="auto"/>
          <w:highlight w:val="none"/>
        </w:rPr>
        <w:t>本办法严格遵照《中华人民共和国政府采购法》、《政府采购货物和服务招标投标管理办法》，结合项目所在地政府有关政府采购规定和项目的实际情况制定。</w:t>
      </w:r>
    </w:p>
    <w:p>
      <w:pPr>
        <w:spacing w:line="360" w:lineRule="auto"/>
        <w:rPr>
          <w:rFonts w:ascii="宋体" w:hAnsi="宋体" w:cs="宋体"/>
          <w:color w:val="auto"/>
          <w:highlight w:val="none"/>
        </w:rPr>
      </w:pPr>
      <w:r>
        <w:rPr>
          <w:rFonts w:hint="eastAsia" w:ascii="宋体" w:hAnsi="宋体" w:cs="宋体"/>
          <w:b/>
          <w:bCs/>
          <w:color w:val="auto"/>
          <w:highlight w:val="none"/>
        </w:rPr>
        <w:t>一、开标程序：</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1、电子招投标开标程序：</w:t>
      </w:r>
    </w:p>
    <w:p>
      <w:pPr>
        <w:numPr>
          <w:ilvl w:val="0"/>
          <w:numId w:val="15"/>
        </w:num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投标截止时间后，供应商登录政府采购云平台，用“项目采购-开标评标”功能对电子投标文件进行在线解密，在线解密电子投标文件时间为开标时间后30分钟内。</w:t>
      </w:r>
    </w:p>
    <w:p>
      <w:pPr>
        <w:numPr>
          <w:ilvl w:val="0"/>
          <w:numId w:val="15"/>
        </w:num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在政府采购云平台开启已解密供应商的“资格证明文件、商务技术文件、报价文件”，并做开标记录；</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（3）在政府采购云平台宣告评审无效供应商名单及理由；</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（4）在政府采购云平台公布评审结果。</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（5）开标会议结束。</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3、特别说明：政府采购云平台如对电子化开标及评审程序有调整的，按调整后的程序操作。</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本项目原则上采用政采云电子招投标开标程序，但有以下情形之一的，按以下情况处理：</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（1）若有供应商在规定时间内无法解密或解密失败，代理机构将开启该供应商递交的电子备份投标文件，上传至政采云平台项目采购模块，以完成开标，电子投标文件自动失效。</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（2）采购过程中出现以下情形，导致电子交易平台无法正常运行，或者无法保证电子交易的公平、公正和安全时，采购人（或代理机构）可中止电子交易活动：</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 xml:space="preserve">3.1电子交易平台发生故障而无法登录访问的； </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3.2电子交易平台应用或数据库出现错误，不能进行正常操作的；</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3.3电子交易平台发现严重安全漏洞，有潜在泄密危险的；</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 xml:space="preserve">3.4病毒发作导致不能进行正常操作的； </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3.5其他无法保证电子交易的公平、公正和安全的情况。</w:t>
      </w:r>
    </w:p>
    <w:p>
      <w:pPr>
        <w:tabs>
          <w:tab w:val="left" w:pos="518"/>
        </w:tabs>
        <w:spacing w:line="360" w:lineRule="auto"/>
        <w:ind w:firstLine="420" w:firstLineChars="200"/>
        <w:rPr>
          <w:rFonts w:ascii="宋体" w:hAnsi="宋体" w:cs="宋体"/>
          <w:color w:val="auto"/>
          <w:highlight w:val="none"/>
        </w:rPr>
      </w:pPr>
      <w:r>
        <w:rPr>
          <w:rFonts w:hint="eastAsia" w:ascii="宋体" w:hAnsi="宋体" w:cs="宋体"/>
          <w:color w:val="auto"/>
          <w:highlight w:val="none"/>
        </w:rPr>
        <w:t>（3）未开启的备份投标文件现场予以退还（电子邮件方式除外）。</w:t>
      </w:r>
    </w:p>
    <w:p>
      <w:pPr>
        <w:spacing w:line="360" w:lineRule="auto"/>
        <w:rPr>
          <w:rFonts w:ascii="宋体" w:hAnsi="宋体" w:cs="宋体"/>
          <w:b/>
          <w:bCs/>
          <w:color w:val="auto"/>
          <w:highlight w:val="none"/>
        </w:rPr>
      </w:pPr>
      <w:r>
        <w:rPr>
          <w:rFonts w:hint="eastAsia" w:ascii="宋体" w:hAnsi="宋体" w:cs="宋体"/>
          <w:b/>
          <w:bCs/>
          <w:color w:val="auto"/>
          <w:highlight w:val="none"/>
        </w:rPr>
        <w:t>二、评标委员会</w:t>
      </w:r>
    </w:p>
    <w:p>
      <w:pPr>
        <w:spacing w:line="360" w:lineRule="auto"/>
        <w:ind w:firstLine="420" w:firstLineChars="200"/>
        <w:rPr>
          <w:rFonts w:ascii="宋体" w:hAnsi="宋体" w:cs="宋体"/>
          <w:bCs/>
          <w:color w:val="auto"/>
          <w:highlight w:val="none"/>
        </w:rPr>
      </w:pPr>
      <w:r>
        <w:rPr>
          <w:rFonts w:hint="eastAsia" w:ascii="宋体" w:hAnsi="宋体" w:cs="宋体"/>
          <w:color w:val="auto"/>
          <w:highlight w:val="none"/>
        </w:rPr>
        <w:t>（一）本次招标依法组建评标委员会。</w:t>
      </w:r>
    </w:p>
    <w:p>
      <w:pPr>
        <w:pStyle w:val="27"/>
        <w:spacing w:line="360" w:lineRule="auto"/>
        <w:ind w:firstLine="420" w:firstLineChars="200"/>
        <w:rPr>
          <w:rFonts w:ascii="宋体" w:cs="宋体"/>
          <w:b w:val="0"/>
          <w:color w:val="auto"/>
          <w:sz w:val="21"/>
          <w:szCs w:val="21"/>
          <w:highlight w:val="none"/>
        </w:rPr>
      </w:pPr>
      <w:r>
        <w:rPr>
          <w:rFonts w:hint="eastAsia" w:ascii="宋体" w:cs="宋体"/>
          <w:b w:val="0"/>
          <w:color w:val="auto"/>
          <w:sz w:val="21"/>
          <w:szCs w:val="21"/>
          <w:highlight w:val="none"/>
        </w:rPr>
        <w:t>（二）评标原则。评标委员会必须遵循公平、公正、客观、科学的原则和规定的程序进行评标；评标的依据为采购文件和投标文件；评审人员应独立评标，不得带有任何倾向性和启发性影响他人评审；任何单位和个人不得干扰、影响评标的正常进行；评标委员会及有关工作人员不得私下与供应商接触，不得向外界透露任何与评标有关的内容。</w:t>
      </w:r>
    </w:p>
    <w:p>
      <w:pPr>
        <w:pStyle w:val="27"/>
        <w:spacing w:line="360" w:lineRule="auto"/>
        <w:ind w:firstLine="420" w:firstLineChars="200"/>
        <w:rPr>
          <w:rFonts w:ascii="宋体" w:cs="宋体"/>
          <w:b w:val="0"/>
          <w:color w:val="auto"/>
          <w:sz w:val="21"/>
          <w:szCs w:val="21"/>
          <w:highlight w:val="none"/>
        </w:rPr>
      </w:pPr>
      <w:r>
        <w:rPr>
          <w:rFonts w:hint="eastAsia" w:ascii="宋体" w:cs="宋体"/>
          <w:b w:val="0"/>
          <w:color w:val="auto"/>
          <w:sz w:val="21"/>
          <w:szCs w:val="21"/>
          <w:highlight w:val="none"/>
        </w:rPr>
        <w:t>（三）评审专家有下列情形之一的，受到邀请应主动提出回避，采购当事人也可以要求该评审专家回避：</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 xml:space="preserve">1、参加采购活动前三年内，与投标人存在劳动关系，或者担任过投标人的董事、监事，或者是投标人的控股股东或实际控制人； </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 xml:space="preserve">2、与投标人的法定代表人或者负责人有夫妻、直系血亲、三代以内旁系血亲或者近姻亲关系； </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3、与供应商有其他可能影响政府采购活动公平、公正进行的关系。</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4、曾经参加过该招标项目的进口产品论证服务工作；</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5、法律、法规、规章规定应当回避以及其他可能影响公正评审的。</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（四）评标委员会判断投标文件的有效性、合格性和响应情况，仅依据供应商所递交一切文件的真实表述，不受与本项目无直接关联的外部信息、传言而影响自身的专业判断。</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五）评委依法独立评审，并对评审意见承担个人责任。对明显畸高、畸低的评分（评审小组成员个人主观打分偏离所有评审小组成员主观打分平均值30%以上的），评标委员会主任委员提醒相关评审人员进行复核或书面说明理由。评委对需要共同认定的事项存在争议的，按照少数服从多数的原则做出结论。持不同意见的评委应当在评审报告上签署不同意见并说明理由，否则视为同意。</w:t>
      </w:r>
    </w:p>
    <w:p>
      <w:pPr>
        <w:spacing w:line="360" w:lineRule="auto"/>
        <w:rPr>
          <w:rFonts w:ascii="宋体" w:hAnsi="宋体" w:cs="宋体"/>
          <w:b/>
          <w:bCs/>
          <w:color w:val="auto"/>
          <w:highlight w:val="none"/>
        </w:rPr>
      </w:pPr>
      <w:r>
        <w:rPr>
          <w:rFonts w:hint="eastAsia" w:ascii="宋体" w:hAnsi="宋体" w:cs="宋体"/>
          <w:b/>
          <w:bCs/>
          <w:color w:val="auto"/>
          <w:highlight w:val="none"/>
        </w:rPr>
        <w:t>三、评标方法</w:t>
      </w:r>
    </w:p>
    <w:p>
      <w:pPr>
        <w:spacing w:line="360" w:lineRule="auto"/>
        <w:rPr>
          <w:rFonts w:ascii="宋体" w:hAnsi="宋体" w:cs="宋体"/>
          <w:color w:val="auto"/>
          <w:highlight w:val="none"/>
        </w:rPr>
      </w:pPr>
      <w:r>
        <w:rPr>
          <w:rFonts w:hint="eastAsia" w:ascii="宋体" w:hAnsi="宋体" w:cs="宋体"/>
          <w:color w:val="auto"/>
          <w:highlight w:val="none"/>
        </w:rPr>
        <w:t>（一）本次采购项目的评标方法为：综合评分法。</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采用综合评分法的，评标结果按评审后得分由高到低顺序</w:t>
      </w:r>
      <w:r>
        <w:rPr>
          <w:rFonts w:hint="eastAsia" w:ascii="宋体" w:cs="宋体"/>
          <w:b w:val="0"/>
          <w:bCs w:val="0"/>
          <w:color w:val="auto"/>
          <w:sz w:val="21"/>
          <w:szCs w:val="21"/>
          <w:highlight w:val="none"/>
        </w:rPr>
        <w:t>推荐1名</w:t>
      </w:r>
      <w:r>
        <w:rPr>
          <w:rFonts w:hint="eastAsia" w:ascii="宋体" w:cs="宋体"/>
          <w:b w:val="0"/>
          <w:color w:val="auto"/>
          <w:sz w:val="21"/>
          <w:szCs w:val="21"/>
          <w:highlight w:val="none"/>
        </w:rPr>
        <w:t>中标</w:t>
      </w:r>
      <w:r>
        <w:rPr>
          <w:rFonts w:hint="eastAsia" w:ascii="宋体" w:cs="宋体"/>
          <w:b w:val="0"/>
          <w:bCs w:val="0"/>
          <w:color w:val="auto"/>
          <w:sz w:val="21"/>
          <w:szCs w:val="21"/>
          <w:highlight w:val="none"/>
        </w:rPr>
        <w:t>候选人</w:t>
      </w:r>
      <w:r>
        <w:rPr>
          <w:rFonts w:hint="eastAsia" w:ascii="宋体" w:cs="宋体"/>
          <w:b w:val="0"/>
          <w:color w:val="auto"/>
          <w:sz w:val="21"/>
          <w:szCs w:val="21"/>
          <w:highlight w:val="none"/>
        </w:rPr>
        <w:t>。得分相同的，按投标报价由低到高顺序排列。得分且投标报价相同的并列，则抽签决定。</w:t>
      </w:r>
    </w:p>
    <w:p>
      <w:pPr>
        <w:spacing w:line="360" w:lineRule="auto"/>
        <w:rPr>
          <w:rFonts w:ascii="宋体" w:hAnsi="宋体" w:cs="宋体"/>
          <w:color w:val="auto"/>
          <w:highlight w:val="none"/>
        </w:rPr>
      </w:pPr>
      <w:r>
        <w:rPr>
          <w:rFonts w:hint="eastAsia" w:ascii="宋体" w:hAnsi="宋体" w:cs="宋体"/>
          <w:color w:val="auto"/>
          <w:highlight w:val="none"/>
        </w:rPr>
        <w:t>（二）投标文件的澄清</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1、对于投标文件中含义不明确、同类问题表述不一致或者有明显文字和计算错误的内容，评标委员会应当以书面形式要求供应商作出必要的澄清、说明或者补正。</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2、供应商的澄清、说明或者补正应当采用书面形式（或扫描件上传政采云平台），并加盖公章，或者由法定代表人或其授权的代表签名或盖章。供应商的澄清、说明或者补正不得超出投标文件的范围或者改变投标文件的实质性内容。</w:t>
      </w:r>
    </w:p>
    <w:p>
      <w:pPr>
        <w:spacing w:line="360" w:lineRule="auto"/>
        <w:rPr>
          <w:rFonts w:ascii="宋体" w:hAnsi="宋体" w:cs="宋体"/>
          <w:color w:val="auto"/>
          <w:highlight w:val="none"/>
        </w:rPr>
      </w:pPr>
      <w:r>
        <w:rPr>
          <w:rFonts w:hint="eastAsia" w:ascii="宋体" w:hAnsi="宋体" w:cs="宋体"/>
          <w:color w:val="auto"/>
          <w:highlight w:val="none"/>
        </w:rPr>
        <w:t>（三）投标文件错误修正原则</w:t>
      </w:r>
    </w:p>
    <w:p>
      <w:pPr>
        <w:spacing w:line="360" w:lineRule="auto"/>
        <w:rPr>
          <w:rFonts w:ascii="宋体" w:hAnsi="宋体" w:cs="宋体"/>
          <w:color w:val="auto"/>
          <w:highlight w:val="none"/>
        </w:rPr>
      </w:pPr>
      <w:r>
        <w:rPr>
          <w:rFonts w:hint="eastAsia" w:ascii="宋体" w:hAnsi="宋体" w:cs="宋体"/>
          <w:color w:val="auto"/>
          <w:highlight w:val="none"/>
        </w:rPr>
        <w:t>投标文件如果出现计算或表达上的错误，修正错误的原则如下：</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1、投标文件中开标一览表（报价表）内容与投标文件中相应内容不一致的，以开标一览表（报价表）为准；</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2、政采云平台填报的开标一览表中的价格与上传的报价文件中开标一览表的报价不一致的，以上传的报价文件为准；</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3、大写金额和小写金额不一致的，以大写金额为准；</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4、单价金额小数点或者百分比有明显错位的，以开标一览表的总价为准，并修改单价；</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5、总价金额与按单价汇总金额不一致的，以单价金额计算结果为准。</w:t>
      </w:r>
    </w:p>
    <w:p>
      <w:pPr>
        <w:pStyle w:val="27"/>
        <w:spacing w:line="360" w:lineRule="auto"/>
        <w:ind w:firstLine="417" w:firstLineChars="199"/>
        <w:rPr>
          <w:rFonts w:ascii="宋体" w:cs="宋体"/>
          <w:b w:val="0"/>
          <w:color w:val="auto"/>
          <w:sz w:val="21"/>
          <w:szCs w:val="21"/>
          <w:highlight w:val="none"/>
        </w:rPr>
      </w:pPr>
      <w:r>
        <w:rPr>
          <w:rFonts w:hint="eastAsia" w:ascii="宋体" w:cs="宋体"/>
          <w:b w:val="0"/>
          <w:color w:val="auto"/>
          <w:sz w:val="21"/>
          <w:szCs w:val="21"/>
          <w:highlight w:val="none"/>
        </w:rPr>
        <w:t>同时出现两种以上不一致的，按照前款规定的顺序修正。修正后的报价按照投标文件澄清第二款的规定经供应商确认后产生约束力，供应商不确认的，其投标无效。</w:t>
      </w:r>
    </w:p>
    <w:p>
      <w:pPr>
        <w:widowControl/>
        <w:spacing w:line="360" w:lineRule="auto"/>
        <w:jc w:val="left"/>
        <w:rPr>
          <w:rFonts w:ascii="宋体" w:hAnsi="宋体" w:cs="宋体"/>
          <w:b/>
          <w:bCs/>
          <w:color w:val="auto"/>
          <w:highlight w:val="none"/>
        </w:rPr>
      </w:pPr>
      <w:r>
        <w:rPr>
          <w:rFonts w:hint="eastAsia" w:ascii="宋体" w:hAnsi="宋体" w:cs="宋体"/>
          <w:b/>
          <w:bCs/>
          <w:color w:val="auto"/>
          <w:highlight w:val="none"/>
        </w:rPr>
        <w:t>四、评标程序</w:t>
      </w:r>
    </w:p>
    <w:p>
      <w:pPr>
        <w:spacing w:line="360" w:lineRule="auto"/>
        <w:ind w:firstLine="422" w:firstLineChars="200"/>
        <w:rPr>
          <w:rFonts w:ascii="宋体" w:hAnsi="宋体" w:cs="宋体"/>
          <w:b/>
          <w:color w:val="auto"/>
          <w:highlight w:val="none"/>
        </w:rPr>
      </w:pPr>
      <w:r>
        <w:rPr>
          <w:rFonts w:hint="eastAsia" w:ascii="宋体" w:hAnsi="宋体" w:cs="宋体"/>
          <w:b/>
          <w:color w:val="auto"/>
          <w:highlight w:val="none"/>
        </w:rPr>
        <w:t>（一）资格条件审查</w:t>
      </w:r>
    </w:p>
    <w:p>
      <w:pPr>
        <w:spacing w:line="360" w:lineRule="auto"/>
        <w:ind w:firstLine="522" w:firstLineChars="249"/>
        <w:rPr>
          <w:rFonts w:ascii="宋体" w:hAnsi="宋体" w:cs="宋体"/>
          <w:color w:val="auto"/>
          <w:highlight w:val="none"/>
        </w:rPr>
      </w:pPr>
      <w:r>
        <w:rPr>
          <w:rFonts w:hint="eastAsia" w:ascii="宋体" w:hAnsi="宋体" w:cs="宋体"/>
          <w:color w:val="auto"/>
          <w:highlight w:val="none"/>
        </w:rPr>
        <w:t>由采购人或采购代理机构对供应商的资格进行审查。</w:t>
      </w:r>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6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highlight w:val="none"/>
              </w:rPr>
            </w:pPr>
            <w:r>
              <w:rPr>
                <w:rFonts w:hint="eastAsia" w:ascii="宋体" w:hAnsi="宋体" w:cs="宋体"/>
                <w:b/>
                <w:color w:val="auto"/>
                <w:highlight w:val="none"/>
              </w:rPr>
              <w:t>审查类别</w:t>
            </w:r>
          </w:p>
        </w:tc>
        <w:tc>
          <w:tcPr>
            <w:tcW w:w="679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highlight w:val="none"/>
              </w:rPr>
            </w:pPr>
            <w:r>
              <w:rPr>
                <w:rFonts w:hint="eastAsia" w:ascii="宋体" w:hAnsi="宋体" w:cs="宋体"/>
                <w:b/>
                <w:color w:val="auto"/>
                <w:highlight w:val="none"/>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restart"/>
            <w:tcBorders>
              <w:top w:val="nil"/>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资格条件审查</w:t>
            </w:r>
          </w:p>
        </w:tc>
        <w:tc>
          <w:tcPr>
            <w:tcW w:w="6794" w:type="dxa"/>
            <w:tcBorders>
              <w:top w:val="single" w:color="auto" w:sz="4" w:space="0"/>
              <w:left w:val="single" w:color="auto" w:sz="4" w:space="0"/>
              <w:bottom w:val="single" w:color="auto" w:sz="4" w:space="0"/>
              <w:right w:val="single" w:color="auto" w:sz="4" w:space="0"/>
            </w:tcBorders>
          </w:tcPr>
          <w:p>
            <w:pPr>
              <w:widowControl/>
              <w:numPr>
                <w:ilvl w:val="0"/>
                <w:numId w:val="16"/>
              </w:numPr>
              <w:spacing w:line="360" w:lineRule="auto"/>
              <w:jc w:val="left"/>
              <w:rPr>
                <w:rFonts w:ascii="宋体" w:hAnsi="宋体" w:cs="宋体"/>
                <w:color w:val="auto"/>
                <w:highlight w:val="none"/>
              </w:rPr>
            </w:pPr>
            <w:r>
              <w:rPr>
                <w:rFonts w:hint="eastAsia" w:ascii="宋体" w:hAnsi="宋体" w:cs="宋体"/>
                <w:color w:val="auto"/>
                <w:highlight w:val="none"/>
              </w:rPr>
              <w:t>满足《中华人民共和国政府采购法》第二十二条规定；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794" w:type="dxa"/>
            <w:tcBorders>
              <w:top w:val="single" w:color="auto" w:sz="4" w:space="0"/>
              <w:left w:val="single" w:color="auto" w:sz="4" w:space="0"/>
              <w:bottom w:val="single" w:color="auto" w:sz="4" w:space="0"/>
              <w:right w:val="single" w:color="auto" w:sz="4" w:space="0"/>
            </w:tcBorders>
          </w:tcPr>
          <w:p>
            <w:pPr>
              <w:widowControl/>
              <w:numPr>
                <w:ilvl w:val="0"/>
                <w:numId w:val="16"/>
              </w:numPr>
              <w:spacing w:line="360" w:lineRule="auto"/>
              <w:jc w:val="left"/>
              <w:rPr>
                <w:rFonts w:ascii="宋体" w:hAnsi="宋体" w:cs="宋体"/>
                <w:color w:val="auto"/>
                <w:highlight w:val="none"/>
              </w:rPr>
            </w:pPr>
            <w:r>
              <w:rPr>
                <w:rFonts w:hint="eastAsia" w:ascii="宋体" w:hAnsi="宋体" w:cs="宋体"/>
                <w:color w:val="auto"/>
                <w:highlight w:val="none"/>
              </w:rPr>
              <w:t>未被“信用中国”（www.creditchina.gov.cn)、中国政府采购网（www.ccgp.gov.cn）列入失信被执行人、重大税收违法案件当事人名单、政府采购严重违法失信行为记录名单。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521"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794"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color w:val="auto"/>
                <w:highlight w:val="none"/>
              </w:rPr>
            </w:pPr>
            <w:r>
              <w:rPr>
                <w:rFonts w:hint="eastAsia" w:ascii="宋体" w:hAnsi="宋体" w:cs="宋体"/>
                <w:color w:val="auto"/>
                <w:highlight w:val="none"/>
              </w:rPr>
              <w:t>（三）落实政府采购政策需满足的资格要求：无。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794"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color w:val="auto"/>
                <w:highlight w:val="none"/>
              </w:rPr>
            </w:pPr>
            <w:r>
              <w:rPr>
                <w:rFonts w:hint="eastAsia" w:ascii="宋体" w:hAnsi="宋体" w:cs="宋体"/>
                <w:color w:val="auto"/>
                <w:highlight w:val="none"/>
              </w:rPr>
              <w:t>（四）投标人为第二类、第三类医疗器械生产企业提供《医疗器械生产许可证》复印件、第一类医疗器械生产企业提供第一类医疗器械生产备案凭证复印件。投标人为医疗器械经营企业的：第三类医疗器械经营企业提供《医疗器械经营许可证》复印件、第二类医疗器械经营企业提供第二类医疗器械经营备案凭证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1"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794"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color w:val="auto"/>
                <w:highlight w:val="none"/>
              </w:rPr>
            </w:pPr>
            <w:r>
              <w:rPr>
                <w:rFonts w:hint="eastAsia" w:ascii="宋体" w:hAnsi="宋体" w:cs="宋体"/>
                <w:color w:val="auto"/>
                <w:highlight w:val="none"/>
              </w:rPr>
              <w:t>（五）本项目接受联合体投标。</w:t>
            </w:r>
          </w:p>
        </w:tc>
      </w:tr>
    </w:tbl>
    <w:p>
      <w:pPr>
        <w:spacing w:line="360" w:lineRule="auto"/>
        <w:ind w:firstLine="422" w:firstLineChars="200"/>
        <w:rPr>
          <w:rFonts w:ascii="宋体" w:hAnsi="宋体" w:cs="宋体"/>
          <w:b/>
          <w:color w:val="auto"/>
          <w:highlight w:val="none"/>
        </w:rPr>
      </w:pPr>
      <w:r>
        <w:rPr>
          <w:rFonts w:hint="eastAsia" w:ascii="宋体" w:hAnsi="宋体" w:cs="宋体"/>
          <w:b/>
          <w:color w:val="auto"/>
          <w:highlight w:val="none"/>
        </w:rPr>
        <w:t>（二）符合性审查</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评标委员会应当对符合资格的供应商的投标文件进行符合性审查，以确定其是否满足采购文件的实质性要求。</w:t>
      </w:r>
    </w:p>
    <w:tbl>
      <w:tblPr>
        <w:tblStyle w:val="4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0"/>
        <w:gridCol w:w="6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1790"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highlight w:val="none"/>
              </w:rPr>
            </w:pPr>
            <w:r>
              <w:rPr>
                <w:rFonts w:hint="eastAsia" w:ascii="宋体" w:hAnsi="宋体" w:cs="宋体"/>
                <w:b/>
                <w:color w:val="auto"/>
                <w:highlight w:val="none"/>
              </w:rPr>
              <w:t>审查类别</w:t>
            </w:r>
          </w:p>
        </w:tc>
        <w:tc>
          <w:tcPr>
            <w:tcW w:w="6525"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auto"/>
                <w:highlight w:val="none"/>
              </w:rPr>
            </w:pPr>
            <w:r>
              <w:rPr>
                <w:rFonts w:hint="eastAsia" w:ascii="宋体" w:hAnsi="宋体" w:cs="宋体"/>
                <w:b/>
                <w:color w:val="auto"/>
                <w:highlight w:val="none"/>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restart"/>
            <w:tcBorders>
              <w:top w:val="nil"/>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符合性审查</w:t>
            </w:r>
          </w:p>
          <w:p>
            <w:pPr>
              <w:spacing w:line="360" w:lineRule="auto"/>
              <w:jc w:val="center"/>
              <w:rPr>
                <w:rFonts w:ascii="宋体" w:hAnsi="宋体" w:cs="宋体"/>
                <w:color w:val="auto"/>
                <w:highlight w:val="none"/>
              </w:rPr>
            </w:pPr>
            <w:r>
              <w:rPr>
                <w:rFonts w:hint="eastAsia" w:ascii="宋体" w:hAnsi="宋体" w:cs="宋体"/>
                <w:color w:val="auto"/>
                <w:highlight w:val="none"/>
              </w:rPr>
              <w:t>（商务技术文件）</w:t>
            </w: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（一）按照采购文件规定要求签署或盖章；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（二）投标文件有法定代表人签署本人姓名（或印盖本人姓名章），或签署人提供有效的法定代表人授权委托书且授权委托书填写项目齐全的；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（三）投标文件项目齐全；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（四）投标文件标明的响应或偏离与事实相符且无虚假投标的；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（五）投标文件的实质性内容使用中文表述且意思表述明确，前后无矛盾且使用计量单位符合采购文件要求的；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（六）带“★”的条款满足采购文件要求、已实质性响应采购文件要求且投标文件无采购人不能接受的附加条件的；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（七）投标技术方案明确，不存在一个或一个以上备选（替代）投标方案的；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（八）不存在法律、法规和采购文件规定的其他无效情形；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（九）不存在投标文件的有效期不满足采购文件要求情形；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restart"/>
            <w:tcBorders>
              <w:top w:val="nil"/>
              <w:left w:val="single" w:color="auto" w:sz="4" w:space="0"/>
              <w:bottom w:val="single" w:color="auto" w:sz="4" w:space="0"/>
              <w:right w:val="single" w:color="auto" w:sz="4" w:space="0"/>
            </w:tcBorders>
            <w:vAlign w:val="center"/>
          </w:tcPr>
          <w:p>
            <w:pPr>
              <w:spacing w:line="360" w:lineRule="auto"/>
              <w:jc w:val="center"/>
              <w:rPr>
                <w:rFonts w:ascii="宋体" w:hAnsi="宋体" w:cs="宋体"/>
                <w:color w:val="auto"/>
                <w:highlight w:val="none"/>
              </w:rPr>
            </w:pPr>
            <w:r>
              <w:rPr>
                <w:rFonts w:hint="eastAsia" w:ascii="宋体" w:hAnsi="宋体" w:cs="宋体"/>
                <w:color w:val="auto"/>
                <w:highlight w:val="none"/>
              </w:rPr>
              <w:t>符合性审查</w:t>
            </w:r>
          </w:p>
          <w:p>
            <w:pPr>
              <w:spacing w:line="360" w:lineRule="auto"/>
              <w:ind w:firstLine="210" w:firstLineChars="100"/>
              <w:jc w:val="center"/>
              <w:rPr>
                <w:rFonts w:ascii="宋体" w:hAnsi="宋体" w:cs="宋体"/>
                <w:color w:val="auto"/>
                <w:highlight w:val="none"/>
              </w:rPr>
            </w:pPr>
            <w:r>
              <w:rPr>
                <w:rFonts w:hint="eastAsia" w:ascii="宋体" w:hAnsi="宋体" w:cs="宋体"/>
                <w:color w:val="auto"/>
                <w:highlight w:val="none"/>
              </w:rPr>
              <w:t>（报价文件）</w:t>
            </w: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（一）按照采购文件规定要求签署或盖章；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（二）投标文件项目齐全；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（三）采用人民币报价或者按照采购文件标明的币种报价的；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（四）不存在报价超出最高限价，或者超出采购预算金额，采购人不能支付的情形。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（五）不存在投标报价具有选择性的情形；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（六）投标报价中未出现重大缺项、漏项；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（七）不存在评标委员会认为供应商的报价明显低于其他通过符合性审查供应商的报价，有可能影响产品质量或者不能诚信履约的且不能在评标现场合理时间内提供相关证明材料说明其报价的合理性的情形；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（八）投标文件（报价文件）内容与投标文件（商务技术文件）内容不存在重大差异的；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90" w:type="dxa"/>
            <w:vMerge w:val="continue"/>
            <w:tcBorders>
              <w:top w:val="nil"/>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p>
        </w:tc>
        <w:tc>
          <w:tcPr>
            <w:tcW w:w="6525"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auto"/>
                <w:highlight w:val="none"/>
              </w:rPr>
            </w:pPr>
            <w:r>
              <w:rPr>
                <w:rFonts w:hint="eastAsia" w:ascii="宋体" w:hAnsi="宋体" w:cs="宋体"/>
                <w:color w:val="auto"/>
                <w:highlight w:val="none"/>
              </w:rPr>
              <w:t>（九）不存在法律、法规和采购文件规定的其他无效情形；</w:t>
            </w:r>
          </w:p>
        </w:tc>
      </w:tr>
    </w:tbl>
    <w:p>
      <w:pPr>
        <w:spacing w:line="360" w:lineRule="auto"/>
        <w:ind w:firstLine="422" w:firstLineChars="200"/>
        <w:rPr>
          <w:rFonts w:ascii="宋体" w:hAnsi="宋体" w:cs="宋体"/>
          <w:b/>
          <w:color w:val="auto"/>
          <w:highlight w:val="none"/>
        </w:rPr>
      </w:pPr>
      <w:r>
        <w:rPr>
          <w:rFonts w:hint="eastAsia" w:ascii="宋体" w:hAnsi="宋体" w:cs="宋体"/>
          <w:b/>
          <w:color w:val="auto"/>
          <w:highlight w:val="none"/>
        </w:rPr>
        <w:t>（三）投标无效的情形</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没有响应采购文件实质性要求的投标将被视为无效投标。供应商不得通过修正或撤消不合要求的偏离或保留从而使其投标成为实质上响应的投标。</w:t>
      </w:r>
    </w:p>
    <w:p>
      <w:pPr>
        <w:widowControl/>
        <w:numPr>
          <w:ilvl w:val="0"/>
          <w:numId w:val="17"/>
        </w:numPr>
        <w:spacing w:line="360" w:lineRule="auto"/>
        <w:jc w:val="left"/>
        <w:rPr>
          <w:rFonts w:ascii="宋体" w:hAnsi="宋体" w:cs="宋体"/>
          <w:b/>
          <w:bCs/>
          <w:color w:val="auto"/>
          <w:highlight w:val="none"/>
        </w:rPr>
      </w:pPr>
      <w:r>
        <w:rPr>
          <w:rFonts w:hint="eastAsia" w:ascii="宋体" w:hAnsi="宋体" w:cs="宋体"/>
          <w:b/>
          <w:bCs/>
          <w:color w:val="auto"/>
          <w:highlight w:val="none"/>
        </w:rPr>
        <w:t>在资格审查时，如发现下列情形之一的，将被视为无效投标文件：</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资格证明文件不全的或者不符合采购文件标明的资格要求的或者未按采购文件规定要求签署、盖章；；</w:t>
      </w:r>
    </w:p>
    <w:p>
      <w:pPr>
        <w:spacing w:line="360" w:lineRule="auto"/>
        <w:rPr>
          <w:rFonts w:ascii="宋体" w:hAnsi="宋体" w:cs="宋体"/>
          <w:b/>
          <w:bCs/>
          <w:color w:val="auto"/>
          <w:highlight w:val="none"/>
        </w:rPr>
      </w:pPr>
      <w:r>
        <w:rPr>
          <w:rFonts w:hint="eastAsia" w:ascii="宋体" w:hAnsi="宋体" w:cs="宋体"/>
          <w:b/>
          <w:bCs/>
          <w:color w:val="auto"/>
          <w:highlight w:val="none"/>
        </w:rPr>
        <w:t>B、在符合性审查（商务技术文件）时，如发现下列情形之一的，将被视为无效投标文件：</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1、未按照采购文件规定要求签署或盖章；</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 xml:space="preserve">2、投标文件无法定代表人签署本人姓名（或印盖本人姓名章），或签署人未提供有效的法定代表人授权委托书或授权委托书填写项目不齐全的； </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3、投标文件项目不齐全；</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4、投标文件标明的响应或偏离与事实不符或虚假投标的；</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5、投标文件的实质性内容未使用中文表述、意思表述不明确、前后矛盾或者使用计量单位不符合采购文件要求的（经评标委员会认定并允许其当场更正的笔误除外）；</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6、带“★”的条款不能满足采购文件要求、未实质性响应采购文件要求或者投标文件有采购人不能接受的附加条件的；</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7、投标技术方案不明确，存在一个或一个以上备选（替代）投标方案的；</w:t>
      </w:r>
    </w:p>
    <w:p>
      <w:pPr>
        <w:spacing w:line="360" w:lineRule="auto"/>
        <w:ind w:firstLine="420"/>
        <w:rPr>
          <w:rFonts w:ascii="宋体" w:hAnsi="宋体" w:cs="宋体"/>
          <w:color w:val="auto"/>
          <w:highlight w:val="none"/>
        </w:rPr>
      </w:pPr>
      <w:r>
        <w:rPr>
          <w:rFonts w:hint="eastAsia" w:ascii="宋体" w:hAnsi="宋体" w:cs="宋体"/>
          <w:color w:val="auto"/>
          <w:highlight w:val="none"/>
        </w:rPr>
        <w:t>8、法律、法规和采购文件规定的其他无效情形；</w:t>
      </w:r>
    </w:p>
    <w:p>
      <w:pPr>
        <w:spacing w:line="360" w:lineRule="auto"/>
        <w:ind w:firstLine="420"/>
        <w:rPr>
          <w:rFonts w:ascii="宋体" w:hAnsi="宋体" w:cs="宋体"/>
          <w:color w:val="auto"/>
          <w:highlight w:val="none"/>
        </w:rPr>
      </w:pPr>
      <w:r>
        <w:rPr>
          <w:rFonts w:hint="eastAsia" w:ascii="宋体" w:hAnsi="宋体" w:cs="宋体"/>
          <w:color w:val="auto"/>
          <w:highlight w:val="none"/>
        </w:rPr>
        <w:t>9、投标文件的有效期不满足采购文件要求；</w:t>
      </w:r>
    </w:p>
    <w:p>
      <w:pPr>
        <w:spacing w:line="360" w:lineRule="auto"/>
        <w:rPr>
          <w:rFonts w:ascii="宋体" w:hAnsi="宋体" w:cs="宋体"/>
          <w:b/>
          <w:bCs/>
          <w:color w:val="auto"/>
          <w:kern w:val="0"/>
          <w:highlight w:val="none"/>
        </w:rPr>
      </w:pPr>
      <w:r>
        <w:rPr>
          <w:rFonts w:hint="eastAsia" w:ascii="宋体" w:hAnsi="宋体" w:cs="宋体"/>
          <w:b/>
          <w:bCs/>
          <w:color w:val="auto"/>
          <w:highlight w:val="none"/>
        </w:rPr>
        <w:t>C、在符合性审查（报价文件）时，如发现下列情形之一的，将被视为无效投标文件：</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1、未提交投标函或投标函内容不符合采购文件要求</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2、未按照采购文件规定要求签署或盖章；</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3、投标文件项目不齐全；</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4、未采用人民币报价或者未按照采购文件标明的币种报价的；</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5、报价超出最高限价，或者超出采购预算金额，采购人不能支付的；</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6、投标报价具有选择性的；</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7、投标报价中出现重大缺项、漏项；</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8、评标委员会认为供应商的报价明显低于其他通过符合性审查供应商的报价，有可能影响产品质量或者不能诚信履约的，且不能在评标现场合理时间内提供相关证明材料说明其报价的合理性的；</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8、投标文件（报价文件）内容与投标文件（商务技术文件）内容有重大差异的；</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9、法律、法规和采购文件规定的其他无效情形；</w:t>
      </w:r>
    </w:p>
    <w:p>
      <w:pPr>
        <w:spacing w:line="360" w:lineRule="auto"/>
        <w:rPr>
          <w:rFonts w:ascii="宋体" w:hAnsi="宋体" w:cs="宋体"/>
          <w:b/>
          <w:color w:val="auto"/>
          <w:highlight w:val="none"/>
        </w:rPr>
      </w:pPr>
      <w:r>
        <w:rPr>
          <w:rFonts w:hint="eastAsia" w:ascii="宋体" w:hAnsi="宋体" w:cs="宋体"/>
          <w:b/>
          <w:color w:val="auto"/>
          <w:highlight w:val="none"/>
        </w:rPr>
        <w:t>（四）评分标准</w:t>
      </w:r>
    </w:p>
    <w:tbl>
      <w:tblPr>
        <w:tblStyle w:val="47"/>
        <w:tblW w:w="862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6660"/>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794"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b/>
                <w:bCs/>
                <w:color w:val="auto"/>
                <w:highlight w:val="none"/>
              </w:rPr>
              <w:t>序号</w:t>
            </w:r>
          </w:p>
        </w:tc>
        <w:tc>
          <w:tcPr>
            <w:tcW w:w="6660" w:type="dxa"/>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b/>
                <w:bCs/>
                <w:color w:val="auto"/>
                <w:highlight w:val="none"/>
              </w:rPr>
              <w:t>评审内容及标准</w:t>
            </w:r>
          </w:p>
        </w:tc>
        <w:tc>
          <w:tcPr>
            <w:tcW w:w="1170"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b/>
                <w:bCs/>
                <w:color w:val="auto"/>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4"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b/>
                <w:bCs/>
                <w:color w:val="auto"/>
                <w:highlight w:val="none"/>
              </w:rPr>
              <w:t>（一）</w:t>
            </w:r>
          </w:p>
        </w:tc>
        <w:tc>
          <w:tcPr>
            <w:tcW w:w="6660" w:type="dxa"/>
          </w:tcPr>
          <w:p>
            <w:pPr>
              <w:spacing w:before="120" w:beforeLines="50" w:after="120" w:afterLines="50" w:line="360" w:lineRule="auto"/>
              <w:rPr>
                <w:rFonts w:ascii="宋体" w:hAnsi="宋体" w:cs="宋体"/>
                <w:b/>
                <w:bCs/>
                <w:color w:val="auto"/>
                <w:highlight w:val="none"/>
              </w:rPr>
            </w:pPr>
            <w:r>
              <w:rPr>
                <w:rFonts w:hint="eastAsia" w:ascii="宋体" w:hAnsi="宋体" w:cs="宋体"/>
                <w:b/>
                <w:bCs/>
                <w:color w:val="auto"/>
                <w:highlight w:val="none"/>
              </w:rPr>
              <w:t>商务部分</w:t>
            </w:r>
          </w:p>
        </w:tc>
        <w:tc>
          <w:tcPr>
            <w:tcW w:w="1170"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b/>
                <w:color w:val="auto"/>
                <w:highlight w:val="none"/>
                <w:u w:val="single"/>
              </w:rPr>
              <w:t>14</w:t>
            </w:r>
            <w:r>
              <w:rPr>
                <w:rFonts w:hint="eastAsia" w:ascii="宋体" w:hAnsi="宋体" w:cs="宋体"/>
                <w:b/>
                <w:color w:val="auto"/>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 w:hRule="atLeast"/>
        </w:trPr>
        <w:tc>
          <w:tcPr>
            <w:tcW w:w="794" w:type="dxa"/>
            <w:vMerge w:val="restart"/>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color w:val="auto"/>
                <w:highlight w:val="none"/>
              </w:rPr>
              <w:t>1</w:t>
            </w:r>
          </w:p>
        </w:tc>
        <w:tc>
          <w:tcPr>
            <w:tcW w:w="6660" w:type="dxa"/>
            <w:vAlign w:val="center"/>
          </w:tcPr>
          <w:p>
            <w:pPr>
              <w:spacing w:line="360" w:lineRule="auto"/>
              <w:rPr>
                <w:rFonts w:ascii="宋体" w:hAnsi="宋体" w:cs="宋体"/>
                <w:color w:val="auto"/>
                <w:highlight w:val="none"/>
              </w:rPr>
            </w:pPr>
            <w:r>
              <w:rPr>
                <w:rFonts w:hint="eastAsia" w:ascii="宋体" w:hAnsi="宋体" w:cs="宋体"/>
                <w:color w:val="auto"/>
                <w:highlight w:val="none"/>
              </w:rPr>
              <w:t xml:space="preserve">售后服务响应情况： </w:t>
            </w:r>
          </w:p>
        </w:tc>
        <w:tc>
          <w:tcPr>
            <w:tcW w:w="1170" w:type="dxa"/>
            <w:vAlign w:val="center"/>
          </w:tcPr>
          <w:p>
            <w:pPr>
              <w:spacing w:before="120" w:beforeLines="50" w:after="120" w:afterLines="50" w:line="360" w:lineRule="auto"/>
              <w:jc w:val="center"/>
              <w:rPr>
                <w:rFonts w:ascii="宋体" w:hAnsi="宋体" w:cs="宋体"/>
                <w:b/>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94" w:type="dxa"/>
            <w:vMerge w:val="continue"/>
            <w:vAlign w:val="center"/>
          </w:tcPr>
          <w:p>
            <w:pPr>
              <w:spacing w:before="120" w:beforeLines="50" w:after="120" w:afterLines="50" w:line="360" w:lineRule="auto"/>
              <w:jc w:val="center"/>
              <w:rPr>
                <w:rFonts w:ascii="宋体" w:hAnsi="宋体" w:cs="宋体"/>
                <w:color w:val="auto"/>
                <w:highlight w:val="none"/>
              </w:rPr>
            </w:pPr>
          </w:p>
        </w:tc>
        <w:tc>
          <w:tcPr>
            <w:tcW w:w="6660" w:type="dxa"/>
            <w:vAlign w:val="center"/>
          </w:tcPr>
          <w:p>
            <w:pPr>
              <w:spacing w:line="360" w:lineRule="auto"/>
              <w:rPr>
                <w:rFonts w:ascii="宋体" w:hAnsi="宋体" w:cs="宋体"/>
                <w:color w:val="auto"/>
                <w:highlight w:val="none"/>
              </w:rPr>
            </w:pPr>
            <w:r>
              <w:rPr>
                <w:rFonts w:hint="eastAsia" w:ascii="宋体" w:hAnsi="宋体" w:cs="宋体"/>
                <w:color w:val="auto"/>
                <w:highlight w:val="none"/>
              </w:rPr>
              <w:t>售后服务方案，包括但不限于服务响应时间、故障解决方案。响应时间短，解决方案充分得3分；响应时间一般，解决方案较合理得2分；响应时间长，解决方案一般1分；无解决方案得0分。</w:t>
            </w:r>
          </w:p>
        </w:tc>
        <w:tc>
          <w:tcPr>
            <w:tcW w:w="1170" w:type="dxa"/>
            <w:vAlign w:val="center"/>
          </w:tcPr>
          <w:p>
            <w:pPr>
              <w:spacing w:line="360" w:lineRule="auto"/>
              <w:jc w:val="center"/>
              <w:rPr>
                <w:rFonts w:ascii="宋体" w:hAnsi="宋体" w:cs="宋体"/>
                <w:bCs/>
                <w:color w:val="auto"/>
                <w:highlight w:val="none"/>
              </w:rPr>
            </w:pPr>
            <w:r>
              <w:rPr>
                <w:rFonts w:hint="eastAsia" w:ascii="宋体" w:hAnsi="宋体" w:cs="宋体"/>
                <w:color w:val="auto"/>
                <w:highlight w:val="none"/>
              </w:rPr>
              <w:t>3</w:t>
            </w:r>
            <w:r>
              <w:rPr>
                <w:rFonts w:hint="eastAsia" w:ascii="宋体" w:hAnsi="宋体" w:cs="宋体"/>
                <w:bCs/>
                <w:color w:val="auto"/>
                <w:highlight w:val="none"/>
              </w:rPr>
              <w:t>分</w:t>
            </w:r>
          </w:p>
          <w:p>
            <w:pPr>
              <w:spacing w:line="360" w:lineRule="auto"/>
              <w:jc w:val="center"/>
              <w:rPr>
                <w:rFonts w:ascii="宋体" w:hAnsi="宋体" w:cs="宋体"/>
                <w:color w:val="auto"/>
                <w:highlight w:val="none"/>
              </w:rPr>
            </w:pPr>
            <w:r>
              <w:rPr>
                <w:rFonts w:hint="eastAsia" w:ascii="宋体" w:hAnsi="宋体" w:cs="宋体"/>
                <w:bCs/>
                <w:color w:val="auto"/>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794" w:type="dxa"/>
            <w:vMerge w:val="continue"/>
            <w:vAlign w:val="center"/>
          </w:tcPr>
          <w:p>
            <w:pPr>
              <w:spacing w:before="120" w:beforeLines="50" w:after="120" w:afterLines="50" w:line="360" w:lineRule="auto"/>
              <w:jc w:val="center"/>
              <w:rPr>
                <w:rFonts w:ascii="宋体" w:hAnsi="宋体" w:cs="宋体"/>
                <w:color w:val="auto"/>
                <w:highlight w:val="none"/>
              </w:rPr>
            </w:pPr>
          </w:p>
        </w:tc>
        <w:tc>
          <w:tcPr>
            <w:tcW w:w="6660" w:type="dxa"/>
            <w:vAlign w:val="center"/>
          </w:tcPr>
          <w:p>
            <w:pPr>
              <w:spacing w:line="360" w:lineRule="auto"/>
              <w:rPr>
                <w:rFonts w:ascii="宋体" w:hAnsi="宋体" w:cs="宋体"/>
                <w:color w:val="auto"/>
                <w:highlight w:val="none"/>
              </w:rPr>
            </w:pPr>
            <w:r>
              <w:rPr>
                <w:rFonts w:hint="eastAsia" w:ascii="宋体" w:hAnsi="宋体" w:cs="宋体"/>
                <w:color w:val="auto"/>
                <w:highlight w:val="none"/>
              </w:rPr>
              <w:t>售后服务机构备品备件储备情况。储备充足能充分满足售后服务要求得3分；储备一般基本能满足售后服务要求得2分；储备情况差不能满足售后服务要求1分；无备品备件储备得0分。</w:t>
            </w:r>
          </w:p>
        </w:tc>
        <w:tc>
          <w:tcPr>
            <w:tcW w:w="1170" w:type="dxa"/>
            <w:vAlign w:val="center"/>
          </w:tcPr>
          <w:p>
            <w:pPr>
              <w:spacing w:line="360" w:lineRule="auto"/>
              <w:jc w:val="center"/>
              <w:rPr>
                <w:rFonts w:ascii="宋体" w:hAnsi="宋体" w:cs="宋体"/>
                <w:bCs/>
                <w:color w:val="auto"/>
                <w:highlight w:val="none"/>
              </w:rPr>
            </w:pPr>
            <w:r>
              <w:rPr>
                <w:rFonts w:hint="eastAsia" w:ascii="宋体" w:hAnsi="宋体" w:cs="宋体"/>
                <w:color w:val="auto"/>
                <w:highlight w:val="none"/>
              </w:rPr>
              <w:t>3</w:t>
            </w:r>
            <w:r>
              <w:rPr>
                <w:rFonts w:hint="eastAsia" w:ascii="宋体" w:hAnsi="宋体" w:cs="宋体"/>
                <w:bCs/>
                <w:color w:val="auto"/>
                <w:highlight w:val="none"/>
              </w:rPr>
              <w:t>分</w:t>
            </w:r>
          </w:p>
          <w:p>
            <w:pPr>
              <w:spacing w:line="360" w:lineRule="auto"/>
              <w:jc w:val="center"/>
              <w:rPr>
                <w:rFonts w:ascii="宋体" w:hAnsi="宋体" w:cs="宋体"/>
                <w:color w:val="auto"/>
                <w:highlight w:val="none"/>
              </w:rPr>
            </w:pPr>
            <w:r>
              <w:rPr>
                <w:rFonts w:hint="eastAsia" w:ascii="宋体" w:hAnsi="宋体" w:cs="宋体"/>
                <w:bCs/>
                <w:color w:val="auto"/>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794" w:type="dxa"/>
            <w:vMerge w:val="continue"/>
            <w:vAlign w:val="center"/>
          </w:tcPr>
          <w:p>
            <w:pPr>
              <w:spacing w:before="120" w:beforeLines="50" w:after="120" w:afterLines="50" w:line="360" w:lineRule="auto"/>
              <w:jc w:val="center"/>
              <w:rPr>
                <w:rFonts w:ascii="宋体" w:hAnsi="宋体" w:cs="宋体"/>
                <w:color w:val="auto"/>
                <w:highlight w:val="none"/>
              </w:rPr>
            </w:pPr>
          </w:p>
        </w:tc>
        <w:tc>
          <w:tcPr>
            <w:tcW w:w="6660" w:type="dxa"/>
            <w:vAlign w:val="center"/>
          </w:tcPr>
          <w:p>
            <w:pPr>
              <w:spacing w:line="360" w:lineRule="auto"/>
              <w:rPr>
                <w:rFonts w:ascii="宋体" w:hAnsi="宋体" w:cs="宋体"/>
                <w:color w:val="auto"/>
                <w:highlight w:val="none"/>
              </w:rPr>
            </w:pPr>
            <w:r>
              <w:rPr>
                <w:rFonts w:hint="eastAsia" w:ascii="宋体" w:hAnsi="宋体" w:cs="宋体"/>
                <w:color w:val="auto"/>
                <w:highlight w:val="none"/>
              </w:rPr>
              <w:t>售后服务机构技术服务人员情况，提供姓名、工作经验、资质证书情况。人员配备充足售后服务经验丰富得3分；人员配备和售后服务一般得2分；人员配备不足售后服务经验差1分；无人员配备得0分。</w:t>
            </w:r>
          </w:p>
        </w:tc>
        <w:tc>
          <w:tcPr>
            <w:tcW w:w="1170" w:type="dxa"/>
            <w:vAlign w:val="center"/>
          </w:tcPr>
          <w:p>
            <w:pPr>
              <w:spacing w:line="360" w:lineRule="auto"/>
              <w:jc w:val="center"/>
              <w:rPr>
                <w:rFonts w:ascii="宋体" w:hAnsi="宋体" w:cs="宋体"/>
                <w:bCs/>
                <w:color w:val="auto"/>
                <w:highlight w:val="none"/>
              </w:rPr>
            </w:pPr>
            <w:r>
              <w:rPr>
                <w:rFonts w:hint="eastAsia" w:ascii="宋体" w:hAnsi="宋体" w:cs="宋体"/>
                <w:color w:val="auto"/>
                <w:highlight w:val="none"/>
              </w:rPr>
              <w:t>3</w:t>
            </w:r>
            <w:r>
              <w:rPr>
                <w:rFonts w:hint="eastAsia" w:ascii="宋体" w:hAnsi="宋体" w:cs="宋体"/>
                <w:bCs/>
                <w:color w:val="auto"/>
                <w:highlight w:val="none"/>
              </w:rPr>
              <w:t>分</w:t>
            </w:r>
          </w:p>
          <w:p>
            <w:pPr>
              <w:spacing w:line="360" w:lineRule="auto"/>
              <w:jc w:val="center"/>
              <w:rPr>
                <w:rFonts w:ascii="宋体" w:hAnsi="宋体" w:cs="宋体"/>
                <w:color w:val="auto"/>
                <w:highlight w:val="none"/>
              </w:rPr>
            </w:pPr>
            <w:r>
              <w:rPr>
                <w:rFonts w:hint="eastAsia" w:ascii="宋体" w:hAnsi="宋体" w:cs="宋体"/>
                <w:bCs/>
                <w:color w:val="auto"/>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4"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color w:val="auto"/>
                <w:highlight w:val="none"/>
              </w:rPr>
              <w:t>2</w:t>
            </w:r>
          </w:p>
        </w:tc>
        <w:tc>
          <w:tcPr>
            <w:tcW w:w="6660" w:type="dxa"/>
            <w:vAlign w:val="center"/>
          </w:tcPr>
          <w:p>
            <w:pPr>
              <w:spacing w:line="360" w:lineRule="auto"/>
              <w:rPr>
                <w:rFonts w:ascii="宋体" w:hAnsi="宋体" w:cs="宋体"/>
                <w:color w:val="auto"/>
                <w:highlight w:val="none"/>
              </w:rPr>
            </w:pPr>
            <w:r>
              <w:rPr>
                <w:rFonts w:hint="eastAsia" w:ascii="宋体" w:hAnsi="宋体" w:cs="宋体"/>
                <w:color w:val="auto"/>
                <w:highlight w:val="none"/>
              </w:rPr>
              <w:t>销售业绩：投标同品牌同型号产品，合同签订时间自2020年1月1日以来的，与最终用户签订的销售业绩，每一例业绩得1分。提供完整的合同复印件并加盖公章，复印件能清楚的辨析设备型号和价格，否则不得分，本项最高得3分。</w:t>
            </w:r>
            <w:r>
              <w:rPr>
                <w:rFonts w:hint="eastAsia"/>
              </w:rPr>
              <w:t>对省级以上主管部门认定的首台套产品，自纳入《省推广应用指导目录》起三年内参加政府采购活动，视同已具备相应销售业绩，业绩分为满分，投标文件中提供相应的证明材料。</w:t>
            </w:r>
            <w:bookmarkStart w:id="110" w:name="_GoBack"/>
            <w:bookmarkEnd w:id="110"/>
          </w:p>
        </w:tc>
        <w:tc>
          <w:tcPr>
            <w:tcW w:w="1170" w:type="dxa"/>
            <w:vAlign w:val="center"/>
          </w:tcPr>
          <w:p>
            <w:pPr>
              <w:spacing w:before="120" w:beforeLines="50" w:after="120" w:afterLines="50" w:line="360" w:lineRule="auto"/>
              <w:jc w:val="center"/>
              <w:rPr>
                <w:rFonts w:ascii="宋体" w:hAnsi="宋体" w:cs="宋体"/>
                <w:color w:val="auto"/>
                <w:highlight w:val="none"/>
              </w:rPr>
            </w:pPr>
            <w:r>
              <w:rPr>
                <w:rFonts w:hint="eastAsia" w:ascii="宋体" w:hAnsi="宋体" w:cs="宋体"/>
                <w:color w:val="auto"/>
                <w:highlight w:val="none"/>
              </w:rPr>
              <w:t>3分</w:t>
            </w:r>
          </w:p>
          <w:p>
            <w:pPr>
              <w:spacing w:before="120" w:beforeLines="50" w:after="120" w:afterLines="50" w:line="360" w:lineRule="auto"/>
              <w:jc w:val="center"/>
              <w:rPr>
                <w:rFonts w:ascii="宋体" w:hAnsi="宋体" w:cs="宋体"/>
                <w:b/>
                <w:bCs/>
                <w:color w:val="auto"/>
                <w:highlight w:val="none"/>
              </w:rPr>
            </w:pPr>
            <w:r>
              <w:rPr>
                <w:rFonts w:hint="eastAsia" w:ascii="宋体" w:hAnsi="宋体" w:cs="宋体"/>
                <w:bCs/>
                <w:color w:val="auto"/>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4"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color w:val="auto"/>
                <w:highlight w:val="none"/>
              </w:rPr>
              <w:t>3</w:t>
            </w:r>
          </w:p>
        </w:tc>
        <w:tc>
          <w:tcPr>
            <w:tcW w:w="6660" w:type="dxa"/>
          </w:tcPr>
          <w:p>
            <w:pPr>
              <w:spacing w:line="360" w:lineRule="auto"/>
              <w:ind w:right="-21" w:rightChars="-10"/>
              <w:rPr>
                <w:rFonts w:ascii="宋体" w:hAnsi="宋体" w:cs="宋体"/>
                <w:color w:val="auto"/>
                <w:highlight w:val="none"/>
              </w:rPr>
            </w:pPr>
            <w:r>
              <w:rPr>
                <w:rFonts w:hint="eastAsia" w:ascii="宋体" w:hAnsi="宋体" w:cs="宋体"/>
                <w:color w:val="auto"/>
                <w:highlight w:val="none"/>
              </w:rPr>
              <w:t>政府采购</w:t>
            </w:r>
            <w:r>
              <w:rPr>
                <w:rFonts w:hint="eastAsia" w:ascii="宋体" w:hAnsi="宋体" w:cs="宋体"/>
                <w:bCs/>
                <w:color w:val="auto"/>
                <w:highlight w:val="none"/>
              </w:rPr>
              <w:t>政策：</w:t>
            </w:r>
          </w:p>
          <w:p>
            <w:pPr>
              <w:adjustRightInd w:val="0"/>
              <w:snapToGrid w:val="0"/>
              <w:spacing w:line="360" w:lineRule="auto"/>
              <w:ind w:firstLine="350" w:firstLineChars="167"/>
              <w:rPr>
                <w:rFonts w:ascii="宋体" w:hAnsi="宋体" w:cs="宋体"/>
                <w:color w:val="auto"/>
                <w:highlight w:val="none"/>
              </w:rPr>
            </w:pPr>
            <w:r>
              <w:rPr>
                <w:rFonts w:hint="eastAsia" w:ascii="宋体" w:hAnsi="宋体" w:cs="宋体"/>
                <w:color w:val="auto"/>
                <w:highlight w:val="none"/>
              </w:rPr>
              <w:t>1）投标产品列入财政部、发展改革委发布的节能产品品目清单的，提供国家市场监督管理总局公布的《参与实施政府采购节能产品认证机构名录》内的认证机构出具的、处于有效期之内的节能标志产品认证证书的，得1分。</w:t>
            </w:r>
          </w:p>
          <w:p>
            <w:pPr>
              <w:adjustRightInd w:val="0"/>
              <w:snapToGrid w:val="0"/>
              <w:spacing w:line="360" w:lineRule="auto"/>
              <w:ind w:firstLine="350" w:firstLineChars="167"/>
              <w:rPr>
                <w:rFonts w:ascii="宋体" w:hAnsi="宋体" w:cs="宋体"/>
                <w:color w:val="auto"/>
                <w:highlight w:val="none"/>
              </w:rPr>
            </w:pPr>
            <w:r>
              <w:rPr>
                <w:rFonts w:hint="eastAsia" w:ascii="宋体" w:hAnsi="宋体" w:cs="宋体"/>
                <w:color w:val="auto"/>
                <w:highlight w:val="none"/>
              </w:rPr>
              <w:t>2）投标产品列入财政部、生态环境部发布的环境标志产品品目清单的，提供国家市场监督管理总局公布的《参与实施政府采购环境标志产品认证机构名录》内的认证机构出具的、处于有效期之内的环境标志产品认证证书，得1分。</w:t>
            </w:r>
          </w:p>
        </w:tc>
        <w:tc>
          <w:tcPr>
            <w:tcW w:w="1170" w:type="dxa"/>
            <w:vAlign w:val="center"/>
          </w:tcPr>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2分</w:t>
            </w:r>
          </w:p>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4"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b/>
                <w:bCs/>
                <w:color w:val="auto"/>
                <w:highlight w:val="none"/>
              </w:rPr>
              <w:t>（二）</w:t>
            </w:r>
          </w:p>
        </w:tc>
        <w:tc>
          <w:tcPr>
            <w:tcW w:w="6660" w:type="dxa"/>
          </w:tcPr>
          <w:p>
            <w:pPr>
              <w:spacing w:before="120" w:beforeLines="50" w:after="120" w:afterLines="50" w:line="360" w:lineRule="auto"/>
              <w:rPr>
                <w:rFonts w:ascii="宋体" w:hAnsi="宋体" w:cs="宋体"/>
                <w:b/>
                <w:bCs/>
                <w:color w:val="auto"/>
                <w:highlight w:val="none"/>
              </w:rPr>
            </w:pPr>
            <w:r>
              <w:rPr>
                <w:rFonts w:hint="eastAsia" w:ascii="宋体" w:hAnsi="宋体" w:cs="宋体"/>
                <w:b/>
                <w:color w:val="auto"/>
                <w:highlight w:val="none"/>
              </w:rPr>
              <w:t>技术部分</w:t>
            </w:r>
          </w:p>
        </w:tc>
        <w:tc>
          <w:tcPr>
            <w:tcW w:w="1170"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b/>
                <w:color w:val="auto"/>
                <w:highlight w:val="none"/>
                <w:u w:val="single"/>
              </w:rPr>
              <w:t>56</w:t>
            </w:r>
            <w:r>
              <w:rPr>
                <w:rFonts w:hint="eastAsia" w:ascii="宋体" w:hAnsi="宋体" w:cs="宋体"/>
                <w:b/>
                <w:color w:val="auto"/>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794"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color w:val="auto"/>
                <w:highlight w:val="none"/>
              </w:rPr>
              <w:t>1</w:t>
            </w:r>
          </w:p>
        </w:tc>
        <w:tc>
          <w:tcPr>
            <w:tcW w:w="6660" w:type="dxa"/>
            <w:vAlign w:val="center"/>
          </w:tcPr>
          <w:p>
            <w:pPr>
              <w:spacing w:line="360" w:lineRule="auto"/>
              <w:jc w:val="left"/>
              <w:rPr>
                <w:rFonts w:ascii="宋体" w:hAnsi="宋体" w:cs="宋体"/>
                <w:b/>
                <w:bCs/>
                <w:color w:val="auto"/>
                <w:highlight w:val="none"/>
              </w:rPr>
            </w:pPr>
            <w:r>
              <w:rPr>
                <w:rFonts w:hint="eastAsia" w:ascii="宋体" w:hAnsi="宋体" w:cs="宋体"/>
                <w:color w:val="auto"/>
                <w:highlight w:val="none"/>
              </w:rPr>
              <w:t>对招标文件的技术需求（43分）：完全满足招标文件技术需求中所有技术条款的得43分。每负偏离（即不满足招标文件要求）一条打“★”号的技术条款的，作无效标处理；每负偏离一条打“▲”号技术条款，扣3分；每负偏离一条未打“★”号和“▲”号技术条款，扣1分；当扣减至0分（或以下）时，该投标被拒绝，其投标文件作无效标处理，不再进行评审。</w:t>
            </w:r>
          </w:p>
        </w:tc>
        <w:tc>
          <w:tcPr>
            <w:tcW w:w="1170" w:type="dxa"/>
            <w:vAlign w:val="center"/>
          </w:tcPr>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43分</w:t>
            </w:r>
          </w:p>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794"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color w:val="auto"/>
                <w:highlight w:val="none"/>
              </w:rPr>
              <w:t>2</w:t>
            </w:r>
          </w:p>
        </w:tc>
        <w:tc>
          <w:tcPr>
            <w:tcW w:w="6660" w:type="dxa"/>
          </w:tcPr>
          <w:p>
            <w:pPr>
              <w:spacing w:before="120" w:beforeLines="50" w:after="120" w:afterLines="50" w:line="360" w:lineRule="auto"/>
              <w:rPr>
                <w:rFonts w:ascii="宋体" w:hAnsi="宋体" w:cs="宋体"/>
                <w:color w:val="auto"/>
                <w:highlight w:val="none"/>
              </w:rPr>
            </w:pPr>
            <w:r>
              <w:rPr>
                <w:rFonts w:hint="eastAsia" w:ascii="宋体" w:hAnsi="宋体" w:cs="宋体"/>
                <w:color w:val="auto"/>
                <w:highlight w:val="none"/>
              </w:rPr>
              <w:t>运行、维修成本：提供全保、人工保等各种保修方案及价格，设备配件价格，维修服务费，消耗品或易耗品的使用周期、价格等，报价合理运行成本低得3分；报价和成本较合理得2分；报价不合理运行成本较高得1分，无报价得0分。</w:t>
            </w:r>
          </w:p>
        </w:tc>
        <w:tc>
          <w:tcPr>
            <w:tcW w:w="1170" w:type="dxa"/>
            <w:vAlign w:val="center"/>
          </w:tcPr>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3分</w:t>
            </w:r>
          </w:p>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4" w:type="dxa"/>
            <w:vMerge w:val="restart"/>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color w:val="auto"/>
                <w:highlight w:val="none"/>
              </w:rPr>
              <w:t>3</w:t>
            </w:r>
          </w:p>
        </w:tc>
        <w:tc>
          <w:tcPr>
            <w:tcW w:w="6660" w:type="dxa"/>
          </w:tcPr>
          <w:p>
            <w:pPr>
              <w:spacing w:before="120" w:beforeLines="50" w:after="120" w:afterLines="50" w:line="360" w:lineRule="auto"/>
              <w:rPr>
                <w:rFonts w:ascii="宋体" w:hAnsi="宋体" w:cs="宋体"/>
                <w:b/>
                <w:bCs/>
                <w:color w:val="auto"/>
                <w:highlight w:val="none"/>
              </w:rPr>
            </w:pPr>
            <w:r>
              <w:rPr>
                <w:rFonts w:hint="eastAsia" w:ascii="宋体" w:hAnsi="宋体" w:cs="宋体"/>
                <w:color w:val="auto"/>
                <w:highlight w:val="none"/>
              </w:rPr>
              <w:t>安装、调试、验收方法或方案：</w:t>
            </w:r>
            <w:r>
              <w:rPr>
                <w:rFonts w:hint="eastAsia" w:ascii="宋体" w:hAnsi="宋体" w:cs="宋体"/>
                <w:b/>
                <w:bCs/>
                <w:color w:val="auto"/>
                <w:highlight w:val="none"/>
              </w:rPr>
              <w:t xml:space="preserve"> </w:t>
            </w:r>
          </w:p>
        </w:tc>
        <w:tc>
          <w:tcPr>
            <w:tcW w:w="1170" w:type="dxa"/>
            <w:vAlign w:val="center"/>
          </w:tcPr>
          <w:p>
            <w:pPr>
              <w:spacing w:before="120" w:beforeLines="50" w:after="120" w:afterLines="50" w:line="360" w:lineRule="auto"/>
              <w:jc w:val="center"/>
              <w:rPr>
                <w:rFonts w:ascii="宋体" w:hAnsi="宋体" w:cs="宋体"/>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4" w:type="dxa"/>
            <w:vMerge w:val="continue"/>
            <w:vAlign w:val="center"/>
          </w:tcPr>
          <w:p>
            <w:pPr>
              <w:spacing w:before="120" w:beforeLines="50" w:after="120" w:afterLines="50" w:line="360" w:lineRule="auto"/>
              <w:jc w:val="center"/>
              <w:rPr>
                <w:rFonts w:ascii="宋体" w:hAnsi="宋体" w:cs="宋体"/>
                <w:color w:val="auto"/>
                <w:highlight w:val="none"/>
              </w:rPr>
            </w:pPr>
          </w:p>
        </w:tc>
        <w:tc>
          <w:tcPr>
            <w:tcW w:w="6660" w:type="dxa"/>
            <w:vAlign w:val="center"/>
          </w:tcPr>
          <w:p>
            <w:pPr>
              <w:spacing w:line="360" w:lineRule="auto"/>
              <w:rPr>
                <w:rFonts w:ascii="宋体" w:hAnsi="宋体" w:cs="宋体"/>
                <w:color w:val="auto"/>
                <w:highlight w:val="none"/>
              </w:rPr>
            </w:pPr>
            <w:r>
              <w:rPr>
                <w:rFonts w:hint="eastAsia" w:ascii="宋体" w:hAnsi="宋体" w:cs="宋体"/>
                <w:color w:val="auto"/>
                <w:highlight w:val="none"/>
              </w:rPr>
              <w:t>安装调试方案，包括对场地环境的了解、人员的安排、时间进度的规划，对设备的调试进度安排，调试的步骤、措施，问题的解决方案等，方案考虑充分措施有效得3分；方案合理措施一般得2分；方案考虑不够充分得1分；无方案得0分。</w:t>
            </w:r>
          </w:p>
        </w:tc>
        <w:tc>
          <w:tcPr>
            <w:tcW w:w="1170" w:type="dxa"/>
            <w:vAlign w:val="center"/>
          </w:tcPr>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3分</w:t>
            </w:r>
          </w:p>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4" w:type="dxa"/>
            <w:vMerge w:val="continue"/>
            <w:vAlign w:val="center"/>
          </w:tcPr>
          <w:p>
            <w:pPr>
              <w:spacing w:before="120" w:beforeLines="50" w:after="120" w:afterLines="50" w:line="360" w:lineRule="auto"/>
              <w:jc w:val="center"/>
              <w:rPr>
                <w:rFonts w:ascii="宋体" w:hAnsi="宋体" w:cs="宋体"/>
                <w:color w:val="auto"/>
                <w:highlight w:val="none"/>
              </w:rPr>
            </w:pPr>
          </w:p>
        </w:tc>
        <w:tc>
          <w:tcPr>
            <w:tcW w:w="6660" w:type="dxa"/>
            <w:vAlign w:val="center"/>
          </w:tcPr>
          <w:p>
            <w:pPr>
              <w:spacing w:line="360" w:lineRule="auto"/>
              <w:rPr>
                <w:rFonts w:ascii="宋体" w:hAnsi="宋体" w:cs="宋体"/>
                <w:bCs/>
                <w:color w:val="auto"/>
                <w:highlight w:val="none"/>
              </w:rPr>
            </w:pPr>
            <w:r>
              <w:rPr>
                <w:rFonts w:hint="eastAsia" w:ascii="宋体" w:hAnsi="宋体" w:cs="宋体"/>
                <w:color w:val="auto"/>
                <w:highlight w:val="none"/>
              </w:rPr>
              <w:t>验收方案，</w:t>
            </w:r>
            <w:r>
              <w:rPr>
                <w:rFonts w:hint="eastAsia" w:ascii="宋体" w:hAnsi="宋体" w:cs="宋体"/>
                <w:bCs/>
                <w:color w:val="auto"/>
                <w:highlight w:val="none"/>
              </w:rPr>
              <w:t>提供验收需要采购人配合的内容，验收的方案及应急措施等内容。</w:t>
            </w:r>
            <w:r>
              <w:rPr>
                <w:rFonts w:hint="eastAsia" w:ascii="宋体" w:hAnsi="宋体" w:cs="宋体"/>
                <w:color w:val="auto"/>
                <w:highlight w:val="none"/>
              </w:rPr>
              <w:t>方案考虑充分措施有效得3分；方案合理措施一般得2分；方案考虑不够充分得1分；无方案得0分。</w:t>
            </w:r>
          </w:p>
        </w:tc>
        <w:tc>
          <w:tcPr>
            <w:tcW w:w="1170" w:type="dxa"/>
            <w:vAlign w:val="center"/>
          </w:tcPr>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3分</w:t>
            </w:r>
          </w:p>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 w:hRule="atLeast"/>
        </w:trPr>
        <w:tc>
          <w:tcPr>
            <w:tcW w:w="794" w:type="dxa"/>
            <w:vMerge w:val="restart"/>
            <w:vAlign w:val="center"/>
          </w:tcPr>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4</w:t>
            </w:r>
          </w:p>
        </w:tc>
        <w:tc>
          <w:tcPr>
            <w:tcW w:w="6660" w:type="dxa"/>
            <w:vAlign w:val="center"/>
          </w:tcPr>
          <w:p>
            <w:pPr>
              <w:spacing w:line="360" w:lineRule="auto"/>
              <w:ind w:right="-21" w:rightChars="-10"/>
              <w:rPr>
                <w:rFonts w:ascii="宋体" w:hAnsi="宋体" w:cs="宋体"/>
                <w:b/>
                <w:bCs/>
                <w:color w:val="auto"/>
                <w:highlight w:val="none"/>
              </w:rPr>
            </w:pPr>
            <w:r>
              <w:rPr>
                <w:rFonts w:hint="eastAsia" w:ascii="宋体" w:hAnsi="宋体" w:cs="宋体"/>
                <w:color w:val="auto"/>
                <w:highlight w:val="none"/>
              </w:rPr>
              <w:t>技术服务、技术培训：</w:t>
            </w:r>
            <w:r>
              <w:rPr>
                <w:rFonts w:hint="eastAsia" w:ascii="宋体" w:hAnsi="宋体" w:cs="宋体"/>
                <w:b/>
                <w:bCs/>
                <w:color w:val="auto"/>
                <w:highlight w:val="none"/>
              </w:rPr>
              <w:t xml:space="preserve"> </w:t>
            </w:r>
          </w:p>
        </w:tc>
        <w:tc>
          <w:tcPr>
            <w:tcW w:w="1170" w:type="dxa"/>
            <w:vAlign w:val="center"/>
          </w:tcPr>
          <w:p>
            <w:pPr>
              <w:spacing w:before="120" w:beforeLines="50" w:after="120" w:afterLines="50" w:line="360" w:lineRule="auto"/>
              <w:jc w:val="center"/>
              <w:rPr>
                <w:rFonts w:ascii="宋体" w:hAnsi="宋体" w:cs="宋体"/>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4" w:type="dxa"/>
            <w:vMerge w:val="continue"/>
            <w:vAlign w:val="center"/>
          </w:tcPr>
          <w:p>
            <w:pPr>
              <w:spacing w:before="120" w:beforeLines="50" w:after="120" w:afterLines="50" w:line="360" w:lineRule="auto"/>
              <w:jc w:val="center"/>
              <w:rPr>
                <w:rFonts w:ascii="宋体" w:hAnsi="宋体" w:cs="宋体"/>
                <w:bCs/>
                <w:color w:val="auto"/>
                <w:highlight w:val="none"/>
              </w:rPr>
            </w:pPr>
          </w:p>
        </w:tc>
        <w:tc>
          <w:tcPr>
            <w:tcW w:w="6660" w:type="dxa"/>
          </w:tcPr>
          <w:p>
            <w:pPr>
              <w:spacing w:line="360" w:lineRule="auto"/>
              <w:rPr>
                <w:rFonts w:ascii="宋体" w:hAnsi="宋体" w:cs="宋体"/>
                <w:color w:val="auto"/>
                <w:highlight w:val="none"/>
              </w:rPr>
            </w:pPr>
            <w:r>
              <w:rPr>
                <w:rFonts w:hint="eastAsia" w:ascii="宋体" w:hAnsi="宋体" w:cs="宋体"/>
                <w:color w:val="auto"/>
                <w:highlight w:val="none"/>
              </w:rPr>
              <w:t>操作应用培训：卖方负责提供采购人的操作和临床应用培训，提供培训方案，方案考虑充分安排有效得2分；方案合理安排一般得1分；无方案得0分。</w:t>
            </w:r>
          </w:p>
        </w:tc>
        <w:tc>
          <w:tcPr>
            <w:tcW w:w="1170" w:type="dxa"/>
            <w:vAlign w:val="center"/>
          </w:tcPr>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2分</w:t>
            </w:r>
          </w:p>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794" w:type="dxa"/>
            <w:vMerge w:val="continue"/>
            <w:vAlign w:val="center"/>
          </w:tcPr>
          <w:p>
            <w:pPr>
              <w:spacing w:before="120" w:beforeLines="50" w:after="120" w:afterLines="50" w:line="360" w:lineRule="auto"/>
              <w:jc w:val="center"/>
              <w:rPr>
                <w:rFonts w:ascii="宋体" w:hAnsi="宋体" w:cs="宋体"/>
                <w:bCs/>
                <w:color w:val="auto"/>
                <w:highlight w:val="none"/>
              </w:rPr>
            </w:pPr>
          </w:p>
        </w:tc>
        <w:tc>
          <w:tcPr>
            <w:tcW w:w="6660" w:type="dxa"/>
          </w:tcPr>
          <w:p>
            <w:pPr>
              <w:spacing w:line="360" w:lineRule="auto"/>
              <w:ind w:right="-21" w:rightChars="-10"/>
              <w:rPr>
                <w:rFonts w:ascii="宋体" w:hAnsi="宋体" w:cs="宋体"/>
                <w:color w:val="auto"/>
                <w:highlight w:val="none"/>
              </w:rPr>
            </w:pPr>
            <w:r>
              <w:rPr>
                <w:rFonts w:hint="eastAsia" w:ascii="宋体" w:hAnsi="宋体" w:cs="宋体"/>
                <w:color w:val="auto"/>
                <w:highlight w:val="none"/>
              </w:rPr>
              <w:t>维修保养培训：卖方负责在提供维修人员的培训，提供培训方案，方案考虑充分安排有效得2分；方案合理安排一般得1分；无方案得0分。</w:t>
            </w:r>
          </w:p>
        </w:tc>
        <w:tc>
          <w:tcPr>
            <w:tcW w:w="1170" w:type="dxa"/>
            <w:vAlign w:val="center"/>
          </w:tcPr>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2分</w:t>
            </w:r>
          </w:p>
          <w:p>
            <w:pPr>
              <w:spacing w:before="120" w:beforeLines="50" w:after="120" w:afterLines="50" w:line="360" w:lineRule="auto"/>
              <w:jc w:val="center"/>
              <w:rPr>
                <w:rFonts w:ascii="宋体" w:hAnsi="宋体" w:cs="宋体"/>
                <w:bCs/>
                <w:color w:val="auto"/>
                <w:highlight w:val="none"/>
              </w:rPr>
            </w:pPr>
            <w:r>
              <w:rPr>
                <w:rFonts w:hint="eastAsia" w:ascii="宋体" w:hAnsi="宋体" w:cs="宋体"/>
                <w:bCs/>
                <w:color w:val="auto"/>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4" w:type="dxa"/>
            <w:vAlign w:val="center"/>
          </w:tcPr>
          <w:p>
            <w:pPr>
              <w:spacing w:before="120" w:beforeLines="50" w:after="120" w:afterLines="50" w:line="360" w:lineRule="auto"/>
              <w:jc w:val="center"/>
              <w:rPr>
                <w:rFonts w:ascii="宋体" w:hAnsi="宋体" w:cs="宋体"/>
                <w:b/>
                <w:bCs/>
                <w:color w:val="auto"/>
                <w:highlight w:val="none"/>
              </w:rPr>
            </w:pPr>
            <w:r>
              <w:rPr>
                <w:rFonts w:hint="eastAsia" w:ascii="宋体" w:hAnsi="宋体" w:cs="宋体"/>
                <w:b/>
                <w:color w:val="auto"/>
                <w:highlight w:val="none"/>
              </w:rPr>
              <w:t>（三）</w:t>
            </w:r>
          </w:p>
        </w:tc>
        <w:tc>
          <w:tcPr>
            <w:tcW w:w="6660" w:type="dxa"/>
          </w:tcPr>
          <w:p>
            <w:pPr>
              <w:spacing w:before="120" w:beforeLines="50" w:after="120" w:afterLines="50" w:line="360" w:lineRule="auto"/>
              <w:rPr>
                <w:rFonts w:ascii="宋体" w:hAnsi="宋体" w:cs="宋体"/>
                <w:b/>
                <w:bCs/>
                <w:color w:val="auto"/>
                <w:highlight w:val="none"/>
              </w:rPr>
            </w:pPr>
            <w:r>
              <w:rPr>
                <w:rFonts w:hint="eastAsia" w:ascii="宋体" w:hAnsi="宋体" w:cs="宋体"/>
                <w:b/>
                <w:bCs/>
                <w:color w:val="auto"/>
                <w:highlight w:val="none"/>
              </w:rPr>
              <w:t>价格部分</w:t>
            </w:r>
          </w:p>
          <w:p>
            <w:pPr>
              <w:spacing w:before="120" w:beforeLines="50" w:after="120" w:afterLines="50" w:line="360" w:lineRule="auto"/>
              <w:rPr>
                <w:rFonts w:ascii="宋体" w:hAnsi="宋体" w:cs="宋体"/>
                <w:bCs/>
                <w:color w:val="auto"/>
                <w:spacing w:val="-4"/>
                <w:highlight w:val="none"/>
              </w:rPr>
            </w:pPr>
            <w:r>
              <w:rPr>
                <w:rFonts w:hint="eastAsia" w:ascii="宋体" w:hAnsi="宋体" w:cs="宋体"/>
                <w:bCs/>
                <w:color w:val="auto"/>
                <w:spacing w:val="-4"/>
                <w:highlight w:val="none"/>
              </w:rPr>
              <w:t>价格分采用低价优先法计算，即满足招标文件要求且投标价格最低的投标报价为评标基准价，其价格分为满分。其他投标人的价格分按照下列公式计算：</w:t>
            </w:r>
          </w:p>
          <w:p>
            <w:pPr>
              <w:spacing w:before="120" w:beforeLines="50" w:after="120" w:afterLines="50" w:line="360" w:lineRule="auto"/>
              <w:rPr>
                <w:rFonts w:ascii="宋体" w:hAnsi="宋体" w:cs="宋体"/>
                <w:color w:val="auto"/>
                <w:highlight w:val="none"/>
              </w:rPr>
            </w:pPr>
            <w:r>
              <w:rPr>
                <w:rFonts w:hint="eastAsia" w:ascii="宋体" w:hAnsi="宋体" w:cs="宋体"/>
                <w:color w:val="auto"/>
                <w:highlight w:val="none"/>
              </w:rPr>
              <w:t>价格分=（评标基准价/投标报价）×</w:t>
            </w:r>
            <w:r>
              <w:rPr>
                <w:rFonts w:hint="eastAsia" w:ascii="宋体" w:hAnsi="宋体" w:cs="宋体"/>
                <w:color w:val="auto"/>
                <w:highlight w:val="none"/>
                <w:u w:val="single"/>
              </w:rPr>
              <w:t>30</w:t>
            </w:r>
            <w:r>
              <w:rPr>
                <w:rFonts w:hint="eastAsia" w:ascii="宋体" w:hAnsi="宋体" w:cs="宋体"/>
                <w:color w:val="auto"/>
                <w:highlight w:val="none"/>
              </w:rPr>
              <w:t>%×100</w:t>
            </w:r>
          </w:p>
          <w:p>
            <w:pPr>
              <w:spacing w:before="120" w:beforeLines="50" w:after="120" w:afterLines="50" w:line="360" w:lineRule="auto"/>
              <w:rPr>
                <w:rFonts w:ascii="宋体" w:hAnsi="宋体" w:cs="宋体"/>
                <w:b/>
                <w:bCs/>
                <w:color w:val="auto"/>
                <w:highlight w:val="none"/>
              </w:rPr>
            </w:pPr>
            <w:r>
              <w:rPr>
                <w:rFonts w:hint="eastAsia" w:ascii="宋体" w:hAnsi="宋体" w:cs="宋体"/>
                <w:b/>
                <w:bCs/>
                <w:color w:val="auto"/>
                <w:highlight w:val="none"/>
              </w:rPr>
              <w:t>注：因落实政府采购政策需要进行价格调整的，以调整后的价格计算评标基准价和投标报价。</w:t>
            </w:r>
          </w:p>
        </w:tc>
        <w:tc>
          <w:tcPr>
            <w:tcW w:w="1170" w:type="dxa"/>
            <w:vAlign w:val="center"/>
          </w:tcPr>
          <w:p>
            <w:pPr>
              <w:spacing w:before="120" w:beforeLines="50" w:after="120" w:afterLines="50" w:line="360" w:lineRule="auto"/>
              <w:jc w:val="center"/>
              <w:rPr>
                <w:rFonts w:ascii="宋体" w:hAnsi="宋体" w:cs="宋体"/>
                <w:bCs/>
                <w:color w:val="auto"/>
                <w:highlight w:val="none"/>
              </w:rPr>
            </w:pPr>
            <w:r>
              <w:rPr>
                <w:rFonts w:hint="eastAsia" w:ascii="宋体" w:hAnsi="宋体" w:cs="宋体"/>
                <w:b/>
                <w:bCs/>
                <w:color w:val="auto"/>
                <w:highlight w:val="none"/>
                <w:u w:val="single"/>
              </w:rPr>
              <w:t>30</w:t>
            </w:r>
            <w:r>
              <w:rPr>
                <w:rFonts w:hint="eastAsia" w:ascii="宋体" w:hAnsi="宋体" w:cs="宋体"/>
                <w:b/>
                <w:bCs/>
                <w:color w:val="auto"/>
                <w:highlight w:val="none"/>
              </w:rPr>
              <w:t>分</w:t>
            </w:r>
          </w:p>
        </w:tc>
      </w:tr>
    </w:tbl>
    <w:p>
      <w:pPr>
        <w:spacing w:before="120" w:beforeLines="50" w:after="120" w:afterLines="50" w:line="360" w:lineRule="auto"/>
        <w:rPr>
          <w:rFonts w:ascii="宋体" w:hAnsi="宋体" w:cs="宋体"/>
          <w:b/>
          <w:color w:val="auto"/>
          <w:highlight w:val="none"/>
        </w:rPr>
      </w:pPr>
      <w:bookmarkStart w:id="97" w:name="_Toc9029"/>
      <w:bookmarkStart w:id="98" w:name="_Toc26240"/>
      <w:bookmarkStart w:id="99" w:name="_Toc317116871"/>
      <w:bookmarkStart w:id="100" w:name="_Toc47388385"/>
      <w:r>
        <w:rPr>
          <w:rFonts w:hint="eastAsia" w:ascii="宋体" w:hAnsi="宋体" w:cs="宋体"/>
          <w:b/>
          <w:color w:val="auto"/>
          <w:highlight w:val="none"/>
        </w:rPr>
        <w:t>六、定标</w:t>
      </w:r>
      <w:bookmarkEnd w:id="97"/>
    </w:p>
    <w:p>
      <w:pPr>
        <w:spacing w:before="120" w:beforeLines="50" w:after="120" w:afterLines="50" w:line="360" w:lineRule="auto"/>
        <w:ind w:firstLine="413" w:firstLineChars="196"/>
        <w:rPr>
          <w:rFonts w:ascii="宋体" w:hAnsi="宋体" w:cs="宋体"/>
          <w:b/>
          <w:bCs/>
          <w:color w:val="auto"/>
          <w:highlight w:val="none"/>
        </w:rPr>
      </w:pPr>
      <w:r>
        <w:rPr>
          <w:rFonts w:hint="eastAsia" w:ascii="宋体" w:hAnsi="宋体" w:cs="宋体"/>
          <w:b/>
          <w:bCs/>
          <w:color w:val="auto"/>
          <w:highlight w:val="none"/>
        </w:rPr>
        <w:t>（一）确定中标供应商。本项目由采购人（或采购人事先授权评标委员会）确定中标供应商。</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1.采购代理机构在评标结束后将评标报告交采购人确认。</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2.供应商对评标结果无异议的，采购人应在收到评标报告后5个工作日内对评标结果进行确认，按评标报告推荐的顺序确定排名第一的中标候选人为中标人。</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3.采购人依法确定中标供应商后2个工作日内，采购代理机构以书面形式发出《中标通知书》,并同时在相关网站上发布中标公告。</w:t>
      </w:r>
    </w:p>
    <w:p>
      <w:pPr>
        <w:spacing w:line="360" w:lineRule="auto"/>
        <w:ind w:firstLine="420" w:firstLineChars="200"/>
        <w:rPr>
          <w:rFonts w:ascii="宋体" w:hAnsi="宋体" w:cs="宋体"/>
          <w:color w:val="auto"/>
          <w:highlight w:val="none"/>
          <w:lang w:bidi="ar"/>
        </w:rPr>
      </w:pPr>
      <w:r>
        <w:rPr>
          <w:rFonts w:hint="eastAsia" w:ascii="宋体" w:hAnsi="宋体" w:cs="宋体"/>
          <w:color w:val="auto"/>
          <w:highlight w:val="none"/>
        </w:rPr>
        <w:t>4.</w:t>
      </w:r>
      <w:r>
        <w:rPr>
          <w:rFonts w:hint="eastAsia" w:ascii="宋体" w:hAnsi="宋体" w:cs="宋体"/>
          <w:color w:val="auto"/>
          <w:highlight w:val="none"/>
          <w:lang w:bidi="ar"/>
        </w:rPr>
        <w:t>若中标供应商放弃中标，或因不可抗力提出不能履行合同，或不按采购文件规定提交履约担保，或其它原因被依法撤销中标资格，则采购人可确定排名次之的中标候选人为中标人或重新组织招标。</w:t>
      </w:r>
    </w:p>
    <w:p>
      <w:pPr>
        <w:spacing w:line="360" w:lineRule="auto"/>
        <w:ind w:firstLine="422" w:firstLineChars="200"/>
        <w:rPr>
          <w:rFonts w:ascii="宋体" w:hAnsi="宋体" w:cs="宋体"/>
          <w:b/>
          <w:bCs/>
          <w:color w:val="auto"/>
          <w:highlight w:val="none"/>
          <w:lang w:bidi="ar"/>
        </w:rPr>
      </w:pPr>
      <w:r>
        <w:rPr>
          <w:rFonts w:hint="eastAsia" w:ascii="宋体" w:hAnsi="宋体" w:cs="宋体"/>
          <w:b/>
          <w:bCs/>
          <w:color w:val="auto"/>
          <w:highlight w:val="none"/>
          <w:lang w:bidi="ar"/>
        </w:rPr>
        <w:t>七、评标过程的监控与保密</w:t>
      </w:r>
    </w:p>
    <w:p>
      <w:pPr>
        <w:spacing w:line="360" w:lineRule="auto"/>
        <w:ind w:firstLine="420" w:firstLineChars="200"/>
        <w:rPr>
          <w:rFonts w:ascii="宋体" w:hAnsi="宋体" w:cs="宋体"/>
          <w:color w:val="auto"/>
          <w:highlight w:val="none"/>
          <w:lang w:bidi="ar"/>
        </w:rPr>
      </w:pPr>
      <w:r>
        <w:rPr>
          <w:rFonts w:hint="eastAsia" w:ascii="宋体" w:hAnsi="宋体" w:cs="宋体"/>
          <w:color w:val="auto"/>
          <w:highlight w:val="none"/>
          <w:lang w:bidi="ar"/>
        </w:rPr>
        <w:t>1、本项目评标过程实行全程录音、录像监控，供应商在评标过程中所进行的试图影响评标结果的不公正活动，可能导致其投标被拒绝。</w:t>
      </w:r>
    </w:p>
    <w:p>
      <w:pPr>
        <w:spacing w:line="360" w:lineRule="auto"/>
        <w:ind w:firstLine="420" w:firstLineChars="200"/>
        <w:rPr>
          <w:rFonts w:ascii="宋体" w:hAnsi="宋体" w:cs="宋体"/>
          <w:color w:val="auto"/>
          <w:highlight w:val="none"/>
          <w:lang w:bidi="ar"/>
        </w:rPr>
      </w:pPr>
      <w:r>
        <w:rPr>
          <w:rFonts w:hint="eastAsia" w:ascii="宋体" w:hAnsi="宋体" w:cs="宋体"/>
          <w:color w:val="auto"/>
          <w:highlight w:val="none"/>
          <w:lang w:bidi="ar"/>
        </w:rPr>
        <w:t>2、开标后到中标通知书发出之前，所有涉及评标委员会名单以及对投标文件的澄清、评价、比较等情况，评标委员会成员、采购人和采购代理机构的有关人员均不得向供应商或其他无关人员透露。</w:t>
      </w:r>
    </w:p>
    <w:p>
      <w:pPr>
        <w:spacing w:line="360" w:lineRule="auto"/>
        <w:ind w:firstLine="413" w:firstLineChars="196"/>
        <w:rPr>
          <w:rFonts w:ascii="宋体" w:hAnsi="宋体" w:cs="宋体"/>
          <w:b/>
          <w:bCs/>
          <w:color w:val="auto"/>
          <w:highlight w:val="none"/>
        </w:rPr>
      </w:pPr>
      <w:bookmarkStart w:id="101" w:name="_Toc17747"/>
      <w:r>
        <w:rPr>
          <w:rFonts w:hint="eastAsia" w:ascii="宋体" w:hAnsi="宋体" w:cs="宋体"/>
          <w:b/>
          <w:color w:val="auto"/>
          <w:highlight w:val="none"/>
        </w:rPr>
        <w:t>八、合同授予</w:t>
      </w:r>
      <w:bookmarkEnd w:id="101"/>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1.采购人应当自中标通知书发出之日起30日内，按照采购文件和中标人投标文件的规定，与中标人签订书面合同。所签订的合同不得对采购文件确定的事项和中标人投标文件作实质性修改。</w:t>
      </w:r>
    </w:p>
    <w:p>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采购人不得向中标人提出任何不合理的要求作为签订合同的条件。</w:t>
      </w:r>
    </w:p>
    <w:p>
      <w:pPr>
        <w:spacing w:before="120" w:beforeLines="50" w:after="120" w:afterLines="50" w:line="360" w:lineRule="auto"/>
        <w:ind w:firstLine="411" w:firstLineChars="196"/>
        <w:rPr>
          <w:rFonts w:ascii="宋体" w:hAnsi="宋体" w:cs="宋体"/>
          <w:bCs/>
          <w:color w:val="auto"/>
          <w:highlight w:val="none"/>
        </w:rPr>
      </w:pPr>
      <w:r>
        <w:rPr>
          <w:rFonts w:hint="eastAsia" w:ascii="宋体" w:hAnsi="宋体" w:cs="宋体"/>
          <w:bCs/>
          <w:color w:val="auto"/>
          <w:highlight w:val="none"/>
        </w:rPr>
        <w:t>2</w:t>
      </w:r>
      <w:r>
        <w:rPr>
          <w:rFonts w:hint="eastAsia" w:ascii="宋体" w:hAnsi="宋体" w:cs="宋体"/>
          <w:color w:val="auto"/>
          <w:highlight w:val="none"/>
        </w:rPr>
        <w:t>.</w:t>
      </w:r>
      <w:r>
        <w:rPr>
          <w:rFonts w:hint="eastAsia" w:ascii="宋体" w:hAnsi="宋体" w:cs="宋体"/>
          <w:bCs/>
          <w:color w:val="auto"/>
          <w:highlight w:val="none"/>
        </w:rPr>
        <w:t>采购人在签订合同时，在合同金额变更范围内，如需审批的办理相关审批手续。有权变更采购项目的数量和服务内容，但不能对单价或其他条款和条件作任何改变。</w:t>
      </w:r>
    </w:p>
    <w:p>
      <w:pPr>
        <w:spacing w:before="120" w:beforeLines="50" w:after="120" w:afterLines="50" w:line="360" w:lineRule="auto"/>
        <w:ind w:firstLine="411" w:firstLineChars="196"/>
        <w:rPr>
          <w:rFonts w:ascii="宋体" w:hAnsi="宋体" w:cs="宋体"/>
          <w:bCs/>
          <w:color w:val="auto"/>
          <w:highlight w:val="none"/>
        </w:rPr>
      </w:pPr>
      <w:r>
        <w:rPr>
          <w:rFonts w:hint="eastAsia" w:ascii="宋体" w:hAnsi="宋体" w:cs="宋体"/>
          <w:bCs/>
          <w:color w:val="auto"/>
          <w:highlight w:val="none"/>
        </w:rPr>
        <w:t>3</w:t>
      </w:r>
      <w:r>
        <w:rPr>
          <w:rFonts w:hint="eastAsia" w:ascii="宋体" w:hAnsi="宋体" w:cs="宋体"/>
          <w:color w:val="auto"/>
          <w:highlight w:val="none"/>
        </w:rPr>
        <w:t>.</w:t>
      </w:r>
      <w:r>
        <w:rPr>
          <w:rFonts w:hint="eastAsia" w:ascii="宋体" w:hAnsi="宋体" w:cs="宋体"/>
          <w:bCs/>
          <w:color w:val="auto"/>
          <w:highlight w:val="none"/>
        </w:rPr>
        <w:t>采购文件、中标供应商的投标文件及评标过程中有关的澄清文件均应作为合同签订的附件。</w:t>
      </w:r>
    </w:p>
    <w:p>
      <w:pPr>
        <w:spacing w:before="120" w:beforeLines="50" w:after="120" w:afterLines="50" w:line="360" w:lineRule="auto"/>
        <w:ind w:firstLine="411" w:firstLineChars="196"/>
        <w:rPr>
          <w:rFonts w:ascii="宋体" w:hAnsi="宋体" w:cs="宋体"/>
          <w:bCs/>
          <w:color w:val="auto"/>
          <w:highlight w:val="none"/>
        </w:rPr>
      </w:pPr>
      <w:r>
        <w:rPr>
          <w:rFonts w:hint="eastAsia" w:ascii="宋体" w:hAnsi="宋体" w:cs="宋体"/>
          <w:bCs/>
          <w:color w:val="auto"/>
          <w:highlight w:val="none"/>
        </w:rPr>
        <w:t>4.中标或者成交供应商拒绝与采购人签订合同的，采购人应重新招标。</w:t>
      </w:r>
    </w:p>
    <w:p>
      <w:pPr>
        <w:spacing w:line="360" w:lineRule="auto"/>
        <w:ind w:firstLine="413" w:firstLineChars="196"/>
        <w:rPr>
          <w:rFonts w:ascii="宋体" w:hAnsi="宋体" w:cs="宋体"/>
          <w:b/>
          <w:color w:val="auto"/>
          <w:highlight w:val="none"/>
        </w:rPr>
      </w:pPr>
      <w:r>
        <w:rPr>
          <w:rFonts w:hint="eastAsia" w:ascii="宋体" w:hAnsi="宋体" w:cs="宋体"/>
          <w:b/>
          <w:color w:val="auto"/>
          <w:highlight w:val="none"/>
        </w:rPr>
        <w:t>九、履约验收：</w:t>
      </w:r>
    </w:p>
    <w:p>
      <w:pPr>
        <w:spacing w:before="120" w:beforeLines="50" w:after="120" w:afterLines="50" w:line="360" w:lineRule="auto"/>
        <w:ind w:firstLine="411" w:firstLineChars="196"/>
        <w:rPr>
          <w:rFonts w:ascii="宋体" w:hAnsi="宋体" w:cs="宋体"/>
          <w:color w:val="auto"/>
          <w:highlight w:val="none"/>
        </w:rPr>
      </w:pPr>
      <w:r>
        <w:rPr>
          <w:rFonts w:hint="eastAsia" w:ascii="宋体" w:hAnsi="宋体" w:cs="宋体"/>
          <w:bCs/>
          <w:color w:val="auto"/>
          <w:highlight w:val="none"/>
        </w:rPr>
        <w:t>采购人负责对中标供应商的履约行为进行验收。政府向社会公众提供的公共服务项目，验收时应当邀请服务对象参与并出具意见，验收结果应当向社会公告。</w:t>
      </w:r>
    </w:p>
    <w:p>
      <w:pPr>
        <w:pStyle w:val="2"/>
        <w:rPr>
          <w:rFonts w:ascii="宋体" w:cs="宋体"/>
          <w:color w:val="auto"/>
          <w:highlight w:val="none"/>
        </w:rPr>
        <w:sectPr>
          <w:pgSz w:w="11906" w:h="16838"/>
          <w:pgMar w:top="1474" w:right="1797" w:bottom="1247" w:left="1797" w:header="851" w:footer="851" w:gutter="0"/>
          <w:cols w:space="720" w:num="1"/>
          <w:titlePg/>
          <w:docGrid w:linePitch="312" w:charSpace="0"/>
        </w:sectPr>
      </w:pPr>
    </w:p>
    <w:bookmarkEnd w:id="98"/>
    <w:bookmarkEnd w:id="99"/>
    <w:bookmarkEnd w:id="100"/>
    <w:p>
      <w:pPr>
        <w:pStyle w:val="2"/>
        <w:rPr>
          <w:rFonts w:ascii="宋体" w:cs="宋体"/>
          <w:color w:val="auto"/>
          <w:highlight w:val="none"/>
        </w:rPr>
      </w:pPr>
      <w:bookmarkStart w:id="102" w:name="_Toc317116872"/>
      <w:bookmarkStart w:id="103" w:name="_Toc47388386"/>
      <w:bookmarkStart w:id="104" w:name="_Toc13023"/>
      <w:r>
        <w:rPr>
          <w:rFonts w:hint="eastAsia" w:ascii="宋体" w:cs="宋体"/>
          <w:color w:val="auto"/>
          <w:highlight w:val="none"/>
        </w:rPr>
        <w:t>第五章  合同主要条款</w:t>
      </w:r>
    </w:p>
    <w:p>
      <w:pPr>
        <w:rPr>
          <w:rFonts w:ascii="宋体" w:hAnsi="宋体" w:cs="宋体"/>
          <w:b/>
          <w:bCs/>
          <w:color w:val="auto"/>
          <w:highlight w:val="none"/>
        </w:rPr>
      </w:pPr>
    </w:p>
    <w:p>
      <w:pPr>
        <w:rPr>
          <w:rFonts w:ascii="宋体" w:hAnsi="宋体" w:cs="宋体"/>
          <w:b/>
          <w:bCs/>
          <w:color w:val="auto"/>
          <w:highlight w:val="none"/>
        </w:rPr>
      </w:pPr>
    </w:p>
    <w:p>
      <w:pPr>
        <w:spacing w:line="360" w:lineRule="auto"/>
        <w:rPr>
          <w:rFonts w:ascii="宋体" w:hAnsi="宋体" w:cs="宋体"/>
          <w:b/>
          <w:bCs/>
          <w:color w:val="auto"/>
          <w:sz w:val="32"/>
          <w:szCs w:val="32"/>
          <w:highlight w:val="none"/>
        </w:rPr>
      </w:pPr>
      <w:r>
        <w:rPr>
          <w:rFonts w:hint="eastAsia" w:ascii="宋体" w:hAnsi="宋体" w:cs="宋体"/>
          <w:b/>
          <w:bCs/>
          <w:color w:val="auto"/>
          <w:highlight w:val="none"/>
        </w:rPr>
        <w:t xml:space="preserve">合同编号： </w:t>
      </w:r>
      <w:r>
        <w:rPr>
          <w:rFonts w:hint="eastAsia" w:ascii="宋体" w:hAnsi="宋体" w:cs="宋体"/>
          <w:b/>
          <w:bCs/>
          <w:color w:val="auto"/>
          <w:sz w:val="32"/>
          <w:szCs w:val="32"/>
          <w:highlight w:val="none"/>
        </w:rPr>
        <w:t xml:space="preserve">                         </w:t>
      </w:r>
      <w:r>
        <w:rPr>
          <w:rFonts w:hint="eastAsia" w:ascii="宋体" w:hAnsi="宋体" w:cs="宋体"/>
          <w:b/>
          <w:bCs/>
          <w:color w:val="auto"/>
          <w:highlight w:val="none"/>
        </w:rPr>
        <w:t>签约地  ：丽水市莲都区</w:t>
      </w:r>
      <w:r>
        <w:rPr>
          <w:rFonts w:hint="eastAsia" w:ascii="宋体" w:hAnsi="宋体" w:cs="宋体"/>
          <w:b/>
          <w:bCs/>
          <w:color w:val="auto"/>
          <w:sz w:val="24"/>
          <w:szCs w:val="24"/>
          <w:highlight w:val="none"/>
        </w:rPr>
        <w:t xml:space="preserve">                                  </w:t>
      </w:r>
    </w:p>
    <w:p>
      <w:pPr>
        <w:spacing w:line="360" w:lineRule="auto"/>
        <w:rPr>
          <w:rFonts w:ascii="宋体" w:hAnsi="宋体" w:cs="宋体"/>
          <w:b/>
          <w:bCs/>
          <w:color w:val="auto"/>
          <w:highlight w:val="none"/>
        </w:rPr>
      </w:pPr>
      <w:r>
        <w:rPr>
          <w:rFonts w:hint="eastAsia" w:ascii="宋体" w:hAnsi="宋体" w:cs="宋体"/>
          <w:b/>
          <w:bCs/>
          <w:color w:val="auto"/>
          <w:highlight w:val="none"/>
        </w:rPr>
        <w:t>甲方（买方）：丽水市中心医院                      乙方（卖方）：</w:t>
      </w:r>
    </w:p>
    <w:p>
      <w:pPr>
        <w:pStyle w:val="19"/>
        <w:numPr>
          <w:ilvl w:val="0"/>
          <w:numId w:val="18"/>
        </w:numPr>
        <w:spacing w:line="340" w:lineRule="exact"/>
        <w:ind w:left="344" w:hanging="344" w:hangingChars="200"/>
        <w:rPr>
          <w:rFonts w:hAnsi="宋体"/>
          <w:color w:val="auto"/>
          <w:highlight w:val="none"/>
        </w:rPr>
      </w:pPr>
      <w:r>
        <w:rPr>
          <w:rFonts w:hint="eastAsia" w:hAnsi="宋体"/>
          <w:color w:val="auto"/>
          <w:highlight w:val="none"/>
        </w:rPr>
        <w:t>甲乙双方根据《中华人民共和国民典法》，在平等互利、协商一致的基础上，买方同意向卖方</w:t>
      </w:r>
    </w:p>
    <w:p>
      <w:pPr>
        <w:pStyle w:val="19"/>
        <w:spacing w:line="340" w:lineRule="exact"/>
        <w:ind w:left="209" w:leftChars="-228" w:hanging="688" w:hangingChars="400"/>
        <w:rPr>
          <w:rFonts w:hAnsi="宋体"/>
          <w:b/>
          <w:bCs/>
          <w:color w:val="auto"/>
          <w:highlight w:val="none"/>
        </w:rPr>
      </w:pPr>
      <w:r>
        <w:rPr>
          <w:rFonts w:hint="eastAsia" w:hAnsi="宋体"/>
          <w:color w:val="auto"/>
          <w:highlight w:val="none"/>
        </w:rPr>
        <w:t xml:space="preserve">        购买同时卖方同意授予买方以下设备（</w:t>
      </w:r>
      <w:r>
        <w:rPr>
          <w:rFonts w:hint="eastAsia" w:hAnsi="宋体"/>
          <w:b/>
          <w:bCs/>
          <w:color w:val="auto"/>
          <w:highlight w:val="none"/>
        </w:rPr>
        <w:t>以下设备器械均简称设备，设备名称、规格型号、品牌等必须按注册证上的名称填写</w:t>
      </w:r>
      <w:r>
        <w:rPr>
          <w:rFonts w:hint="eastAsia" w:hAnsi="宋体"/>
          <w:color w:val="auto"/>
          <w:highlight w:val="none"/>
        </w:rPr>
        <w:t>）：</w:t>
      </w:r>
    </w:p>
    <w:tbl>
      <w:tblPr>
        <w:tblStyle w:val="47"/>
        <w:tblW w:w="8820"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1216"/>
        <w:gridCol w:w="937"/>
        <w:gridCol w:w="727"/>
        <w:gridCol w:w="720"/>
        <w:gridCol w:w="720"/>
        <w:gridCol w:w="1260"/>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4" w:hRule="atLeast"/>
        </w:trPr>
        <w:tc>
          <w:tcPr>
            <w:tcW w:w="1440" w:type="dxa"/>
            <w:vAlign w:val="center"/>
          </w:tcPr>
          <w:p>
            <w:pPr>
              <w:spacing w:line="340" w:lineRule="exact"/>
              <w:jc w:val="center"/>
              <w:rPr>
                <w:rFonts w:ascii="宋体" w:hAnsi="宋体" w:cs="宋体"/>
                <w:b/>
                <w:bCs/>
                <w:color w:val="auto"/>
                <w:highlight w:val="none"/>
              </w:rPr>
            </w:pPr>
            <w:r>
              <w:rPr>
                <w:rFonts w:hint="eastAsia" w:ascii="宋体" w:hAnsi="宋体" w:cs="宋体"/>
                <w:b/>
                <w:bCs/>
                <w:color w:val="auto"/>
                <w:highlight w:val="none"/>
              </w:rPr>
              <w:t>设备名称</w:t>
            </w:r>
          </w:p>
        </w:tc>
        <w:tc>
          <w:tcPr>
            <w:tcW w:w="1216" w:type="dxa"/>
            <w:vAlign w:val="center"/>
          </w:tcPr>
          <w:p>
            <w:pPr>
              <w:spacing w:line="340" w:lineRule="exact"/>
              <w:jc w:val="center"/>
              <w:rPr>
                <w:rFonts w:ascii="宋体" w:hAnsi="宋体" w:cs="宋体"/>
                <w:b/>
                <w:bCs/>
                <w:color w:val="auto"/>
                <w:highlight w:val="none"/>
              </w:rPr>
            </w:pPr>
            <w:r>
              <w:rPr>
                <w:rFonts w:hint="eastAsia" w:ascii="宋体" w:hAnsi="宋体" w:cs="宋体"/>
                <w:b/>
                <w:bCs/>
                <w:color w:val="auto"/>
                <w:highlight w:val="none"/>
              </w:rPr>
              <w:t>规格型号</w:t>
            </w:r>
          </w:p>
        </w:tc>
        <w:tc>
          <w:tcPr>
            <w:tcW w:w="937" w:type="dxa"/>
            <w:vAlign w:val="center"/>
          </w:tcPr>
          <w:p>
            <w:pPr>
              <w:spacing w:line="340" w:lineRule="exact"/>
              <w:jc w:val="center"/>
              <w:rPr>
                <w:rFonts w:ascii="宋体" w:hAnsi="宋体" w:cs="宋体"/>
                <w:b/>
                <w:bCs/>
                <w:color w:val="auto"/>
                <w:highlight w:val="none"/>
              </w:rPr>
            </w:pPr>
            <w:r>
              <w:rPr>
                <w:rFonts w:hint="eastAsia" w:ascii="宋体" w:hAnsi="宋体" w:cs="宋体"/>
                <w:b/>
                <w:bCs/>
                <w:color w:val="auto"/>
                <w:highlight w:val="none"/>
              </w:rPr>
              <w:t>品牌</w:t>
            </w:r>
          </w:p>
        </w:tc>
        <w:tc>
          <w:tcPr>
            <w:tcW w:w="727" w:type="dxa"/>
            <w:vAlign w:val="center"/>
          </w:tcPr>
          <w:p>
            <w:pPr>
              <w:spacing w:line="340" w:lineRule="exact"/>
              <w:jc w:val="center"/>
              <w:rPr>
                <w:rFonts w:ascii="宋体" w:hAnsi="宋体" w:cs="宋体"/>
                <w:b/>
                <w:bCs/>
                <w:color w:val="auto"/>
                <w:highlight w:val="none"/>
              </w:rPr>
            </w:pPr>
            <w:r>
              <w:rPr>
                <w:rFonts w:hint="eastAsia" w:ascii="宋体" w:hAnsi="宋体" w:cs="宋体"/>
                <w:b/>
                <w:bCs/>
                <w:color w:val="auto"/>
                <w:highlight w:val="none"/>
              </w:rPr>
              <w:t>产地</w:t>
            </w:r>
          </w:p>
        </w:tc>
        <w:tc>
          <w:tcPr>
            <w:tcW w:w="720" w:type="dxa"/>
            <w:vAlign w:val="center"/>
          </w:tcPr>
          <w:p>
            <w:pPr>
              <w:spacing w:line="340" w:lineRule="exact"/>
              <w:jc w:val="center"/>
              <w:rPr>
                <w:rFonts w:ascii="宋体" w:hAnsi="宋体" w:cs="宋体"/>
                <w:b/>
                <w:bCs/>
                <w:color w:val="auto"/>
                <w:highlight w:val="none"/>
              </w:rPr>
            </w:pPr>
            <w:r>
              <w:rPr>
                <w:rFonts w:hint="eastAsia" w:ascii="宋体" w:hAnsi="宋体" w:cs="宋体"/>
                <w:b/>
                <w:bCs/>
                <w:color w:val="auto"/>
                <w:highlight w:val="none"/>
              </w:rPr>
              <w:t>数量</w:t>
            </w:r>
          </w:p>
        </w:tc>
        <w:tc>
          <w:tcPr>
            <w:tcW w:w="720" w:type="dxa"/>
            <w:vAlign w:val="center"/>
          </w:tcPr>
          <w:p>
            <w:pPr>
              <w:spacing w:line="340" w:lineRule="exact"/>
              <w:jc w:val="center"/>
              <w:rPr>
                <w:rFonts w:ascii="宋体" w:hAnsi="宋体" w:cs="宋体"/>
                <w:b/>
                <w:bCs/>
                <w:color w:val="auto"/>
                <w:highlight w:val="none"/>
              </w:rPr>
            </w:pPr>
            <w:r>
              <w:rPr>
                <w:rFonts w:hint="eastAsia" w:ascii="宋体" w:hAnsi="宋体" w:cs="宋体"/>
                <w:b/>
                <w:bCs/>
                <w:color w:val="auto"/>
                <w:highlight w:val="none"/>
              </w:rPr>
              <w:t>单位</w:t>
            </w:r>
          </w:p>
        </w:tc>
        <w:tc>
          <w:tcPr>
            <w:tcW w:w="1260" w:type="dxa"/>
            <w:vAlign w:val="center"/>
          </w:tcPr>
          <w:p>
            <w:pPr>
              <w:spacing w:line="340" w:lineRule="exact"/>
              <w:jc w:val="center"/>
              <w:rPr>
                <w:rFonts w:ascii="宋体" w:hAnsi="宋体" w:cs="宋体"/>
                <w:b/>
                <w:bCs/>
                <w:color w:val="auto"/>
                <w:highlight w:val="none"/>
              </w:rPr>
            </w:pPr>
            <w:r>
              <w:rPr>
                <w:rFonts w:hint="eastAsia" w:ascii="宋体" w:hAnsi="宋体" w:cs="宋体"/>
                <w:b/>
                <w:bCs/>
                <w:color w:val="auto"/>
                <w:highlight w:val="none"/>
              </w:rPr>
              <w:t>单价（元）</w:t>
            </w:r>
          </w:p>
        </w:tc>
        <w:tc>
          <w:tcPr>
            <w:tcW w:w="1800" w:type="dxa"/>
            <w:vAlign w:val="center"/>
          </w:tcPr>
          <w:p>
            <w:pPr>
              <w:spacing w:line="340" w:lineRule="exact"/>
              <w:jc w:val="center"/>
              <w:rPr>
                <w:rFonts w:ascii="宋体" w:hAnsi="宋体" w:cs="宋体"/>
                <w:b/>
                <w:bCs/>
                <w:color w:val="auto"/>
                <w:highlight w:val="none"/>
              </w:rPr>
            </w:pPr>
            <w:r>
              <w:rPr>
                <w:rFonts w:hint="eastAsia" w:ascii="宋体" w:hAnsi="宋体" w:cs="宋体"/>
                <w:b/>
                <w:bCs/>
                <w:color w:val="auto"/>
                <w:highlight w:val="none"/>
              </w:rPr>
              <w:t>总金额（元）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1440" w:type="dxa"/>
            <w:vAlign w:val="center"/>
          </w:tcPr>
          <w:p>
            <w:pPr>
              <w:spacing w:line="340" w:lineRule="exact"/>
              <w:jc w:val="center"/>
              <w:rPr>
                <w:rFonts w:ascii="宋体" w:hAnsi="宋体" w:cs="宋体"/>
                <w:color w:val="auto"/>
                <w:highlight w:val="none"/>
              </w:rPr>
            </w:pPr>
            <w:r>
              <w:rPr>
                <w:rFonts w:hint="eastAsia" w:ascii="宋体" w:hAnsi="宋体" w:cs="宋体"/>
                <w:b/>
                <w:bCs/>
                <w:color w:val="auto"/>
                <w:highlight w:val="none"/>
              </w:rPr>
              <w:t>（注册证上的名称）</w:t>
            </w:r>
          </w:p>
        </w:tc>
        <w:tc>
          <w:tcPr>
            <w:tcW w:w="1216" w:type="dxa"/>
            <w:vAlign w:val="center"/>
          </w:tcPr>
          <w:p>
            <w:pPr>
              <w:spacing w:line="340" w:lineRule="exact"/>
              <w:jc w:val="center"/>
              <w:rPr>
                <w:rFonts w:ascii="宋体" w:hAnsi="宋体" w:cs="宋体"/>
                <w:color w:val="auto"/>
                <w:highlight w:val="none"/>
              </w:rPr>
            </w:pPr>
          </w:p>
        </w:tc>
        <w:tc>
          <w:tcPr>
            <w:tcW w:w="937" w:type="dxa"/>
            <w:vAlign w:val="center"/>
          </w:tcPr>
          <w:p>
            <w:pPr>
              <w:spacing w:line="340" w:lineRule="exact"/>
              <w:jc w:val="center"/>
              <w:rPr>
                <w:rFonts w:ascii="宋体" w:hAnsi="宋体" w:cs="宋体"/>
                <w:color w:val="auto"/>
                <w:highlight w:val="none"/>
              </w:rPr>
            </w:pPr>
          </w:p>
        </w:tc>
        <w:tc>
          <w:tcPr>
            <w:tcW w:w="727" w:type="dxa"/>
            <w:vAlign w:val="center"/>
          </w:tcPr>
          <w:p>
            <w:pPr>
              <w:spacing w:line="340" w:lineRule="exact"/>
              <w:jc w:val="center"/>
              <w:rPr>
                <w:rFonts w:ascii="宋体" w:hAnsi="宋体" w:cs="宋体"/>
                <w:color w:val="auto"/>
                <w:highlight w:val="none"/>
              </w:rPr>
            </w:pPr>
          </w:p>
        </w:tc>
        <w:tc>
          <w:tcPr>
            <w:tcW w:w="720" w:type="dxa"/>
            <w:vAlign w:val="center"/>
          </w:tcPr>
          <w:p>
            <w:pPr>
              <w:spacing w:line="340" w:lineRule="exact"/>
              <w:jc w:val="center"/>
              <w:rPr>
                <w:rFonts w:ascii="宋体" w:hAnsi="宋体" w:cs="宋体"/>
                <w:color w:val="auto"/>
                <w:highlight w:val="none"/>
              </w:rPr>
            </w:pPr>
          </w:p>
        </w:tc>
        <w:tc>
          <w:tcPr>
            <w:tcW w:w="720" w:type="dxa"/>
            <w:vAlign w:val="center"/>
          </w:tcPr>
          <w:p>
            <w:pPr>
              <w:spacing w:line="340" w:lineRule="exact"/>
              <w:jc w:val="center"/>
              <w:rPr>
                <w:rFonts w:ascii="宋体" w:hAnsi="宋体" w:cs="宋体"/>
                <w:color w:val="auto"/>
                <w:highlight w:val="none"/>
              </w:rPr>
            </w:pPr>
          </w:p>
        </w:tc>
        <w:tc>
          <w:tcPr>
            <w:tcW w:w="1260" w:type="dxa"/>
            <w:vAlign w:val="center"/>
          </w:tcPr>
          <w:p>
            <w:pPr>
              <w:spacing w:line="340" w:lineRule="exact"/>
              <w:jc w:val="center"/>
              <w:rPr>
                <w:rFonts w:ascii="宋体" w:hAnsi="宋体" w:cs="宋体"/>
                <w:color w:val="auto"/>
                <w:highlight w:val="none"/>
              </w:rPr>
            </w:pPr>
          </w:p>
        </w:tc>
        <w:tc>
          <w:tcPr>
            <w:tcW w:w="1800" w:type="dxa"/>
            <w:vAlign w:val="center"/>
          </w:tcPr>
          <w:p>
            <w:pPr>
              <w:spacing w:line="340" w:lineRule="exact"/>
              <w:jc w:val="center"/>
              <w:rPr>
                <w:rFonts w:ascii="宋体" w:hAnsi="宋体" w:cs="宋体"/>
                <w:b/>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8820" w:type="dxa"/>
            <w:gridSpan w:val="8"/>
            <w:vAlign w:val="center"/>
          </w:tcPr>
          <w:p>
            <w:pPr>
              <w:spacing w:line="340" w:lineRule="exact"/>
              <w:rPr>
                <w:rFonts w:ascii="宋体" w:hAnsi="宋体" w:cs="宋体"/>
                <w:b/>
                <w:bCs/>
                <w:color w:val="auto"/>
                <w:highlight w:val="none"/>
              </w:rPr>
            </w:pPr>
            <w:r>
              <w:rPr>
                <w:rFonts w:hint="eastAsia" w:ascii="宋体" w:hAnsi="宋体" w:cs="宋体"/>
                <w:b/>
                <w:bCs/>
                <w:color w:val="auto"/>
                <w:highlight w:val="none"/>
              </w:rPr>
              <w:t>合计成交金额（大写）：  整(RMB)</w:t>
            </w:r>
          </w:p>
        </w:tc>
      </w:tr>
    </w:tbl>
    <w:p>
      <w:pPr>
        <w:spacing w:line="340" w:lineRule="exact"/>
        <w:ind w:firstLine="420" w:firstLineChars="200"/>
        <w:rPr>
          <w:rFonts w:ascii="宋体" w:hAnsi="宋体" w:cs="宋体"/>
          <w:color w:val="auto"/>
          <w:highlight w:val="none"/>
        </w:rPr>
      </w:pPr>
      <w:r>
        <w:rPr>
          <w:rFonts w:hint="eastAsia" w:ascii="宋体" w:hAnsi="宋体" w:cs="宋体"/>
          <w:color w:val="auto"/>
          <w:highlight w:val="none"/>
        </w:rPr>
        <w:t>本合同若有详细的双方签字的配置清单，请详见附件。</w:t>
      </w:r>
    </w:p>
    <w:p>
      <w:pPr>
        <w:spacing w:line="340" w:lineRule="exact"/>
        <w:ind w:firstLine="210" w:firstLineChars="100"/>
        <w:rPr>
          <w:rFonts w:ascii="宋体" w:hAnsi="宋体" w:cs="宋体"/>
          <w:color w:val="auto"/>
          <w:highlight w:val="none"/>
        </w:rPr>
      </w:pPr>
      <w:r>
        <w:rPr>
          <w:rFonts w:hint="eastAsia" w:ascii="宋体" w:hAnsi="宋体" w:cs="宋体"/>
          <w:color w:val="auto"/>
          <w:highlight w:val="none"/>
        </w:rPr>
        <w:t>（医疗器械产品注册证号：</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注册证有效期：</w:t>
      </w:r>
      <w:r>
        <w:rPr>
          <w:rFonts w:hint="eastAsia" w:ascii="宋体" w:hAnsi="宋体" w:cs="宋体"/>
          <w:color w:val="auto"/>
          <w:highlight w:val="none"/>
          <w:u w:val="single"/>
        </w:rPr>
        <w:t xml:space="preserve">                </w:t>
      </w:r>
      <w:r>
        <w:rPr>
          <w:rFonts w:hint="eastAsia" w:ascii="宋体" w:hAnsi="宋体" w:cs="宋体"/>
          <w:color w:val="auto"/>
          <w:highlight w:val="none"/>
        </w:rPr>
        <w:t>）</w:t>
      </w:r>
    </w:p>
    <w:p>
      <w:pPr>
        <w:spacing w:line="340" w:lineRule="exact"/>
        <w:ind w:left="358" w:hanging="358" w:hangingChars="170"/>
        <w:rPr>
          <w:rFonts w:ascii="宋体" w:hAnsi="宋体" w:cs="宋体"/>
          <w:b/>
          <w:bCs/>
          <w:color w:val="auto"/>
          <w:highlight w:val="none"/>
        </w:rPr>
      </w:pPr>
      <w:r>
        <w:rPr>
          <w:rFonts w:hint="eastAsia" w:ascii="宋体" w:hAnsi="宋体" w:cs="宋体"/>
          <w:b/>
          <w:bCs/>
          <w:color w:val="auto"/>
          <w:highlight w:val="none"/>
        </w:rPr>
        <w:t xml:space="preserve">2. 设备的交付期 </w:t>
      </w:r>
      <w:r>
        <w:rPr>
          <w:rFonts w:hint="eastAsia" w:ascii="宋体" w:hAnsi="宋体" w:cs="宋体"/>
          <w:color w:val="auto"/>
          <w:highlight w:val="none"/>
        </w:rPr>
        <w:t>乙方在合同生效的</w:t>
      </w:r>
      <w:r>
        <w:rPr>
          <w:rFonts w:hint="eastAsia" w:ascii="宋体" w:hAnsi="宋体" w:cs="宋体"/>
          <w:color w:val="auto"/>
          <w:highlight w:val="none"/>
          <w:u w:val="single"/>
        </w:rPr>
        <w:t xml:space="preserve">   </w:t>
      </w:r>
      <w:r>
        <w:rPr>
          <w:rFonts w:hint="eastAsia" w:ascii="宋体" w:hAnsi="宋体" w:cs="宋体"/>
          <w:color w:val="auto"/>
          <w:highlight w:val="none"/>
        </w:rPr>
        <w:t>天内送货至甲方指定地点向甲方交付上述设备，逾期将按照第7条规定执行。</w:t>
      </w:r>
    </w:p>
    <w:p>
      <w:pPr>
        <w:spacing w:line="340" w:lineRule="exact"/>
        <w:rPr>
          <w:rFonts w:ascii="宋体" w:hAnsi="宋体" w:cs="宋体"/>
          <w:b/>
          <w:bCs/>
          <w:color w:val="auto"/>
          <w:highlight w:val="none"/>
        </w:rPr>
      </w:pPr>
      <w:r>
        <w:rPr>
          <w:rFonts w:hint="eastAsia" w:ascii="宋体" w:hAnsi="宋体" w:cs="宋体"/>
          <w:b/>
          <w:bCs/>
          <w:color w:val="auto"/>
          <w:highlight w:val="none"/>
        </w:rPr>
        <w:t>3. 设备运输、安装和验收</w:t>
      </w:r>
    </w:p>
    <w:p>
      <w:pPr>
        <w:spacing w:line="340" w:lineRule="exact"/>
        <w:ind w:left="359" w:leftChars="171"/>
        <w:rPr>
          <w:rFonts w:ascii="宋体" w:hAnsi="宋体" w:cs="宋体"/>
          <w:color w:val="auto"/>
          <w:highlight w:val="none"/>
        </w:rPr>
      </w:pPr>
      <w:r>
        <w:rPr>
          <w:rFonts w:hint="eastAsia" w:ascii="宋体" w:hAnsi="宋体" w:cs="宋体"/>
          <w:color w:val="auto"/>
          <w:highlight w:val="none"/>
        </w:rPr>
        <w:t xml:space="preserve">3.1乙方确保设备安全无损地运抵甲方指定现场,并承担设备的运费、保险费等费用，装卸费由乙方承担。  </w:t>
      </w:r>
    </w:p>
    <w:p>
      <w:pPr>
        <w:spacing w:line="340" w:lineRule="exact"/>
        <w:ind w:left="359" w:leftChars="171"/>
        <w:rPr>
          <w:rFonts w:ascii="宋体" w:hAnsi="宋体" w:cs="宋体"/>
          <w:color w:val="auto"/>
          <w:highlight w:val="none"/>
        </w:rPr>
      </w:pPr>
      <w:r>
        <w:rPr>
          <w:rFonts w:hint="eastAsia" w:ascii="宋体" w:hAnsi="宋体" w:cs="宋体"/>
          <w:color w:val="auto"/>
          <w:highlight w:val="none"/>
        </w:rPr>
        <w:t>3.2甲乙双方对设备进行开箱清点检查验收，如果发现数量不足、品牌规格不符或有质量、技术等问题，乙方应在</w:t>
      </w:r>
      <w:r>
        <w:rPr>
          <w:rFonts w:hint="eastAsia" w:ascii="宋体" w:hAnsi="宋体" w:cs="宋体"/>
          <w:color w:val="auto"/>
          <w:highlight w:val="none"/>
          <w:u w:val="single"/>
        </w:rPr>
        <w:t xml:space="preserve">   </w:t>
      </w:r>
      <w:r>
        <w:rPr>
          <w:rFonts w:hint="eastAsia" w:ascii="宋体" w:hAnsi="宋体" w:cs="宋体"/>
          <w:color w:val="auto"/>
          <w:highlight w:val="none"/>
        </w:rPr>
        <w:t>天内，按照甲方的要求，采取补足、更换或退货等处理措施，并承担由此发生的一切损失和费用。</w:t>
      </w:r>
    </w:p>
    <w:p>
      <w:pPr>
        <w:spacing w:line="340" w:lineRule="exact"/>
        <w:ind w:left="359" w:leftChars="171"/>
        <w:rPr>
          <w:rFonts w:ascii="宋体" w:hAnsi="宋体" w:cs="宋体"/>
          <w:color w:val="auto"/>
          <w:highlight w:val="none"/>
        </w:rPr>
      </w:pPr>
      <w:r>
        <w:rPr>
          <w:rFonts w:hint="eastAsia" w:ascii="宋体" w:hAnsi="宋体" w:cs="宋体"/>
          <w:color w:val="auto"/>
          <w:highlight w:val="none"/>
        </w:rPr>
        <w:t>3.3设备到货后，乙方应在接到甲方通知后</w:t>
      </w:r>
      <w:r>
        <w:rPr>
          <w:rFonts w:hint="eastAsia" w:ascii="宋体" w:hAnsi="宋体" w:cs="宋体"/>
          <w:color w:val="auto"/>
          <w:highlight w:val="none"/>
          <w:u w:val="single"/>
        </w:rPr>
        <w:t>3</w:t>
      </w:r>
      <w:r>
        <w:rPr>
          <w:rFonts w:hint="eastAsia" w:ascii="宋体" w:hAnsi="宋体" w:cs="宋体"/>
          <w:color w:val="auto"/>
          <w:highlight w:val="none"/>
        </w:rPr>
        <w:t>天内安装调试完成。</w:t>
      </w:r>
    </w:p>
    <w:p>
      <w:pPr>
        <w:spacing w:line="340" w:lineRule="exact"/>
        <w:ind w:left="359" w:leftChars="171"/>
        <w:rPr>
          <w:rFonts w:ascii="宋体" w:hAnsi="宋体" w:cs="宋体"/>
          <w:color w:val="auto"/>
          <w:highlight w:val="none"/>
        </w:rPr>
      </w:pPr>
      <w:r>
        <w:rPr>
          <w:rFonts w:hint="eastAsia" w:ascii="宋体" w:hAnsi="宋体" w:cs="宋体"/>
          <w:color w:val="auto"/>
          <w:highlight w:val="none"/>
        </w:rPr>
        <w:t>3.4甲、乙双方在符合国家相关技术标准的基础上，根据招标要求的技术标准进行技术验收，验收合格后，双方在甲方《丽水市中心医院医疗设备到货验收报告》上签字确认。</w:t>
      </w:r>
    </w:p>
    <w:p>
      <w:pPr>
        <w:spacing w:line="340" w:lineRule="exact"/>
        <w:ind w:left="359" w:leftChars="171"/>
        <w:rPr>
          <w:rFonts w:ascii="宋体" w:hAnsi="宋体" w:cs="宋体"/>
          <w:color w:val="auto"/>
          <w:highlight w:val="none"/>
        </w:rPr>
      </w:pPr>
      <w:r>
        <w:rPr>
          <w:rFonts w:hint="eastAsia" w:ascii="宋体" w:hAnsi="宋体" w:cs="宋体"/>
          <w:color w:val="auto"/>
          <w:highlight w:val="none"/>
        </w:rPr>
        <w:t>3.5若属强检计量设备，需提供有效的计量合格证书。</w:t>
      </w:r>
    </w:p>
    <w:p>
      <w:pPr>
        <w:spacing w:line="340" w:lineRule="exact"/>
        <w:rPr>
          <w:rFonts w:ascii="宋体" w:hAnsi="宋体" w:cs="宋体"/>
          <w:b/>
          <w:bCs/>
          <w:color w:val="auto"/>
          <w:highlight w:val="none"/>
        </w:rPr>
      </w:pPr>
      <w:r>
        <w:rPr>
          <w:rFonts w:hint="eastAsia" w:ascii="宋体" w:hAnsi="宋体" w:cs="宋体"/>
          <w:b/>
          <w:bCs/>
          <w:color w:val="auto"/>
          <w:highlight w:val="none"/>
        </w:rPr>
        <w:t>4</w:t>
      </w:r>
      <w:r>
        <w:rPr>
          <w:rFonts w:hint="eastAsia" w:ascii="宋体" w:hAnsi="宋体" w:cs="宋体"/>
          <w:color w:val="auto"/>
          <w:highlight w:val="none"/>
        </w:rPr>
        <w:t>.</w:t>
      </w:r>
      <w:r>
        <w:rPr>
          <w:rFonts w:hint="eastAsia" w:ascii="宋体" w:hAnsi="宋体" w:cs="宋体"/>
          <w:b/>
          <w:bCs/>
          <w:color w:val="auto"/>
          <w:highlight w:val="none"/>
        </w:rPr>
        <w:t>付款方式</w:t>
      </w:r>
    </w:p>
    <w:p>
      <w:pPr>
        <w:ind w:leftChars="200"/>
        <w:rPr>
          <w:rFonts w:ascii="宋体" w:hAnsi="宋体" w:cs="宋体"/>
          <w:color w:val="auto"/>
          <w:highlight w:val="none"/>
        </w:rPr>
      </w:pPr>
      <w:r>
        <w:rPr>
          <w:rFonts w:hint="eastAsia" w:asciiTheme="minorEastAsia" w:hAnsiTheme="minorEastAsia" w:eastAsiaTheme="minorEastAsia"/>
          <w:color w:val="auto"/>
          <w:highlight w:val="none"/>
        </w:rPr>
        <w:t>4.1合同生效并具备实施条件后，采购人收到供应商预付款保函后7个工作日内支付合同金额的40%作为预付款</w:t>
      </w:r>
      <w:r>
        <w:rPr>
          <w:rFonts w:hint="eastAsia" w:ascii="宋体" w:hAnsi="宋体" w:cs="宋体"/>
          <w:color w:val="auto"/>
          <w:highlight w:val="none"/>
        </w:rPr>
        <w:t>；</w:t>
      </w:r>
    </w:p>
    <w:p>
      <w:pPr>
        <w:ind w:leftChars="200"/>
        <w:rPr>
          <w:rFonts w:ascii="宋体" w:hAnsi="宋体" w:cs="宋体"/>
          <w:color w:val="auto"/>
          <w:highlight w:val="none"/>
        </w:rPr>
      </w:pPr>
      <w:r>
        <w:rPr>
          <w:rFonts w:hint="eastAsia" w:ascii="宋体" w:hAnsi="宋体" w:cs="宋体"/>
          <w:color w:val="auto"/>
          <w:highlight w:val="none"/>
        </w:rPr>
        <w:t>4.2项目验收合格并收到中标人正式发票之日起7个工作日内一次性付清合同款。</w:t>
      </w:r>
    </w:p>
    <w:p>
      <w:pPr>
        <w:ind w:leftChars="200"/>
        <w:rPr>
          <w:rFonts w:ascii="宋体" w:hAnsi="宋体" w:cs="宋体"/>
          <w:color w:val="auto"/>
          <w:highlight w:val="none"/>
        </w:rPr>
      </w:pPr>
      <w:r>
        <w:rPr>
          <w:rFonts w:hint="eastAsia" w:ascii="宋体" w:hAnsi="宋体" w:cs="宋体"/>
          <w:color w:val="auto"/>
          <w:highlight w:val="none"/>
        </w:rPr>
        <w:t>乙方应在甲方验收完成时向甲方提供合同总价的增值税发票，逾期开具，甲方付款时间顺延。</w:t>
      </w:r>
    </w:p>
    <w:p>
      <w:pPr>
        <w:ind w:firstLine="420" w:firstLineChars="200"/>
        <w:rPr>
          <w:rFonts w:ascii="宋体" w:hAnsi="宋体" w:cs="宋体"/>
          <w:color w:val="auto"/>
          <w:highlight w:val="none"/>
        </w:rPr>
      </w:pPr>
      <w:r>
        <w:rPr>
          <w:rFonts w:hint="eastAsia" w:ascii="宋体" w:hAnsi="宋体" w:cs="宋体"/>
          <w:color w:val="auto"/>
          <w:highlight w:val="none"/>
        </w:rPr>
        <w:t>乙方帐户：</w:t>
      </w:r>
      <w:r>
        <w:rPr>
          <w:rFonts w:hint="eastAsia" w:ascii="宋体" w:hAnsi="宋体" w:cs="宋体"/>
          <w:color w:val="auto"/>
          <w:highlight w:val="none"/>
        </w:rPr>
        <w:tab/>
      </w:r>
    </w:p>
    <w:p>
      <w:pPr>
        <w:tabs>
          <w:tab w:val="left" w:pos="90"/>
          <w:tab w:val="left" w:pos="340"/>
        </w:tabs>
        <w:autoSpaceDE w:val="0"/>
        <w:autoSpaceDN w:val="0"/>
        <w:adjustRightInd w:val="0"/>
        <w:snapToGrid w:val="0"/>
        <w:ind w:leftChars="200"/>
        <w:jc w:val="left"/>
        <w:rPr>
          <w:rFonts w:ascii="宋体" w:hAnsi="宋体" w:cs="宋体"/>
          <w:color w:val="auto"/>
          <w:highlight w:val="none"/>
        </w:rPr>
      </w:pPr>
      <w:r>
        <w:rPr>
          <w:rFonts w:hint="eastAsia" w:ascii="宋体" w:hAnsi="宋体" w:cs="宋体"/>
          <w:color w:val="auto"/>
          <w:highlight w:val="none"/>
        </w:rPr>
        <w:t xml:space="preserve">单位全称：                  </w:t>
      </w:r>
    </w:p>
    <w:p>
      <w:pPr>
        <w:tabs>
          <w:tab w:val="left" w:pos="90"/>
          <w:tab w:val="left" w:pos="340"/>
          <w:tab w:val="left" w:pos="2551"/>
        </w:tabs>
        <w:autoSpaceDE w:val="0"/>
        <w:autoSpaceDN w:val="0"/>
        <w:adjustRightInd w:val="0"/>
        <w:snapToGrid w:val="0"/>
        <w:ind w:leftChars="200"/>
        <w:jc w:val="left"/>
        <w:rPr>
          <w:rFonts w:ascii="宋体" w:hAnsi="宋体" w:cs="宋体"/>
          <w:color w:val="auto"/>
          <w:highlight w:val="none"/>
        </w:rPr>
      </w:pPr>
      <w:r>
        <w:rPr>
          <w:rFonts w:hint="eastAsia" w:ascii="宋体" w:hAnsi="宋体" w:cs="宋体"/>
          <w:color w:val="auto"/>
          <w:highlight w:val="none"/>
        </w:rPr>
        <w:t xml:space="preserve">开 户 行：                  </w:t>
      </w:r>
    </w:p>
    <w:p>
      <w:pPr>
        <w:tabs>
          <w:tab w:val="center" w:pos="4613"/>
        </w:tabs>
        <w:autoSpaceDE w:val="0"/>
        <w:autoSpaceDN w:val="0"/>
        <w:adjustRightInd w:val="0"/>
        <w:snapToGrid w:val="0"/>
        <w:ind w:leftChars="200"/>
        <w:jc w:val="left"/>
        <w:rPr>
          <w:rFonts w:ascii="宋体" w:hAnsi="宋体" w:cs="宋体"/>
          <w:color w:val="auto"/>
          <w:highlight w:val="none"/>
        </w:rPr>
      </w:pPr>
      <w:r>
        <w:rPr>
          <w:rFonts w:hint="eastAsia" w:ascii="宋体" w:hAnsi="宋体" w:cs="宋体"/>
          <w:color w:val="auto"/>
          <w:highlight w:val="none"/>
        </w:rPr>
        <w:t xml:space="preserve">银行帐号：                  </w:t>
      </w:r>
    </w:p>
    <w:p>
      <w:pPr>
        <w:spacing w:line="340" w:lineRule="exact"/>
        <w:rPr>
          <w:rFonts w:ascii="宋体" w:hAnsi="宋体" w:cs="宋体"/>
          <w:b/>
          <w:bCs/>
          <w:color w:val="auto"/>
          <w:highlight w:val="none"/>
        </w:rPr>
      </w:pPr>
      <w:r>
        <w:rPr>
          <w:rFonts w:hint="eastAsia" w:ascii="宋体" w:hAnsi="宋体" w:cs="宋体"/>
          <w:b/>
          <w:bCs/>
          <w:color w:val="auto"/>
          <w:highlight w:val="none"/>
        </w:rPr>
        <w:t>5.伴随服务</w:t>
      </w:r>
    </w:p>
    <w:p>
      <w:pPr>
        <w:spacing w:line="340" w:lineRule="exact"/>
        <w:ind w:left="428" w:leftChars="172" w:hanging="67" w:hangingChars="32"/>
        <w:rPr>
          <w:rFonts w:ascii="宋体" w:hAnsi="宋体" w:cs="宋体"/>
          <w:b/>
          <w:bCs/>
          <w:color w:val="auto"/>
          <w:highlight w:val="none"/>
        </w:rPr>
      </w:pPr>
      <w:r>
        <w:rPr>
          <w:rFonts w:hint="eastAsia" w:ascii="宋体" w:hAnsi="宋体" w:cs="宋体"/>
          <w:color w:val="auto"/>
          <w:highlight w:val="none"/>
        </w:rPr>
        <w:t>5.1乙方应提供设备的技术文件，包括</w:t>
      </w:r>
      <w:r>
        <w:rPr>
          <w:rFonts w:hint="eastAsia" w:ascii="宋体" w:hAnsi="宋体" w:cs="宋体"/>
          <w:color w:val="auto"/>
          <w:kern w:val="0"/>
          <w:highlight w:val="none"/>
        </w:rPr>
        <w:t>合格证明文件、</w:t>
      </w:r>
      <w:r>
        <w:rPr>
          <w:rFonts w:hint="eastAsia" w:ascii="宋体" w:hAnsi="宋体" w:cs="宋体"/>
          <w:color w:val="auto"/>
          <w:highlight w:val="none"/>
        </w:rPr>
        <w:t>中文说明书（纸质两份）、中文说明书（电子版）、符合监管要求的中文标签</w:t>
      </w:r>
      <w:r>
        <w:rPr>
          <w:rFonts w:hint="eastAsia" w:ascii="宋体" w:hAnsi="宋体" w:cs="宋体"/>
          <w:color w:val="auto"/>
          <w:kern w:val="0"/>
          <w:highlight w:val="none"/>
        </w:rPr>
        <w:t>、</w:t>
      </w:r>
      <w:r>
        <w:rPr>
          <w:rFonts w:hint="eastAsia" w:ascii="宋体" w:hAnsi="宋体" w:cs="宋体"/>
          <w:color w:val="auto"/>
          <w:highlight w:val="none"/>
        </w:rPr>
        <w:t>维护手册、维修手册、故障代码表、软件备份、备件清单、零部件等维护维修必需的材料和信息。</w:t>
      </w:r>
    </w:p>
    <w:p>
      <w:pPr>
        <w:spacing w:line="340" w:lineRule="exact"/>
        <w:ind w:firstLine="359" w:firstLineChars="171"/>
        <w:rPr>
          <w:rFonts w:ascii="宋体" w:hAnsi="宋体" w:cs="宋体"/>
          <w:color w:val="auto"/>
          <w:highlight w:val="none"/>
        </w:rPr>
      </w:pPr>
      <w:r>
        <w:rPr>
          <w:rFonts w:hint="eastAsia" w:ascii="宋体" w:hAnsi="宋体" w:cs="宋体"/>
          <w:color w:val="auto"/>
          <w:highlight w:val="none"/>
        </w:rPr>
        <w:t>5.2乙方还应免费提供下列服务：</w:t>
      </w:r>
    </w:p>
    <w:p>
      <w:pPr>
        <w:numPr>
          <w:ilvl w:val="0"/>
          <w:numId w:val="7"/>
        </w:numPr>
        <w:tabs>
          <w:tab w:val="left" w:pos="1152"/>
        </w:tabs>
        <w:spacing w:line="340" w:lineRule="exact"/>
        <w:ind w:left="1152" w:hanging="720"/>
        <w:rPr>
          <w:rFonts w:ascii="宋体" w:hAnsi="宋体" w:cs="宋体"/>
          <w:color w:val="auto"/>
          <w:highlight w:val="none"/>
        </w:rPr>
      </w:pPr>
      <w:r>
        <w:rPr>
          <w:rFonts w:hint="eastAsia" w:ascii="宋体" w:hAnsi="宋体" w:cs="宋体"/>
          <w:color w:val="auto"/>
          <w:highlight w:val="none"/>
        </w:rPr>
        <w:t>设备的现场安装和调试；</w:t>
      </w:r>
    </w:p>
    <w:p>
      <w:pPr>
        <w:numPr>
          <w:ilvl w:val="0"/>
          <w:numId w:val="7"/>
        </w:numPr>
        <w:tabs>
          <w:tab w:val="left" w:pos="1152"/>
        </w:tabs>
        <w:spacing w:line="340" w:lineRule="exact"/>
        <w:ind w:left="1152" w:hanging="720"/>
        <w:rPr>
          <w:rFonts w:ascii="宋体" w:hAnsi="宋体" w:cs="宋体"/>
          <w:color w:val="auto"/>
          <w:highlight w:val="none"/>
        </w:rPr>
      </w:pPr>
      <w:r>
        <w:rPr>
          <w:rFonts w:hint="eastAsia" w:ascii="宋体" w:hAnsi="宋体" w:cs="宋体"/>
          <w:color w:val="auto"/>
          <w:highlight w:val="none"/>
        </w:rPr>
        <w:t>提供设备安装和维修所需的专用工具和辅助材料；</w:t>
      </w:r>
    </w:p>
    <w:p>
      <w:pPr>
        <w:numPr>
          <w:ilvl w:val="0"/>
          <w:numId w:val="7"/>
        </w:numPr>
        <w:tabs>
          <w:tab w:val="left" w:pos="1152"/>
        </w:tabs>
        <w:spacing w:line="340" w:lineRule="exact"/>
        <w:ind w:left="1152" w:hanging="720"/>
        <w:rPr>
          <w:rFonts w:ascii="宋体" w:hAnsi="宋体" w:cs="宋体"/>
          <w:color w:val="auto"/>
          <w:highlight w:val="none"/>
        </w:rPr>
      </w:pPr>
      <w:r>
        <w:rPr>
          <w:rFonts w:hint="eastAsia" w:ascii="宋体" w:hAnsi="宋体" w:cs="宋体"/>
          <w:color w:val="auto"/>
          <w:highlight w:val="none"/>
        </w:rPr>
        <w:t>乙方应派专业技术人员在项目现场对甲方使用人员和和维修人员进行免费培训及考核，提供培训资料，在使用一段时间后可根据甲方的要求另行安排免费培训计划。</w:t>
      </w:r>
    </w:p>
    <w:p>
      <w:pPr>
        <w:spacing w:line="340" w:lineRule="exact"/>
        <w:rPr>
          <w:rFonts w:ascii="宋体" w:hAnsi="宋体" w:cs="宋体"/>
          <w:color w:val="auto"/>
          <w:highlight w:val="none"/>
        </w:rPr>
      </w:pPr>
      <w:r>
        <w:rPr>
          <w:rFonts w:hint="eastAsia" w:ascii="宋体" w:hAnsi="宋体" w:cs="宋体"/>
          <w:b/>
          <w:bCs/>
          <w:color w:val="auto"/>
          <w:highlight w:val="none"/>
        </w:rPr>
        <w:t>6.质量保证及售后服务</w:t>
      </w:r>
    </w:p>
    <w:p>
      <w:pPr>
        <w:spacing w:line="340" w:lineRule="exact"/>
        <w:ind w:left="357" w:leftChars="170" w:firstLine="1"/>
        <w:rPr>
          <w:rFonts w:ascii="宋体" w:hAnsi="宋体" w:cs="宋体"/>
          <w:color w:val="auto"/>
          <w:highlight w:val="none"/>
        </w:rPr>
      </w:pPr>
      <w:r>
        <w:rPr>
          <w:rFonts w:hint="eastAsia" w:ascii="宋体" w:hAnsi="宋体" w:cs="宋体"/>
          <w:color w:val="auto"/>
          <w:highlight w:val="none"/>
        </w:rPr>
        <w:t>6.1乙方应保证所供设备是在</w:t>
      </w:r>
      <w:r>
        <w:rPr>
          <w:rFonts w:hint="eastAsia" w:ascii="宋体" w:hAnsi="宋体" w:cs="宋体"/>
          <w:color w:val="auto"/>
          <w:highlight w:val="none"/>
          <w:u w:val="single"/>
        </w:rPr>
        <w:t xml:space="preserve">   </w:t>
      </w:r>
      <w:r>
        <w:rPr>
          <w:rFonts w:hint="eastAsia" w:ascii="宋体" w:hAnsi="宋体" w:cs="宋体"/>
          <w:color w:val="auto"/>
          <w:highlight w:val="none"/>
        </w:rPr>
        <w:t>（年月）后生产的全新的、未使用过的，并符合国家有关标准、制造厂标准及合同技术标准要求。设备使用期限为：      年（设备铭牌或者说明书上标明的使用期限）。如果设备的型号、产地、数量、质量及生产日期(出厂日与到货期间隔不超过一年)等不符，或证实设备是有缺陷的，包括潜在的缺陷或使用不符合要求的材料等，乙方应在接到甲方通知后7天内负责采用符合合同规定的规格、质量和性能等要求的新零件、部件或设备来更换有缺陷的部分或修补缺陷部分，其费用由乙方负担。同时，乙方应按本合同规定，相应延长修补或更换件的质量保证期。</w:t>
      </w:r>
    </w:p>
    <w:p>
      <w:pPr>
        <w:spacing w:line="340" w:lineRule="exact"/>
        <w:ind w:left="357" w:leftChars="170"/>
        <w:rPr>
          <w:rFonts w:ascii="宋体" w:hAnsi="宋体" w:cs="宋体"/>
          <w:color w:val="auto"/>
          <w:highlight w:val="none"/>
        </w:rPr>
      </w:pPr>
      <w:r>
        <w:rPr>
          <w:rFonts w:hint="eastAsia" w:ascii="宋体" w:hAnsi="宋体" w:cs="宋体"/>
          <w:color w:val="auto"/>
          <w:highlight w:val="none"/>
        </w:rPr>
        <w:t>6.2乙方应提供保修期</w:t>
      </w:r>
      <w:r>
        <w:rPr>
          <w:rFonts w:hint="eastAsia" w:ascii="宋体" w:hAnsi="宋体" w:cs="宋体"/>
          <w:color w:val="auto"/>
          <w:highlight w:val="none"/>
          <w:u w:val="single"/>
        </w:rPr>
        <w:t xml:space="preserve">    </w:t>
      </w:r>
      <w:r>
        <w:rPr>
          <w:rFonts w:hint="eastAsia" w:ascii="宋体" w:hAnsi="宋体" w:cs="宋体"/>
          <w:color w:val="auto"/>
          <w:highlight w:val="none"/>
        </w:rPr>
        <w:t>个月（保修截止期按照院方的验收报告确定），保修期的期限应以甲乙双方的验收合格之日起计算，保修期内零配件更换及人工等费用由乙方承担，甲方不承担任何费用，相应的检查、维护保养等由乙方按说明书的要求进行，年度定期预防性维护保养次数不少于</w:t>
      </w:r>
      <w:r>
        <w:rPr>
          <w:rFonts w:hint="eastAsia" w:ascii="宋体" w:hAnsi="宋体" w:cs="宋体"/>
          <w:color w:val="auto"/>
          <w:highlight w:val="none"/>
          <w:u w:val="single"/>
        </w:rPr>
        <w:t xml:space="preserve">   </w:t>
      </w:r>
      <w:r>
        <w:rPr>
          <w:rFonts w:hint="eastAsia" w:ascii="宋体" w:hAnsi="宋体" w:cs="宋体"/>
          <w:color w:val="auto"/>
          <w:highlight w:val="none"/>
        </w:rPr>
        <w:t>次，乙方应及时提供详细的维修维护报告，维修维护后的设备性能状态应达到相关的质量标准及使用安全标准，乙方在保修期内故障天数不得超过12个工作日／年，如开机率达不到要求，每超过1个工作日保修期相应延长5个工作日。保质期内因设备本身缺陷造成各种故障应由卖方免费技术服务和维修。</w:t>
      </w:r>
    </w:p>
    <w:p>
      <w:pPr>
        <w:spacing w:line="340" w:lineRule="exact"/>
        <w:ind w:left="357" w:leftChars="170" w:firstLine="1"/>
        <w:rPr>
          <w:rFonts w:ascii="宋体" w:hAnsi="宋体" w:cs="宋体"/>
          <w:color w:val="auto"/>
          <w:highlight w:val="none"/>
        </w:rPr>
      </w:pPr>
      <w:r>
        <w:rPr>
          <w:rFonts w:hint="eastAsia" w:ascii="宋体" w:hAnsi="宋体" w:cs="宋体"/>
          <w:color w:val="auto"/>
          <w:highlight w:val="none"/>
        </w:rPr>
        <w:t>6.3报修响应时间</w:t>
      </w:r>
      <w:r>
        <w:rPr>
          <w:rFonts w:hint="eastAsia" w:ascii="宋体" w:hAnsi="宋体" w:cs="宋体"/>
          <w:color w:val="auto"/>
          <w:highlight w:val="none"/>
          <w:u w:val="single"/>
        </w:rPr>
        <w:t xml:space="preserve">  </w:t>
      </w:r>
      <w:r>
        <w:rPr>
          <w:rFonts w:hint="eastAsia" w:ascii="宋体" w:hAnsi="宋体" w:cs="宋体"/>
          <w:color w:val="auto"/>
          <w:highlight w:val="none"/>
        </w:rPr>
        <w:t>小时，到场时间</w:t>
      </w:r>
      <w:r>
        <w:rPr>
          <w:rFonts w:hint="eastAsia" w:ascii="宋体" w:hAnsi="宋体" w:cs="宋体"/>
          <w:color w:val="auto"/>
          <w:highlight w:val="none"/>
          <w:u w:val="single"/>
        </w:rPr>
        <w:t xml:space="preserve">   </w:t>
      </w:r>
      <w:r>
        <w:rPr>
          <w:rFonts w:hint="eastAsia" w:ascii="宋体" w:hAnsi="宋体" w:cs="宋体"/>
          <w:color w:val="auto"/>
          <w:highlight w:val="none"/>
        </w:rPr>
        <w:t>小时（不可抗因素除外）</w:t>
      </w:r>
    </w:p>
    <w:p>
      <w:pPr>
        <w:spacing w:line="340" w:lineRule="exact"/>
        <w:ind w:left="357" w:leftChars="170" w:firstLine="1"/>
        <w:rPr>
          <w:rFonts w:ascii="宋体" w:hAnsi="宋体" w:cs="宋体"/>
          <w:color w:val="auto"/>
          <w:highlight w:val="none"/>
        </w:rPr>
      </w:pPr>
      <w:r>
        <w:rPr>
          <w:rFonts w:hint="eastAsia" w:ascii="宋体" w:hAnsi="宋体" w:cs="宋体"/>
          <w:color w:val="auto"/>
          <w:highlight w:val="none"/>
        </w:rPr>
        <w:t>6.4保修期满后的服务：</w:t>
      </w:r>
    </w:p>
    <w:p>
      <w:pPr>
        <w:spacing w:line="340" w:lineRule="exact"/>
        <w:ind w:left="357" w:leftChars="170" w:firstLine="1"/>
        <w:rPr>
          <w:rFonts w:ascii="宋体" w:hAnsi="宋体" w:cs="宋体"/>
          <w:color w:val="auto"/>
          <w:highlight w:val="none"/>
        </w:rPr>
      </w:pPr>
      <w:r>
        <w:rPr>
          <w:rFonts w:hint="eastAsia" w:ascii="宋体" w:hAnsi="宋体" w:cs="宋体"/>
          <w:color w:val="auto"/>
          <w:highlight w:val="none"/>
        </w:rPr>
        <w:t>6.4.1乙方负责设备的终身维修并应继续提供优质的服务，储备足够的零配件备库。保修期满后，以不高于</w:t>
      </w:r>
      <w:r>
        <w:rPr>
          <w:rFonts w:hint="eastAsia" w:ascii="宋体" w:hAnsi="宋体" w:cs="宋体"/>
          <w:color w:val="auto"/>
          <w:highlight w:val="none"/>
          <w:u w:val="single"/>
        </w:rPr>
        <w:t xml:space="preserve">  %</w:t>
      </w:r>
      <w:r>
        <w:rPr>
          <w:rFonts w:hint="eastAsia" w:ascii="宋体" w:hAnsi="宋体" w:cs="宋体"/>
          <w:color w:val="auto"/>
          <w:highlight w:val="none"/>
        </w:rPr>
        <w:t>的优惠价供应维修零配件，消耗品的供应应由双方另设协议确定。</w:t>
      </w:r>
    </w:p>
    <w:p>
      <w:pPr>
        <w:spacing w:line="340" w:lineRule="exact"/>
        <w:ind w:left="357" w:leftChars="170" w:firstLine="1"/>
        <w:rPr>
          <w:rFonts w:ascii="宋体" w:hAnsi="宋体" w:cs="宋体"/>
          <w:color w:val="auto"/>
          <w:highlight w:val="none"/>
        </w:rPr>
      </w:pPr>
      <w:r>
        <w:rPr>
          <w:rFonts w:hint="eastAsia" w:ascii="宋体" w:hAnsi="宋体" w:cs="宋体"/>
          <w:color w:val="auto"/>
          <w:highlight w:val="none"/>
        </w:rPr>
        <w:t>6.4.2保修期满后人工费方案：</w:t>
      </w:r>
    </w:p>
    <w:p>
      <w:pPr>
        <w:spacing w:line="340" w:lineRule="exact"/>
        <w:ind w:left="357" w:leftChars="170" w:firstLine="480" w:firstLineChars="200"/>
        <w:rPr>
          <w:rFonts w:ascii="宋体" w:hAnsi="宋体" w:cs="宋体"/>
          <w:color w:val="auto"/>
          <w:highlight w:val="none"/>
        </w:rPr>
      </w:pPr>
      <w:r>
        <w:rPr>
          <w:rFonts w:hint="eastAsia" w:ascii="宋体" w:hAnsi="宋体" w:cs="宋体"/>
          <w:color w:val="auto"/>
          <w:kern w:val="0"/>
          <w:sz w:val="24"/>
          <w:szCs w:val="24"/>
          <w:highlight w:val="none"/>
        </w:rPr>
        <w:t>□</w:t>
      </w:r>
      <w:r>
        <w:rPr>
          <w:rFonts w:hint="eastAsia" w:ascii="宋体" w:hAnsi="宋体" w:cs="宋体"/>
          <w:color w:val="auto"/>
          <w:highlight w:val="none"/>
        </w:rPr>
        <w:t xml:space="preserve">1、免人工费及差旅住宿费等，仅收取零配件费。 </w:t>
      </w:r>
    </w:p>
    <w:p>
      <w:pPr>
        <w:spacing w:line="340" w:lineRule="exact"/>
        <w:ind w:firstLine="840" w:firstLineChars="350"/>
        <w:rPr>
          <w:rFonts w:ascii="宋体" w:hAnsi="宋体" w:cs="宋体"/>
          <w:color w:val="auto"/>
          <w:highlight w:val="none"/>
        </w:rPr>
      </w:pPr>
      <w:r>
        <w:rPr>
          <w:rFonts w:hint="eastAsia" w:ascii="宋体" w:hAnsi="宋体" w:cs="宋体"/>
          <w:color w:val="auto"/>
          <w:kern w:val="0"/>
          <w:sz w:val="24"/>
          <w:szCs w:val="24"/>
          <w:highlight w:val="none"/>
        </w:rPr>
        <w:t>□</w:t>
      </w:r>
      <w:r>
        <w:rPr>
          <w:rFonts w:hint="eastAsia" w:ascii="宋体" w:hAnsi="宋体" w:cs="宋体"/>
          <w:color w:val="auto"/>
          <w:highlight w:val="none"/>
        </w:rPr>
        <w:t>2、人工费为单次故障不高于</w:t>
      </w:r>
      <w:r>
        <w:rPr>
          <w:rFonts w:hint="eastAsia" w:ascii="宋体" w:hAnsi="宋体" w:cs="宋体"/>
          <w:color w:val="auto"/>
          <w:highlight w:val="none"/>
          <w:u w:val="single"/>
        </w:rPr>
        <w:t xml:space="preserve">  </w:t>
      </w:r>
      <w:r>
        <w:rPr>
          <w:rFonts w:hint="eastAsia" w:ascii="宋体" w:hAnsi="宋体" w:cs="宋体"/>
          <w:color w:val="auto"/>
          <w:highlight w:val="none"/>
        </w:rPr>
        <w:t>元。</w:t>
      </w:r>
    </w:p>
    <w:p>
      <w:pPr>
        <w:spacing w:line="340" w:lineRule="exact"/>
        <w:ind w:firstLine="420" w:firstLineChars="200"/>
        <w:rPr>
          <w:rFonts w:ascii="宋体" w:hAnsi="宋体" w:cs="宋体"/>
          <w:color w:val="auto"/>
          <w:highlight w:val="none"/>
        </w:rPr>
      </w:pPr>
      <w:r>
        <w:rPr>
          <w:rFonts w:hint="eastAsia" w:ascii="宋体" w:hAnsi="宋体" w:cs="宋体"/>
          <w:color w:val="auto"/>
          <w:highlight w:val="none"/>
        </w:rPr>
        <w:t>6.4..3所有费用采用先维修后付款方式。</w:t>
      </w:r>
    </w:p>
    <w:p>
      <w:pPr>
        <w:spacing w:line="340" w:lineRule="exact"/>
        <w:ind w:left="359" w:leftChars="171" w:firstLine="1"/>
        <w:rPr>
          <w:rFonts w:ascii="宋体" w:hAnsi="宋体" w:cs="宋体"/>
          <w:color w:val="auto"/>
          <w:highlight w:val="none"/>
        </w:rPr>
      </w:pPr>
      <w:r>
        <w:rPr>
          <w:rFonts w:hint="eastAsia" w:ascii="宋体" w:hAnsi="宋体" w:cs="宋体"/>
          <w:color w:val="auto"/>
          <w:kern w:val="0"/>
          <w:highlight w:val="none"/>
        </w:rPr>
        <w:t>6.5 乙方保证系统、设备安全，乙方实施人员按规范进行系统实施、维护。若因操作不当、设备安全防护不到位，进而导致院内其他系统感染病毒，由此产生的损失及消除影响产生的费用，均由乙方全部承担。</w:t>
      </w:r>
    </w:p>
    <w:p>
      <w:pPr>
        <w:spacing w:line="340" w:lineRule="exact"/>
        <w:rPr>
          <w:rFonts w:ascii="宋体" w:hAnsi="宋体" w:cs="宋体"/>
          <w:b/>
          <w:bCs/>
          <w:color w:val="auto"/>
          <w:highlight w:val="none"/>
        </w:rPr>
      </w:pPr>
      <w:r>
        <w:rPr>
          <w:rFonts w:hint="eastAsia" w:ascii="宋体" w:hAnsi="宋体" w:cs="宋体"/>
          <w:b/>
          <w:bCs/>
          <w:color w:val="auto"/>
          <w:highlight w:val="none"/>
        </w:rPr>
        <w:t>7.索赔条款</w:t>
      </w:r>
    </w:p>
    <w:p>
      <w:pPr>
        <w:spacing w:line="340" w:lineRule="exact"/>
        <w:ind w:left="357" w:leftChars="170" w:firstLine="1"/>
        <w:rPr>
          <w:rFonts w:ascii="宋体" w:hAnsi="宋体" w:cs="宋体"/>
          <w:color w:val="auto"/>
          <w:highlight w:val="none"/>
        </w:rPr>
      </w:pPr>
      <w:r>
        <w:rPr>
          <w:rFonts w:hint="eastAsia" w:ascii="宋体" w:hAnsi="宋体" w:cs="宋体"/>
          <w:color w:val="auto"/>
          <w:highlight w:val="none"/>
        </w:rPr>
        <w:t>7.1 如确认货物不符合本合同约定，甲方有权选择下列方式之一要求卖方进行补救：</w:t>
      </w:r>
    </w:p>
    <w:p>
      <w:pPr>
        <w:spacing w:line="340" w:lineRule="exact"/>
        <w:ind w:left="428" w:leftChars="172" w:hanging="67" w:hangingChars="32"/>
        <w:rPr>
          <w:rFonts w:ascii="宋体" w:hAnsi="宋体" w:cs="宋体"/>
          <w:color w:val="auto"/>
          <w:highlight w:val="none"/>
        </w:rPr>
      </w:pPr>
      <w:r>
        <w:rPr>
          <w:rFonts w:hint="eastAsia" w:ascii="宋体" w:hAnsi="宋体" w:cs="宋体"/>
          <w:color w:val="auto"/>
          <w:highlight w:val="none"/>
        </w:rPr>
        <w:t>7.1.1甲方退货，乙方将全额货款偿还甲方，并负担因退货而发生的一切直接损失和费用。</w:t>
      </w:r>
    </w:p>
    <w:p>
      <w:pPr>
        <w:spacing w:line="340" w:lineRule="exact"/>
        <w:ind w:left="428" w:leftChars="172" w:hanging="67" w:hangingChars="32"/>
        <w:rPr>
          <w:rFonts w:ascii="宋体" w:hAnsi="宋体" w:cs="宋体"/>
          <w:color w:val="auto"/>
          <w:highlight w:val="none"/>
        </w:rPr>
      </w:pPr>
      <w:r>
        <w:rPr>
          <w:rFonts w:hint="eastAsia" w:ascii="宋体" w:hAnsi="宋体" w:cs="宋体"/>
          <w:color w:val="auto"/>
          <w:highlight w:val="none"/>
        </w:rPr>
        <w:t>7.1.2按照货物的疵劣程度、损坏的范围和甲方所遭受的损失，将货物贬值。</w:t>
      </w:r>
    </w:p>
    <w:p>
      <w:pPr>
        <w:spacing w:line="340" w:lineRule="exact"/>
        <w:ind w:left="357" w:leftChars="170" w:firstLine="1"/>
        <w:rPr>
          <w:rFonts w:ascii="宋体" w:hAnsi="宋体" w:cs="宋体"/>
          <w:color w:val="auto"/>
          <w:highlight w:val="none"/>
        </w:rPr>
      </w:pPr>
      <w:r>
        <w:rPr>
          <w:rFonts w:hint="eastAsia" w:ascii="宋体" w:hAnsi="宋体" w:cs="宋体"/>
          <w:color w:val="auto"/>
          <w:highlight w:val="none"/>
        </w:rPr>
        <w:t>7.1.3调换有瑕疵的货物，换货必须全新并符合本合同规定的规格，质量和性能，乙方并负责因此而产生的一切费用和甲方的一切直接损失。</w:t>
      </w:r>
    </w:p>
    <w:p>
      <w:pPr>
        <w:spacing w:line="340" w:lineRule="exact"/>
        <w:ind w:left="357" w:leftChars="170" w:firstLine="1"/>
        <w:rPr>
          <w:rFonts w:ascii="宋体" w:hAnsi="宋体" w:cs="宋体"/>
          <w:color w:val="auto"/>
          <w:highlight w:val="none"/>
        </w:rPr>
      </w:pPr>
      <w:r>
        <w:rPr>
          <w:rFonts w:hint="eastAsia" w:ascii="宋体" w:hAnsi="宋体" w:cs="宋体"/>
          <w:color w:val="auto"/>
          <w:highlight w:val="none"/>
        </w:rPr>
        <w:t>7.2如果乙方没有按照合同规定的时间交货和提供服务，甲方应从货款中扣除误期赔偿费而不影响合同项下的其他补救办法，延期交货和延期服务的赔偿费均按每周迟交仪器的合同价的百分之零点五（0.5％）计收，直至交货或提供服务为止。但误期赔偿费的最高限额不超过合同价的百分之五（5％）。一周按7天计算，不足7天按一周计算。逾期超过10日，甲方有权解除合同，乙方按合同总价的20%向甲方支付违约金。</w:t>
      </w:r>
    </w:p>
    <w:p>
      <w:pPr>
        <w:spacing w:line="340" w:lineRule="exact"/>
        <w:ind w:left="420" w:leftChars="200"/>
        <w:rPr>
          <w:rFonts w:ascii="宋体" w:hAnsi="宋体" w:cs="宋体"/>
          <w:color w:val="auto"/>
          <w:highlight w:val="none"/>
        </w:rPr>
      </w:pPr>
      <w:r>
        <w:rPr>
          <w:rFonts w:hint="eastAsia" w:ascii="宋体" w:hAnsi="宋体" w:cs="宋体"/>
          <w:color w:val="auto"/>
          <w:highlight w:val="none"/>
        </w:rPr>
        <w:t>7.3乙方应保证甲方和使用单位在使用该设备或其任何一部分时免受第三方提出侵犯其专利权、商标权或工业产权的起诉。</w:t>
      </w:r>
    </w:p>
    <w:p>
      <w:pPr>
        <w:spacing w:line="340" w:lineRule="exact"/>
        <w:rPr>
          <w:rFonts w:ascii="宋体" w:hAnsi="宋体" w:cs="宋体"/>
          <w:b/>
          <w:bCs/>
          <w:color w:val="auto"/>
          <w:highlight w:val="none"/>
        </w:rPr>
      </w:pPr>
      <w:r>
        <w:rPr>
          <w:rFonts w:hint="eastAsia" w:ascii="宋体" w:hAnsi="宋体" w:cs="宋体"/>
          <w:b/>
          <w:bCs/>
          <w:color w:val="auto"/>
          <w:highlight w:val="none"/>
        </w:rPr>
        <w:t>8.争端的解决</w:t>
      </w:r>
    </w:p>
    <w:p>
      <w:pPr>
        <w:spacing w:line="340" w:lineRule="exact"/>
        <w:ind w:left="357" w:leftChars="170" w:right="-216" w:rightChars="-103" w:firstLine="1"/>
        <w:rPr>
          <w:rFonts w:ascii="宋体" w:hAnsi="宋体" w:cs="宋体"/>
          <w:color w:val="auto"/>
          <w:highlight w:val="none"/>
        </w:rPr>
      </w:pPr>
      <w:r>
        <w:rPr>
          <w:rFonts w:hint="eastAsia" w:ascii="宋体" w:hAnsi="宋体" w:cs="宋体"/>
          <w:color w:val="auto"/>
          <w:highlight w:val="none"/>
        </w:rPr>
        <w:t>双方如在履行合同中发生纠纷，首先应友好协商，协商不成，提交丽水仲裁委员会仲裁解决。</w:t>
      </w:r>
    </w:p>
    <w:p>
      <w:pPr>
        <w:spacing w:line="340" w:lineRule="exact"/>
        <w:rPr>
          <w:rFonts w:ascii="宋体" w:hAnsi="宋体" w:cs="宋体"/>
          <w:b/>
          <w:bCs/>
          <w:color w:val="auto"/>
          <w:highlight w:val="none"/>
        </w:rPr>
      </w:pPr>
      <w:r>
        <w:rPr>
          <w:rFonts w:hint="eastAsia" w:ascii="宋体" w:hAnsi="宋体" w:cs="宋体"/>
          <w:b/>
          <w:bCs/>
          <w:color w:val="auto"/>
          <w:highlight w:val="none"/>
        </w:rPr>
        <w:t>9.合同生效</w:t>
      </w:r>
    </w:p>
    <w:p>
      <w:pPr>
        <w:spacing w:line="340" w:lineRule="exact"/>
        <w:ind w:left="419" w:leftChars="172" w:hanging="58" w:hangingChars="28"/>
        <w:rPr>
          <w:rFonts w:ascii="宋体" w:hAnsi="宋体" w:cs="宋体"/>
          <w:color w:val="auto"/>
          <w:highlight w:val="none"/>
        </w:rPr>
      </w:pPr>
      <w:r>
        <w:rPr>
          <w:rFonts w:hint="eastAsia" w:ascii="宋体" w:hAnsi="宋体" w:cs="宋体"/>
          <w:color w:val="auto"/>
          <w:highlight w:val="none"/>
        </w:rPr>
        <w:t>9.1 本合同在甲、乙双方签字盖章后生效。</w:t>
      </w:r>
    </w:p>
    <w:p>
      <w:pPr>
        <w:spacing w:line="340" w:lineRule="exact"/>
        <w:ind w:left="419" w:leftChars="172" w:hanging="58" w:hangingChars="28"/>
        <w:rPr>
          <w:rFonts w:ascii="宋体" w:hAnsi="宋体" w:cs="宋体"/>
          <w:color w:val="auto"/>
          <w:highlight w:val="none"/>
        </w:rPr>
      </w:pPr>
      <w:r>
        <w:rPr>
          <w:rFonts w:hint="eastAsia" w:ascii="宋体" w:hAnsi="宋体" w:cs="宋体"/>
          <w:color w:val="auto"/>
          <w:highlight w:val="none"/>
        </w:rPr>
        <w:t>9.2 本合同一式</w:t>
      </w:r>
      <w:r>
        <w:rPr>
          <w:rFonts w:hint="eastAsia" w:ascii="宋体" w:hAnsi="宋体" w:cs="宋体"/>
          <w:color w:val="auto"/>
          <w:highlight w:val="none"/>
          <w:u w:val="single"/>
        </w:rPr>
        <w:t>两</w:t>
      </w:r>
      <w:r>
        <w:rPr>
          <w:rFonts w:hint="eastAsia" w:ascii="宋体" w:hAnsi="宋体" w:cs="宋体"/>
          <w:color w:val="auto"/>
          <w:highlight w:val="none"/>
        </w:rPr>
        <w:t>份，以中文书就，签约双方各执一份，具有相同的法律效力。</w:t>
      </w:r>
    </w:p>
    <w:p>
      <w:pPr>
        <w:spacing w:line="340" w:lineRule="exact"/>
        <w:rPr>
          <w:rFonts w:ascii="宋体" w:hAnsi="宋体" w:cs="宋体"/>
          <w:color w:val="auto"/>
          <w:highlight w:val="none"/>
        </w:rPr>
      </w:pPr>
      <w:r>
        <w:rPr>
          <w:rFonts w:hint="eastAsia" w:ascii="宋体" w:hAnsi="宋体" w:cs="宋体"/>
          <w:b/>
          <w:bCs/>
          <w:color w:val="auto"/>
          <w:highlight w:val="none"/>
        </w:rPr>
        <w:t xml:space="preserve">10.合同附件 </w:t>
      </w:r>
      <w:r>
        <w:rPr>
          <w:rFonts w:hint="eastAsia" w:ascii="宋体" w:hAnsi="宋体" w:cs="宋体"/>
          <w:color w:val="auto"/>
          <w:highlight w:val="none"/>
        </w:rPr>
        <w:t>合同附件是合同的不可分割的组成部分，与合同具有同等法律效力。</w:t>
      </w:r>
    </w:p>
    <w:p>
      <w:pPr>
        <w:spacing w:line="340" w:lineRule="exact"/>
        <w:ind w:left="419" w:leftChars="172" w:hanging="58" w:hangingChars="28"/>
        <w:rPr>
          <w:rFonts w:ascii="宋体" w:hAnsi="宋体" w:cs="宋体"/>
          <w:color w:val="auto"/>
          <w:highlight w:val="none"/>
        </w:rPr>
      </w:pPr>
      <w:r>
        <w:rPr>
          <w:rFonts w:hint="eastAsia" w:ascii="宋体" w:hAnsi="宋体" w:cs="宋体"/>
          <w:color w:val="auto"/>
          <w:highlight w:val="none"/>
        </w:rPr>
        <w:t>10.1配置清单      □设备的配置清单</w:t>
      </w:r>
    </w:p>
    <w:p>
      <w:pPr>
        <w:spacing w:line="340" w:lineRule="exact"/>
        <w:ind w:left="419" w:leftChars="172" w:hanging="58" w:hangingChars="28"/>
        <w:rPr>
          <w:rFonts w:ascii="宋体" w:hAnsi="宋体" w:cs="宋体"/>
          <w:color w:val="auto"/>
          <w:highlight w:val="none"/>
        </w:rPr>
      </w:pPr>
      <w:r>
        <w:rPr>
          <w:rFonts w:hint="eastAsia" w:ascii="宋体" w:hAnsi="宋体" w:cs="宋体"/>
          <w:color w:val="auto"/>
          <w:highlight w:val="none"/>
        </w:rPr>
        <w:t>10.2技术标准      □投标文件的技术响应   □设备技术说明　</w:t>
      </w:r>
    </w:p>
    <w:p>
      <w:pPr>
        <w:spacing w:line="340" w:lineRule="exact"/>
        <w:ind w:left="419" w:leftChars="172" w:hanging="58" w:hangingChars="28"/>
        <w:rPr>
          <w:rFonts w:ascii="宋体" w:hAnsi="宋体" w:cs="宋体"/>
          <w:color w:val="auto"/>
          <w:highlight w:val="none"/>
        </w:rPr>
      </w:pPr>
      <w:r>
        <w:rPr>
          <w:rFonts w:hint="eastAsia" w:ascii="宋体" w:hAnsi="宋体" w:cs="宋体"/>
          <w:color w:val="auto"/>
          <w:highlight w:val="none"/>
        </w:rPr>
        <w:t xml:space="preserve">10.3其他          □承诺书或补充协议等    </w:t>
      </w:r>
    </w:p>
    <w:p>
      <w:pPr>
        <w:numPr>
          <w:ilvl w:val="0"/>
          <w:numId w:val="19"/>
        </w:numPr>
        <w:spacing w:line="340" w:lineRule="exact"/>
        <w:rPr>
          <w:rFonts w:ascii="宋体" w:hAnsi="宋体" w:cs="宋体"/>
          <w:b/>
          <w:bCs/>
          <w:color w:val="auto"/>
          <w:highlight w:val="none"/>
          <w:u w:val="single"/>
        </w:rPr>
      </w:pPr>
      <w:r>
        <w:rPr>
          <w:rFonts w:hint="eastAsia" w:ascii="宋体" w:hAnsi="宋体" w:cs="宋体"/>
          <w:b/>
          <w:bCs/>
          <w:color w:val="auto"/>
          <w:highlight w:val="none"/>
        </w:rPr>
        <w:t>特别约定：</w:t>
      </w:r>
      <w:r>
        <w:rPr>
          <w:rFonts w:hint="eastAsia" w:ascii="宋体" w:hAnsi="宋体" w:cs="宋体"/>
          <w:b/>
          <w:bCs/>
          <w:color w:val="auto"/>
          <w:highlight w:val="none"/>
          <w:u w:val="single"/>
        </w:rPr>
        <w:t>中标人的投标响应及承诺作为合同的附件。</w:t>
      </w:r>
    </w:p>
    <w:p>
      <w:pPr>
        <w:numPr>
          <w:ilvl w:val="0"/>
          <w:numId w:val="19"/>
        </w:numPr>
        <w:spacing w:line="340" w:lineRule="exact"/>
        <w:rPr>
          <w:rFonts w:ascii="宋体" w:hAnsi="宋体" w:cs="宋体"/>
          <w:b/>
          <w:bCs/>
          <w:color w:val="auto"/>
          <w:highlight w:val="none"/>
          <w:u w:val="single"/>
        </w:rPr>
      </w:pPr>
      <w:r>
        <w:rPr>
          <w:rFonts w:hint="eastAsia" w:ascii="宋体" w:hAnsi="宋体" w:cs="宋体"/>
          <w:b/>
          <w:bCs/>
          <w:color w:val="auto"/>
          <w:highlight w:val="none"/>
        </w:rPr>
        <w:t>其他说明：投标商、开票公司以及合同签订人必须为同家公司</w:t>
      </w:r>
    </w:p>
    <w:p>
      <w:pPr>
        <w:spacing w:line="340" w:lineRule="exact"/>
        <w:ind w:firstLine="422" w:firstLineChars="200"/>
        <w:rPr>
          <w:rFonts w:ascii="宋体" w:hAnsi="宋体" w:cs="宋体"/>
          <w:b/>
          <w:bCs/>
          <w:color w:val="auto"/>
          <w:highlight w:val="none"/>
        </w:rPr>
      </w:pPr>
      <w:r>
        <w:rPr>
          <w:rFonts w:hint="eastAsia" w:ascii="宋体" w:hAnsi="宋体" w:cs="宋体"/>
          <w:b/>
          <w:bCs/>
          <w:color w:val="auto"/>
          <w:highlight w:val="none"/>
        </w:rPr>
        <w:t xml:space="preserve">甲方：丽水市中心医院                               乙方： </w:t>
      </w:r>
    </w:p>
    <w:p>
      <w:pPr>
        <w:spacing w:line="340" w:lineRule="exact"/>
        <w:ind w:firstLine="310" w:firstLineChars="147"/>
        <w:rPr>
          <w:rFonts w:ascii="宋体" w:hAnsi="宋体" w:cs="宋体"/>
          <w:b/>
          <w:bCs/>
          <w:color w:val="auto"/>
          <w:highlight w:val="none"/>
        </w:rPr>
      </w:pPr>
      <w:r>
        <w:rPr>
          <w:rFonts w:hint="eastAsia" w:ascii="宋体" w:hAnsi="宋体" w:cs="宋体"/>
          <w:b/>
          <w:bCs/>
          <w:color w:val="auto"/>
          <w:highlight w:val="none"/>
        </w:rPr>
        <w:t>（盖章）                                          （盖章）</w:t>
      </w:r>
    </w:p>
    <w:p>
      <w:pPr>
        <w:spacing w:line="340" w:lineRule="exact"/>
        <w:ind w:left="420"/>
        <w:rPr>
          <w:rFonts w:ascii="宋体" w:hAnsi="宋体" w:cs="宋体"/>
          <w:b/>
          <w:bCs/>
          <w:color w:val="auto"/>
          <w:highlight w:val="none"/>
        </w:rPr>
      </w:pPr>
      <w:r>
        <w:rPr>
          <w:rFonts w:hint="eastAsia" w:ascii="宋体" w:hAnsi="宋体" w:cs="宋体"/>
          <w:b/>
          <w:bCs/>
          <w:color w:val="auto"/>
          <w:highlight w:val="none"/>
        </w:rPr>
        <w:t>甲方法定代表人或授权委托人                        乙方法定代表人或授权委托人</w:t>
      </w:r>
    </w:p>
    <w:p>
      <w:pPr>
        <w:spacing w:line="340" w:lineRule="exact"/>
        <w:ind w:firstLine="422" w:firstLineChars="200"/>
        <w:rPr>
          <w:rFonts w:ascii="宋体" w:hAnsi="宋体" w:cs="宋体"/>
          <w:b/>
          <w:bCs/>
          <w:color w:val="auto"/>
          <w:highlight w:val="none"/>
        </w:rPr>
      </w:pPr>
      <w:r>
        <w:rPr>
          <w:rFonts w:hint="eastAsia" w:ascii="宋体" w:hAnsi="宋体" w:cs="宋体"/>
          <w:b/>
          <w:bCs/>
          <w:color w:val="auto"/>
          <w:highlight w:val="none"/>
        </w:rPr>
        <w:t>__________________________                         __________________________</w:t>
      </w:r>
    </w:p>
    <w:p>
      <w:pPr>
        <w:spacing w:line="340" w:lineRule="exact"/>
        <w:ind w:firstLine="422" w:firstLineChars="200"/>
        <w:rPr>
          <w:rFonts w:ascii="宋体" w:hAnsi="宋体" w:cs="宋体"/>
          <w:b/>
          <w:bCs/>
          <w:color w:val="auto"/>
          <w:highlight w:val="none"/>
        </w:rPr>
      </w:pPr>
      <w:r>
        <w:rPr>
          <w:rFonts w:hint="eastAsia" w:ascii="宋体" w:hAnsi="宋体" w:cs="宋体"/>
          <w:b/>
          <w:bCs/>
          <w:color w:val="auto"/>
          <w:highlight w:val="none"/>
        </w:rPr>
        <w:t>日期：____________________                        日期：____________________</w:t>
      </w:r>
    </w:p>
    <w:p>
      <w:pPr>
        <w:spacing w:line="340" w:lineRule="exact"/>
        <w:rPr>
          <w:rFonts w:ascii="宋体" w:hAnsi="宋体" w:cs="宋体"/>
          <w:color w:val="auto"/>
          <w:highlight w:val="none"/>
        </w:rPr>
      </w:pPr>
    </w:p>
    <w:p>
      <w:pPr>
        <w:spacing w:line="340" w:lineRule="exact"/>
        <w:ind w:firstLine="413" w:firstLineChars="196"/>
        <w:rPr>
          <w:rFonts w:ascii="宋体" w:hAnsi="宋体" w:cs="宋体"/>
          <w:b/>
          <w:bCs/>
          <w:color w:val="auto"/>
          <w:highlight w:val="none"/>
        </w:rPr>
      </w:pPr>
      <w:r>
        <w:rPr>
          <w:rFonts w:hint="eastAsia" w:ascii="宋体" w:hAnsi="宋体" w:cs="宋体"/>
          <w:b/>
          <w:bCs/>
          <w:color w:val="auto"/>
          <w:highlight w:val="none"/>
        </w:rPr>
        <w:t>联系地址：                                          联系地址：</w:t>
      </w:r>
    </w:p>
    <w:p>
      <w:pPr>
        <w:spacing w:line="340" w:lineRule="exact"/>
        <w:rPr>
          <w:rFonts w:ascii="宋体" w:hAnsi="宋体" w:cs="宋体"/>
          <w:b/>
          <w:bCs/>
          <w:color w:val="auto"/>
          <w:highlight w:val="none"/>
        </w:rPr>
      </w:pPr>
      <w:r>
        <w:rPr>
          <w:rFonts w:hint="eastAsia" w:ascii="宋体" w:hAnsi="宋体" w:cs="宋体"/>
          <w:b/>
          <w:bCs/>
          <w:color w:val="auto"/>
          <w:highlight w:val="none"/>
        </w:rPr>
        <w:t xml:space="preserve">    固定电话：                                        </w:t>
      </w:r>
      <w:r>
        <w:rPr>
          <w:rFonts w:hint="eastAsia" w:ascii="宋体" w:hAnsi="宋体" w:cs="宋体"/>
          <w:b/>
          <w:bCs/>
          <w:color w:val="auto"/>
          <w:highlight w:val="none"/>
          <w:lang w:val="en-US" w:eastAsia="zh-CN"/>
        </w:rPr>
        <w:t xml:space="preserve">  </w:t>
      </w:r>
      <w:r>
        <w:rPr>
          <w:rFonts w:hint="eastAsia" w:ascii="宋体" w:hAnsi="宋体" w:cs="宋体"/>
          <w:b/>
          <w:bCs/>
          <w:color w:val="auto"/>
          <w:highlight w:val="none"/>
        </w:rPr>
        <w:t>固定电话：</w:t>
      </w:r>
    </w:p>
    <w:p>
      <w:pPr>
        <w:spacing w:line="340" w:lineRule="exact"/>
        <w:rPr>
          <w:rFonts w:ascii="宋体" w:hAnsi="宋体" w:cs="宋体"/>
          <w:b/>
          <w:bCs/>
          <w:color w:val="auto"/>
          <w:highlight w:val="none"/>
        </w:rPr>
      </w:pPr>
      <w:r>
        <w:rPr>
          <w:rFonts w:hint="eastAsia" w:ascii="宋体" w:hAnsi="宋体" w:cs="宋体"/>
          <w:b/>
          <w:bCs/>
          <w:color w:val="auto"/>
          <w:sz w:val="24"/>
          <w:szCs w:val="24"/>
          <w:highlight w:val="none"/>
        </w:rPr>
        <w:t xml:space="preserve">   </w:t>
      </w:r>
      <w:r>
        <w:rPr>
          <w:rFonts w:hint="eastAsia" w:ascii="宋体" w:hAnsi="宋体" w:cs="宋体"/>
          <w:b/>
          <w:bCs/>
          <w:color w:val="auto"/>
          <w:highlight w:val="none"/>
        </w:rPr>
        <w:t xml:space="preserve">采购员联系电话：                                   </w:t>
      </w:r>
      <w:r>
        <w:rPr>
          <w:rFonts w:hint="eastAsia" w:ascii="宋体" w:hAnsi="宋体" w:cs="宋体"/>
          <w:b/>
          <w:bCs/>
          <w:color w:val="auto"/>
          <w:highlight w:val="none"/>
          <w:lang w:val="en-US" w:eastAsia="zh-CN"/>
        </w:rPr>
        <w:t xml:space="preserve"> </w:t>
      </w:r>
      <w:r>
        <w:rPr>
          <w:rFonts w:hint="eastAsia" w:ascii="宋体" w:hAnsi="宋体" w:cs="宋体"/>
          <w:b/>
          <w:bCs/>
          <w:color w:val="auto"/>
          <w:highlight w:val="none"/>
        </w:rPr>
        <w:t>销售员联系电话：</w:t>
      </w:r>
    </w:p>
    <w:p>
      <w:pPr>
        <w:spacing w:line="340" w:lineRule="exact"/>
        <w:rPr>
          <w:rFonts w:ascii="宋体" w:hAnsi="宋体" w:cs="宋体"/>
          <w:b/>
          <w:bCs/>
          <w:color w:val="auto"/>
          <w:sz w:val="24"/>
          <w:szCs w:val="24"/>
          <w:highlight w:val="none"/>
        </w:rPr>
      </w:pPr>
      <w:r>
        <w:rPr>
          <w:rFonts w:hint="eastAsia" w:ascii="宋体" w:hAnsi="宋体" w:cs="宋体"/>
          <w:b/>
          <w:bCs/>
          <w:color w:val="auto"/>
          <w:highlight w:val="none"/>
        </w:rPr>
        <w:t xml:space="preserve">   工程师联系电话：                                   </w:t>
      </w:r>
      <w:r>
        <w:rPr>
          <w:rFonts w:hint="eastAsia" w:ascii="宋体" w:hAnsi="宋体" w:cs="宋体"/>
          <w:b/>
          <w:bCs/>
          <w:color w:val="auto"/>
          <w:highlight w:val="none"/>
          <w:lang w:val="en-US" w:eastAsia="zh-CN"/>
        </w:rPr>
        <w:t xml:space="preserve"> </w:t>
      </w:r>
      <w:r>
        <w:rPr>
          <w:rFonts w:hint="eastAsia" w:ascii="宋体" w:hAnsi="宋体" w:cs="宋体"/>
          <w:b/>
          <w:bCs/>
          <w:color w:val="auto"/>
          <w:highlight w:val="none"/>
        </w:rPr>
        <w:t>工程师联系电话：</w:t>
      </w:r>
    </w:p>
    <w:p>
      <w:pPr>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 xml:space="preserve">                                           </w:t>
      </w: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r>
        <w:rPr>
          <w:rFonts w:hint="eastAsia" w:ascii="宋体" w:hAnsi="宋体" w:cs="宋体"/>
          <w:b/>
          <w:bCs/>
          <w:color w:val="auto"/>
          <w:sz w:val="24"/>
          <w:szCs w:val="24"/>
          <w:highlight w:val="none"/>
        </w:rPr>
        <w:t>附件一</w:t>
      </w:r>
    </w:p>
    <w:p>
      <w:pPr>
        <w:jc w:val="center"/>
        <w:rPr>
          <w:rFonts w:ascii="宋体" w:hAnsi="宋体" w:cs="宋体"/>
          <w:b/>
          <w:bCs/>
          <w:color w:val="auto"/>
          <w:sz w:val="30"/>
          <w:szCs w:val="30"/>
          <w:highlight w:val="none"/>
        </w:rPr>
      </w:pPr>
      <w:r>
        <w:rPr>
          <w:rFonts w:hint="eastAsia" w:ascii="宋体" w:hAnsi="宋体" w:cs="宋体"/>
          <w:b/>
          <w:bCs/>
          <w:color w:val="auto"/>
          <w:sz w:val="30"/>
          <w:szCs w:val="30"/>
          <w:highlight w:val="none"/>
        </w:rPr>
        <w:t>医疗设备配置清单</w:t>
      </w:r>
    </w:p>
    <w:p>
      <w:pPr>
        <w:rPr>
          <w:rFonts w:ascii="宋体" w:hAnsi="宋体" w:cs="宋体"/>
          <w:b/>
          <w:bCs/>
          <w:color w:val="auto"/>
          <w:sz w:val="24"/>
          <w:szCs w:val="24"/>
          <w:highlight w:val="none"/>
        </w:rPr>
      </w:pPr>
      <w:r>
        <w:rPr>
          <w:rFonts w:hint="eastAsia" w:ascii="宋体" w:hAnsi="宋体" w:cs="宋体"/>
          <w:b/>
          <w:bCs/>
          <w:color w:val="auto"/>
          <w:sz w:val="24"/>
          <w:szCs w:val="24"/>
          <w:highlight w:val="none"/>
        </w:rPr>
        <w:t>一 设备配置</w:t>
      </w:r>
    </w:p>
    <w:tbl>
      <w:tblPr>
        <w:tblStyle w:val="47"/>
        <w:tblW w:w="95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721"/>
        <w:gridCol w:w="2716"/>
        <w:gridCol w:w="1080"/>
        <w:gridCol w:w="900"/>
        <w:gridCol w:w="1080"/>
        <w:gridCol w:w="108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719" w:type="dxa"/>
            <w:vMerge w:val="restart"/>
            <w:textDirection w:val="tbRlV"/>
          </w:tcPr>
          <w:p>
            <w:pPr>
              <w:ind w:left="113" w:right="113"/>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已   选   配   置</w:t>
            </w: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编号</w:t>
            </w:r>
          </w:p>
        </w:tc>
        <w:tc>
          <w:tcPr>
            <w:tcW w:w="2716" w:type="dxa"/>
          </w:tcPr>
          <w:p>
            <w:pPr>
              <w:jc w:val="center"/>
              <w:rPr>
                <w:rFonts w:ascii="宋体" w:hAnsi="宋体" w:cs="宋体"/>
                <w:b/>
                <w:bCs/>
                <w:color w:val="auto"/>
                <w:highlight w:val="none"/>
              </w:rPr>
            </w:pPr>
            <w:r>
              <w:rPr>
                <w:rFonts w:hint="eastAsia" w:ascii="宋体" w:hAnsi="宋体" w:cs="宋体"/>
                <w:b/>
                <w:bCs/>
                <w:color w:val="auto"/>
                <w:highlight w:val="none"/>
              </w:rPr>
              <w:t>部件名称</w:t>
            </w:r>
          </w:p>
        </w:tc>
        <w:tc>
          <w:tcPr>
            <w:tcW w:w="1080" w:type="dxa"/>
          </w:tcPr>
          <w:p>
            <w:pPr>
              <w:jc w:val="center"/>
              <w:rPr>
                <w:rFonts w:ascii="宋体" w:hAnsi="宋体" w:cs="宋体"/>
                <w:b/>
                <w:bCs/>
                <w:color w:val="auto"/>
                <w:highlight w:val="none"/>
              </w:rPr>
            </w:pPr>
            <w:r>
              <w:rPr>
                <w:rFonts w:hint="eastAsia" w:ascii="宋体" w:hAnsi="宋体" w:cs="宋体"/>
                <w:b/>
                <w:bCs/>
                <w:color w:val="auto"/>
                <w:highlight w:val="none"/>
              </w:rPr>
              <w:t>规格型号</w:t>
            </w:r>
          </w:p>
        </w:tc>
        <w:tc>
          <w:tcPr>
            <w:tcW w:w="900" w:type="dxa"/>
          </w:tcPr>
          <w:p>
            <w:pPr>
              <w:jc w:val="center"/>
              <w:rPr>
                <w:rFonts w:ascii="宋体" w:hAnsi="宋体" w:cs="宋体"/>
                <w:b/>
                <w:bCs/>
                <w:color w:val="auto"/>
                <w:highlight w:val="none"/>
              </w:rPr>
            </w:pPr>
            <w:r>
              <w:rPr>
                <w:rFonts w:hint="eastAsia" w:ascii="宋体" w:hAnsi="宋体" w:cs="宋体"/>
                <w:b/>
                <w:bCs/>
                <w:color w:val="auto"/>
                <w:highlight w:val="none"/>
              </w:rPr>
              <w:t>产  地</w:t>
            </w:r>
          </w:p>
        </w:tc>
        <w:tc>
          <w:tcPr>
            <w:tcW w:w="1080" w:type="dxa"/>
          </w:tcPr>
          <w:p>
            <w:pPr>
              <w:jc w:val="center"/>
              <w:rPr>
                <w:rFonts w:ascii="宋体" w:hAnsi="宋体" w:cs="宋体"/>
                <w:b/>
                <w:bCs/>
                <w:color w:val="auto"/>
                <w:highlight w:val="none"/>
              </w:rPr>
            </w:pPr>
            <w:r>
              <w:rPr>
                <w:rFonts w:hint="eastAsia" w:ascii="宋体" w:hAnsi="宋体" w:cs="宋体"/>
                <w:b/>
                <w:bCs/>
                <w:color w:val="auto"/>
                <w:highlight w:val="none"/>
              </w:rPr>
              <w:t>数   量</w:t>
            </w:r>
          </w:p>
        </w:tc>
        <w:tc>
          <w:tcPr>
            <w:tcW w:w="1080" w:type="dxa"/>
          </w:tcPr>
          <w:p>
            <w:pPr>
              <w:jc w:val="center"/>
              <w:rPr>
                <w:rFonts w:ascii="宋体" w:hAnsi="宋体" w:cs="宋体"/>
                <w:b/>
                <w:bCs/>
                <w:color w:val="auto"/>
                <w:highlight w:val="none"/>
              </w:rPr>
            </w:pPr>
            <w:r>
              <w:rPr>
                <w:rFonts w:hint="eastAsia" w:ascii="宋体" w:hAnsi="宋体" w:cs="宋体"/>
                <w:b/>
                <w:bCs/>
                <w:color w:val="auto"/>
                <w:highlight w:val="none"/>
              </w:rPr>
              <w:t>价  格</w:t>
            </w:r>
          </w:p>
        </w:tc>
        <w:tc>
          <w:tcPr>
            <w:tcW w:w="1260" w:type="dxa"/>
          </w:tcPr>
          <w:p>
            <w:pPr>
              <w:jc w:val="center"/>
              <w:rPr>
                <w:rFonts w:ascii="宋体" w:hAnsi="宋体" w:cs="宋体"/>
                <w:b/>
                <w:bCs/>
                <w:color w:val="auto"/>
                <w:highlight w:val="none"/>
              </w:rPr>
            </w:pPr>
            <w:r>
              <w:rPr>
                <w:rFonts w:hint="eastAsia" w:ascii="宋体" w:hAnsi="宋体" w:cs="宋体"/>
                <w:b/>
                <w:bCs/>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1</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b/>
                <w:bCs/>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b/>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2</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3</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4</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5</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6</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7</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8</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b/>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9</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b/>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jc w:val="center"/>
        </w:trPr>
        <w:tc>
          <w:tcPr>
            <w:tcW w:w="719" w:type="dxa"/>
            <w:vMerge w:val="continue"/>
          </w:tcPr>
          <w:p>
            <w:pPr>
              <w:rPr>
                <w:rFonts w:ascii="宋体" w:hAnsi="宋体" w:cs="宋体"/>
                <w:b/>
                <w:bCs/>
                <w:color w:val="auto"/>
                <w:highlight w:val="none"/>
              </w:rPr>
            </w:pPr>
          </w:p>
        </w:tc>
        <w:tc>
          <w:tcPr>
            <w:tcW w:w="721" w:type="dxa"/>
          </w:tcPr>
          <w:p>
            <w:pPr>
              <w:jc w:val="center"/>
              <w:rPr>
                <w:rFonts w:ascii="宋体" w:hAnsi="宋体" w:cs="宋体"/>
                <w:b/>
                <w:bCs/>
                <w:color w:val="auto"/>
                <w:highlight w:val="none"/>
              </w:rPr>
            </w:pPr>
            <w:r>
              <w:rPr>
                <w:rFonts w:hint="eastAsia" w:ascii="宋体" w:hAnsi="宋体" w:cs="宋体"/>
                <w:b/>
                <w:bCs/>
                <w:color w:val="auto"/>
                <w:highlight w:val="none"/>
              </w:rPr>
              <w:t>10</w:t>
            </w:r>
          </w:p>
        </w:tc>
        <w:tc>
          <w:tcPr>
            <w:tcW w:w="2716" w:type="dxa"/>
          </w:tcPr>
          <w:p>
            <w:pPr>
              <w:rPr>
                <w:rFonts w:ascii="宋体" w:hAnsi="宋体" w:cs="宋体"/>
                <w:b/>
                <w:bCs/>
                <w:color w:val="auto"/>
                <w:highlight w:val="none"/>
              </w:rPr>
            </w:pPr>
          </w:p>
        </w:tc>
        <w:tc>
          <w:tcPr>
            <w:tcW w:w="1080" w:type="dxa"/>
          </w:tcPr>
          <w:p>
            <w:pPr>
              <w:rPr>
                <w:rFonts w:ascii="宋体" w:hAnsi="宋体" w:cs="宋体"/>
                <w:b/>
                <w:bCs/>
                <w:color w:val="auto"/>
                <w:highlight w:val="none"/>
              </w:rPr>
            </w:pPr>
          </w:p>
        </w:tc>
        <w:tc>
          <w:tcPr>
            <w:tcW w:w="900" w:type="dxa"/>
          </w:tcPr>
          <w:p>
            <w:pPr>
              <w:rPr>
                <w:rFonts w:ascii="宋体" w:hAnsi="宋体" w:cs="宋体"/>
                <w:color w:val="auto"/>
                <w:highlight w:val="none"/>
              </w:rPr>
            </w:pPr>
          </w:p>
        </w:tc>
        <w:tc>
          <w:tcPr>
            <w:tcW w:w="1080" w:type="dxa"/>
          </w:tcPr>
          <w:p>
            <w:pPr>
              <w:rPr>
                <w:rFonts w:ascii="宋体" w:hAnsi="宋体" w:cs="宋体"/>
                <w:color w:val="auto"/>
                <w:highlight w:val="none"/>
              </w:rPr>
            </w:pPr>
          </w:p>
        </w:tc>
        <w:tc>
          <w:tcPr>
            <w:tcW w:w="1080" w:type="dxa"/>
          </w:tcPr>
          <w:p>
            <w:pPr>
              <w:rPr>
                <w:rFonts w:ascii="宋体" w:hAnsi="宋体" w:cs="宋体"/>
                <w:b/>
                <w:bCs/>
                <w:color w:val="auto"/>
                <w:highlight w:val="none"/>
              </w:rPr>
            </w:pPr>
          </w:p>
        </w:tc>
        <w:tc>
          <w:tcPr>
            <w:tcW w:w="1260" w:type="dxa"/>
          </w:tcPr>
          <w:p>
            <w:pPr>
              <w:rPr>
                <w:rFonts w:ascii="宋体" w:hAnsi="宋体" w:cs="宋体"/>
                <w:b/>
                <w:bCs/>
                <w:color w:val="auto"/>
                <w:highlight w:val="none"/>
              </w:rPr>
            </w:pPr>
          </w:p>
        </w:tc>
      </w:tr>
    </w:tbl>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ind w:firstLine="472" w:firstLineChars="196"/>
        <w:rPr>
          <w:rFonts w:ascii="宋体" w:hAnsi="宋体" w:cs="宋体"/>
          <w:b/>
          <w:bCs/>
          <w:color w:val="auto"/>
          <w:sz w:val="24"/>
          <w:szCs w:val="24"/>
          <w:highlight w:val="none"/>
        </w:rPr>
      </w:pPr>
      <w:r>
        <w:rPr>
          <w:rFonts w:hint="eastAsia" w:ascii="宋体" w:hAnsi="宋体" w:cs="宋体"/>
          <w:b/>
          <w:bCs/>
          <w:color w:val="auto"/>
          <w:sz w:val="24"/>
          <w:szCs w:val="24"/>
          <w:highlight w:val="none"/>
        </w:rPr>
        <w:t xml:space="preserve">需方: (签字)                                        供方:(签字)   </w:t>
      </w: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p>
    <w:p>
      <w:pPr>
        <w:rPr>
          <w:rFonts w:ascii="宋体" w:hAnsi="宋体" w:cs="宋体"/>
          <w:b/>
          <w:bCs/>
          <w:color w:val="auto"/>
          <w:sz w:val="24"/>
          <w:szCs w:val="24"/>
          <w:highlight w:val="none"/>
        </w:rPr>
      </w:pPr>
      <w:r>
        <w:rPr>
          <w:rFonts w:hint="eastAsia" w:ascii="宋体" w:hAnsi="宋体" w:cs="宋体"/>
          <w:b/>
          <w:bCs/>
          <w:color w:val="auto"/>
          <w:sz w:val="24"/>
          <w:szCs w:val="24"/>
          <w:highlight w:val="none"/>
        </w:rPr>
        <w:t>附件二</w:t>
      </w:r>
    </w:p>
    <w:p>
      <w:pPr>
        <w:jc w:val="center"/>
        <w:rPr>
          <w:rFonts w:ascii="宋体" w:hAnsi="宋体" w:cs="宋体"/>
          <w:b/>
          <w:bCs/>
          <w:color w:val="auto"/>
          <w:sz w:val="30"/>
          <w:szCs w:val="30"/>
          <w:highlight w:val="none"/>
        </w:rPr>
      </w:pPr>
      <w:r>
        <w:rPr>
          <w:rFonts w:hint="eastAsia" w:ascii="宋体" w:hAnsi="宋体" w:cs="宋体"/>
          <w:b/>
          <w:bCs/>
          <w:color w:val="auto"/>
          <w:sz w:val="30"/>
          <w:szCs w:val="30"/>
          <w:highlight w:val="none"/>
        </w:rPr>
        <w:t>医疗设备配件及耗材的价格清单</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2333"/>
        <w:gridCol w:w="1514"/>
        <w:gridCol w:w="1678"/>
        <w:gridCol w:w="1187"/>
        <w:gridCol w:w="1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697" w:type="dxa"/>
          </w:tcPr>
          <w:p>
            <w:pPr>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编号</w:t>
            </w:r>
          </w:p>
        </w:tc>
        <w:tc>
          <w:tcPr>
            <w:tcW w:w="2333" w:type="dxa"/>
          </w:tcPr>
          <w:p>
            <w:pPr>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配件或耗材名称</w:t>
            </w:r>
          </w:p>
        </w:tc>
        <w:tc>
          <w:tcPr>
            <w:tcW w:w="1514" w:type="dxa"/>
          </w:tcPr>
          <w:p>
            <w:pPr>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规格型号</w:t>
            </w:r>
          </w:p>
        </w:tc>
        <w:tc>
          <w:tcPr>
            <w:tcW w:w="1678" w:type="dxa"/>
          </w:tcPr>
          <w:p>
            <w:pPr>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生产厂商</w:t>
            </w:r>
          </w:p>
        </w:tc>
        <w:tc>
          <w:tcPr>
            <w:tcW w:w="1187" w:type="dxa"/>
          </w:tcPr>
          <w:p>
            <w:pPr>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单位</w:t>
            </w:r>
          </w:p>
        </w:tc>
        <w:tc>
          <w:tcPr>
            <w:tcW w:w="1521" w:type="dxa"/>
          </w:tcPr>
          <w:p>
            <w:pPr>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供应价格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97" w:type="dxa"/>
          </w:tcPr>
          <w:p>
            <w:pPr>
              <w:rPr>
                <w:rFonts w:ascii="宋体" w:hAnsi="宋体" w:cs="宋体"/>
                <w:color w:val="auto"/>
                <w:highlight w:val="none"/>
              </w:rPr>
            </w:pPr>
            <w:r>
              <w:rPr>
                <w:rFonts w:hint="eastAsia" w:ascii="宋体" w:hAnsi="宋体" w:cs="宋体"/>
                <w:color w:val="auto"/>
                <w:highlight w:val="none"/>
              </w:rPr>
              <w:t>1</w:t>
            </w:r>
          </w:p>
        </w:tc>
        <w:tc>
          <w:tcPr>
            <w:tcW w:w="2333" w:type="dxa"/>
            <w:vAlign w:val="bottom"/>
          </w:tcPr>
          <w:p>
            <w:pPr>
              <w:rPr>
                <w:rFonts w:ascii="宋体" w:hAnsi="宋体" w:cs="宋体"/>
                <w:color w:val="auto"/>
                <w:sz w:val="24"/>
                <w:szCs w:val="24"/>
                <w:highlight w:val="none"/>
              </w:rPr>
            </w:pPr>
          </w:p>
        </w:tc>
        <w:tc>
          <w:tcPr>
            <w:tcW w:w="1514" w:type="dxa"/>
            <w:vAlign w:val="bottom"/>
          </w:tcPr>
          <w:p>
            <w:pPr>
              <w:rPr>
                <w:rFonts w:ascii="宋体" w:hAnsi="宋体" w:cs="宋体"/>
                <w:color w:val="auto"/>
                <w:sz w:val="24"/>
                <w:szCs w:val="24"/>
                <w:highlight w:val="none"/>
              </w:rPr>
            </w:pPr>
          </w:p>
        </w:tc>
        <w:tc>
          <w:tcPr>
            <w:tcW w:w="1678" w:type="dxa"/>
          </w:tcPr>
          <w:p>
            <w:pPr>
              <w:rPr>
                <w:rFonts w:ascii="宋体" w:hAnsi="宋体" w:cs="宋体"/>
                <w:color w:val="auto"/>
                <w:highlight w:val="none"/>
              </w:rPr>
            </w:pPr>
          </w:p>
        </w:tc>
        <w:tc>
          <w:tcPr>
            <w:tcW w:w="1187" w:type="dxa"/>
            <w:vAlign w:val="center"/>
          </w:tcPr>
          <w:p>
            <w:pPr>
              <w:jc w:val="center"/>
              <w:rPr>
                <w:rFonts w:ascii="宋体" w:hAnsi="宋体" w:cs="宋体"/>
                <w:color w:val="auto"/>
                <w:highlight w:val="none"/>
              </w:rPr>
            </w:pPr>
          </w:p>
        </w:tc>
        <w:tc>
          <w:tcPr>
            <w:tcW w:w="1521" w:type="dxa"/>
            <w:vAlign w:val="center"/>
          </w:tcPr>
          <w:p>
            <w:pPr>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697" w:type="dxa"/>
          </w:tcPr>
          <w:p>
            <w:pPr>
              <w:rPr>
                <w:rFonts w:ascii="宋体" w:hAnsi="宋体" w:cs="宋体"/>
                <w:color w:val="auto"/>
                <w:highlight w:val="none"/>
              </w:rPr>
            </w:pPr>
            <w:r>
              <w:rPr>
                <w:rFonts w:hint="eastAsia" w:ascii="宋体" w:hAnsi="宋体" w:cs="宋体"/>
                <w:color w:val="auto"/>
                <w:highlight w:val="none"/>
              </w:rPr>
              <w:t>2</w:t>
            </w:r>
          </w:p>
        </w:tc>
        <w:tc>
          <w:tcPr>
            <w:tcW w:w="2333" w:type="dxa"/>
          </w:tcPr>
          <w:p>
            <w:pPr>
              <w:rPr>
                <w:rFonts w:ascii="宋体" w:hAnsi="宋体" w:cs="宋体"/>
                <w:b/>
                <w:bCs/>
                <w:color w:val="auto"/>
                <w:highlight w:val="none"/>
              </w:rPr>
            </w:pPr>
          </w:p>
        </w:tc>
        <w:tc>
          <w:tcPr>
            <w:tcW w:w="1514" w:type="dxa"/>
            <w:vAlign w:val="bottom"/>
          </w:tcPr>
          <w:p>
            <w:pPr>
              <w:rPr>
                <w:rFonts w:ascii="宋体" w:hAnsi="宋体" w:cs="宋体"/>
                <w:color w:val="auto"/>
                <w:sz w:val="24"/>
                <w:szCs w:val="24"/>
                <w:highlight w:val="none"/>
              </w:rPr>
            </w:pPr>
          </w:p>
        </w:tc>
        <w:tc>
          <w:tcPr>
            <w:tcW w:w="1678" w:type="dxa"/>
          </w:tcPr>
          <w:p>
            <w:pPr>
              <w:rPr>
                <w:rFonts w:ascii="宋体" w:hAnsi="宋体" w:cs="宋体"/>
                <w:color w:val="auto"/>
                <w:highlight w:val="none"/>
              </w:rPr>
            </w:pPr>
          </w:p>
        </w:tc>
        <w:tc>
          <w:tcPr>
            <w:tcW w:w="1187" w:type="dxa"/>
            <w:vAlign w:val="center"/>
          </w:tcPr>
          <w:p>
            <w:pPr>
              <w:jc w:val="center"/>
              <w:rPr>
                <w:rFonts w:ascii="宋体" w:hAnsi="宋体" w:cs="宋体"/>
                <w:color w:val="auto"/>
                <w:highlight w:val="none"/>
              </w:rPr>
            </w:pPr>
          </w:p>
        </w:tc>
        <w:tc>
          <w:tcPr>
            <w:tcW w:w="1521" w:type="dxa"/>
            <w:vAlign w:val="center"/>
          </w:tcPr>
          <w:p>
            <w:pPr>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697" w:type="dxa"/>
          </w:tcPr>
          <w:p>
            <w:pPr>
              <w:rPr>
                <w:rFonts w:ascii="宋体" w:hAnsi="宋体" w:cs="宋体"/>
                <w:color w:val="auto"/>
                <w:highlight w:val="none"/>
              </w:rPr>
            </w:pPr>
            <w:r>
              <w:rPr>
                <w:rFonts w:hint="eastAsia" w:ascii="宋体" w:hAnsi="宋体" w:cs="宋体"/>
                <w:color w:val="auto"/>
                <w:highlight w:val="none"/>
              </w:rPr>
              <w:t>3</w:t>
            </w:r>
          </w:p>
        </w:tc>
        <w:tc>
          <w:tcPr>
            <w:tcW w:w="2333" w:type="dxa"/>
          </w:tcPr>
          <w:p>
            <w:pPr>
              <w:rPr>
                <w:rFonts w:ascii="宋体" w:hAnsi="宋体" w:cs="宋体"/>
                <w:b/>
                <w:bCs/>
                <w:color w:val="auto"/>
                <w:highlight w:val="none"/>
              </w:rPr>
            </w:pPr>
          </w:p>
        </w:tc>
        <w:tc>
          <w:tcPr>
            <w:tcW w:w="1514" w:type="dxa"/>
            <w:vAlign w:val="bottom"/>
          </w:tcPr>
          <w:p>
            <w:pPr>
              <w:rPr>
                <w:rFonts w:ascii="宋体" w:hAnsi="宋体" w:cs="宋体"/>
                <w:color w:val="auto"/>
                <w:sz w:val="24"/>
                <w:szCs w:val="24"/>
                <w:highlight w:val="none"/>
              </w:rPr>
            </w:pPr>
          </w:p>
        </w:tc>
        <w:tc>
          <w:tcPr>
            <w:tcW w:w="1678" w:type="dxa"/>
          </w:tcPr>
          <w:p>
            <w:pPr>
              <w:rPr>
                <w:rFonts w:ascii="宋体" w:hAnsi="宋体" w:cs="宋体"/>
                <w:color w:val="auto"/>
                <w:highlight w:val="none"/>
              </w:rPr>
            </w:pPr>
          </w:p>
        </w:tc>
        <w:tc>
          <w:tcPr>
            <w:tcW w:w="1187" w:type="dxa"/>
            <w:vAlign w:val="center"/>
          </w:tcPr>
          <w:p>
            <w:pPr>
              <w:jc w:val="center"/>
              <w:rPr>
                <w:rFonts w:ascii="宋体" w:hAnsi="宋体" w:cs="宋体"/>
                <w:color w:val="auto"/>
                <w:highlight w:val="none"/>
              </w:rPr>
            </w:pPr>
          </w:p>
        </w:tc>
        <w:tc>
          <w:tcPr>
            <w:tcW w:w="1521" w:type="dxa"/>
            <w:vAlign w:val="center"/>
          </w:tcPr>
          <w:p>
            <w:pPr>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97" w:type="dxa"/>
          </w:tcPr>
          <w:p>
            <w:pPr>
              <w:rPr>
                <w:rFonts w:ascii="宋体" w:hAnsi="宋体" w:cs="宋体"/>
                <w:color w:val="auto"/>
                <w:highlight w:val="none"/>
              </w:rPr>
            </w:pPr>
            <w:r>
              <w:rPr>
                <w:rFonts w:hint="eastAsia" w:ascii="宋体" w:hAnsi="宋体" w:cs="宋体"/>
                <w:color w:val="auto"/>
                <w:highlight w:val="none"/>
              </w:rPr>
              <w:t>4</w:t>
            </w:r>
          </w:p>
        </w:tc>
        <w:tc>
          <w:tcPr>
            <w:tcW w:w="2333" w:type="dxa"/>
            <w:vAlign w:val="bottom"/>
          </w:tcPr>
          <w:p>
            <w:pPr>
              <w:rPr>
                <w:rFonts w:ascii="宋体" w:hAnsi="宋体" w:cs="宋体"/>
                <w:color w:val="auto"/>
                <w:sz w:val="24"/>
                <w:szCs w:val="24"/>
                <w:highlight w:val="none"/>
              </w:rPr>
            </w:pPr>
          </w:p>
        </w:tc>
        <w:tc>
          <w:tcPr>
            <w:tcW w:w="1514" w:type="dxa"/>
            <w:vAlign w:val="center"/>
          </w:tcPr>
          <w:p>
            <w:pPr>
              <w:rPr>
                <w:rFonts w:ascii="宋体" w:hAnsi="宋体" w:cs="宋体"/>
                <w:color w:val="auto"/>
                <w:spacing w:val="20"/>
                <w:highlight w:val="none"/>
              </w:rPr>
            </w:pPr>
          </w:p>
        </w:tc>
        <w:tc>
          <w:tcPr>
            <w:tcW w:w="1678" w:type="dxa"/>
          </w:tcPr>
          <w:p>
            <w:pPr>
              <w:rPr>
                <w:rFonts w:ascii="宋体" w:hAnsi="宋体" w:cs="宋体"/>
                <w:color w:val="auto"/>
                <w:highlight w:val="none"/>
              </w:rPr>
            </w:pPr>
          </w:p>
        </w:tc>
        <w:tc>
          <w:tcPr>
            <w:tcW w:w="1187" w:type="dxa"/>
            <w:vAlign w:val="center"/>
          </w:tcPr>
          <w:p>
            <w:pPr>
              <w:jc w:val="center"/>
              <w:rPr>
                <w:rFonts w:ascii="宋体" w:hAnsi="宋体" w:cs="宋体"/>
                <w:color w:val="auto"/>
                <w:highlight w:val="none"/>
              </w:rPr>
            </w:pPr>
          </w:p>
        </w:tc>
        <w:tc>
          <w:tcPr>
            <w:tcW w:w="1521" w:type="dxa"/>
            <w:vAlign w:val="center"/>
          </w:tcPr>
          <w:p>
            <w:pPr>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97" w:type="dxa"/>
          </w:tcPr>
          <w:p>
            <w:pPr>
              <w:rPr>
                <w:rFonts w:ascii="宋体" w:hAnsi="宋体" w:cs="宋体"/>
                <w:color w:val="auto"/>
                <w:highlight w:val="none"/>
              </w:rPr>
            </w:pPr>
            <w:r>
              <w:rPr>
                <w:rFonts w:hint="eastAsia" w:ascii="宋体" w:hAnsi="宋体" w:cs="宋体"/>
                <w:color w:val="auto"/>
                <w:highlight w:val="none"/>
              </w:rPr>
              <w:t>5</w:t>
            </w:r>
          </w:p>
        </w:tc>
        <w:tc>
          <w:tcPr>
            <w:tcW w:w="2333" w:type="dxa"/>
            <w:vAlign w:val="center"/>
          </w:tcPr>
          <w:p>
            <w:pPr>
              <w:rPr>
                <w:rFonts w:ascii="宋体" w:hAnsi="宋体" w:cs="宋体"/>
                <w:color w:val="auto"/>
                <w:spacing w:val="20"/>
                <w:highlight w:val="none"/>
              </w:rPr>
            </w:pPr>
          </w:p>
        </w:tc>
        <w:tc>
          <w:tcPr>
            <w:tcW w:w="1514" w:type="dxa"/>
            <w:vAlign w:val="center"/>
          </w:tcPr>
          <w:p>
            <w:pPr>
              <w:rPr>
                <w:rFonts w:ascii="宋体" w:hAnsi="宋体" w:cs="宋体"/>
                <w:color w:val="auto"/>
                <w:spacing w:val="20"/>
                <w:highlight w:val="none"/>
              </w:rPr>
            </w:pPr>
          </w:p>
        </w:tc>
        <w:tc>
          <w:tcPr>
            <w:tcW w:w="1678" w:type="dxa"/>
          </w:tcPr>
          <w:p>
            <w:pPr>
              <w:rPr>
                <w:rFonts w:ascii="宋体" w:hAnsi="宋体" w:cs="宋体"/>
                <w:color w:val="auto"/>
                <w:highlight w:val="none"/>
              </w:rPr>
            </w:pPr>
          </w:p>
        </w:tc>
        <w:tc>
          <w:tcPr>
            <w:tcW w:w="1187" w:type="dxa"/>
            <w:vAlign w:val="center"/>
          </w:tcPr>
          <w:p>
            <w:pPr>
              <w:jc w:val="center"/>
              <w:rPr>
                <w:rFonts w:ascii="宋体" w:hAnsi="宋体" w:cs="宋体"/>
                <w:color w:val="auto"/>
                <w:highlight w:val="none"/>
              </w:rPr>
            </w:pPr>
          </w:p>
        </w:tc>
        <w:tc>
          <w:tcPr>
            <w:tcW w:w="1521" w:type="dxa"/>
            <w:vAlign w:val="center"/>
          </w:tcPr>
          <w:p>
            <w:pPr>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97" w:type="dxa"/>
          </w:tcPr>
          <w:p>
            <w:pPr>
              <w:rPr>
                <w:rFonts w:ascii="宋体" w:hAnsi="宋体" w:cs="宋体"/>
                <w:color w:val="auto"/>
                <w:highlight w:val="none"/>
              </w:rPr>
            </w:pPr>
            <w:r>
              <w:rPr>
                <w:rFonts w:hint="eastAsia" w:ascii="宋体" w:hAnsi="宋体" w:cs="宋体"/>
                <w:color w:val="auto"/>
                <w:highlight w:val="none"/>
              </w:rPr>
              <w:t>6</w:t>
            </w:r>
          </w:p>
        </w:tc>
        <w:tc>
          <w:tcPr>
            <w:tcW w:w="2333" w:type="dxa"/>
            <w:vAlign w:val="center"/>
          </w:tcPr>
          <w:p>
            <w:pPr>
              <w:rPr>
                <w:rFonts w:ascii="宋体" w:hAnsi="宋体" w:cs="宋体"/>
                <w:color w:val="auto"/>
                <w:spacing w:val="20"/>
                <w:highlight w:val="none"/>
              </w:rPr>
            </w:pPr>
          </w:p>
        </w:tc>
        <w:tc>
          <w:tcPr>
            <w:tcW w:w="1514" w:type="dxa"/>
            <w:vAlign w:val="center"/>
          </w:tcPr>
          <w:p>
            <w:pPr>
              <w:rPr>
                <w:rFonts w:ascii="宋体" w:hAnsi="宋体" w:cs="宋体"/>
                <w:color w:val="auto"/>
                <w:spacing w:val="20"/>
                <w:highlight w:val="none"/>
              </w:rPr>
            </w:pPr>
          </w:p>
        </w:tc>
        <w:tc>
          <w:tcPr>
            <w:tcW w:w="1678" w:type="dxa"/>
          </w:tcPr>
          <w:p>
            <w:pPr>
              <w:rPr>
                <w:rFonts w:ascii="宋体" w:hAnsi="宋体" w:cs="宋体"/>
                <w:color w:val="auto"/>
                <w:highlight w:val="none"/>
              </w:rPr>
            </w:pPr>
          </w:p>
        </w:tc>
        <w:tc>
          <w:tcPr>
            <w:tcW w:w="1187" w:type="dxa"/>
            <w:vAlign w:val="center"/>
          </w:tcPr>
          <w:p>
            <w:pPr>
              <w:jc w:val="center"/>
              <w:rPr>
                <w:rFonts w:ascii="宋体" w:hAnsi="宋体" w:cs="宋体"/>
                <w:color w:val="auto"/>
                <w:highlight w:val="none"/>
              </w:rPr>
            </w:pPr>
          </w:p>
        </w:tc>
        <w:tc>
          <w:tcPr>
            <w:tcW w:w="1521" w:type="dxa"/>
            <w:vAlign w:val="center"/>
          </w:tcPr>
          <w:p>
            <w:pPr>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97" w:type="dxa"/>
          </w:tcPr>
          <w:p>
            <w:pPr>
              <w:rPr>
                <w:rFonts w:ascii="宋体" w:hAnsi="宋体" w:cs="宋体"/>
                <w:color w:val="auto"/>
                <w:highlight w:val="none"/>
              </w:rPr>
            </w:pPr>
            <w:r>
              <w:rPr>
                <w:rFonts w:hint="eastAsia" w:ascii="宋体" w:hAnsi="宋体" w:cs="宋体"/>
                <w:color w:val="auto"/>
                <w:highlight w:val="none"/>
              </w:rPr>
              <w:t>7</w:t>
            </w:r>
          </w:p>
        </w:tc>
        <w:tc>
          <w:tcPr>
            <w:tcW w:w="2333" w:type="dxa"/>
            <w:vAlign w:val="center"/>
          </w:tcPr>
          <w:p>
            <w:pPr>
              <w:rPr>
                <w:rFonts w:ascii="宋体" w:hAnsi="宋体" w:cs="宋体"/>
                <w:color w:val="auto"/>
                <w:spacing w:val="20"/>
                <w:highlight w:val="none"/>
              </w:rPr>
            </w:pPr>
          </w:p>
        </w:tc>
        <w:tc>
          <w:tcPr>
            <w:tcW w:w="1514" w:type="dxa"/>
            <w:vAlign w:val="center"/>
          </w:tcPr>
          <w:p>
            <w:pPr>
              <w:rPr>
                <w:rFonts w:ascii="宋体" w:hAnsi="宋体" w:cs="宋体"/>
                <w:color w:val="auto"/>
                <w:spacing w:val="20"/>
                <w:highlight w:val="none"/>
              </w:rPr>
            </w:pPr>
          </w:p>
        </w:tc>
        <w:tc>
          <w:tcPr>
            <w:tcW w:w="1678" w:type="dxa"/>
          </w:tcPr>
          <w:p>
            <w:pPr>
              <w:rPr>
                <w:rFonts w:ascii="宋体" w:hAnsi="宋体" w:cs="宋体"/>
                <w:color w:val="auto"/>
                <w:highlight w:val="none"/>
              </w:rPr>
            </w:pPr>
          </w:p>
        </w:tc>
        <w:tc>
          <w:tcPr>
            <w:tcW w:w="1187" w:type="dxa"/>
            <w:vAlign w:val="center"/>
          </w:tcPr>
          <w:p>
            <w:pPr>
              <w:jc w:val="center"/>
              <w:rPr>
                <w:rFonts w:ascii="宋体" w:hAnsi="宋体" w:cs="宋体"/>
                <w:color w:val="auto"/>
                <w:highlight w:val="none"/>
              </w:rPr>
            </w:pPr>
          </w:p>
        </w:tc>
        <w:tc>
          <w:tcPr>
            <w:tcW w:w="1521" w:type="dxa"/>
            <w:vAlign w:val="center"/>
          </w:tcPr>
          <w:p>
            <w:pPr>
              <w:jc w:val="center"/>
              <w:rPr>
                <w:rFonts w:ascii="宋体" w:hAnsi="宋体" w:cs="宋体"/>
                <w:color w:val="auto"/>
                <w:highlight w:val="none"/>
              </w:rPr>
            </w:pPr>
          </w:p>
        </w:tc>
      </w:tr>
    </w:tbl>
    <w:p>
      <w:pPr>
        <w:rPr>
          <w:rFonts w:ascii="宋体" w:hAnsi="宋体" w:cs="宋体"/>
          <w:b/>
          <w:bCs/>
          <w:color w:val="auto"/>
          <w:sz w:val="24"/>
          <w:szCs w:val="24"/>
          <w:highlight w:val="none"/>
        </w:rPr>
      </w:pPr>
      <w:r>
        <w:rPr>
          <w:rFonts w:hint="eastAsia" w:ascii="宋体" w:hAnsi="宋体" w:cs="宋体"/>
          <w:b/>
          <w:bCs/>
          <w:color w:val="auto"/>
          <w:sz w:val="24"/>
          <w:szCs w:val="24"/>
          <w:highlight w:val="none"/>
        </w:rPr>
        <w:t>供方保证在合同签定         年内以不高于上述价格供应设备相应配件及耗品</w:t>
      </w:r>
    </w:p>
    <w:p>
      <w:pPr>
        <w:rPr>
          <w:rFonts w:ascii="宋体" w:hAnsi="宋体" w:cs="宋体"/>
          <w:b/>
          <w:bCs/>
          <w:color w:val="auto"/>
          <w:sz w:val="24"/>
          <w:szCs w:val="24"/>
          <w:highlight w:val="none"/>
        </w:rPr>
      </w:pPr>
      <w:r>
        <w:rPr>
          <w:rFonts w:hint="eastAsia" w:ascii="宋体" w:hAnsi="宋体" w:cs="宋体"/>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1371600</wp:posOffset>
                </wp:positionH>
                <wp:positionV relativeFrom="paragraph">
                  <wp:posOffset>-635</wp:posOffset>
                </wp:positionV>
                <wp:extent cx="685800" cy="0"/>
                <wp:effectExtent l="0" t="0" r="0" b="0"/>
                <wp:wrapNone/>
                <wp:docPr id="1" name="直线 7"/>
                <wp:cNvGraphicFramePr/>
                <a:graphic xmlns:a="http://schemas.openxmlformats.org/drawingml/2006/main">
                  <a:graphicData uri="http://schemas.microsoft.com/office/word/2010/wordprocessingShape">
                    <wps:wsp>
                      <wps:cNvCnPr/>
                      <wps:spPr>
                        <a:xfrm>
                          <a:off x="0" y="0"/>
                          <a:ext cx="6858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7" o:spid="_x0000_s1026" o:spt="20" style="position:absolute;left:0pt;margin-left:108pt;margin-top:-0.05pt;height:0pt;width:54pt;z-index:251659264;mso-width-relative:page;mso-height-relative:page;" filled="f" stroked="t" coordsize="21600,21600" o:gfxdata="UEsDBAoAAAAAAIdO4kAAAAAAAAAAAAAAAAAEAAAAZHJzL1BLAwQUAAAACACHTuJAqdTcRNQAAAAH AQAADwAAAGRycy9kb3ducmV2LnhtbE2Py07DMBBF90j8gzVIbKrWTooqFOJ0AWTHhlLEdhoPSUQ8 TmP3AV/PwAaWR3d075lyffaDOtIU+8AWsoUBRdwE13NrYftSz29BxYTscAhMFj4pwrq6vCixcOHE z3TcpFZJCccCLXQpjYXWsenIY1yEkViy9zB5TIJTq92EJyn3g86NWWmPPctChyPdd9R8bA7eQqxf aV9/zZqZeVu2gfL9w9MjWnt9lZk7UInO6e8YfvRFHSpx2oUDu6gGC3m2kl+ShXkGSvJlfiO8+2Vd lfq/f/UNUEsDBBQAAAAIAIdO4kACECH33wEAAM4DAAAOAAAAZHJzL2Uyb0RvYy54bWytU0tu2zAQ 3RfoHQjuaykGnLqC5SzipJuiNdD2AGOSkgjwBw5j2WfpNbrqpsfJNTqkHKdNN15EC2o4nHkz73G4 ujlYw/Yqovau5VezmjPlhJfa9S3//u3+3ZIzTOAkGO9Uy48K+c367ZvVGBo194M3UkVGIA6bMbR8 SCk0VYViUBZw5oNydNj5aCHRNvaVjDASujXVvK6vq9FHGaIXCpG8m+mQnxDjJYC+67RQGy8erHJp Qo3KQCJKOOiAfF267Tol0peuQ5WYaTkxTWWlImTv8lqtV9D0EcKgxakFuKSFF5wsaEdFz1AbSMAe ov4PymoRPfouzYS31USkKEIsruoX2nwdIKjChaTGcBYdXw9WfN5vI9OSJoEzB5Yu/PHHz8dfv9n7 rM0YsKGQW7eNpx2GbcxED120+U8U2KHoeTzrqQ6JCXJeLxfLmpQWT0fVc16ImD4qb1k2Wm60y0yh gf0nTFSLQp9Csts4Nrb8w2K+IDigsevousm0gVpH15dc9EbLe21MzsDY725NZHvIV1++zIhw/wnL RTaAwxRXjqahGBTIOydZOgYSxdFb4LkFqyRnRtHTyRYBQpNAm0siqbRx1EEWdZIxWzsvj0Xd4qdr Lj2eRjLP0d/7kv38DNd/AFBLAwQKAAAAAACHTuJAAAAAAAAAAAAAAAAABgAAAF9yZWxzL1BLAwQU AAAACACHTuJAihRmPNEAAACUAQAACwAAAF9yZWxzLy5yZWxzpZDBasMwDIbvg72D0X1xmsMYo04v o9Br6R7A2IpjGltGMtn69vMOg2X0tqN+oe8T//7wmRa1IkukbGDX9aAwO/IxBwPvl+PTCyipNnu7 UEYDNxQ4jI8P+zMutrYjmWMR1ShZDMy1lletxc2YrHRUMLfNRJxsbSMHXay72oB66Ptnzb8ZMG6Y 6uQN8MkPoC630sx/2Ck6JqGpdo6SpmmK7h5VB7Zlju7INuEbuUazHLAa8CwaB2pZ134EfV+/+6fe 00c+47rVfoeM649Xb7ocvwBQSwMEFAAAAAgAh07iQH7m5SD3AAAA4QEAABMAAABbQ29udGVudF9U eXBlc10ueG1slZFBTsMwEEX3SNzB8hYlTrtACCXpgrRLQKgcYGRPEotkbHlMaG+Pk7YbRJFY2jP/ vye73BzGQUwY2Dqq5CovpEDSzljqKvm+32UPUnAEMjA4wkoekeWmvr0p90ePLFKauJJ9jP5RKdY9 jsC580hp0rowQkzH0CkP+gM6VOuiuFfaUUSKWZw7ZF022MLnEMX2kK5PJgEHluLptDizKgneD1ZD TKZqIvODkp0JeUouO9xbz3dJQ6pfCfPkOuCce0lPE6xB8QohPsOYNJQJrIz7ooBT/nfJbDly5trW asybwE2KveF0sbrWjmvXOP3f8u2SunSr5YPqb1BLAQIUABQAAAAIAIdO4kB+5uUg9wAAAOEBAAAT AAAAAAAAAAEAIAAAAEwEAABbQ29udGVudF9UeXBlc10ueG1sUEsBAhQACgAAAAAAh07iQAAAAAAA AAAAAAAAAAYAAAAAAAAAAAAQAAAALgMAAF9yZWxzL1BLAQIUABQAAAAIAIdO4kCKFGY80QAAAJQB AAALAAAAAAAAAAEAIAAAAFIDAABfcmVscy8ucmVsc1BLAQIUAAoAAAAAAIdO4kAAAAAAAAAAAAAA AAAEAAAAAAAAAAAAEAAAAAAAAABkcnMvUEsBAhQAFAAAAAgAh07iQKnU3ETUAAAABwEAAA8AAAAA AAAAAQAgAAAAIgAAAGRycy9kb3ducmV2LnhtbFBLAQIUABQAAAAIAIdO4kACECH33wEAAM4DAAAO AAAAAAAAAAEAIAAAACMBAABkcnMvZTJvRG9jLnhtbFBLBQYAAAAABgAGAFkBAAB0BQAAAAA= ">
                <v:fill on="f" focussize="0,0"/>
                <v:stroke color="#000000" joinstyle="round"/>
                <v:imagedata o:title=""/>
                <o:lock v:ext="edit" aspectratio="f"/>
              </v:line>
            </w:pict>
          </mc:Fallback>
        </mc:AlternateContent>
      </w:r>
    </w:p>
    <w:p>
      <w:pPr>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需方: (签字)                                    供方:(签字)</w:t>
      </w:r>
    </w:p>
    <w:p>
      <w:pPr>
        <w:pStyle w:val="2"/>
        <w:rPr>
          <w:rFonts w:ascii="宋体" w:cs="宋体"/>
          <w:color w:val="auto"/>
          <w:highlight w:val="none"/>
        </w:rPr>
      </w:pPr>
      <w:r>
        <w:rPr>
          <w:rFonts w:hint="eastAsia" w:ascii="宋体" w:cs="宋体"/>
          <w:color w:val="auto"/>
          <w:highlight w:val="none"/>
        </w:rPr>
        <w:t>第六章  投标文件格式</w:t>
      </w:r>
      <w:bookmarkEnd w:id="102"/>
      <w:bookmarkEnd w:id="103"/>
      <w:bookmarkEnd w:id="104"/>
    </w:p>
    <w:p>
      <w:pPr>
        <w:snapToGrid w:val="0"/>
        <w:spacing w:before="120" w:beforeLines="50" w:after="50" w:line="360" w:lineRule="auto"/>
        <w:rPr>
          <w:rFonts w:ascii="宋体" w:hAnsi="宋体" w:cs="宋体"/>
          <w:b/>
          <w:bCs/>
          <w:color w:val="auto"/>
          <w:highlight w:val="none"/>
        </w:rPr>
      </w:pPr>
      <w:r>
        <w:rPr>
          <w:rFonts w:hint="eastAsia" w:ascii="宋体" w:hAnsi="宋体" w:cs="宋体"/>
          <w:b/>
          <w:bCs/>
          <w:color w:val="auto"/>
          <w:highlight w:val="none"/>
        </w:rPr>
        <w:t>1.封面格式：</w:t>
      </w:r>
    </w:p>
    <w:p>
      <w:pPr>
        <w:snapToGrid w:val="0"/>
        <w:spacing w:before="120" w:beforeLines="50" w:after="50" w:line="360" w:lineRule="auto"/>
        <w:ind w:firstLine="207" w:firstLineChars="98"/>
        <w:rPr>
          <w:rFonts w:ascii="宋体" w:hAnsi="宋体" w:cs="宋体"/>
          <w:b/>
          <w:bCs/>
          <w:color w:val="auto"/>
          <w:highlight w:val="none"/>
        </w:rPr>
      </w:pPr>
    </w:p>
    <w:p>
      <w:pPr>
        <w:snapToGrid w:val="0"/>
        <w:spacing w:before="120" w:beforeLines="50" w:after="50" w:line="360" w:lineRule="auto"/>
        <w:jc w:val="center"/>
        <w:rPr>
          <w:rFonts w:ascii="宋体" w:hAnsi="宋体" w:cs="宋体"/>
          <w:color w:val="auto"/>
          <w:highlight w:val="none"/>
        </w:rPr>
      </w:pPr>
      <w:r>
        <w:rPr>
          <w:rFonts w:hint="eastAsia" w:ascii="宋体" w:hAnsi="宋体" w:cs="宋体"/>
          <w:b/>
          <w:bCs/>
          <w:color w:val="auto"/>
          <w:highlight w:val="none"/>
        </w:rPr>
        <w:t xml:space="preserve">                                            正本/或副本</w:t>
      </w:r>
    </w:p>
    <w:p>
      <w:pPr>
        <w:snapToGrid w:val="0"/>
        <w:spacing w:before="120" w:beforeLines="50" w:after="50" w:line="360" w:lineRule="auto"/>
        <w:jc w:val="center"/>
        <w:rPr>
          <w:rFonts w:ascii="宋体" w:hAnsi="宋体" w:cs="宋体"/>
          <w:color w:val="auto"/>
          <w:highlight w:val="none"/>
        </w:rPr>
      </w:pPr>
      <w:r>
        <w:rPr>
          <w:rFonts w:hint="eastAsia" w:ascii="宋体" w:hAnsi="宋体" w:cs="宋体"/>
          <w:color w:val="auto"/>
          <w:highlight w:val="none"/>
        </w:rPr>
        <w:t>投 标 文 件（商务技术文件/报价文件）</w:t>
      </w:r>
    </w:p>
    <w:p>
      <w:pPr>
        <w:snapToGrid w:val="0"/>
        <w:spacing w:before="120" w:beforeLines="50" w:after="50" w:line="360" w:lineRule="auto"/>
        <w:ind w:firstLine="6054" w:firstLineChars="2883"/>
        <w:rPr>
          <w:rFonts w:ascii="宋体" w:hAnsi="宋体" w:cs="宋体"/>
          <w:color w:val="auto"/>
          <w:highlight w:val="none"/>
        </w:rPr>
      </w:pPr>
    </w:p>
    <w:p>
      <w:pPr>
        <w:snapToGrid w:val="0"/>
        <w:spacing w:before="120" w:beforeLines="50" w:after="50" w:line="360" w:lineRule="auto"/>
        <w:ind w:firstLine="945" w:firstLineChars="450"/>
        <w:rPr>
          <w:rFonts w:hint="eastAsia" w:ascii="宋体" w:hAnsi="宋体" w:eastAsia="宋体" w:cs="宋体"/>
          <w:color w:val="auto"/>
          <w:highlight w:val="none"/>
          <w:lang w:eastAsia="zh-CN"/>
        </w:rPr>
      </w:pPr>
      <w:r>
        <w:rPr>
          <w:rFonts w:hint="eastAsia" w:ascii="宋体" w:hAnsi="宋体" w:cs="宋体"/>
          <w:color w:val="auto"/>
          <w:highlight w:val="none"/>
        </w:rPr>
        <w:t>项目名称：</w:t>
      </w:r>
      <w:r>
        <w:rPr>
          <w:rFonts w:hint="eastAsia" w:ascii="宋体" w:hAnsi="宋体" w:cs="宋体"/>
          <w:color w:val="auto"/>
          <w:highlight w:val="none"/>
          <w:lang w:eastAsia="zh-CN"/>
        </w:rPr>
        <w:t>丽水市中心医院体外冲击波碎石机、全自动快速微生物质谱检测系统采购项目</w:t>
      </w:r>
    </w:p>
    <w:p>
      <w:pPr>
        <w:snapToGrid w:val="0"/>
        <w:spacing w:before="120" w:beforeLines="50" w:after="50" w:line="360" w:lineRule="auto"/>
        <w:ind w:firstLine="420" w:firstLineChars="200"/>
        <w:rPr>
          <w:rFonts w:ascii="宋体" w:hAnsi="宋体" w:cs="宋体"/>
          <w:color w:val="auto"/>
          <w:highlight w:val="none"/>
        </w:rPr>
      </w:pPr>
      <w:r>
        <w:rPr>
          <w:rFonts w:hint="eastAsia" w:ascii="宋体" w:hAnsi="宋体" w:cs="宋体"/>
          <w:color w:val="auto"/>
          <w:highlight w:val="none"/>
        </w:rPr>
        <w:t xml:space="preserve">     项目编号：CBNB-20221869GLS</w:t>
      </w:r>
    </w:p>
    <w:p>
      <w:pPr>
        <w:snapToGrid w:val="0"/>
        <w:spacing w:before="120" w:beforeLines="50" w:after="50" w:line="360" w:lineRule="auto"/>
        <w:ind w:firstLine="945" w:firstLineChars="450"/>
        <w:rPr>
          <w:rFonts w:ascii="宋体" w:hAnsi="宋体" w:cs="宋体"/>
          <w:color w:val="auto"/>
          <w:highlight w:val="none"/>
        </w:rPr>
      </w:pPr>
      <w:r>
        <w:rPr>
          <w:rFonts w:hint="eastAsia" w:ascii="宋体" w:hAnsi="宋体" w:cs="宋体"/>
          <w:color w:val="auto"/>
          <w:highlight w:val="none"/>
        </w:rPr>
        <w:t>投标人名称（加盖公章）：</w:t>
      </w:r>
    </w:p>
    <w:p>
      <w:pPr>
        <w:snapToGrid w:val="0"/>
        <w:spacing w:before="120" w:beforeLines="50" w:after="50" w:line="360" w:lineRule="auto"/>
        <w:ind w:firstLine="945" w:firstLineChars="450"/>
        <w:rPr>
          <w:rFonts w:ascii="宋体" w:hAnsi="宋体" w:cs="宋体"/>
          <w:color w:val="auto"/>
          <w:highlight w:val="none"/>
        </w:rPr>
      </w:pPr>
      <w:r>
        <w:rPr>
          <w:rFonts w:hint="eastAsia" w:ascii="宋体" w:hAnsi="宋体" w:cs="宋体"/>
          <w:color w:val="auto"/>
          <w:highlight w:val="none"/>
        </w:rPr>
        <w:t>投标人地址：</w:t>
      </w:r>
    </w:p>
    <w:p>
      <w:pPr>
        <w:snapToGrid w:val="0"/>
        <w:spacing w:before="50" w:after="50" w:line="360" w:lineRule="auto"/>
        <w:outlineLvl w:val="1"/>
        <w:rPr>
          <w:rFonts w:ascii="宋体" w:hAnsi="宋体" w:cs="宋体"/>
          <w:color w:val="auto"/>
          <w:highlight w:val="none"/>
        </w:rPr>
      </w:pPr>
      <w:r>
        <w:rPr>
          <w:rFonts w:hint="eastAsia" w:ascii="宋体" w:hAnsi="宋体" w:cs="宋体"/>
          <w:color w:val="auto"/>
          <w:highlight w:val="none"/>
        </w:rPr>
        <w:t xml:space="preserve">                                                 </w:t>
      </w:r>
      <w:bookmarkStart w:id="105" w:name="_Toc447886499"/>
      <w:bookmarkStart w:id="106" w:name="_Toc23227"/>
      <w:bookmarkStart w:id="107" w:name="_Toc447886361"/>
      <w:bookmarkStart w:id="108" w:name="_Toc47388387"/>
      <w:r>
        <w:rPr>
          <w:rFonts w:hint="eastAsia" w:ascii="宋体" w:hAnsi="宋体" w:cs="宋体"/>
          <w:color w:val="auto"/>
          <w:highlight w:val="none"/>
        </w:rPr>
        <w:t>年  月  日</w:t>
      </w:r>
      <w:bookmarkEnd w:id="105"/>
      <w:bookmarkEnd w:id="106"/>
      <w:bookmarkEnd w:id="107"/>
      <w:bookmarkEnd w:id="108"/>
    </w:p>
    <w:p>
      <w:pPr>
        <w:snapToGrid w:val="0"/>
        <w:spacing w:before="120" w:beforeLines="50" w:after="50"/>
        <w:rPr>
          <w:rFonts w:ascii="宋体" w:hAnsi="宋体" w:cs="宋体"/>
          <w:color w:val="auto"/>
          <w:highlight w:val="none"/>
        </w:rPr>
      </w:pPr>
    </w:p>
    <w:p>
      <w:pPr>
        <w:snapToGrid w:val="0"/>
        <w:spacing w:before="120" w:beforeLines="50" w:after="50"/>
        <w:jc w:val="center"/>
        <w:rPr>
          <w:rFonts w:ascii="宋体" w:hAnsi="宋体" w:cs="宋体"/>
          <w:color w:val="auto"/>
          <w:highlight w:val="none"/>
        </w:rPr>
        <w:sectPr>
          <w:pgSz w:w="11906" w:h="16838"/>
          <w:pgMar w:top="1474" w:right="1797" w:bottom="1247" w:left="1797" w:header="851" w:footer="851" w:gutter="0"/>
          <w:cols w:space="720" w:num="1"/>
          <w:titlePg/>
          <w:docGrid w:linePitch="312" w:charSpace="0"/>
        </w:sectPr>
      </w:pPr>
      <w:r>
        <w:rPr>
          <w:rFonts w:hint="eastAsia" w:ascii="宋体" w:hAnsi="宋体" w:cs="宋体"/>
          <w:b/>
          <w:color w:val="auto"/>
          <w:highlight w:val="none"/>
        </w:rPr>
        <w:t>注：联合体投标的，可只由联合体牵头人盖章。</w:t>
      </w:r>
    </w:p>
    <w:p>
      <w:pPr>
        <w:snapToGrid w:val="0"/>
        <w:spacing w:before="120" w:beforeLines="50" w:after="50"/>
        <w:rPr>
          <w:rFonts w:ascii="宋体" w:hAnsi="宋体" w:cs="宋体"/>
          <w:b/>
          <w:bCs/>
          <w:color w:val="auto"/>
          <w:highlight w:val="none"/>
        </w:rPr>
      </w:pPr>
      <w:r>
        <w:rPr>
          <w:rFonts w:hint="eastAsia" w:ascii="宋体" w:hAnsi="宋体" w:cs="宋体"/>
          <w:b/>
          <w:bCs/>
          <w:color w:val="auto"/>
          <w:highlight w:val="none"/>
        </w:rPr>
        <w:t>1.报价文件：</w:t>
      </w:r>
    </w:p>
    <w:p>
      <w:pPr>
        <w:snapToGrid w:val="0"/>
        <w:spacing w:before="120" w:beforeLines="50" w:after="50"/>
        <w:rPr>
          <w:rFonts w:ascii="宋体" w:hAnsi="宋体" w:cs="宋体"/>
          <w:color w:val="auto"/>
          <w:highlight w:val="none"/>
        </w:rPr>
      </w:pPr>
      <w:r>
        <w:rPr>
          <w:rFonts w:hint="eastAsia" w:ascii="宋体" w:hAnsi="宋体" w:cs="宋体"/>
          <w:color w:val="auto"/>
          <w:highlight w:val="none"/>
        </w:rPr>
        <w:t>（1）投标函：</w:t>
      </w:r>
    </w:p>
    <w:p>
      <w:pPr>
        <w:pStyle w:val="19"/>
        <w:widowControl/>
        <w:spacing w:line="360" w:lineRule="auto"/>
        <w:ind w:firstLine="0"/>
        <w:jc w:val="center"/>
        <w:rPr>
          <w:rFonts w:hAnsi="宋体"/>
          <w:b/>
          <w:bCs/>
          <w:color w:val="auto"/>
          <w:sz w:val="24"/>
          <w:szCs w:val="24"/>
          <w:highlight w:val="none"/>
        </w:rPr>
      </w:pPr>
      <w:r>
        <w:rPr>
          <w:rFonts w:hint="eastAsia" w:hAnsi="宋体"/>
          <w:b/>
          <w:bCs/>
          <w:color w:val="auto"/>
          <w:sz w:val="24"/>
          <w:szCs w:val="24"/>
          <w:highlight w:val="none"/>
        </w:rPr>
        <w:t>投标函</w:t>
      </w:r>
    </w:p>
    <w:p>
      <w:pPr>
        <w:pStyle w:val="19"/>
        <w:widowControl/>
        <w:spacing w:line="360" w:lineRule="auto"/>
        <w:ind w:firstLine="0"/>
        <w:jc w:val="center"/>
        <w:rPr>
          <w:rFonts w:hAnsi="宋体"/>
          <w:b/>
          <w:bCs/>
          <w:color w:val="auto"/>
          <w:sz w:val="24"/>
          <w:szCs w:val="24"/>
          <w:highlight w:val="none"/>
        </w:rPr>
      </w:pPr>
    </w:p>
    <w:p>
      <w:pPr>
        <w:pStyle w:val="19"/>
        <w:widowControl/>
        <w:spacing w:line="360" w:lineRule="auto"/>
        <w:ind w:firstLine="0"/>
        <w:jc w:val="left"/>
        <w:rPr>
          <w:rFonts w:hAnsi="宋体"/>
          <w:color w:val="auto"/>
          <w:sz w:val="21"/>
          <w:szCs w:val="21"/>
          <w:highlight w:val="none"/>
        </w:rPr>
      </w:pPr>
      <w:r>
        <w:rPr>
          <w:rFonts w:hint="eastAsia" w:hAnsi="宋体"/>
          <w:color w:val="auto"/>
          <w:sz w:val="21"/>
          <w:szCs w:val="21"/>
          <w:highlight w:val="none"/>
          <w:u w:val="single"/>
        </w:rPr>
        <w:t>致（采购代理机构）</w:t>
      </w:r>
      <w:r>
        <w:rPr>
          <w:rFonts w:hint="eastAsia" w:hAnsi="宋体"/>
          <w:color w:val="auto"/>
          <w:sz w:val="21"/>
          <w:szCs w:val="21"/>
          <w:highlight w:val="none"/>
        </w:rPr>
        <w:t>：</w:t>
      </w:r>
    </w:p>
    <w:p>
      <w:pPr>
        <w:pStyle w:val="19"/>
        <w:widowControl/>
        <w:spacing w:line="360" w:lineRule="auto"/>
        <w:jc w:val="left"/>
        <w:rPr>
          <w:rFonts w:hAnsi="宋体"/>
          <w:color w:val="auto"/>
          <w:sz w:val="21"/>
          <w:szCs w:val="21"/>
          <w:highlight w:val="none"/>
        </w:rPr>
      </w:pPr>
      <w:r>
        <w:rPr>
          <w:rFonts w:hint="eastAsia" w:hAnsi="宋体"/>
          <w:color w:val="auto"/>
          <w:sz w:val="21"/>
          <w:szCs w:val="21"/>
          <w:highlight w:val="none"/>
        </w:rPr>
        <w:t xml:space="preserve">   </w:t>
      </w:r>
      <w:r>
        <w:rPr>
          <w:rFonts w:hint="eastAsia" w:hAnsi="宋体"/>
          <w:color w:val="auto"/>
          <w:sz w:val="21"/>
          <w:szCs w:val="21"/>
          <w:highlight w:val="none"/>
          <w:u w:val="single"/>
        </w:rPr>
        <w:t>（投标人全称）</w:t>
      </w:r>
      <w:r>
        <w:rPr>
          <w:rFonts w:hint="eastAsia" w:hAnsi="宋体"/>
          <w:color w:val="auto"/>
          <w:sz w:val="21"/>
          <w:szCs w:val="21"/>
          <w:highlight w:val="none"/>
        </w:rPr>
        <w:t>授权</w:t>
      </w:r>
      <w:r>
        <w:rPr>
          <w:rFonts w:hint="eastAsia" w:hAnsi="宋体"/>
          <w:color w:val="auto"/>
          <w:sz w:val="21"/>
          <w:szCs w:val="21"/>
          <w:highlight w:val="none"/>
          <w:u w:val="single"/>
        </w:rPr>
        <w:t xml:space="preserve">（授权代表姓名、职务） </w:t>
      </w:r>
      <w:r>
        <w:rPr>
          <w:rFonts w:hint="eastAsia" w:hAnsi="宋体"/>
          <w:color w:val="auto"/>
          <w:sz w:val="21"/>
          <w:szCs w:val="21"/>
          <w:highlight w:val="none"/>
        </w:rPr>
        <w:t>为本公司（单位）合法代理人，参加贵方组织的</w:t>
      </w:r>
      <w:r>
        <w:rPr>
          <w:rFonts w:hint="eastAsia" w:hAnsi="宋体"/>
          <w:color w:val="auto"/>
          <w:sz w:val="21"/>
          <w:szCs w:val="21"/>
          <w:highlight w:val="none"/>
          <w:u w:val="single"/>
        </w:rPr>
        <w:t xml:space="preserve">（项目编号、项目名称） </w:t>
      </w:r>
      <w:r>
        <w:rPr>
          <w:rFonts w:hint="eastAsia" w:hAnsi="宋体"/>
          <w:color w:val="auto"/>
          <w:sz w:val="21"/>
          <w:szCs w:val="21"/>
          <w:highlight w:val="none"/>
        </w:rPr>
        <w:t>招投标活动，代表本公司（单位）处理招投标活动中的一切事宜，为对</w:t>
      </w:r>
      <w:r>
        <w:rPr>
          <w:rFonts w:hint="eastAsia" w:hAnsi="宋体"/>
          <w:color w:val="auto"/>
          <w:sz w:val="21"/>
          <w:szCs w:val="21"/>
          <w:highlight w:val="none"/>
          <w:u w:val="single"/>
        </w:rPr>
        <w:t>（货物名称）</w:t>
      </w:r>
      <w:r>
        <w:rPr>
          <w:rFonts w:hint="eastAsia" w:hAnsi="宋体"/>
          <w:color w:val="auto"/>
          <w:sz w:val="21"/>
          <w:szCs w:val="21"/>
          <w:highlight w:val="none"/>
        </w:rPr>
        <w:t>进行投标，在此：</w:t>
      </w:r>
    </w:p>
    <w:p>
      <w:pPr>
        <w:pStyle w:val="19"/>
        <w:widowControl/>
        <w:spacing w:line="360" w:lineRule="auto"/>
        <w:ind w:firstLine="0"/>
        <w:jc w:val="left"/>
        <w:rPr>
          <w:rFonts w:hAnsi="宋体"/>
          <w:color w:val="auto"/>
          <w:sz w:val="21"/>
          <w:szCs w:val="21"/>
          <w:highlight w:val="none"/>
        </w:rPr>
      </w:pPr>
      <w:r>
        <w:rPr>
          <w:rFonts w:hint="eastAsia" w:hAnsi="宋体"/>
          <w:color w:val="auto"/>
          <w:sz w:val="21"/>
          <w:szCs w:val="21"/>
          <w:highlight w:val="none"/>
        </w:rPr>
        <w:t>1、提供招标文件中“投标须知”规定的全部投标文件：报价文件、资格证明文件及商务技术文件；</w:t>
      </w:r>
    </w:p>
    <w:p>
      <w:pPr>
        <w:pStyle w:val="19"/>
        <w:widowControl/>
        <w:numPr>
          <w:ilvl w:val="0"/>
          <w:numId w:val="20"/>
        </w:numPr>
        <w:spacing w:line="360" w:lineRule="auto"/>
        <w:ind w:firstLine="0"/>
        <w:jc w:val="left"/>
        <w:rPr>
          <w:rFonts w:hAnsi="宋体"/>
          <w:color w:val="auto"/>
          <w:sz w:val="21"/>
          <w:szCs w:val="21"/>
          <w:highlight w:val="none"/>
        </w:rPr>
      </w:pPr>
      <w:r>
        <w:rPr>
          <w:rFonts w:hint="eastAsia" w:hAnsi="宋体"/>
          <w:color w:val="auto"/>
          <w:sz w:val="21"/>
          <w:szCs w:val="21"/>
          <w:highlight w:val="none"/>
        </w:rPr>
        <w:t>据此函，签字代表宣布并承诺如下：</w:t>
      </w:r>
    </w:p>
    <w:p>
      <w:pPr>
        <w:pStyle w:val="19"/>
        <w:widowControl/>
        <w:spacing w:line="360" w:lineRule="auto"/>
        <w:ind w:firstLine="0"/>
        <w:jc w:val="left"/>
        <w:rPr>
          <w:rFonts w:hAnsi="宋体"/>
          <w:color w:val="auto"/>
          <w:sz w:val="21"/>
          <w:szCs w:val="21"/>
          <w:highlight w:val="none"/>
        </w:rPr>
      </w:pPr>
      <w:r>
        <w:rPr>
          <w:rFonts w:hint="eastAsia" w:hAnsi="宋体"/>
          <w:color w:val="auto"/>
          <w:sz w:val="21"/>
          <w:szCs w:val="21"/>
          <w:highlight w:val="none"/>
        </w:rPr>
        <w:t xml:space="preserve">    （1）本报价已经包含了所供货物应纳的税金及招标文件规定的报价方式应包含的其它费用。本报价在投标有效期内固定不变，并在合同有效期内不受利率波动的影响。</w:t>
      </w:r>
    </w:p>
    <w:p>
      <w:pPr>
        <w:pStyle w:val="19"/>
        <w:widowControl/>
        <w:numPr>
          <w:ilvl w:val="0"/>
          <w:numId w:val="21"/>
        </w:numPr>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本投标自开标之日起</w:t>
      </w:r>
      <w:r>
        <w:rPr>
          <w:rFonts w:hint="eastAsia" w:hAnsi="宋体"/>
          <w:color w:val="auto"/>
          <w:sz w:val="21"/>
          <w:szCs w:val="21"/>
          <w:highlight w:val="none"/>
          <w:u w:val="single"/>
        </w:rPr>
        <w:t>90</w:t>
      </w:r>
      <w:r>
        <w:rPr>
          <w:rFonts w:hint="eastAsia" w:hAnsi="宋体"/>
          <w:color w:val="auto"/>
          <w:sz w:val="21"/>
          <w:szCs w:val="21"/>
          <w:highlight w:val="none"/>
        </w:rPr>
        <w:t>天内有效。</w:t>
      </w:r>
    </w:p>
    <w:p>
      <w:pPr>
        <w:pStyle w:val="19"/>
        <w:widowControl/>
        <w:numPr>
          <w:ilvl w:val="0"/>
          <w:numId w:val="21"/>
        </w:numPr>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我们已详细审查全部招标文件及有关的澄清/修改文件(若有的话)，我们完全理解并同意放弃对这方面提出任何异议的权利。保证遵守招标文件有关条款规定。</w:t>
      </w:r>
    </w:p>
    <w:p>
      <w:pPr>
        <w:pStyle w:val="19"/>
        <w:widowControl/>
        <w:numPr>
          <w:ilvl w:val="0"/>
          <w:numId w:val="21"/>
        </w:numPr>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保证在中标后忠实地执行与采购人所签署的合同，并承担合同规定的责任义务。保证在中标后按照招标文件的规定支付中标服务费。</w:t>
      </w:r>
    </w:p>
    <w:p>
      <w:pPr>
        <w:pStyle w:val="19"/>
        <w:widowControl/>
        <w:numPr>
          <w:ilvl w:val="0"/>
          <w:numId w:val="21"/>
        </w:numPr>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承诺应贵方要求提供任何与该项目投标有关的数据、情况和技术资料。</w:t>
      </w:r>
    </w:p>
    <w:p>
      <w:pPr>
        <w:pStyle w:val="19"/>
        <w:widowControl/>
        <w:numPr>
          <w:ilvl w:val="0"/>
          <w:numId w:val="21"/>
        </w:numPr>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我们承诺，与为采购人采购本次招标的货物进行设计、编制规范和其他文件所委托的咨询公司或其附属机构无任何直接或间接的关联。</w:t>
      </w:r>
    </w:p>
    <w:p>
      <w:pPr>
        <w:pStyle w:val="19"/>
        <w:widowControl/>
        <w:numPr>
          <w:ilvl w:val="0"/>
          <w:numId w:val="21"/>
        </w:numPr>
        <w:spacing w:line="360" w:lineRule="auto"/>
        <w:ind w:firstLine="404" w:firstLineChars="200"/>
        <w:jc w:val="left"/>
        <w:rPr>
          <w:rFonts w:hAnsi="宋体"/>
          <w:color w:val="auto"/>
          <w:sz w:val="21"/>
          <w:szCs w:val="21"/>
          <w:highlight w:val="none"/>
        </w:rPr>
      </w:pPr>
      <w:r>
        <w:rPr>
          <w:rFonts w:hint="eastAsia" w:hAnsi="宋体"/>
          <w:color w:val="auto"/>
          <w:sz w:val="21"/>
          <w:szCs w:val="21"/>
          <w:highlight w:val="none"/>
        </w:rPr>
        <w:t>投标人已详细审查并理解全部招标文件，已完全明确招标文件中的全部内容。如有违反，愿意接受监管机构相应的处理。</w:t>
      </w:r>
    </w:p>
    <w:p>
      <w:pPr>
        <w:pStyle w:val="19"/>
        <w:widowControl/>
        <w:spacing w:line="360" w:lineRule="auto"/>
        <w:ind w:firstLine="0"/>
        <w:jc w:val="left"/>
        <w:rPr>
          <w:rFonts w:hAnsi="宋体"/>
          <w:color w:val="auto"/>
          <w:sz w:val="21"/>
          <w:szCs w:val="21"/>
          <w:highlight w:val="none"/>
        </w:rPr>
      </w:pPr>
      <w:r>
        <w:rPr>
          <w:rFonts w:hint="eastAsia" w:hAnsi="宋体"/>
          <w:color w:val="auto"/>
          <w:sz w:val="21"/>
          <w:szCs w:val="21"/>
          <w:highlight w:val="none"/>
        </w:rPr>
        <w:t>4、与本投标有关的一切往来通讯请寄：</w:t>
      </w:r>
    </w:p>
    <w:p>
      <w:pPr>
        <w:pStyle w:val="19"/>
        <w:widowControl/>
        <w:spacing w:line="360" w:lineRule="auto"/>
        <w:jc w:val="left"/>
        <w:rPr>
          <w:rFonts w:hAnsi="宋体"/>
          <w:color w:val="auto"/>
          <w:sz w:val="21"/>
          <w:szCs w:val="21"/>
          <w:highlight w:val="none"/>
        </w:rPr>
      </w:pPr>
      <w:r>
        <w:rPr>
          <w:rFonts w:hint="eastAsia" w:hAnsi="宋体"/>
          <w:color w:val="auto"/>
          <w:sz w:val="21"/>
          <w:szCs w:val="21"/>
          <w:highlight w:val="none"/>
        </w:rPr>
        <w:t>地址：</w:t>
      </w:r>
      <w:r>
        <w:rPr>
          <w:rFonts w:hint="eastAsia" w:hAnsi="宋体"/>
          <w:color w:val="auto"/>
          <w:sz w:val="21"/>
          <w:szCs w:val="21"/>
          <w:highlight w:val="none"/>
          <w:u w:val="single"/>
        </w:rPr>
        <w:t xml:space="preserve">                                                   </w:t>
      </w:r>
    </w:p>
    <w:p>
      <w:pPr>
        <w:pStyle w:val="19"/>
        <w:widowControl/>
        <w:spacing w:line="360" w:lineRule="auto"/>
        <w:jc w:val="left"/>
        <w:rPr>
          <w:rFonts w:hAnsi="宋体"/>
          <w:color w:val="auto"/>
          <w:sz w:val="21"/>
          <w:szCs w:val="21"/>
          <w:highlight w:val="none"/>
          <w:u w:val="single"/>
        </w:rPr>
      </w:pPr>
      <w:r>
        <w:rPr>
          <w:rFonts w:hint="eastAsia" w:hAnsi="宋体"/>
          <w:color w:val="auto"/>
          <w:sz w:val="21"/>
          <w:szCs w:val="21"/>
          <w:highlight w:val="none"/>
        </w:rPr>
        <w:t>邮编：</w:t>
      </w:r>
      <w:r>
        <w:rPr>
          <w:rFonts w:hint="eastAsia" w:hAnsi="宋体"/>
          <w:color w:val="auto"/>
          <w:sz w:val="21"/>
          <w:szCs w:val="21"/>
          <w:highlight w:val="none"/>
          <w:u w:val="single"/>
        </w:rPr>
        <w:t xml:space="preserve">            </w:t>
      </w:r>
      <w:r>
        <w:rPr>
          <w:rFonts w:hint="eastAsia" w:hAnsi="宋体"/>
          <w:color w:val="auto"/>
          <w:sz w:val="21"/>
          <w:szCs w:val="21"/>
          <w:highlight w:val="none"/>
        </w:rPr>
        <w:t>电话：</w:t>
      </w:r>
      <w:r>
        <w:rPr>
          <w:rFonts w:hint="eastAsia" w:hAnsi="宋体"/>
          <w:color w:val="auto"/>
          <w:sz w:val="21"/>
          <w:szCs w:val="21"/>
          <w:highlight w:val="none"/>
          <w:u w:val="single"/>
        </w:rPr>
        <w:t xml:space="preserve">              </w:t>
      </w:r>
      <w:r>
        <w:rPr>
          <w:rFonts w:hint="eastAsia" w:hAnsi="宋体"/>
          <w:color w:val="auto"/>
          <w:sz w:val="21"/>
          <w:szCs w:val="21"/>
          <w:highlight w:val="none"/>
        </w:rPr>
        <w:t>传真：</w:t>
      </w:r>
      <w:r>
        <w:rPr>
          <w:rFonts w:hint="eastAsia" w:hAnsi="宋体"/>
          <w:color w:val="auto"/>
          <w:sz w:val="21"/>
          <w:szCs w:val="21"/>
          <w:highlight w:val="none"/>
          <w:u w:val="single"/>
        </w:rPr>
        <w:t xml:space="preserve">             </w:t>
      </w:r>
    </w:p>
    <w:p>
      <w:pPr>
        <w:pStyle w:val="19"/>
        <w:widowControl/>
        <w:spacing w:line="360" w:lineRule="auto"/>
        <w:jc w:val="left"/>
        <w:rPr>
          <w:rFonts w:hAnsi="宋体"/>
          <w:color w:val="auto"/>
          <w:sz w:val="21"/>
          <w:szCs w:val="21"/>
          <w:highlight w:val="none"/>
        </w:rPr>
      </w:pPr>
    </w:p>
    <w:p>
      <w:pPr>
        <w:pStyle w:val="24"/>
        <w:tabs>
          <w:tab w:val="left" w:pos="2472"/>
        </w:tabs>
        <w:snapToGrid w:val="0"/>
        <w:spacing w:beforeLines="0" w:afterLines="0" w:line="360" w:lineRule="auto"/>
        <w:jc w:val="left"/>
        <w:rPr>
          <w:rFonts w:hAnsi="宋体"/>
          <w:color w:val="auto"/>
          <w:sz w:val="21"/>
          <w:szCs w:val="21"/>
          <w:highlight w:val="none"/>
        </w:rPr>
      </w:pPr>
      <w:r>
        <w:rPr>
          <w:rFonts w:hint="eastAsia" w:hAnsi="宋体"/>
          <w:color w:val="auto"/>
          <w:sz w:val="21"/>
          <w:szCs w:val="21"/>
          <w:highlight w:val="none"/>
        </w:rPr>
        <w:t xml:space="preserve">投标人名称(公章):___________________          </w:t>
      </w:r>
    </w:p>
    <w:p>
      <w:pPr>
        <w:snapToGrid w:val="0"/>
        <w:spacing w:line="360" w:lineRule="auto"/>
        <w:rPr>
          <w:rFonts w:ascii="宋体" w:hAnsi="宋体" w:cs="宋体"/>
          <w:color w:val="auto"/>
          <w:highlight w:val="none"/>
        </w:rPr>
      </w:pPr>
      <w:r>
        <w:rPr>
          <w:rFonts w:hint="eastAsia" w:ascii="宋体" w:hAnsi="宋体" w:cs="宋体"/>
          <w:color w:val="auto"/>
          <w:highlight w:val="none"/>
        </w:rPr>
        <w:t>日期:_____年___月___日</w:t>
      </w:r>
    </w:p>
    <w:p>
      <w:pPr>
        <w:snapToGrid w:val="0"/>
        <w:spacing w:before="120" w:beforeLines="50" w:after="50"/>
        <w:rPr>
          <w:rFonts w:ascii="宋体" w:hAnsi="宋体" w:cs="宋体"/>
          <w:color w:val="auto"/>
          <w:highlight w:val="none"/>
        </w:rPr>
      </w:pPr>
      <w:r>
        <w:rPr>
          <w:rFonts w:hint="eastAsia" w:ascii="宋体" w:hAnsi="宋体" w:cs="宋体"/>
          <w:b/>
          <w:color w:val="auto"/>
          <w:highlight w:val="none"/>
        </w:rPr>
        <w:t>注：联合体投标的，可只由联合体牵头人盖章。</w:t>
      </w:r>
    </w:p>
    <w:p>
      <w:pPr>
        <w:snapToGrid w:val="0"/>
        <w:spacing w:before="50" w:after="50"/>
        <w:rPr>
          <w:rFonts w:ascii="宋体" w:hAnsi="宋体" w:cs="宋体"/>
          <w:color w:val="auto"/>
          <w:highlight w:val="none"/>
        </w:rPr>
      </w:pPr>
      <w:r>
        <w:rPr>
          <w:rFonts w:hint="eastAsia" w:ascii="宋体" w:hAnsi="宋体" w:cs="宋体"/>
          <w:color w:val="auto"/>
          <w:highlight w:val="none"/>
        </w:rPr>
        <w:br w:type="page"/>
      </w:r>
      <w:r>
        <w:rPr>
          <w:rFonts w:hint="eastAsia" w:ascii="宋体" w:hAnsi="宋体" w:cs="宋体"/>
          <w:color w:val="auto"/>
          <w:highlight w:val="none"/>
        </w:rPr>
        <w:t>（2）开标一览表：</w:t>
      </w:r>
    </w:p>
    <w:p>
      <w:pPr>
        <w:snapToGrid w:val="0"/>
        <w:spacing w:before="50" w:after="50" w:line="360" w:lineRule="auto"/>
        <w:jc w:val="center"/>
        <w:rPr>
          <w:rFonts w:ascii="宋体" w:hAnsi="宋体" w:cs="宋体"/>
          <w:b/>
          <w:bCs/>
          <w:color w:val="auto"/>
          <w:highlight w:val="none"/>
        </w:rPr>
      </w:pPr>
      <w:r>
        <w:rPr>
          <w:rFonts w:hint="eastAsia" w:ascii="宋体" w:hAnsi="宋体" w:cs="宋体"/>
          <w:b/>
          <w:bCs/>
          <w:color w:val="auto"/>
          <w:highlight w:val="none"/>
        </w:rPr>
        <w:t>开标一览表</w:t>
      </w:r>
    </w:p>
    <w:p>
      <w:pPr>
        <w:snapToGrid w:val="0"/>
        <w:spacing w:before="50" w:after="50" w:line="360" w:lineRule="auto"/>
        <w:rPr>
          <w:rFonts w:ascii="宋体" w:hAnsi="宋体" w:cs="宋体"/>
          <w:color w:val="auto"/>
          <w:highlight w:val="none"/>
          <w:u w:val="single"/>
        </w:rPr>
      </w:pPr>
      <w:r>
        <w:rPr>
          <w:rFonts w:hint="eastAsia" w:ascii="宋体" w:hAnsi="宋体" w:cs="宋体"/>
          <w:color w:val="auto"/>
          <w:highlight w:val="none"/>
        </w:rPr>
        <w:t>项目编号：</w:t>
      </w:r>
      <w:r>
        <w:rPr>
          <w:rFonts w:hint="eastAsia" w:ascii="宋体" w:hAnsi="宋体" w:cs="宋体"/>
          <w:color w:val="auto"/>
          <w:highlight w:val="none"/>
          <w:u w:val="single"/>
        </w:rPr>
        <w:t xml:space="preserve">                     </w:t>
      </w:r>
      <w:r>
        <w:rPr>
          <w:rFonts w:hint="eastAsia" w:ascii="宋体" w:hAnsi="宋体" w:cs="宋体"/>
          <w:color w:val="auto"/>
          <w:highlight w:val="none"/>
        </w:rPr>
        <w:t>投标人名称：</w:t>
      </w:r>
      <w:r>
        <w:rPr>
          <w:rFonts w:hint="eastAsia" w:ascii="宋体" w:hAnsi="宋体" w:cs="宋体"/>
          <w:color w:val="auto"/>
          <w:highlight w:val="none"/>
          <w:u w:val="single"/>
        </w:rPr>
        <w:t xml:space="preserve">                    </w:t>
      </w:r>
    </w:p>
    <w:tbl>
      <w:tblPr>
        <w:tblStyle w:val="47"/>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275"/>
        <w:gridCol w:w="2702"/>
        <w:gridCol w:w="45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5" w:hRule="atLeast"/>
        </w:trPr>
        <w:tc>
          <w:tcPr>
            <w:tcW w:w="748" w:type="pct"/>
            <w:vAlign w:val="center"/>
          </w:tcPr>
          <w:p>
            <w:pPr>
              <w:spacing w:line="400" w:lineRule="exact"/>
              <w:rPr>
                <w:rFonts w:ascii="宋体" w:hAnsi="宋体" w:cs="宋体"/>
                <w:color w:val="auto"/>
                <w:highlight w:val="none"/>
              </w:rPr>
            </w:pPr>
            <w:r>
              <w:rPr>
                <w:rFonts w:hint="eastAsia" w:ascii="宋体" w:hAnsi="宋体" w:cs="宋体"/>
                <w:color w:val="auto"/>
                <w:highlight w:val="none"/>
              </w:rPr>
              <w:t>序号</w:t>
            </w:r>
          </w:p>
        </w:tc>
        <w:tc>
          <w:tcPr>
            <w:tcW w:w="1584" w:type="pct"/>
            <w:vAlign w:val="center"/>
          </w:tcPr>
          <w:p>
            <w:pPr>
              <w:spacing w:line="400" w:lineRule="exact"/>
              <w:jc w:val="center"/>
              <w:rPr>
                <w:rFonts w:ascii="宋体" w:hAnsi="宋体" w:cs="宋体"/>
                <w:color w:val="auto"/>
                <w:highlight w:val="none"/>
              </w:rPr>
            </w:pPr>
            <w:r>
              <w:rPr>
                <w:rFonts w:hint="eastAsia" w:ascii="宋体" w:hAnsi="宋体" w:cs="宋体"/>
                <w:color w:val="auto"/>
                <w:highlight w:val="none"/>
              </w:rPr>
              <w:t>采购标的名称</w:t>
            </w:r>
          </w:p>
        </w:tc>
        <w:tc>
          <w:tcPr>
            <w:tcW w:w="2668" w:type="pct"/>
            <w:vAlign w:val="center"/>
          </w:tcPr>
          <w:p>
            <w:pPr>
              <w:spacing w:line="400" w:lineRule="exact"/>
              <w:jc w:val="center"/>
              <w:rPr>
                <w:rFonts w:ascii="宋体" w:hAnsi="宋体" w:cs="宋体"/>
                <w:color w:val="auto"/>
                <w:highlight w:val="none"/>
              </w:rPr>
            </w:pPr>
            <w:r>
              <w:rPr>
                <w:rFonts w:hint="eastAsia" w:ascii="宋体" w:hAnsi="宋体" w:cs="宋体"/>
                <w:color w:val="auto"/>
                <w:highlight w:val="none"/>
              </w:rPr>
              <w:t>投标报价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1" w:hRule="atLeast"/>
        </w:trPr>
        <w:tc>
          <w:tcPr>
            <w:tcW w:w="748" w:type="pct"/>
            <w:vAlign w:val="center"/>
          </w:tcPr>
          <w:p>
            <w:pPr>
              <w:spacing w:line="400" w:lineRule="exact"/>
              <w:jc w:val="center"/>
              <w:rPr>
                <w:rFonts w:ascii="宋体" w:hAnsi="宋体" w:cs="宋体"/>
                <w:color w:val="auto"/>
                <w:highlight w:val="none"/>
              </w:rPr>
            </w:pPr>
            <w:r>
              <w:rPr>
                <w:rFonts w:hint="eastAsia" w:ascii="宋体" w:hAnsi="宋体" w:cs="宋体"/>
                <w:color w:val="auto"/>
                <w:highlight w:val="none"/>
              </w:rPr>
              <w:t>1</w:t>
            </w:r>
          </w:p>
        </w:tc>
        <w:tc>
          <w:tcPr>
            <w:tcW w:w="1584" w:type="pct"/>
            <w:vAlign w:val="center"/>
          </w:tcPr>
          <w:p>
            <w:pPr>
              <w:spacing w:line="400" w:lineRule="exact"/>
              <w:jc w:val="center"/>
              <w:rPr>
                <w:rFonts w:ascii="宋体" w:hAnsi="宋体" w:cs="宋体"/>
                <w:color w:val="auto"/>
                <w:highlight w:val="none"/>
              </w:rPr>
            </w:pPr>
          </w:p>
        </w:tc>
        <w:tc>
          <w:tcPr>
            <w:tcW w:w="2668" w:type="pct"/>
            <w:vAlign w:val="center"/>
          </w:tcPr>
          <w:p>
            <w:pPr>
              <w:jc w:val="center"/>
              <w:rPr>
                <w:rFonts w:ascii="宋体" w:hAnsi="宋体" w:cs="宋体"/>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1" w:hRule="atLeast"/>
        </w:trPr>
        <w:tc>
          <w:tcPr>
            <w:tcW w:w="2332" w:type="pct"/>
            <w:gridSpan w:val="2"/>
            <w:vAlign w:val="center"/>
          </w:tcPr>
          <w:p>
            <w:pPr>
              <w:spacing w:line="400" w:lineRule="exact"/>
              <w:jc w:val="center"/>
              <w:rPr>
                <w:rFonts w:ascii="宋体" w:hAnsi="宋体" w:cs="宋体"/>
                <w:color w:val="auto"/>
                <w:highlight w:val="none"/>
              </w:rPr>
            </w:pPr>
            <w:r>
              <w:rPr>
                <w:rFonts w:hint="eastAsia" w:ascii="宋体" w:hAnsi="宋体" w:cs="宋体"/>
                <w:color w:val="auto"/>
                <w:highlight w:val="none"/>
              </w:rPr>
              <w:t>投标总价</w:t>
            </w:r>
          </w:p>
        </w:tc>
        <w:tc>
          <w:tcPr>
            <w:tcW w:w="2668" w:type="pct"/>
            <w:vAlign w:val="center"/>
          </w:tcPr>
          <w:p>
            <w:pPr>
              <w:spacing w:line="400" w:lineRule="exact"/>
              <w:jc w:val="center"/>
              <w:rPr>
                <w:rFonts w:ascii="宋体" w:hAnsi="宋体" w:cs="宋体"/>
                <w:color w:val="auto"/>
                <w:highlight w:val="none"/>
              </w:rPr>
            </w:pPr>
            <w:r>
              <w:rPr>
                <w:rFonts w:hint="eastAsia" w:ascii="宋体" w:hAnsi="宋体" w:cs="宋体"/>
                <w:color w:val="auto"/>
                <w:highlight w:val="none"/>
              </w:rPr>
              <w:t>大写：</w:t>
            </w:r>
          </w:p>
          <w:p>
            <w:pPr>
              <w:pStyle w:val="18"/>
              <w:jc w:val="center"/>
              <w:rPr>
                <w:rFonts w:ascii="宋体" w:hAnsi="宋体" w:cs="宋体"/>
                <w:color w:val="auto"/>
                <w:highlight w:val="none"/>
              </w:rPr>
            </w:pPr>
            <w:r>
              <w:rPr>
                <w:rFonts w:hint="eastAsia" w:ascii="宋体" w:hAnsi="宋体" w:cs="宋体"/>
                <w:color w:val="auto"/>
                <w:sz w:val="21"/>
                <w:szCs w:val="21"/>
                <w:highlight w:val="none"/>
              </w:rPr>
              <w:t>小写：</w:t>
            </w:r>
          </w:p>
        </w:tc>
      </w:tr>
    </w:tbl>
    <w:p>
      <w:pPr>
        <w:snapToGrid w:val="0"/>
        <w:spacing w:before="50" w:after="50" w:line="360" w:lineRule="auto"/>
        <w:rPr>
          <w:rFonts w:ascii="宋体" w:hAnsi="宋体" w:cs="宋体"/>
          <w:color w:val="auto"/>
          <w:highlight w:val="none"/>
        </w:rPr>
      </w:pPr>
    </w:p>
    <w:p>
      <w:pPr>
        <w:snapToGrid w:val="0"/>
        <w:spacing w:before="50" w:after="50" w:line="360" w:lineRule="auto"/>
        <w:rPr>
          <w:rFonts w:ascii="宋体" w:hAnsi="宋体" w:cs="宋体"/>
          <w:color w:val="auto"/>
          <w:highlight w:val="none"/>
        </w:rPr>
      </w:pPr>
      <w:r>
        <w:rPr>
          <w:rFonts w:hint="eastAsia" w:ascii="宋体" w:hAnsi="宋体" w:cs="宋体"/>
          <w:color w:val="auto"/>
          <w:highlight w:val="none"/>
        </w:rPr>
        <w:t xml:space="preserve">                    </w:t>
      </w:r>
    </w:p>
    <w:p>
      <w:pPr>
        <w:snapToGrid w:val="0"/>
        <w:spacing w:line="360" w:lineRule="auto"/>
        <w:jc w:val="left"/>
        <w:rPr>
          <w:rFonts w:ascii="宋体" w:hAnsi="宋体" w:cs="宋体"/>
          <w:color w:val="auto"/>
          <w:highlight w:val="none"/>
        </w:rPr>
      </w:pPr>
      <w:r>
        <w:rPr>
          <w:rFonts w:hint="eastAsia" w:ascii="宋体" w:hAnsi="宋体" w:cs="宋体"/>
          <w:color w:val="auto"/>
          <w:highlight w:val="none"/>
        </w:rPr>
        <w:t>注: 1、报价一经涂改，应在涂改处加盖单位公章或者由法定代表人或授权委托人签字或盖章，否则其投标作无效标处理。</w:t>
      </w:r>
    </w:p>
    <w:p>
      <w:pPr>
        <w:snapToGrid w:val="0"/>
        <w:spacing w:line="360" w:lineRule="auto"/>
        <w:ind w:left="-21" w:leftChars="-72" w:right="-817" w:rightChars="-389" w:hanging="130" w:hangingChars="62"/>
        <w:rPr>
          <w:rFonts w:ascii="宋体" w:hAnsi="宋体" w:cs="宋体"/>
          <w:color w:val="auto"/>
          <w:highlight w:val="none"/>
        </w:rPr>
      </w:pPr>
    </w:p>
    <w:p>
      <w:pPr>
        <w:snapToGrid w:val="0"/>
        <w:spacing w:line="360" w:lineRule="auto"/>
        <w:ind w:left="-21" w:leftChars="-72" w:right="-817" w:rightChars="-389" w:hanging="130" w:hangingChars="62"/>
        <w:rPr>
          <w:rFonts w:ascii="宋体" w:hAnsi="宋体" w:cs="宋体"/>
          <w:color w:val="auto"/>
          <w:highlight w:val="none"/>
        </w:rPr>
      </w:pPr>
    </w:p>
    <w:p>
      <w:pPr>
        <w:pStyle w:val="24"/>
        <w:tabs>
          <w:tab w:val="left" w:pos="2472"/>
        </w:tabs>
        <w:snapToGrid w:val="0"/>
        <w:spacing w:beforeLines="0" w:afterLines="0" w:line="360" w:lineRule="auto"/>
        <w:jc w:val="left"/>
        <w:rPr>
          <w:rFonts w:hAnsi="宋体"/>
          <w:color w:val="auto"/>
          <w:sz w:val="21"/>
          <w:szCs w:val="21"/>
          <w:highlight w:val="none"/>
        </w:rPr>
      </w:pPr>
      <w:r>
        <w:rPr>
          <w:rFonts w:hint="eastAsia" w:hAnsi="宋体"/>
          <w:color w:val="auto"/>
          <w:sz w:val="21"/>
          <w:szCs w:val="21"/>
          <w:highlight w:val="none"/>
        </w:rPr>
        <w:t xml:space="preserve">投标人名称(公章):___________________         </w:t>
      </w:r>
    </w:p>
    <w:p>
      <w:pPr>
        <w:pStyle w:val="24"/>
        <w:tabs>
          <w:tab w:val="left" w:pos="2472"/>
        </w:tabs>
        <w:snapToGrid w:val="0"/>
        <w:spacing w:beforeLines="0" w:afterLines="0" w:line="360" w:lineRule="auto"/>
        <w:jc w:val="left"/>
        <w:rPr>
          <w:rFonts w:hAnsi="宋体"/>
          <w:color w:val="auto"/>
          <w:highlight w:val="none"/>
        </w:rPr>
      </w:pPr>
      <w:r>
        <w:rPr>
          <w:rFonts w:hint="eastAsia" w:hAnsi="宋体"/>
          <w:color w:val="auto"/>
          <w:sz w:val="21"/>
          <w:szCs w:val="21"/>
          <w:highlight w:val="none"/>
        </w:rPr>
        <w:t>日期:_____年___月___日</w:t>
      </w:r>
    </w:p>
    <w:p>
      <w:pPr>
        <w:pStyle w:val="18"/>
        <w:rPr>
          <w:rFonts w:ascii="宋体" w:hAnsi="宋体" w:cs="宋体"/>
          <w:color w:val="auto"/>
          <w:highlight w:val="none"/>
        </w:rPr>
      </w:pPr>
    </w:p>
    <w:p>
      <w:pPr>
        <w:snapToGrid w:val="0"/>
        <w:spacing w:before="120" w:beforeLines="50" w:after="50"/>
        <w:rPr>
          <w:rFonts w:ascii="宋体" w:hAnsi="宋体" w:cs="宋体"/>
          <w:color w:val="auto"/>
          <w:highlight w:val="none"/>
        </w:rPr>
      </w:pPr>
      <w:r>
        <w:rPr>
          <w:rFonts w:hint="eastAsia" w:ascii="宋体" w:hAnsi="宋体" w:cs="宋体"/>
          <w:b/>
          <w:color w:val="auto"/>
          <w:highlight w:val="none"/>
        </w:rPr>
        <w:t>注：联合体投标的，可只由联合体牵头人盖章。</w:t>
      </w:r>
    </w:p>
    <w:p>
      <w:pPr>
        <w:pStyle w:val="24"/>
        <w:snapToGrid w:val="0"/>
        <w:spacing w:beforeLines="0" w:afterLines="0" w:line="240" w:lineRule="auto"/>
        <w:rPr>
          <w:rFonts w:hAnsi="宋体"/>
          <w:color w:val="auto"/>
          <w:sz w:val="21"/>
          <w:szCs w:val="21"/>
          <w:highlight w:val="none"/>
        </w:rPr>
      </w:pPr>
      <w:r>
        <w:rPr>
          <w:rFonts w:hint="eastAsia" w:hAnsi="宋体"/>
          <w:color w:val="auto"/>
          <w:sz w:val="21"/>
          <w:szCs w:val="21"/>
          <w:highlight w:val="none"/>
        </w:rPr>
        <w:br w:type="page"/>
      </w:r>
      <w:r>
        <w:rPr>
          <w:rFonts w:hint="eastAsia" w:hAnsi="宋体"/>
          <w:color w:val="auto"/>
          <w:sz w:val="21"/>
          <w:szCs w:val="21"/>
          <w:highlight w:val="none"/>
        </w:rPr>
        <w:t xml:space="preserve">（3）投标报价明细表：       </w:t>
      </w:r>
    </w:p>
    <w:p>
      <w:pPr>
        <w:pStyle w:val="24"/>
        <w:snapToGrid w:val="0"/>
        <w:spacing w:beforeLines="0" w:afterLines="0" w:line="240" w:lineRule="auto"/>
        <w:jc w:val="center"/>
        <w:rPr>
          <w:rFonts w:hAnsi="宋体"/>
          <w:color w:val="auto"/>
          <w:sz w:val="21"/>
          <w:szCs w:val="21"/>
          <w:highlight w:val="none"/>
        </w:rPr>
      </w:pPr>
      <w:r>
        <w:rPr>
          <w:rFonts w:hint="eastAsia" w:hAnsi="宋体"/>
          <w:b/>
          <w:bCs/>
          <w:color w:val="auto"/>
          <w:sz w:val="21"/>
          <w:szCs w:val="21"/>
          <w:highlight w:val="none"/>
        </w:rPr>
        <w:t>设备报价明细表</w:t>
      </w:r>
    </w:p>
    <w:p>
      <w:pPr>
        <w:pStyle w:val="24"/>
        <w:snapToGrid w:val="0"/>
        <w:spacing w:beforeLines="0" w:afterLines="0"/>
        <w:jc w:val="left"/>
        <w:rPr>
          <w:rFonts w:hAnsi="宋体"/>
          <w:color w:val="auto"/>
          <w:sz w:val="21"/>
          <w:szCs w:val="21"/>
          <w:highlight w:val="none"/>
        </w:rPr>
      </w:pPr>
      <w:r>
        <w:rPr>
          <w:rFonts w:hint="eastAsia" w:hAnsi="宋体"/>
          <w:color w:val="auto"/>
          <w:sz w:val="21"/>
          <w:szCs w:val="21"/>
          <w:highlight w:val="none"/>
        </w:rPr>
        <w:t>项目编号：</w:t>
      </w:r>
      <w:r>
        <w:rPr>
          <w:rFonts w:hint="eastAsia" w:hAnsi="宋体"/>
          <w:color w:val="auto"/>
          <w:sz w:val="21"/>
          <w:szCs w:val="21"/>
          <w:highlight w:val="none"/>
          <w:u w:val="single"/>
        </w:rPr>
        <w:t xml:space="preserve">                     </w:t>
      </w:r>
      <w:r>
        <w:rPr>
          <w:rFonts w:hint="eastAsia" w:hAnsi="宋体"/>
          <w:color w:val="auto"/>
          <w:sz w:val="21"/>
          <w:szCs w:val="21"/>
          <w:highlight w:val="none"/>
        </w:rPr>
        <w:t>项目名称：</w:t>
      </w:r>
      <w:r>
        <w:rPr>
          <w:rFonts w:hint="eastAsia" w:hAnsi="宋体"/>
          <w:color w:val="auto"/>
          <w:sz w:val="21"/>
          <w:szCs w:val="21"/>
          <w:highlight w:val="none"/>
          <w:u w:val="single"/>
        </w:rPr>
        <w:t xml:space="preserve">                                 </w:t>
      </w:r>
      <w:r>
        <w:rPr>
          <w:rFonts w:hint="eastAsia" w:hAnsi="宋体"/>
          <w:color w:val="auto"/>
          <w:sz w:val="21"/>
          <w:szCs w:val="21"/>
          <w:highlight w:val="none"/>
        </w:rPr>
        <w:t xml:space="preserve">                                  金额单位：人民币（元）</w:t>
      </w:r>
    </w:p>
    <w:tbl>
      <w:tblPr>
        <w:tblStyle w:val="47"/>
        <w:tblW w:w="8528" w:type="dxa"/>
        <w:tblInd w:w="2" w:type="dxa"/>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Layout w:type="fixed"/>
        <w:tblCellMar>
          <w:top w:w="0" w:type="dxa"/>
          <w:left w:w="108" w:type="dxa"/>
          <w:bottom w:w="0" w:type="dxa"/>
          <w:right w:w="108" w:type="dxa"/>
        </w:tblCellMar>
      </w:tblPr>
      <w:tblGrid>
        <w:gridCol w:w="513"/>
        <w:gridCol w:w="1535"/>
        <w:gridCol w:w="1023"/>
        <w:gridCol w:w="1364"/>
        <w:gridCol w:w="1535"/>
        <w:gridCol w:w="1194"/>
        <w:gridCol w:w="1364"/>
      </w:tblGrid>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c>
          <w:tcPr>
            <w:tcW w:w="513" w:type="dxa"/>
            <w:tcBorders>
              <w:tl2br w:val="nil"/>
              <w:tr2bl w:val="nil"/>
            </w:tcBorders>
            <w:vAlign w:val="center"/>
          </w:tcPr>
          <w:p>
            <w:pPr>
              <w:tabs>
                <w:tab w:val="left" w:pos="1418"/>
              </w:tabs>
              <w:snapToGrid w:val="0"/>
              <w:spacing w:before="50" w:after="50" w:line="400" w:lineRule="exact"/>
              <w:jc w:val="center"/>
              <w:rPr>
                <w:rFonts w:ascii="宋体" w:hAnsi="宋体" w:cs="宋体"/>
                <w:color w:val="auto"/>
                <w:spacing w:val="20"/>
                <w:highlight w:val="none"/>
              </w:rPr>
            </w:pPr>
            <w:r>
              <w:rPr>
                <w:rFonts w:hint="eastAsia" w:ascii="宋体" w:hAnsi="宋体" w:cs="宋体"/>
                <w:color w:val="auto"/>
                <w:highlight w:val="none"/>
              </w:rPr>
              <w:t>序号</w:t>
            </w:r>
          </w:p>
        </w:tc>
        <w:tc>
          <w:tcPr>
            <w:tcW w:w="1535" w:type="dxa"/>
            <w:tcBorders>
              <w:tl2br w:val="nil"/>
              <w:tr2bl w:val="nil"/>
            </w:tcBorders>
            <w:vAlign w:val="center"/>
          </w:tcPr>
          <w:p>
            <w:pPr>
              <w:tabs>
                <w:tab w:val="left" w:pos="1418"/>
              </w:tabs>
              <w:snapToGrid w:val="0"/>
              <w:spacing w:before="50" w:after="50" w:line="400" w:lineRule="exact"/>
              <w:jc w:val="center"/>
              <w:rPr>
                <w:rFonts w:ascii="宋体" w:hAnsi="宋体" w:cs="宋体"/>
                <w:color w:val="auto"/>
                <w:spacing w:val="20"/>
                <w:highlight w:val="none"/>
              </w:rPr>
            </w:pPr>
            <w:r>
              <w:rPr>
                <w:rFonts w:hint="eastAsia" w:ascii="宋体" w:hAnsi="宋体" w:cs="宋体"/>
                <w:color w:val="auto"/>
                <w:highlight w:val="none"/>
              </w:rPr>
              <w:t>设备名称</w:t>
            </w:r>
          </w:p>
        </w:tc>
        <w:tc>
          <w:tcPr>
            <w:tcW w:w="1023" w:type="dxa"/>
            <w:tcBorders>
              <w:tl2br w:val="nil"/>
              <w:tr2bl w:val="nil"/>
            </w:tcBorders>
            <w:vAlign w:val="center"/>
          </w:tcPr>
          <w:p>
            <w:pPr>
              <w:pStyle w:val="250"/>
              <w:snapToGrid w:val="0"/>
              <w:spacing w:before="50" w:after="50" w:line="400" w:lineRule="exac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产地品牌</w:t>
            </w:r>
          </w:p>
        </w:tc>
        <w:tc>
          <w:tcPr>
            <w:tcW w:w="1364" w:type="dxa"/>
            <w:tcBorders>
              <w:tl2br w:val="nil"/>
              <w:tr2bl w:val="nil"/>
            </w:tcBorders>
            <w:vAlign w:val="center"/>
          </w:tcPr>
          <w:p>
            <w:pPr>
              <w:tabs>
                <w:tab w:val="left" w:pos="1418"/>
              </w:tabs>
              <w:snapToGrid w:val="0"/>
              <w:spacing w:before="50" w:after="50" w:line="400" w:lineRule="exact"/>
              <w:jc w:val="center"/>
              <w:rPr>
                <w:rFonts w:ascii="宋体" w:hAnsi="宋体" w:cs="宋体"/>
                <w:color w:val="auto"/>
                <w:spacing w:val="20"/>
                <w:highlight w:val="none"/>
              </w:rPr>
            </w:pPr>
            <w:r>
              <w:rPr>
                <w:rFonts w:hint="eastAsia" w:ascii="宋体" w:hAnsi="宋体" w:cs="宋体"/>
                <w:color w:val="auto"/>
                <w:highlight w:val="none"/>
              </w:rPr>
              <w:t>规格型号</w:t>
            </w:r>
          </w:p>
        </w:tc>
        <w:tc>
          <w:tcPr>
            <w:tcW w:w="1535" w:type="dxa"/>
            <w:tcBorders>
              <w:tl2br w:val="nil"/>
              <w:tr2bl w:val="nil"/>
            </w:tcBorders>
            <w:vAlign w:val="center"/>
          </w:tcPr>
          <w:p>
            <w:pPr>
              <w:tabs>
                <w:tab w:val="left" w:pos="1418"/>
              </w:tabs>
              <w:snapToGrid w:val="0"/>
              <w:spacing w:before="50" w:after="50" w:line="400" w:lineRule="exact"/>
              <w:jc w:val="center"/>
              <w:rPr>
                <w:rFonts w:ascii="宋体" w:hAnsi="宋体" w:cs="宋体"/>
                <w:color w:val="auto"/>
                <w:spacing w:val="20"/>
                <w:highlight w:val="none"/>
              </w:rPr>
            </w:pPr>
            <w:r>
              <w:rPr>
                <w:rFonts w:hint="eastAsia" w:ascii="宋体" w:hAnsi="宋体" w:cs="宋体"/>
                <w:color w:val="auto"/>
                <w:highlight w:val="none"/>
              </w:rPr>
              <w:t>单位及数量</w:t>
            </w:r>
          </w:p>
        </w:tc>
        <w:tc>
          <w:tcPr>
            <w:tcW w:w="1194" w:type="dxa"/>
            <w:tcBorders>
              <w:tl2br w:val="nil"/>
              <w:tr2bl w:val="nil"/>
            </w:tcBorders>
            <w:vAlign w:val="center"/>
          </w:tcPr>
          <w:p>
            <w:pPr>
              <w:tabs>
                <w:tab w:val="left" w:pos="1418"/>
              </w:tabs>
              <w:snapToGrid w:val="0"/>
              <w:spacing w:before="50" w:after="50" w:line="400" w:lineRule="exact"/>
              <w:jc w:val="center"/>
              <w:rPr>
                <w:rFonts w:ascii="宋体" w:hAnsi="宋体" w:cs="宋体"/>
                <w:color w:val="auto"/>
                <w:spacing w:val="20"/>
                <w:highlight w:val="none"/>
              </w:rPr>
            </w:pPr>
            <w:r>
              <w:rPr>
                <w:rFonts w:hint="eastAsia" w:ascii="宋体" w:hAnsi="宋体" w:cs="宋体"/>
                <w:color w:val="auto"/>
                <w:highlight w:val="none"/>
              </w:rPr>
              <w:t>单价（元）</w:t>
            </w:r>
          </w:p>
        </w:tc>
        <w:tc>
          <w:tcPr>
            <w:tcW w:w="1364" w:type="dxa"/>
            <w:tcBorders>
              <w:tl2br w:val="nil"/>
              <w:tr2bl w:val="nil"/>
            </w:tcBorders>
            <w:vAlign w:val="center"/>
          </w:tcPr>
          <w:p>
            <w:pPr>
              <w:tabs>
                <w:tab w:val="left" w:pos="1418"/>
              </w:tabs>
              <w:snapToGrid w:val="0"/>
              <w:spacing w:before="50" w:after="50" w:line="400" w:lineRule="exact"/>
              <w:jc w:val="center"/>
              <w:rPr>
                <w:rFonts w:ascii="宋体" w:hAnsi="宋体" w:cs="宋体"/>
                <w:color w:val="auto"/>
                <w:spacing w:val="20"/>
                <w:highlight w:val="none"/>
              </w:rPr>
            </w:pPr>
            <w:r>
              <w:rPr>
                <w:rFonts w:hint="eastAsia" w:ascii="宋体" w:hAnsi="宋体" w:cs="宋体"/>
                <w:color w:val="auto"/>
                <w:highlight w:val="none"/>
              </w:rPr>
              <w:t>金额（元）</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c>
          <w:tcPr>
            <w:tcW w:w="51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02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19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c>
          <w:tcPr>
            <w:tcW w:w="51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02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19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c>
          <w:tcPr>
            <w:tcW w:w="51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02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19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369" w:hRule="atLeast"/>
        </w:trPr>
        <w:tc>
          <w:tcPr>
            <w:tcW w:w="51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02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19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351" w:hRule="atLeast"/>
        </w:trPr>
        <w:tc>
          <w:tcPr>
            <w:tcW w:w="51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r>
              <w:rPr>
                <w:rFonts w:hint="eastAsia" w:ascii="宋体" w:hAnsi="宋体" w:cs="宋体"/>
                <w:color w:val="auto"/>
                <w:spacing w:val="20"/>
                <w:highlight w:val="none"/>
              </w:rPr>
              <w:t>……</w:t>
            </w:r>
          </w:p>
        </w:tc>
        <w:tc>
          <w:tcPr>
            <w:tcW w:w="102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19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75" w:hRule="atLeast"/>
        </w:trPr>
        <w:tc>
          <w:tcPr>
            <w:tcW w:w="51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vMerge w:val="restart"/>
            <w:tcBorders>
              <w:tl2br w:val="nil"/>
              <w:tr2bl w:val="nil"/>
            </w:tcBorders>
            <w:vAlign w:val="center"/>
          </w:tcPr>
          <w:p>
            <w:pPr>
              <w:tabs>
                <w:tab w:val="left" w:pos="1418"/>
              </w:tabs>
              <w:snapToGrid w:val="0"/>
              <w:spacing w:before="50" w:after="50" w:line="400" w:lineRule="exact"/>
              <w:jc w:val="center"/>
              <w:rPr>
                <w:rFonts w:ascii="宋体" w:hAnsi="宋体" w:cs="宋体"/>
                <w:color w:val="auto"/>
                <w:spacing w:val="20"/>
                <w:highlight w:val="none"/>
              </w:rPr>
            </w:pPr>
            <w:r>
              <w:rPr>
                <w:rFonts w:hint="eastAsia" w:ascii="宋体" w:hAnsi="宋体" w:cs="宋体"/>
                <w:b/>
                <w:bCs/>
                <w:color w:val="auto"/>
                <w:spacing w:val="20"/>
                <w:highlight w:val="none"/>
              </w:rPr>
              <w:t>专用耗材</w:t>
            </w:r>
          </w:p>
        </w:tc>
        <w:tc>
          <w:tcPr>
            <w:tcW w:w="102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19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475" w:hRule="atLeast"/>
        </w:trPr>
        <w:tc>
          <w:tcPr>
            <w:tcW w:w="51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vMerge w:val="continue"/>
            <w:tcBorders>
              <w:tl2br w:val="nil"/>
              <w:tr2bl w:val="nil"/>
            </w:tcBorders>
          </w:tcPr>
          <w:p>
            <w:pPr>
              <w:tabs>
                <w:tab w:val="left" w:pos="1418"/>
              </w:tabs>
              <w:snapToGrid w:val="0"/>
              <w:spacing w:before="50" w:after="50" w:line="400" w:lineRule="exact"/>
              <w:jc w:val="center"/>
              <w:rPr>
                <w:rFonts w:ascii="宋体" w:hAnsi="宋体" w:cs="宋体"/>
                <w:b/>
                <w:bCs/>
                <w:color w:val="auto"/>
                <w:spacing w:val="20"/>
                <w:highlight w:val="none"/>
              </w:rPr>
            </w:pPr>
          </w:p>
        </w:tc>
        <w:tc>
          <w:tcPr>
            <w:tcW w:w="1023"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535"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19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c>
          <w:tcPr>
            <w:tcW w:w="7164" w:type="dxa"/>
            <w:gridSpan w:val="6"/>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r>
              <w:rPr>
                <w:rFonts w:hint="eastAsia" w:ascii="宋体" w:hAnsi="宋体" w:cs="宋体"/>
                <w:color w:val="auto"/>
                <w:spacing w:val="20"/>
                <w:highlight w:val="none"/>
              </w:rPr>
              <w:t>设备报价合计</w:t>
            </w:r>
            <w:r>
              <w:rPr>
                <w:rFonts w:hint="eastAsia" w:ascii="宋体" w:hAnsi="宋体" w:cs="宋体"/>
                <w:color w:val="auto"/>
                <w:highlight w:val="none"/>
              </w:rPr>
              <w:t>（元）</w:t>
            </w:r>
          </w:p>
        </w:tc>
        <w:tc>
          <w:tcPr>
            <w:tcW w:w="1364" w:type="dxa"/>
            <w:tcBorders>
              <w:tl2br w:val="nil"/>
              <w:tr2bl w:val="nil"/>
            </w:tcBorders>
          </w:tcPr>
          <w:p>
            <w:pPr>
              <w:tabs>
                <w:tab w:val="left" w:pos="1418"/>
              </w:tabs>
              <w:snapToGrid w:val="0"/>
              <w:spacing w:before="50" w:after="50" w:line="400" w:lineRule="exact"/>
              <w:jc w:val="center"/>
              <w:rPr>
                <w:rFonts w:ascii="宋体" w:hAnsi="宋体" w:cs="宋体"/>
                <w:color w:val="auto"/>
                <w:spacing w:val="20"/>
                <w:highlight w:val="none"/>
              </w:rPr>
            </w:pPr>
          </w:p>
        </w:tc>
      </w:tr>
    </w:tbl>
    <w:p>
      <w:pPr>
        <w:snapToGrid w:val="0"/>
        <w:spacing w:line="360" w:lineRule="auto"/>
        <w:ind w:firstLine="420" w:firstLineChars="200"/>
        <w:jc w:val="left"/>
        <w:rPr>
          <w:rFonts w:ascii="宋体" w:hAnsi="宋体" w:cs="宋体"/>
          <w:color w:val="auto"/>
          <w:highlight w:val="none"/>
        </w:rPr>
      </w:pPr>
    </w:p>
    <w:p>
      <w:pPr>
        <w:snapToGrid w:val="0"/>
        <w:spacing w:line="360" w:lineRule="auto"/>
        <w:ind w:firstLine="420" w:firstLineChars="200"/>
        <w:jc w:val="left"/>
        <w:rPr>
          <w:rFonts w:ascii="宋体" w:hAnsi="宋体" w:cs="宋体"/>
          <w:color w:val="auto"/>
          <w:highlight w:val="none"/>
        </w:rPr>
      </w:pPr>
      <w:r>
        <w:rPr>
          <w:rFonts w:hint="eastAsia" w:ascii="宋体" w:hAnsi="宋体" w:cs="宋体"/>
          <w:color w:val="auto"/>
          <w:highlight w:val="none"/>
        </w:rPr>
        <w:t>分别报出每台设备的金额。</w:t>
      </w:r>
    </w:p>
    <w:p>
      <w:pPr>
        <w:tabs>
          <w:tab w:val="left" w:pos="1418"/>
        </w:tabs>
        <w:snapToGrid w:val="0"/>
        <w:spacing w:before="50" w:after="50"/>
        <w:ind w:left="1418" w:hanging="567"/>
        <w:jc w:val="center"/>
        <w:rPr>
          <w:rFonts w:ascii="宋体" w:hAnsi="宋体" w:cs="宋体"/>
          <w:color w:val="auto"/>
          <w:spacing w:val="20"/>
          <w:highlight w:val="none"/>
          <w:u w:val="single"/>
        </w:rPr>
      </w:pPr>
    </w:p>
    <w:p>
      <w:pPr>
        <w:pStyle w:val="24"/>
        <w:tabs>
          <w:tab w:val="left" w:pos="2472"/>
        </w:tabs>
        <w:snapToGrid w:val="0"/>
        <w:spacing w:beforeLines="0" w:afterLines="0" w:line="360" w:lineRule="auto"/>
        <w:jc w:val="left"/>
        <w:rPr>
          <w:rFonts w:hAnsi="宋体"/>
          <w:color w:val="auto"/>
          <w:sz w:val="21"/>
          <w:szCs w:val="21"/>
          <w:highlight w:val="none"/>
        </w:rPr>
      </w:pPr>
      <w:r>
        <w:rPr>
          <w:rFonts w:hint="eastAsia" w:hAnsi="宋体"/>
          <w:color w:val="auto"/>
          <w:sz w:val="21"/>
          <w:szCs w:val="21"/>
          <w:highlight w:val="none"/>
        </w:rPr>
        <w:t xml:space="preserve">投标人名称(公章):___________________          </w:t>
      </w:r>
    </w:p>
    <w:p>
      <w:pPr>
        <w:snapToGrid w:val="0"/>
        <w:spacing w:before="50" w:after="50"/>
        <w:rPr>
          <w:rFonts w:ascii="宋体" w:hAnsi="宋体" w:cs="宋体"/>
          <w:color w:val="auto"/>
          <w:spacing w:val="20"/>
          <w:highlight w:val="none"/>
          <w:u w:val="single"/>
        </w:rPr>
      </w:pPr>
      <w:r>
        <w:rPr>
          <w:rFonts w:hint="eastAsia" w:ascii="宋体" w:hAnsi="宋体" w:cs="宋体"/>
          <w:color w:val="auto"/>
          <w:highlight w:val="none"/>
        </w:rPr>
        <w:t>日期:_____年___月___日</w:t>
      </w:r>
    </w:p>
    <w:p>
      <w:pPr>
        <w:pStyle w:val="24"/>
        <w:snapToGrid w:val="0"/>
        <w:spacing w:beforeLines="0" w:afterLines="0" w:line="240" w:lineRule="auto"/>
        <w:rPr>
          <w:rFonts w:hAnsi="宋体"/>
          <w:color w:val="auto"/>
          <w:sz w:val="21"/>
          <w:szCs w:val="21"/>
          <w:highlight w:val="none"/>
        </w:rPr>
      </w:pPr>
    </w:p>
    <w:p>
      <w:pPr>
        <w:pStyle w:val="19"/>
        <w:spacing w:line="520" w:lineRule="exact"/>
        <w:ind w:firstLine="0"/>
        <w:jc w:val="left"/>
        <w:rPr>
          <w:rFonts w:hAnsi="宋体"/>
          <w:color w:val="auto"/>
          <w:sz w:val="21"/>
          <w:szCs w:val="21"/>
          <w:highlight w:val="none"/>
        </w:rPr>
        <w:sectPr>
          <w:pgSz w:w="11906" w:h="16838"/>
          <w:pgMar w:top="1474" w:right="1797" w:bottom="1247" w:left="1797" w:header="851" w:footer="851" w:gutter="0"/>
          <w:cols w:space="720" w:num="1"/>
          <w:titlePg/>
          <w:docGrid w:linePitch="312" w:charSpace="0"/>
        </w:sectPr>
      </w:pPr>
      <w:r>
        <w:rPr>
          <w:rFonts w:hint="eastAsia" w:hAnsi="宋体"/>
          <w:b/>
          <w:color w:val="auto"/>
          <w:highlight w:val="none"/>
        </w:rPr>
        <w:t>注：联合体投标的，可只由联合体牵头人盖章。</w:t>
      </w:r>
    </w:p>
    <w:p>
      <w:pPr>
        <w:pStyle w:val="19"/>
        <w:spacing w:line="520" w:lineRule="exact"/>
        <w:ind w:firstLine="0"/>
        <w:jc w:val="left"/>
        <w:rPr>
          <w:rFonts w:hAnsi="宋体"/>
          <w:color w:val="auto"/>
          <w:sz w:val="21"/>
          <w:szCs w:val="21"/>
          <w:highlight w:val="none"/>
        </w:rPr>
      </w:pPr>
      <w:r>
        <w:rPr>
          <w:rFonts w:hint="eastAsia" w:hAnsi="宋体"/>
          <w:color w:val="auto"/>
          <w:sz w:val="21"/>
          <w:szCs w:val="21"/>
          <w:highlight w:val="none"/>
        </w:rPr>
        <w:t>（4）中小企业声明函：</w:t>
      </w:r>
    </w:p>
    <w:p>
      <w:pPr>
        <w:pStyle w:val="19"/>
        <w:spacing w:line="520" w:lineRule="exact"/>
        <w:ind w:firstLine="0"/>
        <w:rPr>
          <w:rFonts w:hAnsi="宋体"/>
          <w:b/>
          <w:bCs/>
          <w:color w:val="auto"/>
          <w:sz w:val="24"/>
          <w:szCs w:val="24"/>
          <w:highlight w:val="none"/>
        </w:rPr>
      </w:pPr>
    </w:p>
    <w:p>
      <w:pPr>
        <w:snapToGrid w:val="0"/>
        <w:spacing w:after="120" w:afterLines="50" w:line="360" w:lineRule="auto"/>
        <w:jc w:val="center"/>
        <w:rPr>
          <w:rFonts w:ascii="宋体" w:hAnsi="宋体" w:cs="宋体"/>
          <w:b/>
          <w:bCs/>
          <w:color w:val="auto"/>
          <w:highlight w:val="none"/>
        </w:rPr>
      </w:pPr>
      <w:r>
        <w:rPr>
          <w:rFonts w:hint="eastAsia" w:ascii="宋体" w:hAnsi="宋体" w:cs="宋体"/>
          <w:b/>
          <w:bCs/>
          <w:color w:val="auto"/>
          <w:highlight w:val="none"/>
        </w:rPr>
        <w:t>中小企业声明函</w:t>
      </w:r>
    </w:p>
    <w:p>
      <w:pPr>
        <w:spacing w:line="360" w:lineRule="auto"/>
        <w:rPr>
          <w:rFonts w:ascii="宋体" w:hAnsi="宋体" w:cs="宋体"/>
          <w:b/>
          <w:bCs/>
          <w:color w:val="auto"/>
          <w:spacing w:val="6"/>
          <w:highlight w:val="none"/>
        </w:rPr>
      </w:pPr>
    </w:p>
    <w:p>
      <w:pPr>
        <w:spacing w:line="360" w:lineRule="auto"/>
        <w:ind w:firstLine="444" w:firstLineChars="200"/>
        <w:rPr>
          <w:rFonts w:ascii="宋体" w:hAnsi="宋体" w:cs="宋体"/>
          <w:color w:val="auto"/>
          <w:spacing w:val="6"/>
          <w:highlight w:val="none"/>
        </w:rPr>
      </w:pPr>
      <w:r>
        <w:rPr>
          <w:rFonts w:hint="eastAsia" w:ascii="宋体" w:hAnsi="宋体" w:cs="宋体"/>
          <w:color w:val="auto"/>
          <w:spacing w:val="6"/>
          <w:highlight w:val="none"/>
        </w:rPr>
        <w:t>本公司（联合体）郑重声明，根据《政府采购促进中小企业发展管理办法》（财库﹝2020﹞46 号）的规定，本公司（联合体）参加</w:t>
      </w:r>
      <w:r>
        <w:rPr>
          <w:rFonts w:hint="eastAsia" w:ascii="宋体" w:hAnsi="宋体" w:cs="宋体"/>
          <w:color w:val="auto"/>
          <w:spacing w:val="6"/>
          <w:highlight w:val="none"/>
          <w:u w:val="single"/>
        </w:rPr>
        <w:t>（单位名称）</w:t>
      </w:r>
      <w:r>
        <w:rPr>
          <w:rFonts w:hint="eastAsia" w:ascii="宋体" w:hAnsi="宋体" w:cs="宋体"/>
          <w:color w:val="auto"/>
          <w:spacing w:val="6"/>
          <w:highlight w:val="none"/>
        </w:rPr>
        <w:t>的</w:t>
      </w:r>
      <w:r>
        <w:rPr>
          <w:rFonts w:hint="eastAsia" w:ascii="宋体" w:hAnsi="宋体" w:cs="宋体"/>
          <w:color w:val="auto"/>
          <w:spacing w:val="6"/>
          <w:highlight w:val="none"/>
          <w:u w:val="single"/>
        </w:rPr>
        <w:t>（项目名称）</w:t>
      </w:r>
      <w:r>
        <w:rPr>
          <w:rFonts w:hint="eastAsia" w:ascii="宋体" w:hAnsi="宋体" w:cs="宋体"/>
          <w:color w:val="auto"/>
          <w:spacing w:val="6"/>
          <w:highlight w:val="none"/>
        </w:rPr>
        <w:t>采购活动，提供的货物全部由符合政策要求的中小企业制造。相关企业（含联合体中的中小企业、签订分包意向协议的中小企业）的具体情况如下：</w:t>
      </w:r>
    </w:p>
    <w:p>
      <w:pPr>
        <w:spacing w:line="360" w:lineRule="auto"/>
        <w:ind w:firstLine="444" w:firstLineChars="200"/>
        <w:rPr>
          <w:rFonts w:ascii="宋体" w:hAnsi="宋体" w:cs="宋体"/>
          <w:color w:val="auto"/>
          <w:spacing w:val="6"/>
          <w:highlight w:val="none"/>
        </w:rPr>
      </w:pPr>
      <w:r>
        <w:rPr>
          <w:rFonts w:hint="eastAsia" w:ascii="宋体" w:hAnsi="宋体" w:cs="宋体"/>
          <w:color w:val="auto"/>
          <w:spacing w:val="6"/>
          <w:highlight w:val="none"/>
        </w:rPr>
        <w:t xml:space="preserve">1. </w:t>
      </w:r>
      <w:r>
        <w:rPr>
          <w:rFonts w:hint="eastAsia" w:ascii="宋体" w:hAnsi="宋体" w:cs="宋体"/>
          <w:color w:val="auto"/>
          <w:spacing w:val="6"/>
          <w:highlight w:val="none"/>
          <w:u w:val="single"/>
        </w:rPr>
        <w:t xml:space="preserve">（标的名称） </w:t>
      </w:r>
      <w:r>
        <w:rPr>
          <w:rFonts w:hint="eastAsia" w:ascii="宋体" w:hAnsi="宋体" w:cs="宋体"/>
          <w:color w:val="auto"/>
          <w:spacing w:val="6"/>
          <w:highlight w:val="none"/>
        </w:rPr>
        <w:t>，属于</w:t>
      </w:r>
      <w:r>
        <w:rPr>
          <w:rFonts w:hint="eastAsia" w:ascii="宋体" w:hAnsi="宋体" w:cs="宋体"/>
          <w:color w:val="auto"/>
          <w:spacing w:val="6"/>
          <w:highlight w:val="none"/>
          <w:u w:val="single"/>
        </w:rPr>
        <w:t>工业</w:t>
      </w:r>
      <w:r>
        <w:rPr>
          <w:rFonts w:hint="eastAsia" w:ascii="宋体" w:hAnsi="宋体" w:cs="宋体"/>
          <w:color w:val="auto"/>
          <w:spacing w:val="6"/>
          <w:highlight w:val="none"/>
        </w:rPr>
        <w:t>行业；制造商为</w:t>
      </w:r>
      <w:r>
        <w:rPr>
          <w:rFonts w:hint="eastAsia" w:ascii="宋体" w:hAnsi="宋体" w:cs="宋体"/>
          <w:color w:val="auto"/>
          <w:spacing w:val="6"/>
          <w:highlight w:val="none"/>
          <w:u w:val="single"/>
        </w:rPr>
        <w:t>（企业名称）</w:t>
      </w:r>
      <w:r>
        <w:rPr>
          <w:rFonts w:hint="eastAsia" w:ascii="宋体" w:hAnsi="宋体" w:cs="宋体"/>
          <w:color w:val="auto"/>
          <w:spacing w:val="6"/>
          <w:highlight w:val="none"/>
        </w:rPr>
        <w:t>，从业人员</w:t>
      </w:r>
      <w:r>
        <w:rPr>
          <w:rFonts w:hint="eastAsia" w:ascii="宋体" w:hAnsi="宋体" w:cs="宋体"/>
          <w:color w:val="auto"/>
          <w:spacing w:val="6"/>
          <w:highlight w:val="none"/>
          <w:u w:val="single"/>
        </w:rPr>
        <w:t xml:space="preserve">      </w:t>
      </w:r>
      <w:r>
        <w:rPr>
          <w:rFonts w:hint="eastAsia" w:ascii="宋体" w:hAnsi="宋体" w:cs="宋体"/>
          <w:color w:val="auto"/>
          <w:spacing w:val="6"/>
          <w:highlight w:val="none"/>
        </w:rPr>
        <w:t>人，营业收入为</w:t>
      </w:r>
      <w:r>
        <w:rPr>
          <w:rFonts w:hint="eastAsia" w:ascii="宋体" w:hAnsi="宋体" w:cs="宋体"/>
          <w:color w:val="auto"/>
          <w:spacing w:val="6"/>
          <w:highlight w:val="none"/>
          <w:u w:val="single"/>
        </w:rPr>
        <w:t xml:space="preserve">      </w:t>
      </w:r>
      <w:r>
        <w:rPr>
          <w:rFonts w:hint="eastAsia" w:ascii="宋体" w:hAnsi="宋体" w:cs="宋体"/>
          <w:color w:val="auto"/>
          <w:spacing w:val="6"/>
          <w:highlight w:val="none"/>
        </w:rPr>
        <w:t>万元</w:t>
      </w:r>
      <w:r>
        <w:rPr>
          <w:rFonts w:hint="eastAsia" w:ascii="宋体" w:hAnsi="宋体" w:cs="宋体"/>
          <w:color w:val="auto"/>
          <w:highlight w:val="none"/>
          <w:vertAlign w:val="superscript"/>
        </w:rPr>
        <w:t>1</w:t>
      </w:r>
      <w:r>
        <w:rPr>
          <w:rFonts w:hint="eastAsia" w:ascii="宋体" w:hAnsi="宋体" w:cs="宋体"/>
          <w:color w:val="auto"/>
          <w:spacing w:val="6"/>
          <w:highlight w:val="none"/>
        </w:rPr>
        <w:t>，资产总额为</w:t>
      </w:r>
      <w:r>
        <w:rPr>
          <w:rFonts w:hint="eastAsia" w:ascii="宋体" w:hAnsi="宋体" w:cs="宋体"/>
          <w:color w:val="auto"/>
          <w:spacing w:val="6"/>
          <w:highlight w:val="none"/>
          <w:u w:val="single"/>
        </w:rPr>
        <w:t xml:space="preserve">    </w:t>
      </w:r>
      <w:r>
        <w:rPr>
          <w:rFonts w:hint="eastAsia" w:ascii="宋体" w:hAnsi="宋体" w:cs="宋体"/>
          <w:color w:val="auto"/>
          <w:spacing w:val="6"/>
          <w:highlight w:val="none"/>
        </w:rPr>
        <w:t>万元，属于</w:t>
      </w:r>
      <w:r>
        <w:rPr>
          <w:rFonts w:hint="eastAsia" w:ascii="宋体" w:hAnsi="宋体" w:cs="宋体"/>
          <w:color w:val="auto"/>
          <w:spacing w:val="6"/>
          <w:highlight w:val="none"/>
          <w:u w:val="single"/>
        </w:rPr>
        <w:t>（中型企业、小型企业、微型企业）</w:t>
      </w:r>
      <w:r>
        <w:rPr>
          <w:rFonts w:hint="eastAsia" w:ascii="宋体" w:hAnsi="宋体" w:cs="宋体"/>
          <w:color w:val="auto"/>
          <w:spacing w:val="6"/>
          <w:highlight w:val="none"/>
        </w:rPr>
        <w:t>；</w:t>
      </w:r>
    </w:p>
    <w:p>
      <w:pPr>
        <w:spacing w:line="360" w:lineRule="auto"/>
        <w:ind w:firstLine="444" w:firstLineChars="200"/>
        <w:rPr>
          <w:rFonts w:ascii="宋体" w:hAnsi="宋体" w:cs="宋体"/>
          <w:color w:val="auto"/>
          <w:spacing w:val="6"/>
          <w:highlight w:val="none"/>
        </w:rPr>
      </w:pPr>
      <w:r>
        <w:rPr>
          <w:rFonts w:hint="eastAsia" w:ascii="宋体" w:hAnsi="宋体" w:cs="宋体"/>
          <w:color w:val="auto"/>
          <w:spacing w:val="6"/>
          <w:highlight w:val="none"/>
        </w:rPr>
        <w:t>2.</w:t>
      </w:r>
      <w:r>
        <w:rPr>
          <w:rFonts w:hint="eastAsia" w:ascii="宋体" w:hAnsi="宋体" w:cs="宋体"/>
          <w:color w:val="auto"/>
          <w:spacing w:val="6"/>
          <w:highlight w:val="none"/>
          <w:u w:val="single"/>
        </w:rPr>
        <w:t xml:space="preserve"> （标的名称） </w:t>
      </w:r>
      <w:r>
        <w:rPr>
          <w:rFonts w:hint="eastAsia" w:ascii="宋体" w:hAnsi="宋体" w:cs="宋体"/>
          <w:color w:val="auto"/>
          <w:spacing w:val="6"/>
          <w:highlight w:val="none"/>
        </w:rPr>
        <w:t>，属于</w:t>
      </w:r>
      <w:r>
        <w:rPr>
          <w:rFonts w:hint="eastAsia" w:ascii="宋体" w:hAnsi="宋体" w:cs="宋体"/>
          <w:color w:val="auto"/>
          <w:spacing w:val="6"/>
          <w:highlight w:val="none"/>
          <w:u w:val="single"/>
        </w:rPr>
        <w:t>工业</w:t>
      </w:r>
      <w:r>
        <w:rPr>
          <w:rFonts w:hint="eastAsia" w:ascii="宋体" w:hAnsi="宋体" w:cs="宋体"/>
          <w:color w:val="auto"/>
          <w:spacing w:val="6"/>
          <w:highlight w:val="none"/>
        </w:rPr>
        <w:t>行业；制造商为</w:t>
      </w:r>
      <w:r>
        <w:rPr>
          <w:rFonts w:hint="eastAsia" w:ascii="宋体" w:hAnsi="宋体" w:cs="宋体"/>
          <w:color w:val="auto"/>
          <w:spacing w:val="6"/>
          <w:highlight w:val="none"/>
          <w:u w:val="single"/>
        </w:rPr>
        <w:t>（企业名称）</w:t>
      </w:r>
      <w:r>
        <w:rPr>
          <w:rFonts w:hint="eastAsia" w:ascii="宋体" w:hAnsi="宋体" w:cs="宋体"/>
          <w:color w:val="auto"/>
          <w:spacing w:val="6"/>
          <w:highlight w:val="none"/>
        </w:rPr>
        <w:t>，从业人员</w:t>
      </w:r>
      <w:r>
        <w:rPr>
          <w:rFonts w:hint="eastAsia" w:ascii="宋体" w:hAnsi="宋体" w:cs="宋体"/>
          <w:color w:val="auto"/>
          <w:spacing w:val="6"/>
          <w:highlight w:val="none"/>
          <w:u w:val="single"/>
        </w:rPr>
        <w:t xml:space="preserve">     </w:t>
      </w:r>
      <w:r>
        <w:rPr>
          <w:rFonts w:hint="eastAsia" w:ascii="宋体" w:hAnsi="宋体" w:cs="宋体"/>
          <w:color w:val="auto"/>
          <w:spacing w:val="6"/>
          <w:highlight w:val="none"/>
        </w:rPr>
        <w:t>人，营业收入为</w:t>
      </w:r>
      <w:r>
        <w:rPr>
          <w:rFonts w:hint="eastAsia" w:ascii="宋体" w:hAnsi="宋体" w:cs="宋体"/>
          <w:color w:val="auto"/>
          <w:spacing w:val="6"/>
          <w:highlight w:val="none"/>
          <w:u w:val="single"/>
        </w:rPr>
        <w:t xml:space="preserve">    </w:t>
      </w:r>
      <w:r>
        <w:rPr>
          <w:rFonts w:hint="eastAsia" w:ascii="宋体" w:hAnsi="宋体" w:cs="宋体"/>
          <w:color w:val="auto"/>
          <w:spacing w:val="6"/>
          <w:highlight w:val="none"/>
        </w:rPr>
        <w:t>万元，资产总额为</w:t>
      </w:r>
      <w:r>
        <w:rPr>
          <w:rFonts w:hint="eastAsia" w:ascii="宋体" w:hAnsi="宋体" w:cs="宋体"/>
          <w:color w:val="auto"/>
          <w:spacing w:val="6"/>
          <w:highlight w:val="none"/>
          <w:u w:val="single"/>
        </w:rPr>
        <w:t xml:space="preserve">    </w:t>
      </w:r>
      <w:r>
        <w:rPr>
          <w:rFonts w:hint="eastAsia" w:ascii="宋体" w:hAnsi="宋体" w:cs="宋体"/>
          <w:color w:val="auto"/>
          <w:spacing w:val="6"/>
          <w:highlight w:val="none"/>
        </w:rPr>
        <w:t>万元，属于</w:t>
      </w:r>
      <w:r>
        <w:rPr>
          <w:rFonts w:hint="eastAsia" w:ascii="宋体" w:hAnsi="宋体" w:cs="宋体"/>
          <w:color w:val="auto"/>
          <w:spacing w:val="6"/>
          <w:highlight w:val="none"/>
          <w:u w:val="single"/>
        </w:rPr>
        <w:t>（中型企业、小型企业、微型企业）</w:t>
      </w:r>
      <w:r>
        <w:rPr>
          <w:rFonts w:hint="eastAsia" w:ascii="宋体" w:hAnsi="宋体" w:cs="宋体"/>
          <w:color w:val="auto"/>
          <w:spacing w:val="6"/>
          <w:highlight w:val="none"/>
        </w:rPr>
        <w:t>；</w:t>
      </w:r>
    </w:p>
    <w:p>
      <w:pPr>
        <w:spacing w:line="360" w:lineRule="auto"/>
        <w:ind w:firstLine="444" w:firstLineChars="200"/>
        <w:rPr>
          <w:rFonts w:ascii="宋体" w:hAnsi="宋体" w:cs="宋体"/>
          <w:color w:val="auto"/>
          <w:spacing w:val="6"/>
          <w:highlight w:val="none"/>
        </w:rPr>
      </w:pPr>
      <w:r>
        <w:rPr>
          <w:rFonts w:hint="eastAsia" w:ascii="宋体" w:hAnsi="宋体" w:cs="宋体"/>
          <w:color w:val="auto"/>
          <w:spacing w:val="6"/>
          <w:highlight w:val="none"/>
        </w:rPr>
        <w:t>……</w:t>
      </w:r>
    </w:p>
    <w:p>
      <w:pPr>
        <w:spacing w:line="360" w:lineRule="auto"/>
        <w:ind w:firstLine="444" w:firstLineChars="200"/>
        <w:rPr>
          <w:rFonts w:ascii="宋体" w:hAnsi="宋体" w:cs="宋体"/>
          <w:color w:val="auto"/>
          <w:spacing w:val="6"/>
          <w:highlight w:val="none"/>
        </w:rPr>
      </w:pPr>
      <w:r>
        <w:rPr>
          <w:rFonts w:hint="eastAsia" w:ascii="宋体" w:hAnsi="宋体" w:cs="宋体"/>
          <w:color w:val="auto"/>
          <w:spacing w:val="6"/>
          <w:highlight w:val="none"/>
        </w:rPr>
        <w:t>以上企业，不属于大企业的分支机构，不存在控股股东为大企业的情形，也不存在与大企业的负责人为同一人的情形。</w:t>
      </w:r>
    </w:p>
    <w:p>
      <w:pPr>
        <w:spacing w:line="360" w:lineRule="auto"/>
        <w:ind w:firstLine="444" w:firstLineChars="200"/>
        <w:rPr>
          <w:rFonts w:ascii="宋体" w:hAnsi="宋体" w:cs="宋体"/>
          <w:color w:val="auto"/>
          <w:spacing w:val="6"/>
          <w:highlight w:val="none"/>
        </w:rPr>
      </w:pPr>
      <w:r>
        <w:rPr>
          <w:rFonts w:hint="eastAsia" w:ascii="宋体" w:hAnsi="宋体" w:cs="宋体"/>
          <w:color w:val="auto"/>
          <w:spacing w:val="6"/>
          <w:highlight w:val="none"/>
        </w:rPr>
        <w:t>本企业对上述声明内容的真实性负责。如有虚假，将依法承担相应责任。</w:t>
      </w:r>
    </w:p>
    <w:p>
      <w:pPr>
        <w:spacing w:line="360" w:lineRule="auto"/>
        <w:ind w:firstLine="444" w:firstLineChars="200"/>
        <w:rPr>
          <w:rFonts w:ascii="宋体" w:hAnsi="宋体" w:cs="宋体"/>
          <w:color w:val="auto"/>
          <w:spacing w:val="6"/>
          <w:highlight w:val="none"/>
        </w:rPr>
      </w:pPr>
      <w:r>
        <w:rPr>
          <w:rFonts w:hint="eastAsia" w:ascii="宋体" w:hAnsi="宋体" w:cs="宋体"/>
          <w:color w:val="auto"/>
          <w:spacing w:val="6"/>
          <w:highlight w:val="none"/>
        </w:rPr>
        <w:t xml:space="preserve">                        </w:t>
      </w:r>
    </w:p>
    <w:p>
      <w:pPr>
        <w:spacing w:line="360" w:lineRule="auto"/>
        <w:ind w:firstLine="3330" w:firstLineChars="1500"/>
        <w:rPr>
          <w:rFonts w:ascii="宋体" w:hAnsi="宋体" w:cs="宋体"/>
          <w:color w:val="auto"/>
          <w:spacing w:val="6"/>
          <w:highlight w:val="none"/>
        </w:rPr>
      </w:pPr>
      <w:r>
        <w:rPr>
          <w:rFonts w:hint="eastAsia" w:ascii="宋体" w:hAnsi="宋体" w:cs="宋体"/>
          <w:color w:val="auto"/>
          <w:spacing w:val="6"/>
          <w:highlight w:val="none"/>
        </w:rPr>
        <w:t>企业名称（盖章）：</w:t>
      </w:r>
    </w:p>
    <w:p>
      <w:pPr>
        <w:spacing w:line="360" w:lineRule="auto"/>
        <w:ind w:firstLine="444" w:firstLineChars="200"/>
        <w:rPr>
          <w:rFonts w:ascii="宋体" w:hAnsi="宋体" w:cs="宋体"/>
          <w:color w:val="auto"/>
          <w:spacing w:val="6"/>
          <w:highlight w:val="none"/>
        </w:rPr>
      </w:pPr>
      <w:r>
        <w:rPr>
          <w:rFonts w:hint="eastAsia" w:ascii="宋体" w:hAnsi="宋体" w:cs="宋体"/>
          <w:color w:val="auto"/>
          <w:spacing w:val="6"/>
          <w:highlight w:val="none"/>
        </w:rPr>
        <w:t xml:space="preserve">                         日期：</w:t>
      </w:r>
    </w:p>
    <w:p>
      <w:pPr>
        <w:widowControl/>
        <w:tabs>
          <w:tab w:val="left" w:pos="606"/>
        </w:tabs>
        <w:spacing w:line="360" w:lineRule="auto"/>
        <w:jc w:val="left"/>
        <w:rPr>
          <w:rFonts w:ascii="宋体" w:hAnsi="宋体" w:cs="宋体"/>
          <w:color w:val="auto"/>
          <w:kern w:val="0"/>
          <w:highlight w:val="none"/>
        </w:rPr>
      </w:pPr>
      <w:r>
        <w:rPr>
          <w:rFonts w:hint="eastAsia" w:ascii="宋体" w:hAnsi="宋体" w:cs="宋体"/>
          <w:color w:val="auto"/>
          <w:spacing w:val="-6"/>
          <w:kern w:val="0"/>
          <w:highlight w:val="none"/>
        </w:rPr>
        <w:t>1</w:t>
      </w:r>
      <w:r>
        <w:rPr>
          <w:rFonts w:hint="eastAsia" w:ascii="宋体" w:hAnsi="宋体" w:cs="宋体"/>
          <w:color w:val="auto"/>
          <w:kern w:val="0"/>
          <w:highlight w:val="none"/>
        </w:rPr>
        <w:t>、从业人员、营业收入、资产总额填报上一年度数据，无上一年度数据的新成立企业可不填报。</w:t>
      </w:r>
    </w:p>
    <w:p>
      <w:pPr>
        <w:widowControl/>
        <w:tabs>
          <w:tab w:val="left" w:pos="606"/>
        </w:tabs>
        <w:spacing w:line="360" w:lineRule="auto"/>
        <w:jc w:val="left"/>
        <w:rPr>
          <w:rFonts w:ascii="宋体" w:hAnsi="宋体" w:cs="宋体"/>
          <w:color w:val="auto"/>
          <w:kern w:val="0"/>
          <w:highlight w:val="none"/>
        </w:rPr>
      </w:pPr>
      <w:r>
        <w:rPr>
          <w:rFonts w:hint="eastAsia" w:ascii="宋体" w:hAnsi="宋体" w:cs="宋体"/>
          <w:color w:val="auto"/>
          <w:kern w:val="0"/>
          <w:highlight w:val="none"/>
        </w:rPr>
        <w:t>2、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widowControl/>
        <w:spacing w:line="360" w:lineRule="auto"/>
        <w:jc w:val="center"/>
        <w:rPr>
          <w:rFonts w:ascii="宋体" w:hAnsi="宋体" w:cs="宋体"/>
          <w:b/>
          <w:bCs/>
          <w:color w:val="auto"/>
          <w:kern w:val="0"/>
          <w:highlight w:val="none"/>
        </w:rPr>
      </w:pPr>
    </w:p>
    <w:p>
      <w:pPr>
        <w:snapToGrid w:val="0"/>
        <w:spacing w:line="360" w:lineRule="auto"/>
        <w:jc w:val="left"/>
        <w:rPr>
          <w:rFonts w:ascii="宋体" w:hAnsi="宋体" w:cs="宋体"/>
          <w:color w:val="auto"/>
          <w:highlight w:val="none"/>
        </w:rPr>
      </w:pPr>
      <w:r>
        <w:rPr>
          <w:rFonts w:hint="eastAsia" w:ascii="宋体" w:hAnsi="宋体" w:cs="宋体"/>
          <w:b/>
          <w:bCs/>
          <w:color w:val="auto"/>
          <w:kern w:val="0"/>
          <w:highlight w:val="none"/>
        </w:rPr>
        <w:t>注：适用小微企业政策的请提供，未提供的不享受小微企业政策</w:t>
      </w:r>
      <w:r>
        <w:rPr>
          <w:rFonts w:hint="eastAsia" w:ascii="宋体" w:hAnsi="宋体" w:cs="宋体"/>
          <w:b/>
          <w:bCs/>
          <w:color w:val="auto"/>
          <w:highlight w:val="none"/>
        </w:rPr>
        <w:t>。</w:t>
      </w:r>
    </w:p>
    <w:p>
      <w:pPr>
        <w:adjustRightInd w:val="0"/>
        <w:snapToGrid w:val="0"/>
        <w:spacing w:line="360" w:lineRule="auto"/>
        <w:jc w:val="left"/>
        <w:rPr>
          <w:rFonts w:ascii="宋体" w:hAnsi="宋体" w:cs="宋体"/>
          <w:color w:val="auto"/>
          <w:highlight w:val="none"/>
        </w:rPr>
      </w:pPr>
    </w:p>
    <w:p>
      <w:pPr>
        <w:pStyle w:val="19"/>
        <w:spacing w:line="520" w:lineRule="exact"/>
        <w:ind w:firstLine="0"/>
        <w:jc w:val="left"/>
        <w:rPr>
          <w:rFonts w:hAnsi="宋体"/>
          <w:color w:val="auto"/>
          <w:sz w:val="21"/>
          <w:szCs w:val="21"/>
          <w:highlight w:val="none"/>
        </w:rPr>
        <w:sectPr>
          <w:pgSz w:w="11906" w:h="16838"/>
          <w:pgMar w:top="1474" w:right="1797" w:bottom="1247" w:left="1797" w:header="851" w:footer="851" w:gutter="0"/>
          <w:cols w:space="720" w:num="1"/>
          <w:titlePg/>
          <w:docGrid w:linePitch="312" w:charSpace="0"/>
        </w:sectPr>
      </w:pPr>
    </w:p>
    <w:p>
      <w:pPr>
        <w:pStyle w:val="19"/>
        <w:spacing w:line="520" w:lineRule="exact"/>
        <w:ind w:firstLine="0"/>
        <w:jc w:val="left"/>
        <w:rPr>
          <w:rFonts w:hAnsi="宋体"/>
          <w:color w:val="auto"/>
          <w:sz w:val="21"/>
          <w:szCs w:val="21"/>
          <w:highlight w:val="none"/>
        </w:rPr>
      </w:pPr>
      <w:r>
        <w:rPr>
          <w:rFonts w:hint="eastAsia" w:hAnsi="宋体"/>
          <w:color w:val="auto"/>
          <w:sz w:val="21"/>
          <w:szCs w:val="21"/>
          <w:highlight w:val="none"/>
        </w:rPr>
        <w:t>（5）残疾人福利性单位声明函：</w:t>
      </w:r>
    </w:p>
    <w:p>
      <w:pPr>
        <w:jc w:val="center"/>
        <w:rPr>
          <w:rFonts w:ascii="宋体" w:hAnsi="宋体" w:cs="宋体"/>
          <w:b/>
          <w:color w:val="auto"/>
          <w:kern w:val="0"/>
          <w:highlight w:val="none"/>
        </w:rPr>
      </w:pPr>
    </w:p>
    <w:p>
      <w:pPr>
        <w:spacing w:line="588" w:lineRule="exact"/>
        <w:jc w:val="center"/>
        <w:rPr>
          <w:rFonts w:ascii="宋体" w:hAnsi="宋体" w:cs="宋体"/>
          <w:b/>
          <w:bCs/>
          <w:color w:val="auto"/>
          <w:spacing w:val="6"/>
          <w:highlight w:val="none"/>
        </w:rPr>
      </w:pPr>
      <w:r>
        <w:rPr>
          <w:rFonts w:hint="eastAsia" w:ascii="宋体" w:hAnsi="宋体" w:cs="宋体"/>
          <w:b/>
          <w:bCs/>
          <w:color w:val="auto"/>
          <w:spacing w:val="6"/>
          <w:highlight w:val="none"/>
        </w:rPr>
        <w:t>残疾人福利性单位声明函</w:t>
      </w:r>
    </w:p>
    <w:p>
      <w:pPr>
        <w:spacing w:line="588" w:lineRule="exact"/>
        <w:rPr>
          <w:rFonts w:ascii="宋体" w:hAnsi="宋体" w:cs="宋体"/>
          <w:b/>
          <w:bCs/>
          <w:color w:val="auto"/>
          <w:spacing w:val="6"/>
          <w:highlight w:val="none"/>
        </w:rPr>
      </w:pPr>
    </w:p>
    <w:p>
      <w:pPr>
        <w:spacing w:line="588" w:lineRule="exact"/>
        <w:ind w:firstLine="444" w:firstLineChars="200"/>
        <w:rPr>
          <w:rFonts w:ascii="宋体" w:hAnsi="宋体" w:cs="宋体"/>
          <w:color w:val="auto"/>
          <w:spacing w:val="6"/>
          <w:highlight w:val="none"/>
        </w:rPr>
      </w:pPr>
      <w:r>
        <w:rPr>
          <w:rFonts w:hint="eastAsia" w:ascii="宋体" w:hAnsi="宋体" w:cs="宋体"/>
          <w:color w:val="auto"/>
          <w:spacing w:val="6"/>
          <w:highlight w:val="none"/>
        </w:rPr>
        <w:t>本单位郑重声明，根据《财政部 民政部 中国残疾人联合会关于促进残疾人就业政府采购政策的通知》（财库</w:t>
      </w:r>
      <w:r>
        <w:rPr>
          <w:rFonts w:hint="eastAsia" w:ascii="宋体" w:hAnsi="宋体" w:cs="宋体"/>
          <w:color w:val="auto"/>
          <w:highlight w:val="none"/>
        </w:rPr>
        <w:t>〔2017〕 141</w:t>
      </w:r>
      <w:r>
        <w:rPr>
          <w:rFonts w:hint="eastAsia" w:ascii="宋体" w:hAnsi="宋体" w:cs="宋体"/>
          <w:color w:val="auto"/>
          <w:spacing w:val="6"/>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44" w:firstLineChars="200"/>
        <w:rPr>
          <w:rFonts w:ascii="宋体" w:hAnsi="宋体" w:cs="宋体"/>
          <w:color w:val="auto"/>
          <w:spacing w:val="6"/>
          <w:highlight w:val="none"/>
        </w:rPr>
      </w:pPr>
      <w:r>
        <w:rPr>
          <w:rFonts w:hint="eastAsia" w:ascii="宋体" w:hAnsi="宋体" w:cs="宋体"/>
          <w:color w:val="auto"/>
          <w:spacing w:val="6"/>
          <w:highlight w:val="none"/>
        </w:rPr>
        <w:t>本单位对上述声明的真实性负责。如有虚假，将依法承担相应责任。</w:t>
      </w:r>
    </w:p>
    <w:p>
      <w:pPr>
        <w:spacing w:line="588" w:lineRule="exact"/>
        <w:ind w:firstLine="444" w:firstLineChars="200"/>
        <w:rPr>
          <w:rFonts w:ascii="宋体" w:hAnsi="宋体" w:cs="宋体"/>
          <w:color w:val="auto"/>
          <w:spacing w:val="6"/>
          <w:highlight w:val="none"/>
        </w:rPr>
      </w:pPr>
    </w:p>
    <w:p>
      <w:pPr>
        <w:spacing w:line="588" w:lineRule="exact"/>
        <w:ind w:firstLine="444" w:firstLineChars="200"/>
        <w:rPr>
          <w:rFonts w:ascii="宋体" w:hAnsi="宋体" w:cs="宋体"/>
          <w:color w:val="auto"/>
          <w:spacing w:val="6"/>
          <w:highlight w:val="none"/>
        </w:rPr>
      </w:pPr>
    </w:p>
    <w:p>
      <w:pPr>
        <w:tabs>
          <w:tab w:val="left" w:pos="4860"/>
        </w:tabs>
        <w:spacing w:line="588" w:lineRule="exact"/>
        <w:ind w:right="1560" w:firstLine="444" w:firstLineChars="200"/>
        <w:jc w:val="center"/>
        <w:rPr>
          <w:rFonts w:ascii="宋体" w:hAnsi="宋体" w:cs="宋体"/>
          <w:color w:val="auto"/>
          <w:spacing w:val="6"/>
          <w:highlight w:val="none"/>
        </w:rPr>
      </w:pPr>
      <w:r>
        <w:rPr>
          <w:rFonts w:hint="eastAsia" w:ascii="宋体" w:hAnsi="宋体" w:cs="宋体"/>
          <w:color w:val="auto"/>
          <w:spacing w:val="6"/>
          <w:highlight w:val="none"/>
        </w:rPr>
        <w:t xml:space="preserve">               单位名称（盖章）：</w:t>
      </w:r>
    </w:p>
    <w:p>
      <w:pPr>
        <w:tabs>
          <w:tab w:val="left" w:pos="4860"/>
        </w:tabs>
        <w:spacing w:line="588" w:lineRule="exact"/>
        <w:ind w:right="1560" w:firstLine="444" w:firstLineChars="200"/>
        <w:jc w:val="center"/>
        <w:rPr>
          <w:rFonts w:ascii="宋体" w:hAnsi="宋体" w:cs="宋体"/>
          <w:color w:val="auto"/>
          <w:spacing w:val="6"/>
          <w:highlight w:val="none"/>
        </w:rPr>
      </w:pPr>
      <w:r>
        <w:rPr>
          <w:rFonts w:hint="eastAsia" w:ascii="宋体" w:hAnsi="宋体" w:cs="宋体"/>
          <w:color w:val="auto"/>
          <w:spacing w:val="6"/>
          <w:highlight w:val="none"/>
        </w:rPr>
        <w:t xml:space="preserve">      日  期：</w:t>
      </w:r>
    </w:p>
    <w:p>
      <w:pPr>
        <w:pStyle w:val="18"/>
        <w:rPr>
          <w:rFonts w:ascii="宋体" w:hAnsi="宋体" w:cs="宋体"/>
          <w:color w:val="auto"/>
          <w:highlight w:val="none"/>
        </w:rPr>
      </w:pPr>
    </w:p>
    <w:p>
      <w:pPr>
        <w:rPr>
          <w:rFonts w:ascii="宋体" w:hAnsi="宋体" w:cs="宋体"/>
          <w:color w:val="auto"/>
          <w:highlight w:val="none"/>
        </w:rPr>
      </w:pPr>
    </w:p>
    <w:p>
      <w:pPr>
        <w:pStyle w:val="18"/>
        <w:rPr>
          <w:rFonts w:ascii="宋体" w:hAnsi="宋体" w:cs="宋体"/>
          <w:color w:val="auto"/>
          <w:highlight w:val="none"/>
        </w:rPr>
      </w:pPr>
    </w:p>
    <w:p>
      <w:pPr>
        <w:rPr>
          <w:rFonts w:ascii="宋体" w:hAnsi="宋体" w:cs="宋体"/>
          <w:color w:val="auto"/>
          <w:highlight w:val="none"/>
        </w:rPr>
      </w:pPr>
    </w:p>
    <w:p>
      <w:pPr>
        <w:pStyle w:val="18"/>
        <w:rPr>
          <w:rFonts w:ascii="宋体" w:hAnsi="宋体" w:cs="宋体"/>
          <w:color w:val="auto"/>
          <w:highlight w:val="none"/>
        </w:rPr>
      </w:pPr>
    </w:p>
    <w:p>
      <w:pPr>
        <w:rPr>
          <w:rFonts w:hAnsi="宋体"/>
          <w:b/>
          <w:bCs/>
          <w:color w:val="auto"/>
          <w:highlight w:val="none"/>
        </w:rPr>
      </w:pPr>
      <w:r>
        <w:rPr>
          <w:rFonts w:hint="eastAsia" w:ascii="宋体" w:hAnsi="宋体" w:cs="宋体"/>
          <w:color w:val="auto"/>
          <w:highlight w:val="none"/>
        </w:rPr>
        <w:t>（6）投标人针对报价需要说明的其他文件和说明。</w:t>
      </w:r>
      <w:r>
        <w:rPr>
          <w:rFonts w:hint="eastAsia" w:hAnsi="宋体"/>
          <w:color w:val="auto"/>
          <w:highlight w:val="none"/>
        </w:rPr>
        <w:br w:type="page"/>
      </w:r>
    </w:p>
    <w:p>
      <w:pPr>
        <w:spacing w:line="360" w:lineRule="auto"/>
        <w:ind w:firstLine="211" w:firstLineChars="100"/>
        <w:rPr>
          <w:rFonts w:ascii="宋体" w:hAnsi="宋体" w:cs="宋体"/>
          <w:b/>
          <w:bCs/>
          <w:color w:val="auto"/>
          <w:highlight w:val="none"/>
        </w:rPr>
      </w:pPr>
      <w:r>
        <w:rPr>
          <w:rFonts w:hint="eastAsia" w:ascii="宋体" w:hAnsi="宋体" w:cs="宋体"/>
          <w:b/>
          <w:bCs/>
          <w:color w:val="auto"/>
          <w:highlight w:val="none"/>
        </w:rPr>
        <w:t>2.资格证明文件：</w:t>
      </w:r>
    </w:p>
    <w:p>
      <w:pPr>
        <w:outlineLvl w:val="2"/>
        <w:rPr>
          <w:rFonts w:ascii="宋体" w:hAnsi="宋体" w:cs="宋体"/>
          <w:b/>
          <w:bCs/>
          <w:color w:val="auto"/>
          <w:highlight w:val="none"/>
        </w:rPr>
      </w:pPr>
      <w:bookmarkStart w:id="109" w:name="_Toc275865606"/>
      <w:r>
        <w:rPr>
          <w:rFonts w:hint="eastAsia" w:ascii="宋体" w:hAnsi="宋体" w:cs="宋体"/>
          <w:b/>
          <w:bCs/>
          <w:color w:val="auto"/>
          <w:highlight w:val="none"/>
        </w:rPr>
        <w:t>（1）投标人的营业执照副本复印件</w:t>
      </w:r>
    </w:p>
    <w:p>
      <w:pPr>
        <w:outlineLvl w:val="2"/>
        <w:rPr>
          <w:rFonts w:ascii="宋体" w:hAnsi="宋体" w:cs="宋体"/>
          <w:b/>
          <w:bCs/>
          <w:color w:val="auto"/>
          <w:highlight w:val="none"/>
        </w:rPr>
      </w:pPr>
    </w:p>
    <w:p>
      <w:pPr>
        <w:outlineLvl w:val="2"/>
        <w:rPr>
          <w:rFonts w:ascii="宋体" w:hAnsi="宋体" w:cs="宋体"/>
          <w:b/>
          <w:bCs/>
          <w:color w:val="auto"/>
          <w:highlight w:val="none"/>
        </w:rPr>
      </w:pPr>
    </w:p>
    <w:p>
      <w:pPr>
        <w:outlineLvl w:val="2"/>
        <w:rPr>
          <w:rFonts w:ascii="宋体" w:hAnsi="宋体" w:cs="宋体"/>
          <w:b/>
          <w:bCs/>
          <w:color w:val="auto"/>
          <w:sz w:val="28"/>
          <w:szCs w:val="28"/>
          <w:highlight w:val="none"/>
        </w:rPr>
      </w:pPr>
      <w:r>
        <w:rPr>
          <w:rFonts w:hint="eastAsia" w:ascii="宋体" w:hAnsi="宋体" w:cs="宋体"/>
          <w:b/>
          <w:bCs/>
          <w:color w:val="auto"/>
          <w:highlight w:val="none"/>
        </w:rPr>
        <w:t>（2）投标人资格声明函</w:t>
      </w:r>
    </w:p>
    <w:p>
      <w:pPr>
        <w:jc w:val="center"/>
        <w:rPr>
          <w:rFonts w:ascii="宋体" w:hAnsi="宋体" w:cs="宋体"/>
          <w:b/>
          <w:bCs/>
          <w:color w:val="auto"/>
          <w:highlight w:val="none"/>
        </w:rPr>
      </w:pPr>
      <w:r>
        <w:rPr>
          <w:rFonts w:hint="eastAsia" w:ascii="宋体" w:hAnsi="宋体" w:cs="宋体"/>
          <w:b/>
          <w:bCs/>
          <w:color w:val="auto"/>
          <w:highlight w:val="none"/>
        </w:rPr>
        <w:t>投标人资格声明函</w:t>
      </w:r>
      <w:bookmarkEnd w:id="109"/>
    </w:p>
    <w:p>
      <w:pPr>
        <w:rPr>
          <w:rFonts w:ascii="宋体" w:hAnsi="宋体" w:cs="宋体"/>
          <w:b/>
          <w:bCs/>
          <w:color w:val="auto"/>
          <w:highlight w:val="none"/>
        </w:rPr>
      </w:pPr>
    </w:p>
    <w:p>
      <w:pPr>
        <w:spacing w:line="360" w:lineRule="auto"/>
        <w:rPr>
          <w:rFonts w:ascii="宋体" w:hAnsi="宋体" w:cs="宋体"/>
          <w:b/>
          <w:bCs/>
          <w:color w:val="auto"/>
          <w:highlight w:val="none"/>
        </w:rPr>
      </w:pPr>
      <w:r>
        <w:rPr>
          <w:rFonts w:hint="eastAsia" w:ascii="宋体" w:hAnsi="宋体" w:cs="宋体"/>
          <w:b/>
          <w:bCs/>
          <w:color w:val="auto"/>
          <w:highlight w:val="none"/>
        </w:rPr>
        <w:t>宁波中基国际招标有限公司：</w:t>
      </w:r>
    </w:p>
    <w:p>
      <w:pPr>
        <w:numPr>
          <w:ilvl w:val="0"/>
          <w:numId w:val="22"/>
        </w:numPr>
        <w:snapToGrid w:val="0"/>
        <w:spacing w:line="360" w:lineRule="auto"/>
        <w:ind w:firstLine="424" w:firstLineChars="202"/>
        <w:rPr>
          <w:rFonts w:ascii="宋体" w:hAnsi="宋体" w:cs="宋体"/>
          <w:color w:val="auto"/>
          <w:highlight w:val="none"/>
        </w:rPr>
      </w:pPr>
      <w:r>
        <w:rPr>
          <w:rFonts w:hint="eastAsia" w:ascii="宋体" w:hAnsi="宋体" w:cs="宋体"/>
          <w:color w:val="auto"/>
          <w:highlight w:val="none"/>
        </w:rPr>
        <w:t>我方具备《中华人民共和国政府采购法》第二十二条规定资格条件：</w:t>
      </w:r>
    </w:p>
    <w:p>
      <w:pPr>
        <w:snapToGrid w:val="0"/>
        <w:spacing w:line="360" w:lineRule="auto"/>
        <w:ind w:firstLine="630" w:firstLineChars="300"/>
        <w:rPr>
          <w:rFonts w:ascii="宋体" w:hAnsi="宋体" w:cs="宋体"/>
          <w:color w:val="auto"/>
          <w:highlight w:val="none"/>
        </w:rPr>
      </w:pPr>
      <w:r>
        <w:rPr>
          <w:rFonts w:hint="eastAsia" w:ascii="宋体" w:hAnsi="宋体" w:cs="宋体"/>
          <w:color w:val="auto"/>
          <w:highlight w:val="none"/>
        </w:rPr>
        <w:t>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符合法律、行政法规规定的其他条件。</w:t>
      </w:r>
    </w:p>
    <w:p>
      <w:pPr>
        <w:snapToGrid w:val="0"/>
        <w:spacing w:line="360" w:lineRule="auto"/>
        <w:ind w:firstLine="424" w:firstLineChars="202"/>
        <w:rPr>
          <w:rFonts w:ascii="宋体" w:hAnsi="宋体" w:cs="宋体"/>
          <w:color w:val="auto"/>
          <w:highlight w:val="none"/>
        </w:rPr>
      </w:pPr>
      <w:r>
        <w:rPr>
          <w:rFonts w:hint="eastAsia" w:ascii="宋体" w:hAnsi="宋体" w:cs="宋体"/>
          <w:color w:val="auto"/>
          <w:highlight w:val="none"/>
        </w:rPr>
        <w:t>2、我方的单位负责人与所参投的本采购项目的其他投标人的单位负责人不为同一人且与其他投标人之间不存在直接控股、管理关系。</w:t>
      </w:r>
    </w:p>
    <w:p>
      <w:pPr>
        <w:snapToGrid w:val="0"/>
        <w:spacing w:line="360" w:lineRule="auto"/>
        <w:ind w:firstLine="424" w:firstLineChars="202"/>
        <w:rPr>
          <w:rFonts w:ascii="宋体" w:hAnsi="宋体" w:cs="宋体"/>
          <w:color w:val="auto"/>
          <w:highlight w:val="none"/>
        </w:rPr>
      </w:pPr>
      <w:r>
        <w:rPr>
          <w:rFonts w:hint="eastAsia" w:ascii="宋体" w:hAnsi="宋体" w:cs="宋体"/>
          <w:color w:val="auto"/>
          <w:highlight w:val="none"/>
        </w:rPr>
        <w:t>3、我方不是本采购项目提供整体设计、规范编制或者项目管理、监理、检测等服务的供应商。</w:t>
      </w:r>
    </w:p>
    <w:p>
      <w:pPr>
        <w:snapToGrid w:val="0"/>
        <w:spacing w:line="360" w:lineRule="auto"/>
        <w:ind w:firstLine="424" w:firstLineChars="202"/>
        <w:rPr>
          <w:rFonts w:ascii="宋体" w:hAnsi="宋体" w:cs="宋体"/>
          <w:color w:val="auto"/>
          <w:highlight w:val="none"/>
        </w:rPr>
      </w:pPr>
      <w:r>
        <w:rPr>
          <w:rFonts w:hint="eastAsia" w:ascii="宋体" w:hAnsi="宋体" w:cs="宋体"/>
          <w:color w:val="auto"/>
          <w:highlight w:val="none"/>
        </w:rPr>
        <w:t>4、我方未被“信用中国”（www.creditchina.gov.cn)、中国政府采购网（www.ccgp.gov.cn）列入失信被执行人、重大税收违法案件当事人名单、政府采购严重违法失信行为记录名单。</w:t>
      </w:r>
    </w:p>
    <w:p>
      <w:pPr>
        <w:spacing w:line="360" w:lineRule="auto"/>
        <w:ind w:firstLine="420"/>
        <w:rPr>
          <w:rFonts w:ascii="宋体" w:hAnsi="宋体" w:cs="宋体"/>
          <w:b/>
          <w:bCs/>
          <w:color w:val="auto"/>
          <w:highlight w:val="none"/>
        </w:rPr>
      </w:pPr>
      <w:r>
        <w:rPr>
          <w:rFonts w:hint="eastAsia" w:ascii="宋体" w:hAnsi="宋体" w:cs="宋体"/>
          <w:color w:val="auto"/>
          <w:highlight w:val="none"/>
        </w:rPr>
        <w:t>我方对上述声明的真实性负责。本次招标采购活动中，如有违法、违规、弄虚作假行为，所造成的损失、不良后果及法律责任，一律由我我方承担</w:t>
      </w:r>
    </w:p>
    <w:p>
      <w:pPr>
        <w:spacing w:line="360" w:lineRule="auto"/>
        <w:ind w:firstLine="420"/>
        <w:rPr>
          <w:rFonts w:ascii="宋体" w:hAnsi="宋体" w:cs="宋体"/>
          <w:b/>
          <w:bCs/>
          <w:color w:val="auto"/>
          <w:highlight w:val="none"/>
        </w:rPr>
      </w:pPr>
    </w:p>
    <w:p>
      <w:pPr>
        <w:spacing w:line="360" w:lineRule="auto"/>
        <w:ind w:firstLine="420"/>
        <w:rPr>
          <w:rFonts w:ascii="宋体" w:hAnsi="宋体" w:cs="宋体"/>
          <w:b/>
          <w:bCs/>
          <w:color w:val="auto"/>
          <w:highlight w:val="none"/>
        </w:rPr>
      </w:pPr>
    </w:p>
    <w:p>
      <w:pPr>
        <w:spacing w:line="360" w:lineRule="auto"/>
        <w:ind w:firstLine="420"/>
        <w:rPr>
          <w:rFonts w:ascii="宋体" w:hAnsi="宋体" w:cs="宋体"/>
          <w:b/>
          <w:bCs/>
          <w:color w:val="auto"/>
          <w:highlight w:val="none"/>
        </w:rPr>
      </w:pPr>
      <w:r>
        <w:rPr>
          <w:rFonts w:hint="eastAsia" w:ascii="宋体" w:hAnsi="宋体" w:cs="宋体"/>
          <w:b/>
          <w:bCs/>
          <w:color w:val="auto"/>
          <w:highlight w:val="none"/>
        </w:rPr>
        <w:t>特此声明！</w:t>
      </w:r>
    </w:p>
    <w:p>
      <w:pPr>
        <w:adjustRightInd w:val="0"/>
        <w:snapToGrid w:val="0"/>
        <w:spacing w:line="360" w:lineRule="auto"/>
        <w:ind w:left="425"/>
        <w:rPr>
          <w:rFonts w:ascii="宋体" w:hAnsi="宋体" w:cs="宋体"/>
          <w:color w:val="auto"/>
          <w:spacing w:val="4"/>
          <w:highlight w:val="none"/>
        </w:rPr>
      </w:pPr>
    </w:p>
    <w:p>
      <w:pPr>
        <w:spacing w:line="360" w:lineRule="auto"/>
        <w:ind w:firstLine="3675" w:firstLineChars="1750"/>
        <w:rPr>
          <w:rFonts w:ascii="宋体" w:hAnsi="宋体" w:cs="宋体"/>
          <w:color w:val="auto"/>
          <w:highlight w:val="none"/>
        </w:rPr>
      </w:pPr>
      <w:r>
        <w:rPr>
          <w:rFonts w:hint="eastAsia" w:ascii="宋体" w:hAnsi="宋体" w:cs="宋体"/>
          <w:color w:val="auto"/>
          <w:highlight w:val="none"/>
        </w:rPr>
        <w:t>投标人（盖章）：</w:t>
      </w:r>
    </w:p>
    <w:p>
      <w:pPr>
        <w:spacing w:line="360" w:lineRule="auto"/>
        <w:rPr>
          <w:rFonts w:ascii="宋体" w:hAnsi="宋体" w:cs="宋体"/>
          <w:color w:val="auto"/>
          <w:highlight w:val="none"/>
        </w:rPr>
      </w:pPr>
      <w:r>
        <w:rPr>
          <w:rFonts w:hint="eastAsia" w:ascii="宋体" w:hAnsi="宋体" w:cs="宋体"/>
          <w:color w:val="auto"/>
          <w:highlight w:val="none"/>
        </w:rPr>
        <w:t xml:space="preserve">                                    日    期：</w:t>
      </w:r>
    </w:p>
    <w:p>
      <w:pPr>
        <w:spacing w:line="360" w:lineRule="auto"/>
        <w:rPr>
          <w:rFonts w:ascii="宋体" w:hAnsi="宋体" w:cs="宋体"/>
          <w:color w:val="auto"/>
          <w:highlight w:val="none"/>
        </w:rPr>
      </w:pPr>
    </w:p>
    <w:p>
      <w:pPr>
        <w:pStyle w:val="18"/>
        <w:rPr>
          <w:rFonts w:ascii="宋体" w:hAnsi="宋体" w:cs="宋体"/>
          <w:color w:val="auto"/>
          <w:sz w:val="21"/>
          <w:szCs w:val="21"/>
          <w:highlight w:val="none"/>
        </w:rPr>
      </w:pPr>
      <w:r>
        <w:rPr>
          <w:rFonts w:hint="eastAsia" w:ascii="宋体" w:hAnsi="宋体" w:cs="宋体"/>
          <w:color w:val="auto"/>
          <w:sz w:val="21"/>
          <w:szCs w:val="21"/>
          <w:highlight w:val="none"/>
        </w:rPr>
        <w:t>注：联合体投标的，可只由联合体牵头人盖章。</w:t>
      </w:r>
    </w:p>
    <w:p>
      <w:pPr>
        <w:rPr>
          <w:rFonts w:ascii="宋体" w:hAnsi="宋体" w:cs="宋体"/>
          <w:color w:val="auto"/>
          <w:highlight w:val="none"/>
        </w:rPr>
      </w:pPr>
    </w:p>
    <w:p>
      <w:pPr>
        <w:spacing w:line="360" w:lineRule="auto"/>
        <w:rPr>
          <w:rFonts w:ascii="宋体" w:hAnsi="宋体" w:cs="宋体"/>
          <w:color w:val="auto"/>
          <w:kern w:val="0"/>
          <w:highlight w:val="none"/>
        </w:rPr>
      </w:pPr>
      <w:r>
        <w:rPr>
          <w:rFonts w:hint="eastAsia" w:ascii="宋体" w:hAnsi="宋体" w:cs="宋体"/>
          <w:b/>
          <w:bCs/>
          <w:color w:val="auto"/>
          <w:highlight w:val="none"/>
        </w:rPr>
        <w:t>（3）投标人的特定条件的证明文件：</w:t>
      </w:r>
      <w:r>
        <w:rPr>
          <w:rFonts w:hint="eastAsia" w:ascii="宋体" w:hAnsi="宋体" w:cs="宋体"/>
          <w:color w:val="auto"/>
          <w:kern w:val="0"/>
          <w:highlight w:val="none"/>
        </w:rPr>
        <w:t xml:space="preserve">第二类、第三类医疗器械生产企业提供《医疗器械生产许可证》复印件、第一类医疗器械生产企业提供第一类医疗器械生产备案凭证复印件。 </w:t>
      </w:r>
    </w:p>
    <w:p>
      <w:pPr>
        <w:spacing w:line="360" w:lineRule="auto"/>
        <w:rPr>
          <w:rFonts w:ascii="宋体" w:hAnsi="宋体" w:cs="宋体"/>
          <w:color w:val="auto"/>
          <w:kern w:val="0"/>
          <w:highlight w:val="none"/>
        </w:rPr>
      </w:pPr>
      <w:r>
        <w:rPr>
          <w:rFonts w:hint="eastAsia" w:ascii="宋体" w:hAnsi="宋体" w:cs="宋体"/>
          <w:color w:val="auto"/>
          <w:kern w:val="0"/>
          <w:highlight w:val="none"/>
        </w:rPr>
        <w:t>投标人为医疗器械经营企业的：第三类医疗器械经营企业提供《医疗器械经营许可证》复印件、第二类医疗器械经营企业提供第二类医疗器械经营备案凭证复印件。</w:t>
      </w:r>
    </w:p>
    <w:p>
      <w:pPr>
        <w:spacing w:line="360" w:lineRule="auto"/>
        <w:rPr>
          <w:rFonts w:ascii="宋体" w:hAnsi="宋体" w:cs="宋体"/>
          <w:b/>
          <w:bCs/>
          <w:color w:val="auto"/>
          <w:highlight w:val="none"/>
        </w:rPr>
      </w:pPr>
      <w:r>
        <w:rPr>
          <w:rFonts w:hint="eastAsia" w:ascii="宋体" w:hAnsi="宋体" w:cs="宋体"/>
          <w:b/>
          <w:bCs/>
          <w:color w:val="auto"/>
          <w:highlight w:val="none"/>
        </w:rPr>
        <w:br w:type="page"/>
      </w:r>
    </w:p>
    <w:p>
      <w:pPr>
        <w:rPr>
          <w:rFonts w:ascii="宋体" w:hAnsi="宋体" w:cs="宋体"/>
          <w:b/>
          <w:bCs/>
          <w:color w:val="auto"/>
          <w:kern w:val="0"/>
          <w:highlight w:val="none"/>
        </w:rPr>
      </w:pPr>
      <w:r>
        <w:rPr>
          <w:rFonts w:hint="eastAsia" w:ascii="宋体" w:hAnsi="宋体" w:cs="宋体"/>
          <w:b/>
          <w:bCs/>
          <w:color w:val="auto"/>
          <w:highlight w:val="none"/>
        </w:rPr>
        <w:t>（4）</w:t>
      </w:r>
      <w:r>
        <w:rPr>
          <w:rFonts w:hint="eastAsia" w:ascii="宋体" w:hAnsi="宋体" w:cs="宋体"/>
          <w:b/>
          <w:bCs/>
          <w:color w:val="auto"/>
          <w:kern w:val="0"/>
          <w:highlight w:val="none"/>
        </w:rPr>
        <w:t>联合投标协议书</w:t>
      </w:r>
    </w:p>
    <w:p>
      <w:pPr>
        <w:widowControl/>
        <w:adjustRightInd w:val="0"/>
        <w:spacing w:line="360" w:lineRule="auto"/>
        <w:jc w:val="left"/>
        <w:rPr>
          <w:rFonts w:ascii="宋体" w:hAnsi="宋体" w:cs="宋体"/>
          <w:color w:val="auto"/>
          <w:spacing w:val="4"/>
          <w:highlight w:val="none"/>
        </w:rPr>
      </w:pPr>
    </w:p>
    <w:p>
      <w:pPr>
        <w:jc w:val="center"/>
        <w:rPr>
          <w:rFonts w:ascii="宋体" w:hAnsi="宋体" w:cs="宋体"/>
          <w:b/>
          <w:color w:val="auto"/>
          <w:kern w:val="0"/>
          <w:highlight w:val="none"/>
        </w:rPr>
      </w:pPr>
      <w:r>
        <w:rPr>
          <w:rFonts w:hint="eastAsia" w:ascii="宋体" w:hAnsi="宋体" w:cs="宋体"/>
          <w:b/>
          <w:color w:val="auto"/>
          <w:kern w:val="0"/>
          <w:highlight w:val="none"/>
        </w:rPr>
        <w:t>联合投标协议书</w:t>
      </w:r>
    </w:p>
    <w:p>
      <w:pPr>
        <w:jc w:val="center"/>
        <w:rPr>
          <w:rFonts w:ascii="宋体" w:hAnsi="宋体" w:cs="宋体"/>
          <w:b/>
          <w:color w:val="auto"/>
          <w:kern w:val="0"/>
          <w:highlight w:val="none"/>
        </w:rPr>
      </w:pPr>
      <w:r>
        <w:rPr>
          <w:rFonts w:hint="eastAsia" w:ascii="宋体" w:hAnsi="宋体" w:cs="宋体"/>
          <w:color w:val="auto"/>
          <w:highlight w:val="none"/>
        </w:rPr>
        <w:t>（联合体投标须提供）</w:t>
      </w:r>
    </w:p>
    <w:p>
      <w:pPr>
        <w:pStyle w:val="19"/>
        <w:overflowPunct w:val="0"/>
        <w:spacing w:before="31" w:beforeLines="10" w:line="500" w:lineRule="exact"/>
        <w:ind w:left="842" w:hanging="422"/>
        <w:rPr>
          <w:rFonts w:hAnsi="宋体"/>
          <w:b/>
          <w:color w:val="auto"/>
          <w:sz w:val="21"/>
          <w:szCs w:val="21"/>
          <w:highlight w:val="none"/>
        </w:rPr>
      </w:pPr>
      <w:r>
        <w:rPr>
          <w:rFonts w:hint="eastAsia" w:hAnsi="宋体"/>
          <w:b/>
          <w:color w:val="auto"/>
          <w:sz w:val="21"/>
          <w:szCs w:val="21"/>
          <w:highlight w:val="none"/>
        </w:rPr>
        <w:t>甲方：</w:t>
      </w:r>
    </w:p>
    <w:p>
      <w:pPr>
        <w:pStyle w:val="19"/>
        <w:overflowPunct w:val="0"/>
        <w:spacing w:before="31" w:beforeLines="10" w:line="500" w:lineRule="exact"/>
        <w:ind w:left="842" w:hanging="422"/>
        <w:rPr>
          <w:rFonts w:hAnsi="宋体"/>
          <w:b/>
          <w:color w:val="auto"/>
          <w:sz w:val="21"/>
          <w:szCs w:val="21"/>
          <w:highlight w:val="none"/>
        </w:rPr>
      </w:pPr>
      <w:r>
        <w:rPr>
          <w:rFonts w:hint="eastAsia" w:hAnsi="宋体"/>
          <w:b/>
          <w:color w:val="auto"/>
          <w:sz w:val="21"/>
          <w:szCs w:val="21"/>
          <w:highlight w:val="none"/>
        </w:rPr>
        <w:t>乙方：</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各方经协商，就响应</w:t>
      </w:r>
      <w:r>
        <w:rPr>
          <w:rFonts w:hint="eastAsia" w:hAnsi="宋体"/>
          <w:color w:val="auto"/>
          <w:sz w:val="21"/>
          <w:szCs w:val="21"/>
          <w:highlight w:val="none"/>
          <w:u w:val="single"/>
        </w:rPr>
        <w:t xml:space="preserve">       </w:t>
      </w:r>
      <w:r>
        <w:rPr>
          <w:rFonts w:hint="eastAsia" w:hAnsi="宋体"/>
          <w:color w:val="auto"/>
          <w:sz w:val="21"/>
          <w:szCs w:val="21"/>
          <w:highlight w:val="none"/>
        </w:rPr>
        <w:t>（招标方）组织实施的</w:t>
      </w:r>
      <w:r>
        <w:rPr>
          <w:rFonts w:hint="eastAsia" w:hAnsi="宋体"/>
          <w:color w:val="auto"/>
          <w:sz w:val="21"/>
          <w:szCs w:val="21"/>
          <w:highlight w:val="none"/>
          <w:u w:val="single"/>
        </w:rPr>
        <w:t xml:space="preserve">    </w:t>
      </w:r>
      <w:r>
        <w:rPr>
          <w:rFonts w:hint="eastAsia" w:hAnsi="宋体"/>
          <w:color w:val="auto"/>
          <w:sz w:val="21"/>
          <w:szCs w:val="21"/>
          <w:highlight w:val="none"/>
        </w:rPr>
        <w:t>项目（采购编号：</w:t>
      </w:r>
      <w:r>
        <w:rPr>
          <w:rFonts w:hint="eastAsia" w:hAnsi="宋体"/>
          <w:color w:val="auto"/>
          <w:sz w:val="21"/>
          <w:szCs w:val="21"/>
          <w:highlight w:val="none"/>
          <w:u w:val="single"/>
        </w:rPr>
        <w:t xml:space="preserve">                </w:t>
      </w:r>
      <w:r>
        <w:rPr>
          <w:rFonts w:hint="eastAsia" w:hAnsi="宋体"/>
          <w:color w:val="auto"/>
          <w:sz w:val="21"/>
          <w:szCs w:val="21"/>
          <w:highlight w:val="none"/>
        </w:rPr>
        <w:t>招标活动联合进行投标之事宜，达成如下协议：</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一、各方一致决定，以</w:t>
      </w:r>
      <w:r>
        <w:rPr>
          <w:rFonts w:hint="eastAsia" w:hAnsi="宋体"/>
          <w:color w:val="auto"/>
          <w:sz w:val="21"/>
          <w:szCs w:val="21"/>
          <w:highlight w:val="none"/>
          <w:u w:val="single"/>
        </w:rPr>
        <w:t xml:space="preserve">                        </w:t>
      </w:r>
      <w:r>
        <w:rPr>
          <w:rFonts w:hint="eastAsia" w:hAnsi="宋体"/>
          <w:color w:val="auto"/>
          <w:sz w:val="21"/>
          <w:szCs w:val="21"/>
          <w:highlight w:val="none"/>
        </w:rPr>
        <w:t>为联合体牵头人，</w:t>
      </w:r>
      <w:r>
        <w:rPr>
          <w:rFonts w:hint="eastAsia" w:hAnsi="宋体"/>
          <w:color w:val="auto"/>
          <w:sz w:val="21"/>
          <w:szCs w:val="21"/>
          <w:highlight w:val="none"/>
          <w:u w:val="single"/>
        </w:rPr>
        <w:t xml:space="preserve">                 </w:t>
      </w:r>
      <w:r>
        <w:rPr>
          <w:rFonts w:hint="eastAsia" w:hAnsi="宋体"/>
          <w:color w:val="auto"/>
          <w:sz w:val="21"/>
          <w:szCs w:val="21"/>
          <w:highlight w:val="none"/>
        </w:rPr>
        <w:t>为联合体成员，共同进行投标，并按照招标文件的规定分别提交资格文件。</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二、在本次投标过程中，联合体牵头人的法定代表人或其委托代理人根据招标文件规定及投标内容而对采购人所作的任何合法承诺，包括书面澄清及响应等均对联合投标各方产生约束力。如果中标并签订合同，则联合投标各方将共同履行对采购人所负有的全部义务并就采购合同约定的事项对采购人承担连带责任。</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三、联合投标其余各方保证对联合体牵头人为响应本次招标而提供的产品和服务提供全部质量保证及售后服务支持。</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四、本次联合投标中，甲方承担的工作和义务为：</w:t>
      </w:r>
      <w:r>
        <w:rPr>
          <w:rFonts w:hint="eastAsia" w:hAnsi="宋体"/>
          <w:color w:val="auto"/>
          <w:sz w:val="21"/>
          <w:szCs w:val="21"/>
          <w:highlight w:val="none"/>
          <w:u w:val="single"/>
        </w:rPr>
        <w:t xml:space="preserve">                          </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 xml:space="preserve">                    甲方承担本项目的工作和义务占合同总金额的</w:t>
      </w:r>
      <w:r>
        <w:rPr>
          <w:rFonts w:hint="eastAsia" w:hAnsi="宋体"/>
          <w:color w:val="auto"/>
          <w:sz w:val="21"/>
          <w:szCs w:val="21"/>
          <w:highlight w:val="none"/>
          <w:u w:val="single"/>
        </w:rPr>
        <w:t xml:space="preserve">    </w:t>
      </w:r>
      <w:r>
        <w:rPr>
          <w:rFonts w:hint="eastAsia" w:hAnsi="宋体"/>
          <w:color w:val="auto"/>
          <w:sz w:val="21"/>
          <w:szCs w:val="21"/>
          <w:highlight w:val="none"/>
        </w:rPr>
        <w:t>%</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 xml:space="preserve">                    乙方承担的工作和义务为：</w:t>
      </w:r>
      <w:r>
        <w:rPr>
          <w:rFonts w:hint="eastAsia" w:hAnsi="宋体"/>
          <w:color w:val="auto"/>
          <w:sz w:val="21"/>
          <w:szCs w:val="21"/>
          <w:highlight w:val="none"/>
          <w:u w:val="single"/>
        </w:rPr>
        <w:t xml:space="preserve">                          </w:t>
      </w:r>
      <w:r>
        <w:rPr>
          <w:rFonts w:hint="eastAsia" w:hAnsi="宋体"/>
          <w:color w:val="auto"/>
          <w:sz w:val="21"/>
          <w:szCs w:val="21"/>
          <w:highlight w:val="none"/>
        </w:rPr>
        <w:t xml:space="preserve">        </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 xml:space="preserve">                    乙方承担本项目的工作和义务占合同总金额的</w:t>
      </w:r>
      <w:r>
        <w:rPr>
          <w:rFonts w:hint="eastAsia" w:hAnsi="宋体"/>
          <w:color w:val="auto"/>
          <w:sz w:val="21"/>
          <w:szCs w:val="21"/>
          <w:highlight w:val="none"/>
          <w:u w:val="single"/>
        </w:rPr>
        <w:t xml:space="preserve">    </w:t>
      </w:r>
      <w:r>
        <w:rPr>
          <w:rFonts w:hint="eastAsia" w:hAnsi="宋体"/>
          <w:color w:val="auto"/>
          <w:sz w:val="21"/>
          <w:szCs w:val="21"/>
          <w:highlight w:val="none"/>
        </w:rPr>
        <w:t>%</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五、有关本次联合投标的其他事宜：</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六、本协议提交采购人后，联合投标各方不得以任何形式对上述实质内容进行修改或撤销。</w:t>
      </w:r>
    </w:p>
    <w:p>
      <w:pPr>
        <w:pStyle w:val="19"/>
        <w:spacing w:line="500" w:lineRule="exact"/>
        <w:ind w:left="313" w:leftChars="-51" w:hanging="420"/>
        <w:rPr>
          <w:rFonts w:hAnsi="宋体"/>
          <w:color w:val="auto"/>
          <w:sz w:val="21"/>
          <w:szCs w:val="21"/>
          <w:highlight w:val="none"/>
        </w:rPr>
      </w:pPr>
      <w:r>
        <w:rPr>
          <w:rFonts w:hint="eastAsia" w:hAnsi="宋体"/>
          <w:color w:val="auto"/>
          <w:sz w:val="21"/>
          <w:szCs w:val="21"/>
          <w:highlight w:val="none"/>
        </w:rPr>
        <w:t>七、本协议一式二份，签约各方各持一份。</w:t>
      </w:r>
    </w:p>
    <w:p>
      <w:pPr>
        <w:pStyle w:val="19"/>
        <w:spacing w:line="500" w:lineRule="exact"/>
        <w:ind w:left="840" w:hanging="420"/>
        <w:rPr>
          <w:rFonts w:hAnsi="宋体"/>
          <w:color w:val="auto"/>
          <w:sz w:val="21"/>
          <w:szCs w:val="21"/>
          <w:highlight w:val="none"/>
        </w:rPr>
      </w:pPr>
    </w:p>
    <w:p>
      <w:pPr>
        <w:pStyle w:val="19"/>
        <w:spacing w:line="360" w:lineRule="auto"/>
        <w:ind w:firstLine="0"/>
        <w:rPr>
          <w:rFonts w:hAnsi="宋体"/>
          <w:color w:val="auto"/>
          <w:sz w:val="21"/>
          <w:szCs w:val="21"/>
          <w:highlight w:val="none"/>
        </w:rPr>
      </w:pPr>
      <w:r>
        <w:rPr>
          <w:rFonts w:hint="eastAsia" w:hAnsi="宋体"/>
          <w:color w:val="auto"/>
          <w:sz w:val="21"/>
          <w:szCs w:val="21"/>
          <w:highlight w:val="none"/>
        </w:rPr>
        <w:t xml:space="preserve">甲方单位（盖章）：                            乙方单位（盖章）：           </w:t>
      </w:r>
    </w:p>
    <w:p>
      <w:pPr>
        <w:pStyle w:val="19"/>
        <w:spacing w:line="360" w:lineRule="auto"/>
        <w:ind w:left="840" w:hanging="420"/>
        <w:rPr>
          <w:rFonts w:hAnsi="宋体"/>
          <w:color w:val="auto"/>
          <w:sz w:val="21"/>
          <w:szCs w:val="21"/>
          <w:highlight w:val="none"/>
        </w:rPr>
      </w:pPr>
    </w:p>
    <w:p>
      <w:pPr>
        <w:pStyle w:val="19"/>
        <w:spacing w:line="360" w:lineRule="auto"/>
        <w:ind w:firstLine="0"/>
        <w:rPr>
          <w:rFonts w:hAnsi="宋体"/>
          <w:color w:val="auto"/>
          <w:sz w:val="21"/>
          <w:szCs w:val="21"/>
          <w:highlight w:val="none"/>
        </w:rPr>
      </w:pPr>
      <w:r>
        <w:rPr>
          <w:rFonts w:hint="eastAsia" w:hAnsi="宋体"/>
          <w:color w:val="auto"/>
          <w:sz w:val="21"/>
          <w:szCs w:val="21"/>
          <w:highlight w:val="none"/>
        </w:rPr>
        <w:t>法定代表人或其委托代理人（签字或盖章）：      法定代表人或其委托代理人（签字或盖章）：</w:t>
      </w:r>
    </w:p>
    <w:p>
      <w:pPr>
        <w:snapToGrid w:val="0"/>
        <w:spacing w:line="360" w:lineRule="auto"/>
        <w:rPr>
          <w:rFonts w:ascii="宋体" w:hAnsi="宋体" w:cs="宋体"/>
          <w:color w:val="auto"/>
          <w:highlight w:val="none"/>
        </w:rPr>
      </w:pPr>
    </w:p>
    <w:p>
      <w:pPr>
        <w:pStyle w:val="19"/>
        <w:spacing w:line="520" w:lineRule="exact"/>
        <w:ind w:firstLine="0"/>
        <w:jc w:val="left"/>
        <w:rPr>
          <w:rFonts w:hAnsi="宋体"/>
          <w:color w:val="auto"/>
          <w:sz w:val="24"/>
          <w:szCs w:val="24"/>
          <w:highlight w:val="none"/>
        </w:rPr>
      </w:pPr>
      <w:r>
        <w:rPr>
          <w:rFonts w:hint="eastAsia" w:hAnsi="宋体"/>
          <w:color w:val="auto"/>
          <w:sz w:val="21"/>
          <w:szCs w:val="21"/>
          <w:highlight w:val="none"/>
        </w:rPr>
        <w:t>日期：2022年  月   日                     日期：2022年  月   日</w:t>
      </w:r>
    </w:p>
    <w:p>
      <w:pPr>
        <w:widowControl/>
        <w:spacing w:line="360" w:lineRule="auto"/>
        <w:jc w:val="left"/>
        <w:outlineLvl w:val="1"/>
        <w:rPr>
          <w:rFonts w:ascii="宋体" w:hAnsi="宋体" w:cs="宋体"/>
          <w:b/>
          <w:bCs/>
          <w:color w:val="auto"/>
          <w:highlight w:val="none"/>
        </w:rPr>
      </w:pPr>
      <w:r>
        <w:rPr>
          <w:rFonts w:hint="eastAsia" w:ascii="宋体" w:hAnsi="宋体" w:cs="宋体"/>
          <w:b/>
          <w:bCs/>
          <w:color w:val="auto"/>
          <w:spacing w:val="4"/>
          <w:highlight w:val="none"/>
        </w:rPr>
        <w:t>3.</w:t>
      </w:r>
      <w:r>
        <w:rPr>
          <w:rFonts w:hint="eastAsia" w:ascii="宋体" w:hAnsi="宋体" w:cs="宋体"/>
          <w:b/>
          <w:bCs/>
          <w:color w:val="auto"/>
          <w:highlight w:val="none"/>
        </w:rPr>
        <w:t>商务技术文件</w:t>
      </w:r>
    </w:p>
    <w:p>
      <w:pPr>
        <w:snapToGrid w:val="0"/>
        <w:spacing w:before="156" w:beforeLines="50" w:after="50"/>
        <w:jc w:val="left"/>
        <w:rPr>
          <w:rFonts w:ascii="宋体" w:hAnsi="宋体" w:cs="宋体"/>
          <w:color w:val="auto"/>
          <w:highlight w:val="none"/>
        </w:rPr>
      </w:pPr>
      <w:r>
        <w:rPr>
          <w:rFonts w:hint="eastAsia" w:ascii="宋体" w:hAnsi="宋体" w:cs="宋体"/>
          <w:color w:val="auto"/>
          <w:highlight w:val="none"/>
        </w:rPr>
        <w:t>（1）符合性自查表</w:t>
      </w:r>
    </w:p>
    <w:p>
      <w:pPr>
        <w:snapToGrid w:val="0"/>
        <w:spacing w:before="156" w:beforeLines="50" w:after="50"/>
        <w:jc w:val="center"/>
        <w:rPr>
          <w:rFonts w:ascii="宋体" w:hAnsi="宋体" w:cs="宋体"/>
          <w:b/>
          <w:color w:val="auto"/>
          <w:kern w:val="0"/>
          <w:highlight w:val="none"/>
        </w:rPr>
      </w:pPr>
      <w:r>
        <w:rPr>
          <w:rFonts w:hint="eastAsia" w:ascii="宋体" w:hAnsi="宋体" w:cs="宋体"/>
          <w:b/>
          <w:color w:val="auto"/>
          <w:highlight w:val="none"/>
        </w:rPr>
        <w:t>符合性自查表</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0" w:type="dxa"/>
          <w:left w:w="150" w:type="dxa"/>
          <w:bottom w:w="150" w:type="dxa"/>
          <w:right w:w="150" w:type="dxa"/>
        </w:tblCellMar>
      </w:tblPr>
      <w:tblGrid>
        <w:gridCol w:w="1149"/>
        <w:gridCol w:w="4313"/>
        <w:gridCol w:w="1260"/>
        <w:gridCol w:w="1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94"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0"/>
                <w:highlight w:val="none"/>
              </w:rPr>
            </w:pPr>
            <w:r>
              <w:rPr>
                <w:rFonts w:hint="eastAsia" w:ascii="宋体" w:hAnsi="宋体" w:cs="宋体"/>
                <w:color w:val="auto"/>
                <w:highlight w:val="none"/>
              </w:rPr>
              <w:t>评审内容</w:t>
            </w:r>
          </w:p>
        </w:tc>
        <w:tc>
          <w:tcPr>
            <w:tcW w:w="431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highlight w:val="none"/>
              </w:rPr>
            </w:pPr>
            <w:r>
              <w:rPr>
                <w:rFonts w:hint="eastAsia" w:ascii="宋体" w:hAnsi="宋体" w:cs="宋体"/>
                <w:color w:val="auto"/>
                <w:highlight w:val="none"/>
              </w:rPr>
              <w:t>采购文件要求</w:t>
            </w:r>
          </w:p>
        </w:tc>
        <w:tc>
          <w:tcPr>
            <w:tcW w:w="12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highlight w:val="none"/>
              </w:rPr>
            </w:pPr>
            <w:r>
              <w:rPr>
                <w:rFonts w:hint="eastAsia" w:ascii="宋体" w:hAnsi="宋体" w:cs="宋体"/>
                <w:color w:val="auto"/>
                <w:highlight w:val="none"/>
              </w:rPr>
              <w:t>自查结论</w:t>
            </w:r>
          </w:p>
        </w:tc>
        <w:tc>
          <w:tcPr>
            <w:tcW w:w="171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highlight w:val="none"/>
              </w:rPr>
            </w:pPr>
            <w:r>
              <w:rPr>
                <w:rFonts w:hint="eastAsia" w:ascii="宋体" w:hAnsi="宋体" w:cs="宋体"/>
                <w:color w:val="auto"/>
                <w:highlight w:val="none"/>
              </w:rPr>
              <w:t>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90" w:hRule="atLeast"/>
          <w:jc w:val="center"/>
        </w:trPr>
        <w:tc>
          <w:tcPr>
            <w:tcW w:w="1149" w:type="dxa"/>
            <w:vMerge w:val="restart"/>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r>
              <w:rPr>
                <w:rFonts w:hint="eastAsia" w:ascii="宋体" w:hAnsi="宋体" w:cs="宋体"/>
                <w:color w:val="auto"/>
                <w:highlight w:val="none"/>
              </w:rPr>
              <w:t>符合性审</w:t>
            </w:r>
          </w:p>
          <w:p>
            <w:pPr>
              <w:rPr>
                <w:rFonts w:ascii="宋体" w:hAnsi="宋体" w:cs="宋体"/>
                <w:color w:val="auto"/>
                <w:highlight w:val="none"/>
              </w:rPr>
            </w:pPr>
            <w:r>
              <w:rPr>
                <w:rFonts w:hint="eastAsia" w:ascii="宋体" w:hAnsi="宋体" w:cs="宋体"/>
                <w:color w:val="auto"/>
                <w:highlight w:val="none"/>
              </w:rPr>
              <w:t>查（商务技术文件）</w:t>
            </w:r>
          </w:p>
        </w:tc>
        <w:tc>
          <w:tcPr>
            <w:tcW w:w="4313" w:type="dxa"/>
            <w:tcBorders>
              <w:top w:val="single" w:color="auto" w:sz="4" w:space="0"/>
              <w:left w:val="single" w:color="auto" w:sz="4" w:space="0"/>
              <w:bottom w:val="single" w:color="auto" w:sz="4" w:space="0"/>
              <w:right w:val="single" w:color="auto" w:sz="4" w:space="0"/>
            </w:tcBorders>
            <w:vAlign w:val="center"/>
          </w:tcPr>
          <w:p>
            <w:pPr>
              <w:tabs>
                <w:tab w:val="left" w:pos="612"/>
              </w:tabs>
              <w:rPr>
                <w:rFonts w:ascii="宋体" w:hAnsi="宋体" w:cs="宋体"/>
                <w:color w:val="auto"/>
                <w:szCs w:val="24"/>
                <w:highlight w:val="none"/>
              </w:rPr>
            </w:pPr>
            <w:r>
              <w:rPr>
                <w:rFonts w:hint="eastAsia" w:ascii="宋体" w:hAnsi="宋体" w:cs="宋体"/>
                <w:color w:val="auto"/>
                <w:highlight w:val="none"/>
              </w:rPr>
              <w:t>（一）按照采购文件规定要求签署或盖章；</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0"/>
                <w:highlight w:val="none"/>
              </w:rPr>
            </w:pPr>
            <w:r>
              <w:rPr>
                <w:rFonts w:hint="eastAsia" w:ascii="宋体" w:hAnsi="宋体" w:cs="宋体"/>
                <w:color w:val="auto"/>
                <w:highlight w:val="none"/>
              </w:rPr>
              <w:t xml:space="preserve">□通过 </w:t>
            </w:r>
          </w:p>
          <w:p>
            <w:pPr>
              <w:rPr>
                <w:rFonts w:ascii="宋体" w:hAnsi="宋体" w:cs="宋体"/>
                <w:color w:val="auto"/>
                <w:highlight w:val="none"/>
              </w:rPr>
            </w:pPr>
            <w:r>
              <w:rPr>
                <w:rFonts w:hint="eastAsia" w:ascii="宋体" w:hAnsi="宋体" w:cs="宋体"/>
                <w:color w:val="auto"/>
                <w:highlight w:val="none"/>
              </w:rPr>
              <w:t>□不通过</w:t>
            </w:r>
          </w:p>
        </w:tc>
        <w:tc>
          <w:tcPr>
            <w:tcW w:w="17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r>
              <w:rPr>
                <w:rFonts w:hint="eastAsia" w:ascii="宋体" w:hAnsi="宋体" w:cs="宋体"/>
                <w:color w:val="auto"/>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140" w:hRule="atLeast"/>
          <w:jc w:val="center"/>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p>
        </w:tc>
        <w:tc>
          <w:tcPr>
            <w:tcW w:w="4313" w:type="dxa"/>
            <w:tcBorders>
              <w:top w:val="single" w:color="auto" w:sz="4" w:space="0"/>
              <w:left w:val="single" w:color="auto" w:sz="4" w:space="0"/>
              <w:bottom w:val="single" w:color="auto" w:sz="4" w:space="0"/>
              <w:right w:val="single" w:color="auto" w:sz="4" w:space="0"/>
            </w:tcBorders>
            <w:vAlign w:val="center"/>
          </w:tcPr>
          <w:p>
            <w:pPr>
              <w:tabs>
                <w:tab w:val="left" w:pos="612"/>
              </w:tabs>
              <w:rPr>
                <w:rFonts w:ascii="宋体" w:hAnsi="宋体" w:cs="宋体"/>
                <w:color w:val="auto"/>
                <w:szCs w:val="24"/>
                <w:highlight w:val="none"/>
              </w:rPr>
            </w:pPr>
            <w:r>
              <w:rPr>
                <w:rFonts w:hint="eastAsia" w:ascii="宋体" w:hAnsi="宋体" w:cs="宋体"/>
                <w:color w:val="auto"/>
                <w:highlight w:val="none"/>
              </w:rPr>
              <w:t>（二）投标文件有法定代表人签署本人姓名（或印盖本人姓名章），或签署人提供有效的法定代表人授权委托书且授权委托书填写项目齐全的；</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0"/>
                <w:highlight w:val="none"/>
              </w:rPr>
            </w:pPr>
            <w:r>
              <w:rPr>
                <w:rFonts w:hint="eastAsia" w:ascii="宋体" w:hAnsi="宋体" w:cs="宋体"/>
                <w:color w:val="auto"/>
                <w:highlight w:val="none"/>
              </w:rPr>
              <w:t xml:space="preserve">□通过 </w:t>
            </w:r>
          </w:p>
          <w:p>
            <w:pPr>
              <w:rPr>
                <w:rFonts w:ascii="宋体" w:hAnsi="宋体" w:cs="宋体"/>
                <w:color w:val="auto"/>
                <w:highlight w:val="none"/>
              </w:rPr>
            </w:pPr>
            <w:r>
              <w:rPr>
                <w:rFonts w:hint="eastAsia" w:ascii="宋体" w:hAnsi="宋体" w:cs="宋体"/>
                <w:color w:val="auto"/>
                <w:highlight w:val="none"/>
              </w:rPr>
              <w:t>□不通过</w:t>
            </w:r>
          </w:p>
        </w:tc>
        <w:tc>
          <w:tcPr>
            <w:tcW w:w="17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r>
              <w:rPr>
                <w:rFonts w:hint="eastAsia" w:ascii="宋体" w:hAnsi="宋体" w:cs="宋体"/>
                <w:color w:val="auto"/>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470" w:hRule="atLeast"/>
          <w:jc w:val="center"/>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p>
        </w:tc>
        <w:tc>
          <w:tcPr>
            <w:tcW w:w="4313" w:type="dxa"/>
            <w:tcBorders>
              <w:top w:val="single" w:color="auto" w:sz="4" w:space="0"/>
              <w:left w:val="single" w:color="auto" w:sz="4" w:space="0"/>
              <w:bottom w:val="single" w:color="auto" w:sz="4" w:space="0"/>
              <w:right w:val="single" w:color="auto" w:sz="4" w:space="0"/>
            </w:tcBorders>
            <w:vAlign w:val="center"/>
          </w:tcPr>
          <w:p>
            <w:pPr>
              <w:tabs>
                <w:tab w:val="left" w:pos="612"/>
              </w:tabs>
              <w:rPr>
                <w:rFonts w:ascii="宋体" w:hAnsi="宋体" w:cs="宋体"/>
                <w:color w:val="auto"/>
                <w:szCs w:val="24"/>
                <w:highlight w:val="none"/>
              </w:rPr>
            </w:pPr>
            <w:r>
              <w:rPr>
                <w:rFonts w:hint="eastAsia" w:ascii="宋体" w:hAnsi="宋体" w:cs="宋体"/>
                <w:color w:val="auto"/>
                <w:highlight w:val="none"/>
              </w:rPr>
              <w:t>（三）投标文件项目齐全；</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0"/>
                <w:highlight w:val="none"/>
              </w:rPr>
            </w:pPr>
            <w:r>
              <w:rPr>
                <w:rFonts w:hint="eastAsia" w:ascii="宋体" w:hAnsi="宋体" w:cs="宋体"/>
                <w:color w:val="auto"/>
                <w:highlight w:val="none"/>
              </w:rPr>
              <w:t xml:space="preserve">□通过 </w:t>
            </w:r>
          </w:p>
          <w:p>
            <w:pPr>
              <w:rPr>
                <w:rFonts w:ascii="宋体" w:hAnsi="宋体" w:cs="宋体"/>
                <w:color w:val="auto"/>
                <w:highlight w:val="none"/>
              </w:rPr>
            </w:pPr>
            <w:r>
              <w:rPr>
                <w:rFonts w:hint="eastAsia" w:ascii="宋体" w:hAnsi="宋体" w:cs="宋体"/>
                <w:color w:val="auto"/>
                <w:highlight w:val="none"/>
              </w:rPr>
              <w:t>□不通过</w:t>
            </w:r>
          </w:p>
        </w:tc>
        <w:tc>
          <w:tcPr>
            <w:tcW w:w="17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r>
              <w:rPr>
                <w:rFonts w:hint="eastAsia" w:ascii="宋体" w:hAnsi="宋体" w:cs="宋体"/>
                <w:color w:val="auto"/>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90" w:hRule="atLeast"/>
          <w:jc w:val="center"/>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p>
        </w:tc>
        <w:tc>
          <w:tcPr>
            <w:tcW w:w="4313" w:type="dxa"/>
            <w:tcBorders>
              <w:top w:val="single" w:color="auto" w:sz="4" w:space="0"/>
              <w:left w:val="single" w:color="auto" w:sz="4" w:space="0"/>
              <w:bottom w:val="single" w:color="auto" w:sz="4" w:space="0"/>
              <w:right w:val="single" w:color="auto" w:sz="4" w:space="0"/>
            </w:tcBorders>
            <w:vAlign w:val="center"/>
          </w:tcPr>
          <w:p>
            <w:pPr>
              <w:tabs>
                <w:tab w:val="left" w:pos="612"/>
              </w:tabs>
              <w:rPr>
                <w:rFonts w:ascii="宋体" w:hAnsi="宋体" w:cs="宋体"/>
                <w:color w:val="auto"/>
                <w:szCs w:val="24"/>
                <w:highlight w:val="none"/>
              </w:rPr>
            </w:pPr>
            <w:r>
              <w:rPr>
                <w:rFonts w:hint="eastAsia" w:ascii="宋体" w:hAnsi="宋体" w:cs="宋体"/>
                <w:color w:val="auto"/>
                <w:highlight w:val="none"/>
              </w:rPr>
              <w:t>（四）投标文件标明的响应或偏离与事实相符且无虚假投标的；</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0"/>
                <w:highlight w:val="none"/>
              </w:rPr>
            </w:pPr>
            <w:r>
              <w:rPr>
                <w:rFonts w:hint="eastAsia" w:ascii="宋体" w:hAnsi="宋体" w:cs="宋体"/>
                <w:color w:val="auto"/>
                <w:highlight w:val="none"/>
              </w:rPr>
              <w:t xml:space="preserve">□通过 </w:t>
            </w:r>
          </w:p>
          <w:p>
            <w:pPr>
              <w:rPr>
                <w:rFonts w:ascii="宋体" w:hAnsi="宋体" w:cs="宋体"/>
                <w:color w:val="auto"/>
                <w:highlight w:val="none"/>
              </w:rPr>
            </w:pPr>
            <w:r>
              <w:rPr>
                <w:rFonts w:hint="eastAsia" w:ascii="宋体" w:hAnsi="宋体" w:cs="宋体"/>
                <w:color w:val="auto"/>
                <w:highlight w:val="none"/>
              </w:rPr>
              <w:t>□不通过</w:t>
            </w:r>
          </w:p>
        </w:tc>
        <w:tc>
          <w:tcPr>
            <w:tcW w:w="17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r>
              <w:rPr>
                <w:rFonts w:hint="eastAsia" w:ascii="宋体" w:hAnsi="宋体" w:cs="宋体"/>
                <w:color w:val="auto"/>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p>
        </w:tc>
        <w:tc>
          <w:tcPr>
            <w:tcW w:w="4313" w:type="dxa"/>
            <w:tcBorders>
              <w:top w:val="single" w:color="auto" w:sz="4" w:space="0"/>
              <w:left w:val="single" w:color="auto" w:sz="4" w:space="0"/>
              <w:bottom w:val="single" w:color="auto" w:sz="4" w:space="0"/>
              <w:right w:val="single" w:color="auto" w:sz="4" w:space="0"/>
            </w:tcBorders>
            <w:vAlign w:val="center"/>
          </w:tcPr>
          <w:p>
            <w:pPr>
              <w:tabs>
                <w:tab w:val="left" w:pos="612"/>
              </w:tabs>
              <w:rPr>
                <w:rFonts w:ascii="宋体" w:hAnsi="宋体" w:cs="宋体"/>
                <w:color w:val="auto"/>
                <w:szCs w:val="24"/>
                <w:highlight w:val="none"/>
              </w:rPr>
            </w:pPr>
            <w:r>
              <w:rPr>
                <w:rFonts w:hint="eastAsia" w:ascii="宋体" w:hAnsi="宋体" w:cs="宋体"/>
                <w:color w:val="auto"/>
                <w:highlight w:val="none"/>
              </w:rPr>
              <w:t>（五）投标文件的实质性内容使用中文表述且意思表述明确，前后无矛盾且使用计量单位符合采购文件要求的；</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0"/>
                <w:highlight w:val="none"/>
              </w:rPr>
            </w:pPr>
            <w:r>
              <w:rPr>
                <w:rFonts w:hint="eastAsia" w:ascii="宋体" w:hAnsi="宋体" w:cs="宋体"/>
                <w:color w:val="auto"/>
                <w:highlight w:val="none"/>
              </w:rPr>
              <w:t xml:space="preserve">□通过 </w:t>
            </w:r>
          </w:p>
          <w:p>
            <w:pPr>
              <w:rPr>
                <w:rFonts w:ascii="宋体" w:hAnsi="宋体" w:cs="宋体"/>
                <w:color w:val="auto"/>
                <w:highlight w:val="none"/>
              </w:rPr>
            </w:pPr>
            <w:r>
              <w:rPr>
                <w:rFonts w:hint="eastAsia" w:ascii="宋体" w:hAnsi="宋体" w:cs="宋体"/>
                <w:color w:val="auto"/>
                <w:highlight w:val="none"/>
              </w:rPr>
              <w:t>□不通过</w:t>
            </w:r>
          </w:p>
        </w:tc>
        <w:tc>
          <w:tcPr>
            <w:tcW w:w="17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r>
              <w:rPr>
                <w:rFonts w:hint="eastAsia" w:ascii="宋体" w:hAnsi="宋体" w:cs="宋体"/>
                <w:color w:val="auto"/>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994" w:hRule="atLeast"/>
          <w:jc w:val="center"/>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p>
        </w:tc>
        <w:tc>
          <w:tcPr>
            <w:tcW w:w="4313" w:type="dxa"/>
            <w:tcBorders>
              <w:top w:val="single" w:color="auto" w:sz="4" w:space="0"/>
              <w:left w:val="single" w:color="auto" w:sz="4" w:space="0"/>
              <w:bottom w:val="single" w:color="auto" w:sz="4" w:space="0"/>
              <w:right w:val="single" w:color="auto" w:sz="4" w:space="0"/>
            </w:tcBorders>
            <w:vAlign w:val="center"/>
          </w:tcPr>
          <w:p>
            <w:pPr>
              <w:tabs>
                <w:tab w:val="left" w:pos="612"/>
              </w:tabs>
              <w:rPr>
                <w:rFonts w:ascii="宋体" w:hAnsi="宋体" w:cs="宋体"/>
                <w:color w:val="auto"/>
                <w:szCs w:val="24"/>
                <w:highlight w:val="none"/>
              </w:rPr>
            </w:pPr>
            <w:r>
              <w:rPr>
                <w:rFonts w:hint="eastAsia" w:ascii="宋体" w:hAnsi="宋体" w:cs="宋体"/>
                <w:color w:val="auto"/>
                <w:highlight w:val="none"/>
              </w:rPr>
              <w:t>（六）带“★”的条款满足采购文件要求、已实质性响应采购文件要求且投标文件无采购人不能接受的附加条件的；</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0"/>
                <w:highlight w:val="none"/>
              </w:rPr>
            </w:pPr>
            <w:r>
              <w:rPr>
                <w:rFonts w:hint="eastAsia" w:ascii="宋体" w:hAnsi="宋体" w:cs="宋体"/>
                <w:color w:val="auto"/>
                <w:highlight w:val="none"/>
              </w:rPr>
              <w:t xml:space="preserve">□通过 </w:t>
            </w:r>
          </w:p>
          <w:p>
            <w:pPr>
              <w:rPr>
                <w:rFonts w:ascii="宋体" w:hAnsi="宋体" w:cs="宋体"/>
                <w:color w:val="auto"/>
                <w:highlight w:val="none"/>
              </w:rPr>
            </w:pPr>
            <w:r>
              <w:rPr>
                <w:rFonts w:hint="eastAsia" w:ascii="宋体" w:hAnsi="宋体" w:cs="宋体"/>
                <w:color w:val="auto"/>
                <w:highlight w:val="none"/>
              </w:rPr>
              <w:t>□不通过</w:t>
            </w:r>
          </w:p>
        </w:tc>
        <w:tc>
          <w:tcPr>
            <w:tcW w:w="17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r>
              <w:rPr>
                <w:rFonts w:hint="eastAsia" w:ascii="宋体" w:hAnsi="宋体" w:cs="宋体"/>
                <w:color w:val="auto"/>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05" w:hRule="atLeast"/>
          <w:jc w:val="center"/>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p>
        </w:tc>
        <w:tc>
          <w:tcPr>
            <w:tcW w:w="4313" w:type="dxa"/>
            <w:tcBorders>
              <w:top w:val="single" w:color="auto" w:sz="4" w:space="0"/>
              <w:left w:val="single" w:color="auto" w:sz="4" w:space="0"/>
              <w:bottom w:val="single" w:color="auto" w:sz="4" w:space="0"/>
              <w:right w:val="single" w:color="auto" w:sz="4" w:space="0"/>
            </w:tcBorders>
            <w:vAlign w:val="center"/>
          </w:tcPr>
          <w:p>
            <w:pPr>
              <w:tabs>
                <w:tab w:val="left" w:pos="612"/>
              </w:tabs>
              <w:rPr>
                <w:rFonts w:ascii="宋体" w:hAnsi="宋体" w:cs="宋体"/>
                <w:color w:val="auto"/>
                <w:szCs w:val="24"/>
                <w:highlight w:val="none"/>
              </w:rPr>
            </w:pPr>
            <w:r>
              <w:rPr>
                <w:rFonts w:hint="eastAsia" w:ascii="宋体" w:hAnsi="宋体" w:cs="宋体"/>
                <w:color w:val="auto"/>
                <w:highlight w:val="none"/>
              </w:rPr>
              <w:t>（七）投标技术方案明确，不存在一个或一个以上备选（替代）投标方案的；</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0"/>
                <w:highlight w:val="none"/>
              </w:rPr>
            </w:pPr>
            <w:r>
              <w:rPr>
                <w:rFonts w:hint="eastAsia" w:ascii="宋体" w:hAnsi="宋体" w:cs="宋体"/>
                <w:color w:val="auto"/>
                <w:highlight w:val="none"/>
              </w:rPr>
              <w:t xml:space="preserve">□通过 </w:t>
            </w:r>
          </w:p>
          <w:p>
            <w:pPr>
              <w:rPr>
                <w:rFonts w:ascii="宋体" w:hAnsi="宋体" w:cs="宋体"/>
                <w:color w:val="auto"/>
                <w:szCs w:val="24"/>
                <w:highlight w:val="none"/>
              </w:rPr>
            </w:pPr>
            <w:r>
              <w:rPr>
                <w:rFonts w:hint="eastAsia" w:ascii="宋体" w:hAnsi="宋体" w:cs="宋体"/>
                <w:color w:val="auto"/>
                <w:highlight w:val="none"/>
              </w:rPr>
              <w:t>□不通过</w:t>
            </w:r>
          </w:p>
        </w:tc>
        <w:tc>
          <w:tcPr>
            <w:tcW w:w="17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4"/>
                <w:highlight w:val="none"/>
              </w:rPr>
            </w:pPr>
            <w:r>
              <w:rPr>
                <w:rFonts w:hint="eastAsia" w:ascii="宋体" w:hAnsi="宋体" w:cs="宋体"/>
                <w:color w:val="auto"/>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90" w:hRule="atLeast"/>
          <w:jc w:val="center"/>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p>
        </w:tc>
        <w:tc>
          <w:tcPr>
            <w:tcW w:w="4313" w:type="dxa"/>
            <w:tcBorders>
              <w:top w:val="single" w:color="auto" w:sz="4" w:space="0"/>
              <w:left w:val="single" w:color="auto" w:sz="4" w:space="0"/>
              <w:bottom w:val="single" w:color="auto" w:sz="4" w:space="0"/>
              <w:right w:val="single" w:color="auto" w:sz="4" w:space="0"/>
            </w:tcBorders>
            <w:vAlign w:val="center"/>
          </w:tcPr>
          <w:p>
            <w:pPr>
              <w:tabs>
                <w:tab w:val="left" w:pos="612"/>
              </w:tabs>
              <w:rPr>
                <w:rFonts w:ascii="宋体" w:hAnsi="宋体" w:cs="宋体"/>
                <w:color w:val="auto"/>
                <w:szCs w:val="24"/>
                <w:highlight w:val="none"/>
              </w:rPr>
            </w:pPr>
            <w:r>
              <w:rPr>
                <w:rFonts w:hint="eastAsia" w:ascii="宋体" w:hAnsi="宋体" w:cs="宋体"/>
                <w:color w:val="auto"/>
                <w:highlight w:val="none"/>
              </w:rPr>
              <w:t>（八）不存在法律、法规和采购文件规定的其他无效情形；</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0"/>
                <w:highlight w:val="none"/>
              </w:rPr>
            </w:pPr>
            <w:r>
              <w:rPr>
                <w:rFonts w:hint="eastAsia" w:ascii="宋体" w:hAnsi="宋体" w:cs="宋体"/>
                <w:color w:val="auto"/>
                <w:highlight w:val="none"/>
              </w:rPr>
              <w:t xml:space="preserve">□通过 </w:t>
            </w:r>
          </w:p>
          <w:p>
            <w:pPr>
              <w:rPr>
                <w:rFonts w:ascii="宋体" w:hAnsi="宋体" w:cs="宋体"/>
                <w:color w:val="auto"/>
                <w:szCs w:val="24"/>
                <w:highlight w:val="none"/>
              </w:rPr>
            </w:pPr>
            <w:r>
              <w:rPr>
                <w:rFonts w:hint="eastAsia" w:ascii="宋体" w:hAnsi="宋体" w:cs="宋体"/>
                <w:color w:val="auto"/>
                <w:highlight w:val="none"/>
              </w:rPr>
              <w:t>□不通过</w:t>
            </w:r>
          </w:p>
        </w:tc>
        <w:tc>
          <w:tcPr>
            <w:tcW w:w="17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4"/>
                <w:highlight w:val="none"/>
              </w:rPr>
            </w:pPr>
            <w:r>
              <w:rPr>
                <w:rFonts w:hint="eastAsia" w:ascii="宋体" w:hAnsi="宋体" w:cs="宋体"/>
                <w:color w:val="auto"/>
                <w:highlight w:val="none"/>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90" w:hRule="atLeast"/>
          <w:jc w:val="center"/>
        </w:trPr>
        <w:tc>
          <w:tcPr>
            <w:tcW w:w="1149"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highlight w:val="none"/>
              </w:rPr>
            </w:pPr>
          </w:p>
        </w:tc>
        <w:tc>
          <w:tcPr>
            <w:tcW w:w="4313" w:type="dxa"/>
            <w:tcBorders>
              <w:top w:val="single" w:color="auto" w:sz="4" w:space="0"/>
              <w:left w:val="single" w:color="auto" w:sz="4" w:space="0"/>
              <w:bottom w:val="single" w:color="auto" w:sz="4" w:space="0"/>
              <w:right w:val="single" w:color="auto" w:sz="4" w:space="0"/>
            </w:tcBorders>
            <w:vAlign w:val="center"/>
          </w:tcPr>
          <w:p>
            <w:pPr>
              <w:tabs>
                <w:tab w:val="left" w:pos="612"/>
              </w:tabs>
              <w:rPr>
                <w:rFonts w:ascii="宋体" w:hAnsi="宋体" w:cs="宋体"/>
                <w:color w:val="auto"/>
                <w:szCs w:val="24"/>
                <w:highlight w:val="none"/>
              </w:rPr>
            </w:pPr>
            <w:r>
              <w:rPr>
                <w:rFonts w:hint="eastAsia" w:ascii="宋体" w:hAnsi="宋体" w:cs="宋体"/>
                <w:color w:val="auto"/>
                <w:highlight w:val="none"/>
              </w:rPr>
              <w:t>（九）不存在投标文件的有效期不满足采购文件要求情形；</w:t>
            </w:r>
          </w:p>
        </w:tc>
        <w:tc>
          <w:tcPr>
            <w:tcW w:w="12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0"/>
                <w:highlight w:val="none"/>
              </w:rPr>
            </w:pPr>
            <w:r>
              <w:rPr>
                <w:rFonts w:hint="eastAsia" w:ascii="宋体" w:hAnsi="宋体" w:cs="宋体"/>
                <w:color w:val="auto"/>
                <w:highlight w:val="none"/>
              </w:rPr>
              <w:t xml:space="preserve">□通过 </w:t>
            </w:r>
          </w:p>
          <w:p>
            <w:pPr>
              <w:rPr>
                <w:rFonts w:ascii="宋体" w:hAnsi="宋体" w:cs="宋体"/>
                <w:color w:val="auto"/>
                <w:szCs w:val="24"/>
                <w:highlight w:val="none"/>
              </w:rPr>
            </w:pPr>
            <w:r>
              <w:rPr>
                <w:rFonts w:hint="eastAsia" w:ascii="宋体" w:hAnsi="宋体" w:cs="宋体"/>
                <w:color w:val="auto"/>
                <w:highlight w:val="none"/>
              </w:rPr>
              <w:t>□不通过</w:t>
            </w:r>
          </w:p>
        </w:tc>
        <w:tc>
          <w:tcPr>
            <w:tcW w:w="1716"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Cs w:val="24"/>
                <w:highlight w:val="none"/>
              </w:rPr>
            </w:pPr>
            <w:r>
              <w:rPr>
                <w:rFonts w:hint="eastAsia" w:ascii="宋体" w:hAnsi="宋体" w:cs="宋体"/>
                <w:color w:val="auto"/>
                <w:highlight w:val="none"/>
              </w:rPr>
              <w:t>第（ ）页</w:t>
            </w:r>
          </w:p>
        </w:tc>
      </w:tr>
    </w:tbl>
    <w:p>
      <w:pPr>
        <w:snapToGrid w:val="0"/>
        <w:spacing w:before="156" w:beforeLines="50" w:after="50"/>
        <w:rPr>
          <w:rFonts w:ascii="宋体" w:hAnsi="宋体" w:cs="宋体"/>
          <w:color w:val="auto"/>
          <w:highlight w:val="none"/>
        </w:rPr>
      </w:pPr>
      <w:r>
        <w:rPr>
          <w:rFonts w:hint="eastAsia" w:ascii="宋体" w:hAnsi="宋体" w:cs="宋体"/>
          <w:b/>
          <w:color w:val="auto"/>
          <w:highlight w:val="none"/>
        </w:rPr>
        <w:t>备注：供应商自查表将作为供应商有效性审查的重要内容之一，供应商必须严格按照其内容及序列要求在投标文件中对应如实提供，对符合性证明文件的任何缺漏和不符合项将会直接导致投标无效！</w:t>
      </w:r>
    </w:p>
    <w:p>
      <w:pPr>
        <w:widowControl/>
        <w:adjustRightInd w:val="0"/>
        <w:spacing w:line="360" w:lineRule="auto"/>
        <w:jc w:val="left"/>
        <w:rPr>
          <w:rFonts w:ascii="宋体" w:hAnsi="宋体" w:cs="宋体"/>
          <w:color w:val="auto"/>
          <w:spacing w:val="4"/>
          <w:highlight w:val="none"/>
        </w:rPr>
      </w:pPr>
      <w:r>
        <w:rPr>
          <w:rFonts w:hint="eastAsia" w:ascii="宋体" w:hAnsi="宋体" w:cs="宋体"/>
          <w:color w:val="auto"/>
          <w:spacing w:val="4"/>
          <w:highlight w:val="none"/>
        </w:rPr>
        <w:br w:type="page"/>
      </w:r>
    </w:p>
    <w:p>
      <w:pPr>
        <w:widowControl/>
        <w:adjustRightInd w:val="0"/>
        <w:spacing w:line="360" w:lineRule="auto"/>
        <w:jc w:val="left"/>
        <w:rPr>
          <w:rFonts w:ascii="宋体" w:hAnsi="宋体" w:cs="宋体"/>
          <w:color w:val="auto"/>
          <w:spacing w:val="4"/>
          <w:highlight w:val="none"/>
        </w:rPr>
      </w:pPr>
      <w:r>
        <w:rPr>
          <w:rFonts w:hint="eastAsia" w:ascii="宋体" w:hAnsi="宋体" w:cs="宋体"/>
          <w:color w:val="auto"/>
          <w:spacing w:val="4"/>
          <w:highlight w:val="none"/>
        </w:rPr>
        <w:t>（2）法定代表人身份证明</w:t>
      </w:r>
    </w:p>
    <w:p>
      <w:pPr>
        <w:snapToGrid w:val="0"/>
        <w:spacing w:before="156" w:beforeLines="50" w:after="50"/>
        <w:rPr>
          <w:rFonts w:ascii="宋体" w:hAnsi="宋体" w:cs="宋体"/>
          <w:color w:val="auto"/>
          <w:highlight w:val="none"/>
        </w:rPr>
      </w:pPr>
    </w:p>
    <w:p>
      <w:pPr>
        <w:widowControl/>
        <w:spacing w:line="360" w:lineRule="auto"/>
        <w:jc w:val="center"/>
        <w:rPr>
          <w:rFonts w:ascii="宋体" w:hAnsi="宋体" w:cs="宋体"/>
          <w:b/>
          <w:bCs/>
          <w:color w:val="auto"/>
          <w:highlight w:val="none"/>
        </w:rPr>
      </w:pPr>
      <w:r>
        <w:rPr>
          <w:rFonts w:hint="eastAsia" w:ascii="宋体" w:hAnsi="宋体" w:cs="宋体"/>
          <w:b/>
          <w:bCs/>
          <w:color w:val="auto"/>
          <w:highlight w:val="none"/>
        </w:rPr>
        <w:t>法定代表人身份证明</w:t>
      </w:r>
    </w:p>
    <w:p>
      <w:pPr>
        <w:widowControl/>
        <w:adjustRightInd w:val="0"/>
        <w:spacing w:line="360" w:lineRule="auto"/>
        <w:jc w:val="left"/>
        <w:rPr>
          <w:rFonts w:ascii="宋体" w:hAnsi="宋体" w:cs="宋体"/>
          <w:b/>
          <w:bCs/>
          <w:color w:val="auto"/>
          <w:highlight w:val="none"/>
        </w:rPr>
      </w:pPr>
    </w:p>
    <w:p>
      <w:pPr>
        <w:widowControl/>
        <w:spacing w:line="360" w:lineRule="auto"/>
        <w:rPr>
          <w:rFonts w:ascii="宋体" w:hAnsi="宋体" w:cs="宋体"/>
          <w:color w:val="auto"/>
          <w:highlight w:val="none"/>
        </w:rPr>
      </w:pPr>
      <w:r>
        <w:rPr>
          <w:rFonts w:hint="eastAsia" w:ascii="宋体" w:hAnsi="宋体" w:cs="宋体"/>
          <w:color w:val="auto"/>
          <w:highlight w:val="none"/>
        </w:rPr>
        <w:t>单位名称：</w:t>
      </w:r>
      <w:r>
        <w:rPr>
          <w:rFonts w:hint="eastAsia" w:ascii="宋体" w:hAnsi="宋体" w:cs="宋体"/>
          <w:color w:val="auto"/>
          <w:highlight w:val="none"/>
          <w:u w:val="single"/>
        </w:rPr>
        <w:t xml:space="preserve">                                      </w:t>
      </w:r>
    </w:p>
    <w:p>
      <w:pPr>
        <w:widowControl/>
        <w:spacing w:line="360" w:lineRule="auto"/>
        <w:rPr>
          <w:rFonts w:ascii="宋体" w:hAnsi="宋体" w:cs="宋体"/>
          <w:color w:val="auto"/>
          <w:highlight w:val="none"/>
        </w:rPr>
      </w:pPr>
      <w:r>
        <w:rPr>
          <w:rFonts w:hint="eastAsia" w:ascii="宋体" w:hAnsi="宋体" w:cs="宋体"/>
          <w:color w:val="auto"/>
          <w:highlight w:val="none"/>
        </w:rPr>
        <w:t>地    址：</w:t>
      </w:r>
      <w:r>
        <w:rPr>
          <w:rFonts w:hint="eastAsia" w:ascii="宋体" w:hAnsi="宋体" w:cs="宋体"/>
          <w:color w:val="auto"/>
          <w:highlight w:val="none"/>
          <w:u w:val="single"/>
        </w:rPr>
        <w:t xml:space="preserve">                                      </w:t>
      </w:r>
    </w:p>
    <w:p>
      <w:pPr>
        <w:widowControl/>
        <w:spacing w:line="360" w:lineRule="auto"/>
        <w:rPr>
          <w:rFonts w:ascii="宋体" w:hAnsi="宋体" w:cs="宋体"/>
          <w:color w:val="auto"/>
          <w:highlight w:val="none"/>
        </w:rPr>
      </w:pPr>
      <w:r>
        <w:rPr>
          <w:rFonts w:hint="eastAsia" w:ascii="宋体" w:hAnsi="宋体" w:cs="宋体"/>
          <w:color w:val="auto"/>
          <w:highlight w:val="none"/>
        </w:rPr>
        <w:t>姓    名：</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性    别：</w:t>
      </w:r>
      <w:r>
        <w:rPr>
          <w:rFonts w:hint="eastAsia" w:ascii="宋体" w:hAnsi="宋体" w:cs="宋体"/>
          <w:color w:val="auto"/>
          <w:highlight w:val="none"/>
          <w:u w:val="single"/>
        </w:rPr>
        <w:t xml:space="preserve">                    </w:t>
      </w:r>
    </w:p>
    <w:p>
      <w:pPr>
        <w:widowControl/>
        <w:spacing w:line="360" w:lineRule="auto"/>
        <w:rPr>
          <w:rFonts w:ascii="宋体" w:hAnsi="宋体" w:cs="宋体"/>
          <w:color w:val="auto"/>
          <w:highlight w:val="none"/>
          <w:u w:val="single"/>
        </w:rPr>
      </w:pPr>
      <w:r>
        <w:rPr>
          <w:rFonts w:hint="eastAsia" w:ascii="宋体" w:hAnsi="宋体" w:cs="宋体"/>
          <w:color w:val="auto"/>
          <w:highlight w:val="none"/>
        </w:rPr>
        <w:t>年    龄：</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职    务：</w:t>
      </w:r>
      <w:r>
        <w:rPr>
          <w:rFonts w:hint="eastAsia" w:ascii="宋体" w:hAnsi="宋体" w:cs="宋体"/>
          <w:color w:val="auto"/>
          <w:highlight w:val="none"/>
          <w:u w:val="single"/>
        </w:rPr>
        <w:t xml:space="preserve">                    </w:t>
      </w:r>
    </w:p>
    <w:p>
      <w:pPr>
        <w:widowControl/>
        <w:spacing w:line="360" w:lineRule="auto"/>
        <w:rPr>
          <w:rFonts w:ascii="宋体" w:hAnsi="宋体" w:cs="宋体"/>
          <w:color w:val="auto"/>
          <w:highlight w:val="none"/>
        </w:rPr>
      </w:pPr>
      <w:r>
        <w:rPr>
          <w:rFonts w:hint="eastAsia" w:ascii="宋体" w:hAnsi="宋体" w:cs="宋体"/>
          <w:color w:val="auto"/>
          <w:highlight w:val="none"/>
        </w:rPr>
        <w:t>身份证号码：</w:t>
      </w:r>
      <w:r>
        <w:rPr>
          <w:rFonts w:hint="eastAsia" w:ascii="宋体" w:hAnsi="宋体" w:cs="宋体"/>
          <w:color w:val="auto"/>
          <w:highlight w:val="none"/>
          <w:u w:val="single"/>
        </w:rPr>
        <w:t xml:space="preserve">                                    </w:t>
      </w:r>
    </w:p>
    <w:p>
      <w:pPr>
        <w:widowControl/>
        <w:spacing w:line="360" w:lineRule="auto"/>
        <w:rPr>
          <w:rFonts w:ascii="宋体" w:hAnsi="宋体" w:cs="宋体"/>
          <w:color w:val="auto"/>
          <w:highlight w:val="none"/>
        </w:rPr>
      </w:pPr>
      <w:r>
        <w:rPr>
          <w:rFonts w:hint="eastAsia" w:ascii="宋体" w:hAnsi="宋体" w:cs="宋体"/>
          <w:color w:val="auto"/>
          <w:highlight w:val="none"/>
        </w:rPr>
        <w:t xml:space="preserve">    系</w:t>
      </w:r>
      <w:r>
        <w:rPr>
          <w:rFonts w:hint="eastAsia" w:ascii="宋体" w:hAnsi="宋体" w:cs="宋体"/>
          <w:color w:val="auto"/>
          <w:highlight w:val="none"/>
          <w:u w:val="single"/>
        </w:rPr>
        <w:t xml:space="preserve">         （投标人名称）      </w:t>
      </w:r>
      <w:r>
        <w:rPr>
          <w:rFonts w:hint="eastAsia" w:ascii="宋体" w:hAnsi="宋体" w:cs="宋体"/>
          <w:color w:val="auto"/>
          <w:highlight w:val="none"/>
        </w:rPr>
        <w:t>的法定代表人，为</w:t>
      </w:r>
      <w:r>
        <w:rPr>
          <w:rFonts w:hint="eastAsia" w:ascii="宋体" w:hAnsi="宋体" w:cs="宋体"/>
          <w:color w:val="auto"/>
          <w:highlight w:val="none"/>
          <w:u w:val="single"/>
        </w:rPr>
        <w:t xml:space="preserve">     （招标编号、项目名称）   </w:t>
      </w:r>
      <w:r>
        <w:rPr>
          <w:rFonts w:hint="eastAsia" w:ascii="宋体" w:hAnsi="宋体" w:cs="宋体"/>
          <w:color w:val="auto"/>
          <w:highlight w:val="none"/>
        </w:rPr>
        <w:t>项目，签署上述项目的投标文件，进行合同谈判、签署合同和处理与之有关的一切事宜。</w:t>
      </w:r>
    </w:p>
    <w:p>
      <w:pPr>
        <w:widowControl/>
        <w:spacing w:line="360" w:lineRule="auto"/>
        <w:rPr>
          <w:rFonts w:ascii="宋体" w:hAnsi="宋体" w:cs="宋体"/>
          <w:color w:val="auto"/>
          <w:highlight w:val="none"/>
        </w:rPr>
      </w:pPr>
      <w:r>
        <w:rPr>
          <w:rFonts w:hint="eastAsia" w:ascii="宋体" w:hAnsi="宋体" w:cs="宋体"/>
          <w:color w:val="auto"/>
          <w:highlight w:val="none"/>
        </w:rPr>
        <w:t xml:space="preserve">    特此证明。</w:t>
      </w:r>
    </w:p>
    <w:p>
      <w:pPr>
        <w:widowControl/>
        <w:spacing w:line="360" w:lineRule="auto"/>
        <w:rPr>
          <w:rFonts w:ascii="宋体" w:hAnsi="宋体" w:cs="宋体"/>
          <w:color w:val="auto"/>
          <w:highlight w:val="none"/>
        </w:rPr>
      </w:pPr>
    </w:p>
    <w:p>
      <w:pPr>
        <w:widowControl/>
        <w:spacing w:line="360" w:lineRule="auto"/>
        <w:rPr>
          <w:rFonts w:ascii="宋体" w:hAnsi="宋体" w:cs="宋体"/>
          <w:color w:val="auto"/>
          <w:highlight w:val="none"/>
        </w:rPr>
      </w:pPr>
      <w:r>
        <w:rPr>
          <w:rFonts w:hint="eastAsia" w:ascii="宋体" w:hAnsi="宋体" w:cs="宋体"/>
          <w:color w:val="auto"/>
          <w:highlight w:val="none"/>
        </w:rPr>
        <w:t>后附法定代表人身份证正反面复印件，加盖公章。</w:t>
      </w:r>
    </w:p>
    <w:p>
      <w:pPr>
        <w:widowControl/>
        <w:spacing w:line="360" w:lineRule="auto"/>
        <w:rPr>
          <w:rFonts w:ascii="宋体" w:hAnsi="宋体" w:cs="宋体"/>
          <w:color w:val="auto"/>
          <w:highlight w:val="none"/>
        </w:rPr>
      </w:pPr>
    </w:p>
    <w:p>
      <w:pPr>
        <w:widowControl/>
        <w:spacing w:line="360" w:lineRule="auto"/>
        <w:rPr>
          <w:rFonts w:ascii="宋体" w:hAnsi="宋体" w:cs="宋体"/>
          <w:color w:val="auto"/>
          <w:highlight w:val="none"/>
        </w:rPr>
      </w:pPr>
    </w:p>
    <w:p>
      <w:pPr>
        <w:widowControl/>
        <w:spacing w:line="360" w:lineRule="auto"/>
        <w:rPr>
          <w:rFonts w:ascii="宋体" w:hAnsi="宋体" w:cs="宋体"/>
          <w:color w:val="auto"/>
          <w:highlight w:val="none"/>
        </w:rPr>
      </w:pPr>
    </w:p>
    <w:p>
      <w:pPr>
        <w:widowControl/>
        <w:spacing w:line="360" w:lineRule="auto"/>
        <w:rPr>
          <w:rFonts w:ascii="宋体" w:hAnsi="宋体" w:cs="宋体"/>
          <w:color w:val="auto"/>
          <w:highlight w:val="none"/>
        </w:rPr>
      </w:pPr>
    </w:p>
    <w:p>
      <w:pPr>
        <w:widowControl/>
        <w:spacing w:line="360" w:lineRule="auto"/>
        <w:rPr>
          <w:rFonts w:ascii="宋体" w:hAnsi="宋体" w:cs="宋体"/>
          <w:color w:val="auto"/>
          <w:highlight w:val="none"/>
        </w:rPr>
      </w:pPr>
    </w:p>
    <w:p>
      <w:pPr>
        <w:pStyle w:val="24"/>
        <w:tabs>
          <w:tab w:val="left" w:pos="2472"/>
        </w:tabs>
        <w:snapToGrid w:val="0"/>
        <w:spacing w:beforeLines="0" w:afterLines="0" w:line="360" w:lineRule="auto"/>
        <w:jc w:val="left"/>
        <w:rPr>
          <w:rFonts w:hAnsi="宋体"/>
          <w:color w:val="auto"/>
          <w:sz w:val="21"/>
          <w:szCs w:val="21"/>
          <w:highlight w:val="none"/>
        </w:rPr>
      </w:pPr>
      <w:r>
        <w:rPr>
          <w:rFonts w:hint="eastAsia" w:hAnsi="宋体"/>
          <w:color w:val="auto"/>
          <w:sz w:val="21"/>
          <w:szCs w:val="21"/>
          <w:highlight w:val="none"/>
        </w:rPr>
        <w:t xml:space="preserve">投标人名称(公章):___________________        </w:t>
      </w:r>
    </w:p>
    <w:p>
      <w:pPr>
        <w:snapToGrid w:val="0"/>
        <w:spacing w:before="156" w:beforeLines="50" w:after="50"/>
        <w:rPr>
          <w:rFonts w:ascii="宋体" w:hAnsi="宋体" w:cs="宋体"/>
          <w:color w:val="auto"/>
          <w:highlight w:val="none"/>
        </w:rPr>
      </w:pPr>
      <w:r>
        <w:rPr>
          <w:rFonts w:hint="eastAsia" w:ascii="宋体" w:hAnsi="宋体" w:cs="宋体"/>
          <w:color w:val="auto"/>
          <w:highlight w:val="none"/>
        </w:rPr>
        <w:t>日期:_____年___月___日</w:t>
      </w:r>
    </w:p>
    <w:p>
      <w:pPr>
        <w:snapToGrid w:val="0"/>
        <w:spacing w:line="360" w:lineRule="auto"/>
        <w:jc w:val="center"/>
        <w:rPr>
          <w:rFonts w:ascii="宋体" w:hAnsi="宋体" w:cs="宋体"/>
          <w:color w:val="auto"/>
          <w:highlight w:val="none"/>
        </w:rPr>
      </w:pPr>
    </w:p>
    <w:p>
      <w:pPr>
        <w:snapToGrid w:val="0"/>
        <w:spacing w:line="360" w:lineRule="auto"/>
        <w:jc w:val="center"/>
        <w:rPr>
          <w:rFonts w:ascii="宋体" w:hAnsi="宋体" w:cs="宋体"/>
          <w:color w:val="auto"/>
          <w:highlight w:val="none"/>
        </w:rPr>
      </w:pPr>
    </w:p>
    <w:p>
      <w:pPr>
        <w:snapToGrid w:val="0"/>
        <w:spacing w:line="360" w:lineRule="auto"/>
        <w:jc w:val="center"/>
        <w:rPr>
          <w:rFonts w:ascii="宋体" w:hAnsi="宋体" w:cs="宋体"/>
          <w:color w:val="auto"/>
          <w:highlight w:val="none"/>
        </w:rPr>
      </w:pPr>
    </w:p>
    <w:p>
      <w:pPr>
        <w:snapToGrid w:val="0"/>
        <w:spacing w:line="360" w:lineRule="auto"/>
        <w:jc w:val="center"/>
        <w:rPr>
          <w:rFonts w:ascii="宋体" w:hAnsi="宋体" w:cs="宋体"/>
          <w:color w:val="auto"/>
          <w:highlight w:val="none"/>
        </w:rPr>
      </w:pPr>
    </w:p>
    <w:p>
      <w:pPr>
        <w:snapToGrid w:val="0"/>
        <w:spacing w:line="360" w:lineRule="auto"/>
        <w:jc w:val="center"/>
        <w:rPr>
          <w:rFonts w:ascii="宋体" w:hAnsi="宋体" w:cs="宋体"/>
          <w:color w:val="auto"/>
          <w:highlight w:val="none"/>
        </w:rPr>
      </w:pPr>
    </w:p>
    <w:p>
      <w:pPr>
        <w:snapToGrid w:val="0"/>
        <w:spacing w:before="50" w:after="156" w:afterLines="50"/>
        <w:jc w:val="left"/>
        <w:rPr>
          <w:rFonts w:ascii="宋体" w:hAnsi="宋体" w:cs="宋体"/>
          <w:b/>
          <w:bCs/>
          <w:color w:val="auto"/>
          <w:highlight w:val="none"/>
        </w:rPr>
      </w:pPr>
      <w:r>
        <w:rPr>
          <w:rFonts w:hint="eastAsia" w:ascii="宋体" w:hAnsi="宋体" w:cs="宋体"/>
          <w:b/>
          <w:bCs/>
          <w:color w:val="auto"/>
          <w:highlight w:val="none"/>
        </w:rPr>
        <w:t>附：法定代表人身份证正反面复印件。</w:t>
      </w:r>
    </w:p>
    <w:p>
      <w:pPr>
        <w:snapToGrid w:val="0"/>
        <w:spacing w:before="50" w:after="156" w:afterLines="50"/>
        <w:jc w:val="left"/>
        <w:rPr>
          <w:rFonts w:ascii="宋体" w:hAnsi="宋体" w:cs="宋体"/>
          <w:b/>
          <w:bCs/>
          <w:color w:val="auto"/>
          <w:highlight w:val="none"/>
        </w:rPr>
      </w:pPr>
      <w:r>
        <w:rPr>
          <w:rFonts w:hint="eastAsia" w:ascii="宋体" w:hAnsi="宋体" w:cs="宋体"/>
          <w:b/>
          <w:bCs/>
          <w:color w:val="auto"/>
          <w:highlight w:val="none"/>
        </w:rPr>
        <w:t>注：联合体投标的，可只由联合体牵头人盖章。</w:t>
      </w:r>
    </w:p>
    <w:p>
      <w:pPr>
        <w:snapToGrid w:val="0"/>
        <w:spacing w:line="360" w:lineRule="auto"/>
        <w:jc w:val="left"/>
        <w:rPr>
          <w:rFonts w:ascii="宋体" w:hAnsi="宋体" w:cs="宋体"/>
          <w:color w:val="auto"/>
          <w:highlight w:val="none"/>
        </w:rPr>
      </w:pPr>
      <w:r>
        <w:rPr>
          <w:rFonts w:hint="eastAsia" w:ascii="宋体" w:hAnsi="宋体" w:cs="宋体"/>
          <w:color w:val="auto"/>
          <w:highlight w:val="none"/>
        </w:rPr>
        <w:br w:type="page"/>
      </w:r>
    </w:p>
    <w:p>
      <w:pPr>
        <w:snapToGrid w:val="0"/>
        <w:spacing w:line="360" w:lineRule="auto"/>
        <w:jc w:val="center"/>
        <w:rPr>
          <w:rFonts w:ascii="宋体" w:hAnsi="宋体" w:cs="宋体"/>
          <w:b/>
          <w:bCs/>
          <w:color w:val="auto"/>
          <w:highlight w:val="none"/>
        </w:rPr>
      </w:pPr>
      <w:r>
        <w:rPr>
          <w:rFonts w:hint="eastAsia" w:ascii="宋体" w:hAnsi="宋体" w:cs="宋体"/>
          <w:b/>
          <w:bCs/>
          <w:color w:val="auto"/>
          <w:highlight w:val="none"/>
        </w:rPr>
        <w:t>法定代表人授权委托书</w:t>
      </w:r>
    </w:p>
    <w:p>
      <w:pPr>
        <w:snapToGrid w:val="0"/>
        <w:spacing w:line="360" w:lineRule="auto"/>
        <w:jc w:val="center"/>
        <w:rPr>
          <w:rFonts w:ascii="宋体" w:hAnsi="宋体" w:cs="宋体"/>
          <w:b/>
          <w:bCs/>
          <w:color w:val="auto"/>
          <w:highlight w:val="none"/>
        </w:rPr>
      </w:pPr>
      <w:r>
        <w:rPr>
          <w:rFonts w:hint="eastAsia" w:ascii="宋体" w:hAnsi="宋体" w:cs="宋体"/>
          <w:b/>
          <w:bCs/>
          <w:color w:val="auto"/>
          <w:highlight w:val="none"/>
        </w:rPr>
        <w:t>（非联合体投标人适用）</w:t>
      </w:r>
    </w:p>
    <w:p>
      <w:pPr>
        <w:snapToGrid w:val="0"/>
        <w:spacing w:line="360" w:lineRule="auto"/>
        <w:rPr>
          <w:rFonts w:ascii="宋体" w:hAnsi="宋体" w:cs="宋体"/>
          <w:color w:val="auto"/>
          <w:highlight w:val="none"/>
        </w:rPr>
      </w:pPr>
    </w:p>
    <w:p>
      <w:pPr>
        <w:snapToGrid w:val="0"/>
        <w:spacing w:line="360" w:lineRule="auto"/>
        <w:rPr>
          <w:rFonts w:ascii="宋体" w:hAnsi="宋体" w:cs="宋体"/>
          <w:b/>
          <w:bCs/>
          <w:color w:val="auto"/>
          <w:highlight w:val="none"/>
        </w:rPr>
      </w:pPr>
      <w:r>
        <w:rPr>
          <w:rFonts w:hint="eastAsia" w:ascii="宋体" w:hAnsi="宋体" w:cs="宋体"/>
          <w:color w:val="auto"/>
          <w:highlight w:val="none"/>
        </w:rPr>
        <w:t>致：</w:t>
      </w:r>
      <w:r>
        <w:rPr>
          <w:rFonts w:hint="eastAsia" w:ascii="宋体" w:hAnsi="宋体" w:cs="宋体"/>
          <w:color w:val="auto"/>
          <w:highlight w:val="none"/>
          <w:u w:val="single"/>
        </w:rPr>
        <w:t xml:space="preserve">　　              </w:t>
      </w:r>
      <w:r>
        <w:rPr>
          <w:rFonts w:hint="eastAsia" w:ascii="宋体" w:hAnsi="宋体" w:cs="宋体"/>
          <w:color w:val="auto"/>
          <w:highlight w:val="none"/>
        </w:rPr>
        <w:t>（采购人名称）</w:t>
      </w:r>
      <w:r>
        <w:rPr>
          <w:rFonts w:hint="eastAsia" w:ascii="宋体" w:hAnsi="宋体" w:cs="宋体"/>
          <w:b/>
          <w:bCs/>
          <w:color w:val="auto"/>
          <w:highlight w:val="none"/>
        </w:rPr>
        <w:t xml:space="preserve"> </w:t>
      </w:r>
      <w:r>
        <w:rPr>
          <w:rFonts w:hint="eastAsia" w:ascii="宋体" w:hAnsi="宋体" w:cs="宋体"/>
          <w:color w:val="auto"/>
          <w:highlight w:val="none"/>
        </w:rPr>
        <w:t>：</w:t>
      </w:r>
    </w:p>
    <w:p>
      <w:pPr>
        <w:snapToGrid w:val="0"/>
        <w:spacing w:line="360" w:lineRule="auto"/>
        <w:ind w:firstLine="630" w:firstLineChars="300"/>
        <w:rPr>
          <w:rFonts w:ascii="宋体" w:hAnsi="宋体" w:cs="宋体"/>
          <w:color w:val="auto"/>
          <w:highlight w:val="none"/>
        </w:rPr>
      </w:pPr>
      <w:r>
        <w:rPr>
          <w:rFonts w:hint="eastAsia" w:ascii="宋体" w:hAnsi="宋体" w:cs="宋体"/>
          <w:color w:val="auto"/>
          <w:highlight w:val="none"/>
        </w:rPr>
        <w:t>我</w:t>
      </w:r>
      <w:r>
        <w:rPr>
          <w:rFonts w:hint="eastAsia" w:ascii="宋体" w:hAnsi="宋体" w:cs="宋体"/>
          <w:color w:val="auto"/>
          <w:highlight w:val="none"/>
          <w:u w:val="single"/>
        </w:rPr>
        <w:t xml:space="preserve">　　              </w:t>
      </w:r>
      <w:r>
        <w:rPr>
          <w:rFonts w:hint="eastAsia" w:ascii="宋体" w:hAnsi="宋体" w:cs="宋体"/>
          <w:color w:val="auto"/>
          <w:highlight w:val="none"/>
        </w:rPr>
        <w:t>（姓名）系</w:t>
      </w:r>
      <w:r>
        <w:rPr>
          <w:rFonts w:hint="eastAsia" w:ascii="宋体" w:hAnsi="宋体" w:cs="宋体"/>
          <w:color w:val="auto"/>
          <w:highlight w:val="none"/>
          <w:u w:val="single"/>
        </w:rPr>
        <w:t xml:space="preserve">　　              </w:t>
      </w:r>
      <w:r>
        <w:rPr>
          <w:rFonts w:hint="eastAsia" w:ascii="宋体" w:hAnsi="宋体" w:cs="宋体"/>
          <w:color w:val="auto"/>
          <w:highlight w:val="none"/>
        </w:rPr>
        <w:t xml:space="preserve">（投标人名称）的法定代表人，现授权委托本单位在职职工 </w:t>
      </w:r>
      <w:r>
        <w:rPr>
          <w:rFonts w:hint="eastAsia" w:ascii="宋体" w:hAnsi="宋体" w:cs="宋体"/>
          <w:color w:val="auto"/>
          <w:highlight w:val="none"/>
          <w:u w:val="single"/>
        </w:rPr>
        <w:t xml:space="preserve">              </w:t>
      </w:r>
      <w:r>
        <w:rPr>
          <w:rFonts w:hint="eastAsia" w:ascii="宋体" w:hAnsi="宋体" w:cs="宋体"/>
          <w:color w:val="auto"/>
          <w:highlight w:val="none"/>
        </w:rPr>
        <w:t>（姓名）以我方的名义参加</w:t>
      </w:r>
      <w:r>
        <w:rPr>
          <w:rFonts w:hint="eastAsia" w:ascii="宋体" w:hAnsi="宋体" w:cs="宋体"/>
          <w:color w:val="auto"/>
          <w:highlight w:val="none"/>
          <w:u w:val="single"/>
        </w:rPr>
        <w:t xml:space="preserve">   ABC单位XYZ政府采购          </w:t>
      </w:r>
      <w:r>
        <w:rPr>
          <w:rFonts w:hint="eastAsia" w:ascii="宋体" w:hAnsi="宋体" w:cs="宋体"/>
          <w:color w:val="auto"/>
          <w:highlight w:val="none"/>
        </w:rPr>
        <w:t>项目的投标活动，并代表我方全权办理针对上述项目的投标、开标、评标、签约等具体事务和签署相关文件。</w:t>
      </w:r>
    </w:p>
    <w:p>
      <w:pPr>
        <w:snapToGrid w:val="0"/>
        <w:spacing w:line="360" w:lineRule="auto"/>
        <w:rPr>
          <w:rFonts w:ascii="宋体" w:hAnsi="宋体" w:cs="宋体"/>
          <w:color w:val="auto"/>
          <w:highlight w:val="none"/>
        </w:rPr>
      </w:pPr>
      <w:r>
        <w:rPr>
          <w:rFonts w:hint="eastAsia" w:ascii="宋体" w:hAnsi="宋体" w:cs="宋体"/>
          <w:color w:val="auto"/>
          <w:highlight w:val="none"/>
        </w:rPr>
        <w:t xml:space="preserve">    我方对被授权人的签名事项负全部责任。</w:t>
      </w:r>
    </w:p>
    <w:p>
      <w:pPr>
        <w:snapToGrid w:val="0"/>
        <w:spacing w:line="360" w:lineRule="auto"/>
        <w:ind w:firstLine="480"/>
        <w:rPr>
          <w:rFonts w:ascii="宋体" w:hAnsi="宋体" w:cs="宋体"/>
          <w:color w:val="auto"/>
          <w:highlight w:val="none"/>
        </w:rPr>
      </w:pPr>
      <w:r>
        <w:rPr>
          <w:rFonts w:hint="eastAsia" w:ascii="宋体" w:hAnsi="宋体" w:cs="宋体"/>
          <w:color w:val="auto"/>
          <w:highlight w:val="none"/>
          <w:u w:val="single"/>
        </w:rPr>
        <w:t>在撤销授权的书面通知以前，本授权书一直有效。</w:t>
      </w:r>
      <w:r>
        <w:rPr>
          <w:rFonts w:hint="eastAsia" w:ascii="宋体" w:hAnsi="宋体" w:cs="宋体"/>
          <w:color w:val="auto"/>
          <w:highlight w:val="none"/>
        </w:rPr>
        <w:t>被授权人在授权书有效期内签署的所有文件不因授权的撤销而失效。</w:t>
      </w:r>
    </w:p>
    <w:p>
      <w:pPr>
        <w:snapToGrid w:val="0"/>
        <w:spacing w:line="360" w:lineRule="auto"/>
        <w:ind w:firstLine="480"/>
        <w:rPr>
          <w:rFonts w:ascii="宋体" w:hAnsi="宋体" w:cs="宋体"/>
          <w:color w:val="auto"/>
          <w:highlight w:val="none"/>
        </w:rPr>
      </w:pPr>
      <w:r>
        <w:rPr>
          <w:rFonts w:hint="eastAsia" w:ascii="宋体" w:hAnsi="宋体" w:cs="宋体"/>
          <w:color w:val="auto"/>
          <w:highlight w:val="none"/>
        </w:rPr>
        <w:t>被授权人无转委托权，特此委托。</w:t>
      </w:r>
    </w:p>
    <w:p>
      <w:pPr>
        <w:snapToGrid w:val="0"/>
        <w:spacing w:line="360" w:lineRule="auto"/>
        <w:rPr>
          <w:rFonts w:ascii="宋体" w:hAnsi="宋体" w:cs="宋体"/>
          <w:color w:val="auto"/>
          <w:highlight w:val="none"/>
        </w:rPr>
      </w:pPr>
    </w:p>
    <w:p>
      <w:pPr>
        <w:snapToGrid w:val="0"/>
        <w:spacing w:line="360" w:lineRule="auto"/>
        <w:rPr>
          <w:rFonts w:ascii="宋体" w:hAnsi="宋体" w:cs="宋体"/>
          <w:color w:val="auto"/>
          <w:highlight w:val="none"/>
          <w:u w:val="single"/>
        </w:rPr>
      </w:pPr>
      <w:r>
        <w:rPr>
          <w:rFonts w:hint="eastAsia" w:ascii="宋体" w:hAnsi="宋体" w:cs="宋体"/>
          <w:color w:val="auto"/>
          <w:highlight w:val="none"/>
        </w:rPr>
        <w:t>被授权人签名或盖章：</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法定代表人签名或盖章：</w:t>
      </w:r>
      <w:r>
        <w:rPr>
          <w:rFonts w:hint="eastAsia" w:ascii="宋体" w:hAnsi="宋体" w:cs="宋体"/>
          <w:color w:val="auto"/>
          <w:highlight w:val="none"/>
          <w:u w:val="single"/>
        </w:rPr>
        <w:t xml:space="preserve">          </w:t>
      </w:r>
    </w:p>
    <w:p>
      <w:pPr>
        <w:snapToGrid w:val="0"/>
        <w:spacing w:line="360" w:lineRule="auto"/>
        <w:ind w:firstLine="840" w:firstLineChars="400"/>
        <w:rPr>
          <w:rFonts w:ascii="宋体" w:hAnsi="宋体" w:cs="宋体"/>
          <w:color w:val="auto"/>
          <w:highlight w:val="none"/>
        </w:rPr>
      </w:pPr>
      <w:r>
        <w:rPr>
          <w:rFonts w:hint="eastAsia" w:ascii="宋体" w:hAnsi="宋体" w:cs="宋体"/>
          <w:color w:val="auto"/>
          <w:highlight w:val="none"/>
        </w:rPr>
        <w:t>职务：</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职务：</w:t>
      </w:r>
      <w:r>
        <w:rPr>
          <w:rFonts w:hint="eastAsia" w:ascii="宋体" w:hAnsi="宋体" w:cs="宋体"/>
          <w:color w:val="auto"/>
          <w:highlight w:val="none"/>
          <w:u w:val="single"/>
        </w:rPr>
        <w:t xml:space="preserve">           </w:t>
      </w:r>
    </w:p>
    <w:p>
      <w:pPr>
        <w:snapToGrid w:val="0"/>
        <w:spacing w:line="360" w:lineRule="auto"/>
        <w:rPr>
          <w:rFonts w:ascii="宋体" w:hAnsi="宋体" w:cs="宋体"/>
          <w:color w:val="auto"/>
          <w:highlight w:val="none"/>
        </w:rPr>
      </w:pPr>
      <w:r>
        <w:rPr>
          <w:rFonts w:hint="eastAsia" w:ascii="宋体" w:hAnsi="宋体" w:cs="宋体"/>
          <w:color w:val="auto"/>
          <w:highlight w:val="none"/>
        </w:rPr>
        <w:t>被授权人身份证号码：</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p>
    <w:p>
      <w:pPr>
        <w:snapToGrid w:val="0"/>
        <w:spacing w:line="360" w:lineRule="auto"/>
        <w:rPr>
          <w:rFonts w:ascii="宋体" w:hAnsi="宋体" w:cs="宋体"/>
          <w:color w:val="auto"/>
          <w:highlight w:val="none"/>
        </w:rPr>
      </w:pPr>
      <w:r>
        <w:rPr>
          <w:rFonts w:hint="eastAsia" w:ascii="宋体" w:hAnsi="宋体" w:cs="宋体"/>
          <w:color w:val="auto"/>
          <w:highlight w:val="none"/>
        </w:rPr>
        <w:t>法定代表人身份证号码：</w:t>
      </w:r>
      <w:r>
        <w:rPr>
          <w:rFonts w:hint="eastAsia" w:ascii="宋体" w:hAnsi="宋体" w:cs="宋体"/>
          <w:color w:val="auto"/>
          <w:highlight w:val="none"/>
          <w:u w:val="single"/>
        </w:rPr>
        <w:t xml:space="preserve">                           </w:t>
      </w:r>
    </w:p>
    <w:p>
      <w:pPr>
        <w:snapToGrid w:val="0"/>
        <w:spacing w:line="360" w:lineRule="auto"/>
        <w:rPr>
          <w:rFonts w:ascii="宋体" w:hAnsi="宋体" w:cs="宋体"/>
          <w:color w:val="auto"/>
          <w:highlight w:val="none"/>
        </w:rPr>
      </w:pPr>
    </w:p>
    <w:p>
      <w:pPr>
        <w:snapToGrid w:val="0"/>
        <w:spacing w:line="360" w:lineRule="auto"/>
        <w:rPr>
          <w:rFonts w:ascii="宋体" w:hAnsi="宋体" w:cs="宋体"/>
          <w:color w:val="auto"/>
          <w:highlight w:val="none"/>
        </w:rPr>
      </w:pPr>
    </w:p>
    <w:p>
      <w:pPr>
        <w:pStyle w:val="24"/>
        <w:tabs>
          <w:tab w:val="left" w:pos="2472"/>
        </w:tabs>
        <w:snapToGrid w:val="0"/>
        <w:spacing w:beforeLines="0" w:afterLines="0" w:line="360" w:lineRule="auto"/>
        <w:ind w:firstLine="474"/>
        <w:jc w:val="left"/>
        <w:rPr>
          <w:rFonts w:hAnsi="宋体"/>
          <w:color w:val="auto"/>
          <w:sz w:val="21"/>
          <w:szCs w:val="21"/>
          <w:highlight w:val="none"/>
        </w:rPr>
      </w:pPr>
      <w:r>
        <w:rPr>
          <w:rFonts w:hint="eastAsia" w:hAnsi="宋体"/>
          <w:color w:val="auto"/>
          <w:sz w:val="21"/>
          <w:szCs w:val="21"/>
          <w:highlight w:val="none"/>
        </w:rPr>
        <w:t>投标人名称(公章):___________________</w:t>
      </w:r>
    </w:p>
    <w:p>
      <w:pPr>
        <w:snapToGrid w:val="0"/>
        <w:spacing w:line="360" w:lineRule="auto"/>
        <w:ind w:firstLine="1680" w:firstLineChars="800"/>
        <w:rPr>
          <w:rFonts w:ascii="宋体" w:hAnsi="宋体" w:cs="宋体"/>
          <w:color w:val="auto"/>
          <w:highlight w:val="none"/>
        </w:rPr>
      </w:pPr>
      <w:r>
        <w:rPr>
          <w:rFonts w:hint="eastAsia" w:ascii="宋体" w:hAnsi="宋体" w:cs="宋体"/>
          <w:color w:val="auto"/>
          <w:highlight w:val="none"/>
        </w:rPr>
        <w:t>日期:_____年___月___日</w:t>
      </w:r>
    </w:p>
    <w:p>
      <w:pPr>
        <w:snapToGrid w:val="0"/>
        <w:spacing w:line="360" w:lineRule="auto"/>
        <w:jc w:val="left"/>
        <w:rPr>
          <w:rFonts w:ascii="宋体" w:hAnsi="宋体" w:cs="宋体"/>
          <w:color w:val="auto"/>
          <w:highlight w:val="none"/>
        </w:rPr>
      </w:pPr>
    </w:p>
    <w:p>
      <w:pPr>
        <w:snapToGrid w:val="0"/>
        <w:spacing w:before="50" w:after="156" w:afterLines="50"/>
        <w:jc w:val="left"/>
        <w:rPr>
          <w:rFonts w:ascii="宋体" w:hAnsi="宋体" w:cs="宋体"/>
          <w:color w:val="auto"/>
          <w:highlight w:val="none"/>
        </w:rPr>
      </w:pPr>
    </w:p>
    <w:p>
      <w:pPr>
        <w:snapToGrid w:val="0"/>
        <w:spacing w:before="50" w:after="156" w:afterLines="50"/>
        <w:jc w:val="left"/>
        <w:rPr>
          <w:rFonts w:ascii="宋体" w:hAnsi="宋体" w:cs="宋体"/>
          <w:color w:val="auto"/>
          <w:highlight w:val="none"/>
        </w:rPr>
      </w:pPr>
    </w:p>
    <w:p>
      <w:pPr>
        <w:snapToGrid w:val="0"/>
        <w:spacing w:before="50" w:after="156" w:afterLines="50"/>
        <w:jc w:val="left"/>
        <w:rPr>
          <w:rFonts w:ascii="宋体" w:hAnsi="宋体" w:cs="宋体"/>
          <w:b/>
          <w:bCs/>
          <w:color w:val="auto"/>
          <w:highlight w:val="none"/>
        </w:rPr>
      </w:pPr>
    </w:p>
    <w:p>
      <w:pPr>
        <w:snapToGrid w:val="0"/>
        <w:spacing w:before="50" w:after="156" w:afterLines="50"/>
        <w:jc w:val="left"/>
        <w:rPr>
          <w:rFonts w:ascii="宋体" w:hAnsi="宋体" w:cs="宋体"/>
          <w:b/>
          <w:bCs/>
          <w:color w:val="auto"/>
          <w:highlight w:val="none"/>
        </w:rPr>
      </w:pPr>
    </w:p>
    <w:p>
      <w:pPr>
        <w:pStyle w:val="18"/>
        <w:rPr>
          <w:rFonts w:ascii="宋体" w:hAnsi="宋体" w:cs="宋体"/>
          <w:color w:val="auto"/>
          <w:highlight w:val="none"/>
        </w:rPr>
      </w:pPr>
      <w:r>
        <w:rPr>
          <w:rFonts w:hint="eastAsia" w:ascii="宋体" w:hAnsi="宋体" w:cs="宋体"/>
          <w:color w:val="auto"/>
          <w:highlight w:val="none"/>
        </w:rPr>
        <w:br w:type="page"/>
      </w:r>
    </w:p>
    <w:p>
      <w:pPr>
        <w:pStyle w:val="24"/>
        <w:spacing w:before="156" w:after="156" w:line="240" w:lineRule="auto"/>
        <w:jc w:val="center"/>
        <w:rPr>
          <w:rFonts w:hAnsi="宋体"/>
          <w:b/>
          <w:color w:val="auto"/>
          <w:highlight w:val="none"/>
        </w:rPr>
      </w:pPr>
      <w:r>
        <w:rPr>
          <w:rFonts w:hint="eastAsia" w:hAnsi="宋体"/>
          <w:b/>
          <w:color w:val="auto"/>
          <w:highlight w:val="none"/>
        </w:rPr>
        <w:t>联合投标授权委托书</w:t>
      </w:r>
    </w:p>
    <w:p>
      <w:pPr>
        <w:pStyle w:val="19"/>
        <w:spacing w:line="240" w:lineRule="auto"/>
        <w:ind w:left="840" w:hanging="420"/>
        <w:jc w:val="center"/>
        <w:rPr>
          <w:rFonts w:hAnsi="宋体"/>
          <w:color w:val="auto"/>
          <w:sz w:val="21"/>
          <w:szCs w:val="21"/>
          <w:highlight w:val="none"/>
        </w:rPr>
      </w:pPr>
      <w:r>
        <w:rPr>
          <w:rFonts w:hint="eastAsia" w:hAnsi="宋体"/>
          <w:color w:val="auto"/>
          <w:sz w:val="21"/>
          <w:szCs w:val="21"/>
          <w:highlight w:val="none"/>
        </w:rPr>
        <w:t>（联合体投标须提供）</w:t>
      </w:r>
    </w:p>
    <w:p>
      <w:pPr>
        <w:pStyle w:val="19"/>
        <w:spacing w:line="480" w:lineRule="auto"/>
        <w:ind w:left="-107" w:leftChars="-51" w:firstLine="404" w:firstLineChars="200"/>
        <w:rPr>
          <w:rFonts w:hAnsi="宋体"/>
          <w:color w:val="auto"/>
          <w:sz w:val="21"/>
          <w:szCs w:val="21"/>
          <w:highlight w:val="none"/>
        </w:rPr>
      </w:pPr>
    </w:p>
    <w:p>
      <w:pPr>
        <w:pStyle w:val="19"/>
        <w:spacing w:line="480" w:lineRule="auto"/>
        <w:ind w:left="-107" w:leftChars="-51" w:firstLine="404" w:firstLineChars="200"/>
        <w:rPr>
          <w:rFonts w:hAnsi="宋体"/>
          <w:color w:val="auto"/>
          <w:sz w:val="21"/>
          <w:szCs w:val="21"/>
          <w:highlight w:val="none"/>
        </w:rPr>
      </w:pPr>
      <w:r>
        <w:rPr>
          <w:rFonts w:hint="eastAsia" w:hAnsi="宋体"/>
          <w:color w:val="auto"/>
          <w:sz w:val="21"/>
          <w:szCs w:val="21"/>
          <w:highlight w:val="none"/>
        </w:rPr>
        <w:t>本授权委托书声明：根据</w:t>
      </w:r>
      <w:r>
        <w:rPr>
          <w:rFonts w:hint="eastAsia" w:hAnsi="宋体"/>
          <w:color w:val="auto"/>
          <w:sz w:val="21"/>
          <w:szCs w:val="21"/>
          <w:highlight w:val="none"/>
          <w:u w:val="single"/>
        </w:rPr>
        <w:t xml:space="preserve">             </w:t>
      </w:r>
      <w:r>
        <w:rPr>
          <w:rFonts w:hint="eastAsia" w:hAnsi="宋体"/>
          <w:color w:val="auto"/>
          <w:sz w:val="21"/>
          <w:szCs w:val="21"/>
          <w:highlight w:val="none"/>
        </w:rPr>
        <w:t>与</w:t>
      </w:r>
      <w:r>
        <w:rPr>
          <w:rFonts w:hint="eastAsia" w:hAnsi="宋体"/>
          <w:color w:val="auto"/>
          <w:sz w:val="21"/>
          <w:szCs w:val="21"/>
          <w:highlight w:val="none"/>
          <w:u w:val="single"/>
        </w:rPr>
        <w:t xml:space="preserve">             </w:t>
      </w:r>
      <w:r>
        <w:rPr>
          <w:rFonts w:hint="eastAsia" w:hAnsi="宋体"/>
          <w:color w:val="auto"/>
          <w:sz w:val="21"/>
          <w:szCs w:val="21"/>
          <w:highlight w:val="none"/>
        </w:rPr>
        <w:t>签订的《联合投标协议书》的内容，联合体牵头人</w:t>
      </w:r>
      <w:r>
        <w:rPr>
          <w:rFonts w:hint="eastAsia" w:hAnsi="宋体"/>
          <w:color w:val="auto"/>
          <w:sz w:val="21"/>
          <w:szCs w:val="21"/>
          <w:highlight w:val="none"/>
          <w:u w:val="single"/>
        </w:rPr>
        <w:t xml:space="preserve">            </w:t>
      </w:r>
      <w:r>
        <w:rPr>
          <w:rFonts w:hint="eastAsia" w:hAnsi="宋体"/>
          <w:color w:val="auto"/>
          <w:sz w:val="21"/>
          <w:szCs w:val="21"/>
          <w:highlight w:val="none"/>
        </w:rPr>
        <w:t>的法定代表人</w:t>
      </w:r>
      <w:r>
        <w:rPr>
          <w:rFonts w:hint="eastAsia" w:hAnsi="宋体"/>
          <w:color w:val="auto"/>
          <w:sz w:val="21"/>
          <w:szCs w:val="21"/>
          <w:highlight w:val="none"/>
          <w:u w:val="single"/>
        </w:rPr>
        <w:t xml:space="preserve">            </w:t>
      </w:r>
      <w:r>
        <w:rPr>
          <w:rFonts w:hint="eastAsia" w:hAnsi="宋体"/>
          <w:color w:val="auto"/>
          <w:sz w:val="21"/>
          <w:szCs w:val="21"/>
          <w:highlight w:val="none"/>
        </w:rPr>
        <w:t>现授权</w:t>
      </w:r>
      <w:r>
        <w:rPr>
          <w:rFonts w:hint="eastAsia" w:hAnsi="宋体"/>
          <w:color w:val="auto"/>
          <w:sz w:val="21"/>
          <w:szCs w:val="21"/>
          <w:highlight w:val="none"/>
          <w:u w:val="single"/>
        </w:rPr>
        <w:t xml:space="preserve">             </w:t>
      </w:r>
      <w:r>
        <w:rPr>
          <w:rFonts w:hint="eastAsia" w:hAnsi="宋体"/>
          <w:color w:val="auto"/>
          <w:sz w:val="21"/>
          <w:szCs w:val="21"/>
          <w:highlight w:val="none"/>
        </w:rPr>
        <w:t xml:space="preserve">为联合投标委托代理人，委托代理人在投标、开标、评标、合同谈判过程中所签署的一切文件和处理与这有关的一切事务，联合投标各方均予以认可并遵守。 </w:t>
      </w:r>
    </w:p>
    <w:p>
      <w:pPr>
        <w:pStyle w:val="19"/>
        <w:spacing w:line="480" w:lineRule="auto"/>
        <w:ind w:left="-107" w:leftChars="-51" w:firstLine="404" w:firstLineChars="200"/>
        <w:rPr>
          <w:rFonts w:hAnsi="宋体"/>
          <w:color w:val="auto"/>
          <w:sz w:val="21"/>
          <w:szCs w:val="21"/>
          <w:highlight w:val="none"/>
        </w:rPr>
      </w:pPr>
      <w:r>
        <w:rPr>
          <w:rFonts w:hint="eastAsia" w:hAnsi="宋体"/>
          <w:color w:val="auto"/>
          <w:sz w:val="21"/>
          <w:szCs w:val="21"/>
          <w:highlight w:val="none"/>
        </w:rPr>
        <w:t xml:space="preserve">特此委托。 </w:t>
      </w:r>
    </w:p>
    <w:p>
      <w:pPr>
        <w:pStyle w:val="19"/>
        <w:spacing w:line="480" w:lineRule="auto"/>
        <w:ind w:left="-107" w:leftChars="-51" w:firstLine="404" w:firstLineChars="200"/>
        <w:rPr>
          <w:rFonts w:hAnsi="宋体"/>
          <w:color w:val="auto"/>
          <w:sz w:val="21"/>
          <w:szCs w:val="21"/>
          <w:highlight w:val="none"/>
        </w:rPr>
      </w:pPr>
      <w:r>
        <w:rPr>
          <w:rFonts w:hint="eastAsia" w:hAnsi="宋体"/>
          <w:color w:val="auto"/>
          <w:sz w:val="21"/>
          <w:szCs w:val="21"/>
          <w:highlight w:val="none"/>
        </w:rPr>
        <w:t xml:space="preserve">     </w:t>
      </w:r>
    </w:p>
    <w:p>
      <w:pPr>
        <w:pStyle w:val="19"/>
        <w:spacing w:line="480" w:lineRule="auto"/>
        <w:ind w:left="-107" w:leftChars="-51" w:firstLine="404" w:firstLineChars="200"/>
        <w:rPr>
          <w:rFonts w:hAnsi="宋体"/>
          <w:color w:val="auto"/>
          <w:sz w:val="21"/>
          <w:szCs w:val="21"/>
          <w:highlight w:val="none"/>
        </w:rPr>
      </w:pPr>
      <w:r>
        <w:rPr>
          <w:rFonts w:hint="eastAsia" w:hAnsi="宋体"/>
          <w:color w:val="auto"/>
          <w:sz w:val="21"/>
          <w:szCs w:val="21"/>
          <w:highlight w:val="none"/>
        </w:rPr>
        <w:t>投标人（盖章）：</w:t>
      </w:r>
    </w:p>
    <w:p>
      <w:pPr>
        <w:pStyle w:val="19"/>
        <w:spacing w:line="480" w:lineRule="auto"/>
        <w:ind w:left="-107" w:leftChars="-51" w:firstLine="404" w:firstLineChars="200"/>
        <w:rPr>
          <w:rFonts w:hAnsi="宋体"/>
          <w:color w:val="auto"/>
          <w:sz w:val="21"/>
          <w:szCs w:val="21"/>
          <w:highlight w:val="none"/>
        </w:rPr>
      </w:pPr>
      <w:r>
        <w:rPr>
          <w:rFonts w:hint="eastAsia" w:hAnsi="宋体"/>
          <w:color w:val="auto"/>
          <w:sz w:val="21"/>
          <w:szCs w:val="21"/>
          <w:highlight w:val="none"/>
        </w:rPr>
        <w:t xml:space="preserve">法定代表人（签字或盖章）： </w:t>
      </w:r>
    </w:p>
    <w:p>
      <w:pPr>
        <w:pStyle w:val="19"/>
        <w:spacing w:line="480" w:lineRule="auto"/>
        <w:ind w:left="-107" w:leftChars="-51" w:firstLine="404" w:firstLineChars="200"/>
        <w:rPr>
          <w:rFonts w:hAnsi="宋体"/>
          <w:color w:val="auto"/>
          <w:sz w:val="21"/>
          <w:szCs w:val="21"/>
          <w:highlight w:val="none"/>
        </w:rPr>
      </w:pPr>
      <w:r>
        <w:rPr>
          <w:rFonts w:hint="eastAsia" w:hAnsi="宋体"/>
          <w:color w:val="auto"/>
          <w:sz w:val="21"/>
          <w:szCs w:val="21"/>
          <w:highlight w:val="none"/>
        </w:rPr>
        <w:t xml:space="preserve">日期：2022年  月  日 </w:t>
      </w:r>
    </w:p>
    <w:p>
      <w:pPr>
        <w:pStyle w:val="19"/>
        <w:spacing w:line="480" w:lineRule="auto"/>
        <w:ind w:left="-107" w:leftChars="-51" w:firstLine="404" w:firstLineChars="200"/>
        <w:rPr>
          <w:rFonts w:hAnsi="宋体"/>
          <w:color w:val="auto"/>
          <w:sz w:val="21"/>
          <w:szCs w:val="21"/>
          <w:highlight w:val="none"/>
        </w:rPr>
      </w:pPr>
      <w:r>
        <w:rPr>
          <w:rFonts w:hint="eastAsia" w:hAnsi="宋体"/>
          <w:color w:val="auto"/>
          <w:sz w:val="21"/>
          <w:szCs w:val="21"/>
          <w:highlight w:val="none"/>
        </w:rPr>
        <w:t xml:space="preserve"> </w:t>
      </w:r>
    </w:p>
    <w:p>
      <w:pPr>
        <w:pStyle w:val="19"/>
        <w:spacing w:line="480" w:lineRule="auto"/>
        <w:ind w:left="-107" w:leftChars="-51" w:firstLine="404" w:firstLineChars="200"/>
        <w:rPr>
          <w:rFonts w:hAnsi="宋体"/>
          <w:color w:val="auto"/>
          <w:sz w:val="21"/>
          <w:szCs w:val="21"/>
          <w:highlight w:val="none"/>
        </w:rPr>
      </w:pPr>
      <w:r>
        <w:rPr>
          <w:rFonts w:hint="eastAsia" w:hAnsi="宋体"/>
          <w:color w:val="auto"/>
          <w:sz w:val="21"/>
          <w:szCs w:val="21"/>
          <w:highlight w:val="none"/>
        </w:rPr>
        <w:t>委托代理人（签字或盖章）；</w:t>
      </w:r>
    </w:p>
    <w:p>
      <w:pPr>
        <w:pStyle w:val="19"/>
        <w:spacing w:line="480" w:lineRule="auto"/>
        <w:ind w:left="-107" w:leftChars="-51" w:firstLine="404" w:firstLineChars="200"/>
        <w:rPr>
          <w:rFonts w:hAnsi="宋体"/>
          <w:color w:val="auto"/>
          <w:sz w:val="21"/>
          <w:szCs w:val="21"/>
          <w:highlight w:val="none"/>
        </w:rPr>
      </w:pPr>
      <w:r>
        <w:rPr>
          <w:rFonts w:hint="eastAsia" w:hAnsi="宋体"/>
          <w:color w:val="auto"/>
          <w:sz w:val="21"/>
          <w:szCs w:val="21"/>
          <w:highlight w:val="none"/>
        </w:rPr>
        <w:t>日期：2022年  月  日</w:t>
      </w:r>
    </w:p>
    <w:p>
      <w:pPr>
        <w:pStyle w:val="19"/>
        <w:spacing w:line="480" w:lineRule="auto"/>
        <w:ind w:left="840" w:hanging="420"/>
        <w:rPr>
          <w:rFonts w:hAnsi="宋体"/>
          <w:color w:val="auto"/>
          <w:sz w:val="21"/>
          <w:szCs w:val="21"/>
          <w:highlight w:val="none"/>
        </w:rPr>
      </w:pPr>
    </w:p>
    <w:p>
      <w:pPr>
        <w:pStyle w:val="19"/>
        <w:spacing w:line="480" w:lineRule="auto"/>
        <w:ind w:firstLine="0"/>
        <w:rPr>
          <w:rFonts w:hAnsi="宋体"/>
          <w:b/>
          <w:bCs/>
          <w:color w:val="auto"/>
          <w:sz w:val="21"/>
          <w:szCs w:val="21"/>
          <w:highlight w:val="none"/>
        </w:rPr>
      </w:pPr>
      <w:r>
        <w:rPr>
          <w:rFonts w:hint="eastAsia" w:hAnsi="宋体"/>
          <w:b/>
          <w:bCs/>
          <w:color w:val="auto"/>
          <w:sz w:val="21"/>
          <w:szCs w:val="21"/>
          <w:highlight w:val="none"/>
        </w:rPr>
        <w:t>注：联合体投标的，此委托书由联合体牵头人的法定代表人签署，并加盖联合体牵头人单位章。</w:t>
      </w:r>
    </w:p>
    <w:p>
      <w:pPr>
        <w:snapToGrid w:val="0"/>
        <w:spacing w:before="50" w:after="156" w:afterLines="50"/>
        <w:jc w:val="left"/>
        <w:rPr>
          <w:rFonts w:ascii="宋体" w:hAnsi="宋体" w:cs="宋体"/>
          <w:color w:val="auto"/>
          <w:highlight w:val="none"/>
        </w:rPr>
      </w:pPr>
    </w:p>
    <w:p>
      <w:pPr>
        <w:snapToGrid w:val="0"/>
        <w:spacing w:before="50" w:after="156" w:afterLines="50"/>
        <w:jc w:val="left"/>
        <w:rPr>
          <w:rFonts w:ascii="宋体" w:hAnsi="宋体" w:cs="宋体"/>
          <w:color w:val="auto"/>
          <w:highlight w:val="none"/>
        </w:rPr>
      </w:pPr>
    </w:p>
    <w:p>
      <w:pPr>
        <w:snapToGrid w:val="0"/>
        <w:spacing w:before="50" w:after="156" w:afterLines="50"/>
        <w:jc w:val="left"/>
        <w:rPr>
          <w:rFonts w:ascii="宋体" w:hAnsi="宋体" w:cs="宋体"/>
          <w:color w:val="auto"/>
          <w:highlight w:val="none"/>
        </w:rPr>
      </w:pPr>
    </w:p>
    <w:p>
      <w:pPr>
        <w:snapToGrid w:val="0"/>
        <w:spacing w:before="50" w:after="156" w:afterLines="50"/>
        <w:jc w:val="left"/>
        <w:rPr>
          <w:rFonts w:ascii="宋体" w:hAnsi="宋体" w:cs="宋体"/>
          <w:color w:val="auto"/>
          <w:highlight w:val="none"/>
        </w:rPr>
      </w:pPr>
    </w:p>
    <w:p>
      <w:pPr>
        <w:snapToGrid w:val="0"/>
        <w:spacing w:before="50" w:after="156" w:afterLines="50"/>
        <w:jc w:val="left"/>
        <w:rPr>
          <w:rFonts w:ascii="宋体" w:hAnsi="宋体" w:cs="宋体"/>
          <w:b/>
          <w:bCs/>
          <w:color w:val="auto"/>
          <w:highlight w:val="none"/>
        </w:rPr>
      </w:pPr>
    </w:p>
    <w:p>
      <w:pPr>
        <w:snapToGrid w:val="0"/>
        <w:spacing w:before="50" w:after="156" w:afterLines="50"/>
        <w:jc w:val="left"/>
        <w:rPr>
          <w:rFonts w:ascii="宋体" w:hAnsi="宋体" w:cs="宋体"/>
          <w:b/>
          <w:bCs/>
          <w:color w:val="auto"/>
          <w:highlight w:val="none"/>
        </w:rPr>
      </w:pPr>
    </w:p>
    <w:p>
      <w:pPr>
        <w:snapToGrid w:val="0"/>
        <w:spacing w:before="50" w:after="156" w:afterLines="50"/>
        <w:jc w:val="left"/>
        <w:rPr>
          <w:rFonts w:ascii="宋体" w:hAnsi="宋体" w:cs="宋体"/>
          <w:b/>
          <w:bCs/>
          <w:color w:val="auto"/>
          <w:highlight w:val="none"/>
        </w:rPr>
      </w:pPr>
    </w:p>
    <w:p>
      <w:pPr>
        <w:snapToGrid w:val="0"/>
        <w:spacing w:before="50" w:after="156" w:afterLines="50"/>
        <w:jc w:val="left"/>
        <w:rPr>
          <w:rFonts w:ascii="宋体" w:hAnsi="宋体" w:cs="宋体"/>
          <w:b/>
          <w:bCs/>
          <w:color w:val="auto"/>
          <w:highlight w:val="none"/>
        </w:rPr>
      </w:pPr>
    </w:p>
    <w:p>
      <w:pPr>
        <w:snapToGrid w:val="0"/>
        <w:spacing w:before="50" w:line="360" w:lineRule="auto"/>
        <w:jc w:val="left"/>
        <w:rPr>
          <w:rFonts w:ascii="宋体" w:hAnsi="宋体" w:cs="宋体"/>
          <w:color w:val="auto"/>
          <w:highlight w:val="none"/>
        </w:rPr>
      </w:pPr>
      <w:r>
        <w:rPr>
          <w:rFonts w:hint="eastAsia" w:ascii="宋体" w:hAnsi="宋体" w:cs="宋体"/>
          <w:b/>
          <w:bCs/>
          <w:color w:val="auto"/>
          <w:highlight w:val="none"/>
        </w:rPr>
        <w:br w:type="page"/>
      </w:r>
      <w:r>
        <w:rPr>
          <w:rFonts w:hint="eastAsia" w:ascii="宋体" w:hAnsi="宋体" w:cs="宋体"/>
          <w:color w:val="auto"/>
          <w:highlight w:val="none"/>
        </w:rPr>
        <w:t>（3）商务条款响应（偏离）表：</w:t>
      </w:r>
    </w:p>
    <w:p>
      <w:pPr>
        <w:snapToGrid w:val="0"/>
        <w:spacing w:before="50" w:line="360" w:lineRule="auto"/>
        <w:jc w:val="left"/>
        <w:rPr>
          <w:rFonts w:ascii="宋体" w:hAnsi="宋体" w:cs="宋体"/>
          <w:color w:val="auto"/>
          <w:highlight w:val="none"/>
        </w:rPr>
      </w:pPr>
    </w:p>
    <w:p>
      <w:pPr>
        <w:snapToGrid w:val="0"/>
        <w:spacing w:before="50" w:line="360" w:lineRule="auto"/>
        <w:jc w:val="center"/>
        <w:rPr>
          <w:rFonts w:ascii="宋体" w:hAnsi="宋体" w:cs="宋体"/>
          <w:b/>
          <w:bCs/>
          <w:color w:val="auto"/>
          <w:highlight w:val="none"/>
        </w:rPr>
      </w:pPr>
      <w:r>
        <w:rPr>
          <w:rFonts w:hint="eastAsia" w:ascii="宋体" w:hAnsi="宋体" w:cs="宋体"/>
          <w:b/>
          <w:bCs/>
          <w:color w:val="auto"/>
          <w:highlight w:val="none"/>
        </w:rPr>
        <w:t>商务条款响应（偏离）表</w:t>
      </w:r>
    </w:p>
    <w:p>
      <w:pPr>
        <w:snapToGrid w:val="0"/>
        <w:spacing w:before="50" w:line="360" w:lineRule="auto"/>
        <w:jc w:val="center"/>
        <w:rPr>
          <w:rFonts w:ascii="宋体" w:hAnsi="宋体" w:cs="宋体"/>
          <w:color w:val="auto"/>
          <w:highlight w:val="none"/>
        </w:rPr>
      </w:pPr>
    </w:p>
    <w:p>
      <w:pPr>
        <w:snapToGrid w:val="0"/>
        <w:spacing w:before="50" w:line="360" w:lineRule="auto"/>
        <w:jc w:val="left"/>
        <w:rPr>
          <w:rFonts w:ascii="宋体" w:hAnsi="宋体" w:cs="宋体"/>
          <w:color w:val="auto"/>
          <w:highlight w:val="none"/>
          <w:u w:val="single"/>
        </w:rPr>
      </w:pPr>
      <w:r>
        <w:rPr>
          <w:rFonts w:hint="eastAsia" w:ascii="宋体" w:hAnsi="宋体" w:cs="宋体"/>
          <w:color w:val="auto"/>
          <w:highlight w:val="none"/>
        </w:rPr>
        <w:t>项目编号：</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标项号：</w:t>
      </w:r>
      <w:r>
        <w:rPr>
          <w:rFonts w:hint="eastAsia" w:ascii="宋体" w:hAnsi="宋体" w:cs="宋体"/>
          <w:color w:val="auto"/>
          <w:highlight w:val="none"/>
          <w:u w:val="single"/>
        </w:rPr>
        <w:t xml:space="preserve">                </w:t>
      </w:r>
    </w:p>
    <w:tbl>
      <w:tblPr>
        <w:tblStyle w:val="47"/>
        <w:tblW w:w="8528" w:type="dxa"/>
        <w:tblInd w:w="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2700"/>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bottom w:val="single" w:color="auto" w:sz="4" w:space="0"/>
              <w:right w:val="single" w:color="auto" w:sz="4" w:space="0"/>
            </w:tcBorders>
          </w:tcPr>
          <w:p>
            <w:pPr>
              <w:snapToGrid w:val="0"/>
              <w:spacing w:before="156" w:beforeLines="50" w:line="400" w:lineRule="exact"/>
              <w:jc w:val="center"/>
              <w:rPr>
                <w:rFonts w:ascii="宋体" w:hAnsi="宋体" w:cs="宋体"/>
                <w:color w:val="auto"/>
                <w:highlight w:val="none"/>
              </w:rPr>
            </w:pPr>
            <w:r>
              <w:rPr>
                <w:rFonts w:hint="eastAsia" w:ascii="宋体" w:hAnsi="宋体" w:cs="宋体"/>
                <w:color w:val="auto"/>
                <w:highlight w:val="none"/>
              </w:rPr>
              <w:t>名称</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r>
              <w:rPr>
                <w:rFonts w:hint="eastAsia" w:ascii="宋体" w:hAnsi="宋体" w:cs="宋体"/>
                <w:color w:val="auto"/>
                <w:highlight w:val="none"/>
              </w:rPr>
              <w:t>招标文件要求</w:t>
            </w: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r>
              <w:rPr>
                <w:rFonts w:hint="eastAsia" w:ascii="宋体" w:hAnsi="宋体" w:cs="宋体"/>
                <w:color w:val="auto"/>
                <w:highlight w:val="none"/>
              </w:rPr>
              <w:t>是否响应</w:t>
            </w:r>
          </w:p>
        </w:tc>
        <w:tc>
          <w:tcPr>
            <w:tcW w:w="3020" w:type="dxa"/>
            <w:tcBorders>
              <w:top w:val="single" w:color="auto" w:sz="4" w:space="0"/>
              <w:left w:val="single" w:color="auto" w:sz="4" w:space="0"/>
              <w:bottom w:val="single" w:color="auto" w:sz="4" w:space="0"/>
            </w:tcBorders>
          </w:tcPr>
          <w:p>
            <w:pPr>
              <w:snapToGrid w:val="0"/>
              <w:spacing w:before="156" w:beforeLines="50" w:line="400" w:lineRule="exact"/>
              <w:rPr>
                <w:rFonts w:ascii="宋体" w:hAnsi="宋体" w:cs="宋体"/>
                <w:color w:val="auto"/>
                <w:highlight w:val="none"/>
              </w:rPr>
            </w:pPr>
            <w:r>
              <w:rPr>
                <w:rFonts w:hint="eastAsia" w:ascii="宋体" w:hAnsi="宋体" w:cs="宋体"/>
                <w:color w:val="auto"/>
                <w:highlight w:val="none"/>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548" w:type="dxa"/>
            <w:tcBorders>
              <w:top w:val="single" w:color="auto" w:sz="4" w:space="0"/>
              <w:bottom w:val="single" w:color="auto" w:sz="4" w:space="0"/>
              <w:right w:val="single" w:color="auto" w:sz="4" w:space="0"/>
            </w:tcBorders>
            <w:vAlign w:val="center"/>
          </w:tcPr>
          <w:p>
            <w:pPr>
              <w:snapToGrid w:val="0"/>
              <w:spacing w:line="400" w:lineRule="exact"/>
              <w:rPr>
                <w:rFonts w:ascii="宋体" w:hAnsi="宋体" w:cs="宋体"/>
                <w:color w:val="auto"/>
                <w:highlight w:val="none"/>
              </w:rPr>
            </w:pPr>
          </w:p>
        </w:tc>
        <w:tc>
          <w:tcPr>
            <w:tcW w:w="270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3020" w:type="dxa"/>
            <w:tcBorders>
              <w:top w:val="single" w:color="auto" w:sz="4" w:space="0"/>
              <w:left w:val="single" w:color="auto" w:sz="4" w:space="0"/>
              <w:bottom w:val="single" w:color="auto" w:sz="4" w:space="0"/>
            </w:tcBorders>
          </w:tcPr>
          <w:p>
            <w:pPr>
              <w:snapToGrid w:val="0"/>
              <w:spacing w:before="156" w:beforeLines="50" w:line="400" w:lineRule="exac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548" w:type="dxa"/>
            <w:tcBorders>
              <w:top w:val="single" w:color="auto" w:sz="4" w:space="0"/>
              <w:bottom w:val="single" w:color="auto" w:sz="4" w:space="0"/>
              <w:right w:val="single" w:color="auto" w:sz="4" w:space="0"/>
            </w:tcBorders>
            <w:vAlign w:val="center"/>
          </w:tcPr>
          <w:p>
            <w:pPr>
              <w:snapToGrid w:val="0"/>
              <w:spacing w:line="400" w:lineRule="exact"/>
              <w:rPr>
                <w:rFonts w:ascii="宋体" w:hAnsi="宋体" w:cs="宋体"/>
                <w:color w:val="auto"/>
                <w:highlight w:val="none"/>
              </w:rPr>
            </w:pPr>
          </w:p>
        </w:tc>
        <w:tc>
          <w:tcPr>
            <w:tcW w:w="270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3020" w:type="dxa"/>
            <w:tcBorders>
              <w:top w:val="single" w:color="auto" w:sz="4" w:space="0"/>
              <w:left w:val="single" w:color="auto" w:sz="4" w:space="0"/>
              <w:bottom w:val="single" w:color="auto" w:sz="4" w:space="0"/>
            </w:tcBorders>
          </w:tcPr>
          <w:p>
            <w:pPr>
              <w:snapToGrid w:val="0"/>
              <w:spacing w:before="156" w:beforeLines="50" w:line="400" w:lineRule="exac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548" w:type="dxa"/>
            <w:tcBorders>
              <w:top w:val="single" w:color="auto" w:sz="4" w:space="0"/>
              <w:bottom w:val="single" w:color="auto" w:sz="4" w:space="0"/>
              <w:right w:val="single" w:color="auto" w:sz="4" w:space="0"/>
            </w:tcBorders>
            <w:vAlign w:val="center"/>
          </w:tcPr>
          <w:p>
            <w:pPr>
              <w:snapToGrid w:val="0"/>
              <w:spacing w:line="400" w:lineRule="exact"/>
              <w:rPr>
                <w:rFonts w:ascii="宋体" w:hAnsi="宋体" w:cs="宋体"/>
                <w:color w:val="auto"/>
                <w:highlight w:val="none"/>
              </w:rPr>
            </w:pPr>
          </w:p>
        </w:tc>
        <w:tc>
          <w:tcPr>
            <w:tcW w:w="270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3020" w:type="dxa"/>
            <w:tcBorders>
              <w:top w:val="single" w:color="auto" w:sz="4" w:space="0"/>
              <w:left w:val="single" w:color="auto" w:sz="4" w:space="0"/>
              <w:bottom w:val="single" w:color="auto" w:sz="4" w:space="0"/>
            </w:tcBorders>
          </w:tcPr>
          <w:p>
            <w:pPr>
              <w:snapToGrid w:val="0"/>
              <w:spacing w:before="156" w:beforeLines="50" w:line="400" w:lineRule="exac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548" w:type="dxa"/>
            <w:tcBorders>
              <w:top w:val="single" w:color="auto" w:sz="4" w:space="0"/>
              <w:bottom w:val="single" w:color="auto" w:sz="4" w:space="0"/>
              <w:right w:val="single" w:color="auto" w:sz="4" w:space="0"/>
            </w:tcBorders>
            <w:vAlign w:val="center"/>
          </w:tcPr>
          <w:p>
            <w:pPr>
              <w:snapToGrid w:val="0"/>
              <w:spacing w:line="400" w:lineRule="exact"/>
              <w:rPr>
                <w:rFonts w:ascii="宋体" w:hAnsi="宋体" w:cs="宋体"/>
                <w:color w:val="auto"/>
                <w:highlight w:val="none"/>
              </w:rPr>
            </w:pPr>
          </w:p>
        </w:tc>
        <w:tc>
          <w:tcPr>
            <w:tcW w:w="270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3020" w:type="dxa"/>
            <w:tcBorders>
              <w:top w:val="single" w:color="auto" w:sz="4" w:space="0"/>
              <w:left w:val="single" w:color="auto" w:sz="4" w:space="0"/>
              <w:bottom w:val="single" w:color="auto" w:sz="4" w:space="0"/>
            </w:tcBorders>
          </w:tcPr>
          <w:p>
            <w:pPr>
              <w:snapToGrid w:val="0"/>
              <w:spacing w:before="156" w:beforeLines="50" w:line="400" w:lineRule="exac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bottom w:val="single" w:color="auto" w:sz="4" w:space="0"/>
              <w:right w:val="single" w:color="auto" w:sz="4" w:space="0"/>
            </w:tcBorders>
            <w:vAlign w:val="center"/>
          </w:tcPr>
          <w:p>
            <w:pPr>
              <w:snapToGrid w:val="0"/>
              <w:spacing w:line="400" w:lineRule="exact"/>
              <w:rPr>
                <w:rFonts w:ascii="宋体" w:hAnsi="宋体" w:cs="宋体"/>
                <w:color w:val="auto"/>
                <w:highlight w:val="none"/>
              </w:rPr>
            </w:pPr>
          </w:p>
        </w:tc>
        <w:tc>
          <w:tcPr>
            <w:tcW w:w="270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3020" w:type="dxa"/>
            <w:tcBorders>
              <w:top w:val="single" w:color="auto" w:sz="4" w:space="0"/>
              <w:left w:val="single" w:color="auto" w:sz="4" w:space="0"/>
              <w:bottom w:val="single" w:color="auto" w:sz="4" w:space="0"/>
            </w:tcBorders>
          </w:tcPr>
          <w:p>
            <w:pPr>
              <w:snapToGrid w:val="0"/>
              <w:spacing w:before="156" w:beforeLines="50" w:line="400" w:lineRule="exac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270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line="400" w:lineRule="exact"/>
              <w:rPr>
                <w:rFonts w:ascii="宋体" w:hAnsi="宋体" w:cs="宋体"/>
                <w:color w:val="auto"/>
                <w:highlight w:val="none"/>
              </w:rPr>
            </w:pPr>
          </w:p>
        </w:tc>
        <w:tc>
          <w:tcPr>
            <w:tcW w:w="3020" w:type="dxa"/>
            <w:tcBorders>
              <w:top w:val="single" w:color="auto" w:sz="4" w:space="0"/>
              <w:left w:val="single" w:color="auto" w:sz="4" w:space="0"/>
              <w:bottom w:val="single" w:color="auto" w:sz="4" w:space="0"/>
            </w:tcBorders>
          </w:tcPr>
          <w:p>
            <w:pPr>
              <w:snapToGrid w:val="0"/>
              <w:spacing w:before="156" w:beforeLines="50" w:line="400" w:lineRule="exact"/>
              <w:rPr>
                <w:rFonts w:ascii="宋体" w:hAnsi="宋体" w:cs="宋体"/>
                <w:color w:val="auto"/>
                <w:highlight w:val="none"/>
              </w:rPr>
            </w:pPr>
          </w:p>
        </w:tc>
      </w:tr>
    </w:tbl>
    <w:p>
      <w:pPr>
        <w:snapToGrid w:val="0"/>
        <w:spacing w:before="50"/>
        <w:rPr>
          <w:rFonts w:ascii="宋体" w:hAnsi="宋体" w:cs="宋体"/>
          <w:color w:val="auto"/>
          <w:kern w:val="0"/>
          <w:highlight w:val="none"/>
        </w:rPr>
      </w:pPr>
      <w:r>
        <w:rPr>
          <w:rFonts w:hint="eastAsia" w:ascii="宋体" w:hAnsi="宋体" w:cs="宋体"/>
          <w:color w:val="auto"/>
          <w:highlight w:val="none"/>
        </w:rPr>
        <w:t>注:投标人须按第二章 招标需求</w:t>
      </w:r>
      <w:r>
        <w:rPr>
          <w:rFonts w:hint="eastAsia" w:ascii="宋体" w:hAnsi="宋体" w:cs="宋体"/>
          <w:b/>
          <w:bCs/>
          <w:color w:val="auto"/>
          <w:highlight w:val="none"/>
        </w:rPr>
        <w:t>二、商务要求中</w:t>
      </w:r>
      <w:r>
        <w:rPr>
          <w:rFonts w:hint="eastAsia" w:ascii="宋体" w:hAnsi="宋体" w:cs="宋体"/>
          <w:color w:val="auto"/>
          <w:highlight w:val="none"/>
        </w:rPr>
        <w:t>逐条填写，在说明栏如实填写“正偏离”、“无偏离”或“负偏离”。</w:t>
      </w:r>
    </w:p>
    <w:p>
      <w:pPr>
        <w:snapToGrid w:val="0"/>
        <w:spacing w:before="50"/>
        <w:jc w:val="left"/>
        <w:rPr>
          <w:rFonts w:ascii="宋体" w:hAnsi="宋体" w:cs="宋体"/>
          <w:color w:val="auto"/>
          <w:highlight w:val="none"/>
        </w:rPr>
      </w:pPr>
    </w:p>
    <w:p>
      <w:pPr>
        <w:snapToGrid w:val="0"/>
        <w:spacing w:before="50"/>
        <w:jc w:val="left"/>
        <w:rPr>
          <w:rFonts w:ascii="宋体" w:hAnsi="宋体" w:cs="宋体"/>
          <w:color w:val="auto"/>
          <w:highlight w:val="none"/>
        </w:rPr>
      </w:pPr>
    </w:p>
    <w:p>
      <w:pPr>
        <w:snapToGrid w:val="0"/>
        <w:spacing w:before="50"/>
        <w:jc w:val="left"/>
        <w:rPr>
          <w:rFonts w:ascii="宋体" w:hAnsi="宋体" w:cs="宋体"/>
          <w:color w:val="auto"/>
          <w:highlight w:val="none"/>
        </w:rPr>
      </w:pPr>
    </w:p>
    <w:p>
      <w:pPr>
        <w:pStyle w:val="24"/>
        <w:tabs>
          <w:tab w:val="left" w:pos="2472"/>
        </w:tabs>
        <w:snapToGrid w:val="0"/>
        <w:spacing w:beforeLines="0" w:afterLines="0" w:line="360" w:lineRule="auto"/>
        <w:jc w:val="left"/>
        <w:rPr>
          <w:rFonts w:hAnsi="宋体"/>
          <w:color w:val="auto"/>
          <w:sz w:val="21"/>
          <w:szCs w:val="21"/>
          <w:highlight w:val="none"/>
        </w:rPr>
      </w:pPr>
      <w:r>
        <w:rPr>
          <w:rFonts w:hint="eastAsia" w:hAnsi="宋体"/>
          <w:color w:val="auto"/>
          <w:sz w:val="21"/>
          <w:szCs w:val="21"/>
          <w:highlight w:val="none"/>
        </w:rPr>
        <w:t xml:space="preserve">投标人名称(公章):___________________                    </w:t>
      </w:r>
    </w:p>
    <w:p>
      <w:pPr>
        <w:snapToGrid w:val="0"/>
        <w:spacing w:before="50" w:after="156" w:afterLines="50"/>
        <w:jc w:val="left"/>
        <w:rPr>
          <w:rFonts w:ascii="宋体" w:hAnsi="宋体" w:cs="宋体"/>
          <w:color w:val="auto"/>
          <w:highlight w:val="none"/>
        </w:rPr>
      </w:pPr>
      <w:r>
        <w:rPr>
          <w:rFonts w:hint="eastAsia" w:ascii="宋体" w:hAnsi="宋体" w:cs="宋体"/>
          <w:color w:val="auto"/>
          <w:highlight w:val="none"/>
        </w:rPr>
        <w:t>日期:_____年___月___日</w:t>
      </w:r>
    </w:p>
    <w:p>
      <w:pPr>
        <w:snapToGrid w:val="0"/>
        <w:spacing w:before="50" w:after="156" w:afterLines="50"/>
        <w:jc w:val="left"/>
        <w:rPr>
          <w:rFonts w:ascii="宋体" w:hAnsi="宋体" w:cs="宋体"/>
          <w:color w:val="auto"/>
          <w:highlight w:val="none"/>
        </w:rPr>
      </w:pPr>
    </w:p>
    <w:p>
      <w:pPr>
        <w:snapToGrid w:val="0"/>
        <w:spacing w:before="50" w:after="156" w:afterLines="50"/>
        <w:jc w:val="left"/>
        <w:rPr>
          <w:rFonts w:ascii="宋体" w:hAnsi="宋体" w:cs="宋体"/>
          <w:color w:val="auto"/>
          <w:highlight w:val="none"/>
        </w:rPr>
      </w:pPr>
      <w:r>
        <w:rPr>
          <w:rFonts w:hint="eastAsia" w:ascii="宋体" w:hAnsi="宋体" w:cs="宋体"/>
          <w:b/>
          <w:bCs/>
          <w:color w:val="auto"/>
          <w:highlight w:val="none"/>
        </w:rPr>
        <w:t>注：联合体投标的，可只由联合体牵头人盖章。</w:t>
      </w:r>
    </w:p>
    <w:p>
      <w:pPr>
        <w:snapToGrid w:val="0"/>
        <w:spacing w:before="50" w:after="156" w:afterLines="50"/>
        <w:jc w:val="left"/>
        <w:rPr>
          <w:rFonts w:ascii="宋体" w:hAnsi="宋体" w:cs="宋体"/>
          <w:color w:val="auto"/>
          <w:highlight w:val="none"/>
        </w:rPr>
      </w:pPr>
    </w:p>
    <w:p>
      <w:pPr>
        <w:snapToGrid w:val="0"/>
        <w:spacing w:before="50" w:after="156" w:afterLines="50"/>
        <w:jc w:val="left"/>
        <w:rPr>
          <w:rFonts w:ascii="宋体" w:hAnsi="宋体" w:cs="宋体"/>
          <w:color w:val="auto"/>
          <w:highlight w:val="none"/>
        </w:rPr>
      </w:pPr>
    </w:p>
    <w:p>
      <w:pPr>
        <w:snapToGrid w:val="0"/>
        <w:spacing w:before="50" w:line="360" w:lineRule="auto"/>
        <w:jc w:val="left"/>
        <w:rPr>
          <w:rFonts w:ascii="宋体" w:hAnsi="宋体" w:cs="宋体"/>
          <w:color w:val="auto"/>
          <w:highlight w:val="none"/>
        </w:rPr>
      </w:pPr>
      <w:r>
        <w:rPr>
          <w:rFonts w:hint="eastAsia" w:ascii="宋体" w:hAnsi="宋体" w:cs="宋体"/>
          <w:color w:val="auto"/>
          <w:highlight w:val="none"/>
        </w:rPr>
        <w:br w:type="page"/>
      </w:r>
      <w:r>
        <w:rPr>
          <w:rFonts w:hint="eastAsia" w:ascii="宋体" w:hAnsi="宋体" w:cs="宋体"/>
          <w:color w:val="auto"/>
          <w:highlight w:val="none"/>
        </w:rPr>
        <w:t>（4）技术条款响应（偏离）表：</w:t>
      </w:r>
    </w:p>
    <w:p>
      <w:pPr>
        <w:spacing w:line="400" w:lineRule="exact"/>
        <w:jc w:val="center"/>
        <w:rPr>
          <w:rFonts w:ascii="宋体" w:hAnsi="宋体" w:cs="宋体"/>
          <w:b/>
          <w:bCs/>
          <w:color w:val="auto"/>
          <w:highlight w:val="none"/>
        </w:rPr>
      </w:pPr>
      <w:r>
        <w:rPr>
          <w:rFonts w:hint="eastAsia" w:ascii="宋体" w:hAnsi="宋体" w:cs="宋体"/>
          <w:b/>
          <w:bCs/>
          <w:color w:val="auto"/>
          <w:highlight w:val="none"/>
        </w:rPr>
        <w:t>技术条款响应（偏离）表</w:t>
      </w:r>
    </w:p>
    <w:p>
      <w:pPr>
        <w:snapToGrid w:val="0"/>
        <w:spacing w:before="50" w:line="360" w:lineRule="auto"/>
        <w:jc w:val="left"/>
        <w:rPr>
          <w:rFonts w:ascii="宋体" w:hAnsi="宋体" w:cs="宋体"/>
          <w:color w:val="auto"/>
          <w:highlight w:val="none"/>
          <w:u w:val="single"/>
        </w:rPr>
      </w:pPr>
      <w:r>
        <w:rPr>
          <w:rFonts w:hint="eastAsia" w:ascii="宋体" w:hAnsi="宋体" w:cs="宋体"/>
          <w:color w:val="auto"/>
          <w:highlight w:val="none"/>
        </w:rPr>
        <w:t>项目编号：</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标项号：</w:t>
      </w:r>
      <w:r>
        <w:rPr>
          <w:rFonts w:hint="eastAsia" w:ascii="宋体" w:hAnsi="宋体" w:cs="宋体"/>
          <w:color w:val="auto"/>
          <w:highlight w:val="none"/>
          <w:u w:val="single"/>
        </w:rPr>
        <w:t xml:space="preserve">                </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3360"/>
        <w:gridCol w:w="2908"/>
        <w:gridCol w:w="15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r>
              <w:rPr>
                <w:rFonts w:hint="eastAsia" w:ascii="宋体" w:hAnsi="宋体" w:cs="宋体"/>
                <w:color w:val="auto"/>
                <w:highlight w:val="none"/>
              </w:rPr>
              <w:t>序号</w:t>
            </w:r>
          </w:p>
        </w:tc>
        <w:tc>
          <w:tcPr>
            <w:tcW w:w="3360" w:type="dxa"/>
            <w:vAlign w:val="center"/>
          </w:tcPr>
          <w:p>
            <w:pPr>
              <w:spacing w:line="400" w:lineRule="exact"/>
              <w:jc w:val="center"/>
              <w:rPr>
                <w:rFonts w:ascii="宋体" w:hAnsi="宋体" w:cs="宋体"/>
                <w:color w:val="auto"/>
                <w:highlight w:val="none"/>
              </w:rPr>
            </w:pPr>
            <w:r>
              <w:rPr>
                <w:rFonts w:hint="eastAsia" w:ascii="宋体" w:hAnsi="宋体" w:cs="宋体"/>
                <w:color w:val="auto"/>
                <w:highlight w:val="none"/>
              </w:rPr>
              <w:t>招标文件</w:t>
            </w:r>
          </w:p>
          <w:p>
            <w:pPr>
              <w:spacing w:line="400" w:lineRule="exact"/>
              <w:jc w:val="center"/>
              <w:rPr>
                <w:rFonts w:ascii="宋体" w:hAnsi="宋体" w:cs="宋体"/>
                <w:color w:val="auto"/>
                <w:highlight w:val="none"/>
              </w:rPr>
            </w:pPr>
            <w:r>
              <w:rPr>
                <w:rFonts w:hint="eastAsia" w:ascii="宋体" w:hAnsi="宋体" w:cs="宋体"/>
                <w:color w:val="auto"/>
                <w:highlight w:val="none"/>
              </w:rPr>
              <w:t>技术规格、要求</w:t>
            </w:r>
          </w:p>
        </w:tc>
        <w:tc>
          <w:tcPr>
            <w:tcW w:w="2908" w:type="dxa"/>
            <w:vAlign w:val="center"/>
          </w:tcPr>
          <w:p>
            <w:pPr>
              <w:spacing w:line="400" w:lineRule="exact"/>
              <w:jc w:val="center"/>
              <w:rPr>
                <w:rFonts w:ascii="宋体" w:hAnsi="宋体" w:cs="宋体"/>
                <w:color w:val="auto"/>
                <w:highlight w:val="none"/>
              </w:rPr>
            </w:pPr>
            <w:r>
              <w:rPr>
                <w:rFonts w:hint="eastAsia" w:ascii="宋体" w:hAnsi="宋体" w:cs="宋体"/>
                <w:color w:val="auto"/>
                <w:highlight w:val="none"/>
              </w:rPr>
              <w:t>投标文件</w:t>
            </w:r>
          </w:p>
          <w:p>
            <w:pPr>
              <w:spacing w:line="400" w:lineRule="exact"/>
              <w:jc w:val="center"/>
              <w:rPr>
                <w:rFonts w:ascii="宋体" w:hAnsi="宋体" w:cs="宋体"/>
                <w:color w:val="auto"/>
                <w:highlight w:val="none"/>
              </w:rPr>
            </w:pPr>
            <w:r>
              <w:rPr>
                <w:rFonts w:hint="eastAsia" w:ascii="宋体" w:hAnsi="宋体" w:cs="宋体"/>
                <w:color w:val="auto"/>
                <w:highlight w:val="none"/>
              </w:rPr>
              <w:t>对应规格</w:t>
            </w:r>
          </w:p>
        </w:tc>
        <w:tc>
          <w:tcPr>
            <w:tcW w:w="1578" w:type="dxa"/>
            <w:vAlign w:val="center"/>
          </w:tcPr>
          <w:p>
            <w:pPr>
              <w:spacing w:line="400" w:lineRule="exact"/>
              <w:jc w:val="center"/>
              <w:rPr>
                <w:rFonts w:ascii="宋体" w:hAnsi="宋体" w:cs="宋体"/>
                <w:color w:val="auto"/>
                <w:highlight w:val="none"/>
              </w:rPr>
            </w:pPr>
            <w:r>
              <w:rPr>
                <w:rFonts w:hint="eastAsia" w:ascii="宋体" w:hAnsi="宋体" w:cs="宋体"/>
                <w:color w:val="auto"/>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jc w:val="center"/>
        </w:trPr>
        <w:tc>
          <w:tcPr>
            <w:tcW w:w="794" w:type="dxa"/>
            <w:vAlign w:val="center"/>
          </w:tcPr>
          <w:p>
            <w:pPr>
              <w:spacing w:line="400" w:lineRule="exact"/>
              <w:jc w:val="center"/>
              <w:rPr>
                <w:rFonts w:ascii="宋体" w:hAnsi="宋体" w:cs="宋体"/>
                <w:color w:val="auto"/>
                <w:highlight w:val="none"/>
              </w:rPr>
            </w:pPr>
          </w:p>
        </w:tc>
        <w:tc>
          <w:tcPr>
            <w:tcW w:w="3360" w:type="dxa"/>
            <w:vAlign w:val="center"/>
          </w:tcPr>
          <w:p>
            <w:pPr>
              <w:spacing w:line="400" w:lineRule="exact"/>
              <w:jc w:val="center"/>
              <w:rPr>
                <w:rFonts w:ascii="宋体" w:hAnsi="宋体" w:cs="宋体"/>
                <w:color w:val="auto"/>
                <w:highlight w:val="none"/>
              </w:rPr>
            </w:pPr>
          </w:p>
        </w:tc>
        <w:tc>
          <w:tcPr>
            <w:tcW w:w="2908" w:type="dxa"/>
            <w:vAlign w:val="center"/>
          </w:tcPr>
          <w:p>
            <w:pPr>
              <w:spacing w:line="400" w:lineRule="exact"/>
              <w:jc w:val="center"/>
              <w:rPr>
                <w:rFonts w:ascii="宋体" w:hAnsi="宋体" w:cs="宋体"/>
                <w:color w:val="auto"/>
                <w:highlight w:val="none"/>
              </w:rPr>
            </w:pPr>
          </w:p>
        </w:tc>
        <w:tc>
          <w:tcPr>
            <w:tcW w:w="1578" w:type="dxa"/>
            <w:vAlign w:val="center"/>
          </w:tcPr>
          <w:p>
            <w:pPr>
              <w:spacing w:line="400" w:lineRule="exact"/>
              <w:jc w:val="center"/>
              <w:rPr>
                <w:rFonts w:ascii="宋体" w:hAnsi="宋体" w:cs="宋体"/>
                <w:color w:val="auto"/>
                <w:highlight w:val="none"/>
              </w:rPr>
            </w:pPr>
          </w:p>
        </w:tc>
      </w:tr>
    </w:tbl>
    <w:p>
      <w:pPr>
        <w:snapToGrid w:val="0"/>
        <w:spacing w:before="50"/>
        <w:rPr>
          <w:rFonts w:ascii="宋体" w:hAnsi="宋体" w:cs="宋体"/>
          <w:color w:val="auto"/>
          <w:kern w:val="0"/>
          <w:highlight w:val="none"/>
        </w:rPr>
      </w:pPr>
      <w:r>
        <w:rPr>
          <w:rFonts w:hint="eastAsia" w:ascii="宋体" w:hAnsi="宋体" w:cs="宋体"/>
          <w:color w:val="auto"/>
          <w:highlight w:val="none"/>
        </w:rPr>
        <w:t>注：注:投标人须按第二章 招标需求</w:t>
      </w:r>
      <w:r>
        <w:rPr>
          <w:rFonts w:hint="eastAsia" w:ascii="宋体" w:hAnsi="宋体" w:cs="宋体"/>
          <w:b/>
          <w:bCs/>
          <w:color w:val="auto"/>
          <w:highlight w:val="none"/>
        </w:rPr>
        <w:t>一、技术需求</w:t>
      </w:r>
      <w:r>
        <w:rPr>
          <w:rFonts w:hint="eastAsia" w:ascii="宋体" w:hAnsi="宋体" w:cs="宋体"/>
          <w:color w:val="auto"/>
          <w:highlight w:val="none"/>
        </w:rPr>
        <w:t>逐条填写，在说明栏如实填写“正偏离”、“无偏离”或“负偏离”。</w:t>
      </w:r>
    </w:p>
    <w:p>
      <w:pPr>
        <w:spacing w:line="400" w:lineRule="exact"/>
        <w:rPr>
          <w:rFonts w:ascii="宋体" w:hAnsi="宋体" w:cs="宋体"/>
          <w:color w:val="auto"/>
          <w:highlight w:val="none"/>
        </w:rPr>
      </w:pPr>
      <w:r>
        <w:rPr>
          <w:rFonts w:hint="eastAsia" w:ascii="宋体" w:hAnsi="宋体" w:cs="宋体"/>
          <w:color w:val="auto"/>
          <w:highlight w:val="none"/>
        </w:rPr>
        <w:t>投标人（盖章）：</w:t>
      </w:r>
    </w:p>
    <w:p>
      <w:pPr>
        <w:pStyle w:val="19"/>
        <w:spacing w:line="360" w:lineRule="exact"/>
        <w:ind w:firstLine="0"/>
        <w:jc w:val="left"/>
        <w:rPr>
          <w:rFonts w:hAnsi="宋体"/>
          <w:color w:val="auto"/>
          <w:spacing w:val="6"/>
          <w:sz w:val="21"/>
          <w:szCs w:val="21"/>
          <w:highlight w:val="none"/>
        </w:rPr>
      </w:pPr>
      <w:r>
        <w:rPr>
          <w:rFonts w:hint="eastAsia" w:hAnsi="宋体"/>
          <w:color w:val="auto"/>
          <w:sz w:val="21"/>
          <w:szCs w:val="21"/>
          <w:highlight w:val="none"/>
        </w:rPr>
        <w:t>日  期：</w:t>
      </w:r>
    </w:p>
    <w:p>
      <w:pPr>
        <w:snapToGrid w:val="0"/>
        <w:spacing w:before="50" w:after="156" w:afterLines="50"/>
        <w:jc w:val="left"/>
        <w:rPr>
          <w:rFonts w:ascii="宋体" w:hAnsi="宋体" w:cs="宋体"/>
          <w:color w:val="auto"/>
          <w:highlight w:val="none"/>
        </w:rPr>
      </w:pPr>
    </w:p>
    <w:p>
      <w:pPr>
        <w:snapToGrid w:val="0"/>
        <w:spacing w:after="156" w:afterLines="50" w:line="360" w:lineRule="auto"/>
        <w:jc w:val="left"/>
        <w:rPr>
          <w:rFonts w:ascii="宋体" w:hAnsi="宋体" w:cs="宋体"/>
          <w:b/>
          <w:bCs/>
          <w:color w:val="auto"/>
          <w:highlight w:val="none"/>
        </w:rPr>
      </w:pPr>
      <w:r>
        <w:rPr>
          <w:rFonts w:hint="eastAsia" w:ascii="宋体" w:hAnsi="宋体" w:cs="宋体"/>
          <w:b/>
          <w:bCs/>
          <w:color w:val="auto"/>
          <w:highlight w:val="none"/>
        </w:rPr>
        <w:t>注：联合体投标的，可只由联合体牵头人盖章。</w:t>
      </w:r>
    </w:p>
    <w:p>
      <w:pPr>
        <w:pStyle w:val="46"/>
        <w:spacing w:line="300" w:lineRule="auto"/>
        <w:rPr>
          <w:rFonts w:ascii="宋体" w:hAnsi="宋体" w:cs="宋体"/>
          <w:color w:val="auto"/>
          <w:highlight w:val="none"/>
        </w:rPr>
      </w:pPr>
    </w:p>
    <w:p>
      <w:pPr>
        <w:pStyle w:val="46"/>
        <w:spacing w:line="300" w:lineRule="auto"/>
        <w:rPr>
          <w:rFonts w:ascii="宋体" w:hAnsi="宋体" w:cs="宋体"/>
          <w:color w:val="auto"/>
          <w:highlight w:val="none"/>
        </w:rPr>
      </w:pPr>
    </w:p>
    <w:p>
      <w:pPr>
        <w:pStyle w:val="46"/>
        <w:spacing w:line="300" w:lineRule="auto"/>
        <w:rPr>
          <w:rFonts w:ascii="宋体" w:hAnsi="宋体" w:cs="宋体"/>
          <w:color w:val="auto"/>
          <w:highlight w:val="none"/>
        </w:rPr>
      </w:pPr>
    </w:p>
    <w:p>
      <w:pPr>
        <w:pStyle w:val="46"/>
        <w:spacing w:line="300" w:lineRule="auto"/>
        <w:rPr>
          <w:rFonts w:ascii="宋体" w:hAnsi="宋体" w:cs="宋体"/>
          <w:color w:val="auto"/>
          <w:highlight w:val="none"/>
        </w:rPr>
      </w:pPr>
    </w:p>
    <w:p>
      <w:pPr>
        <w:pStyle w:val="46"/>
        <w:spacing w:line="300" w:lineRule="auto"/>
        <w:ind w:left="0" w:leftChars="0" w:firstLine="0" w:firstLineChars="0"/>
        <w:rPr>
          <w:rFonts w:ascii="宋体" w:hAnsi="宋体" w:cs="宋体"/>
          <w:color w:val="auto"/>
          <w:highlight w:val="none"/>
        </w:rPr>
      </w:pPr>
      <w:r>
        <w:rPr>
          <w:rFonts w:hint="eastAsia" w:ascii="宋体" w:hAnsi="宋体" w:cs="宋体"/>
          <w:color w:val="auto"/>
          <w:highlight w:val="none"/>
        </w:rPr>
        <w:t>（5）技术需求中要求提供的证明资料（加盖公章）；</w:t>
      </w:r>
    </w:p>
    <w:p>
      <w:pPr>
        <w:pStyle w:val="46"/>
        <w:spacing w:line="300" w:lineRule="auto"/>
        <w:ind w:left="0" w:leftChars="0" w:firstLine="0" w:firstLineChars="0"/>
        <w:rPr>
          <w:rFonts w:ascii="宋体" w:hAnsi="宋体" w:cs="宋体"/>
          <w:color w:val="auto"/>
          <w:highlight w:val="none"/>
        </w:rPr>
      </w:pPr>
      <w:r>
        <w:rPr>
          <w:rFonts w:hint="eastAsia" w:ascii="宋体" w:hAnsi="宋体" w:cs="宋体"/>
          <w:color w:val="auto"/>
          <w:highlight w:val="none"/>
        </w:rPr>
        <w:t>（6）运行、维修成本方案；</w:t>
      </w:r>
    </w:p>
    <w:p>
      <w:pPr>
        <w:pStyle w:val="46"/>
        <w:spacing w:line="300" w:lineRule="auto"/>
        <w:ind w:left="0" w:leftChars="0" w:firstLine="0" w:firstLineChars="0"/>
        <w:rPr>
          <w:rFonts w:ascii="宋体" w:hAnsi="宋体" w:cs="宋体"/>
          <w:color w:val="auto"/>
          <w:highlight w:val="none"/>
        </w:rPr>
      </w:pPr>
      <w:r>
        <w:rPr>
          <w:rFonts w:hint="eastAsia" w:ascii="宋体" w:hAnsi="宋体" w:cs="宋体"/>
          <w:color w:val="auto"/>
          <w:highlight w:val="none"/>
        </w:rPr>
        <w:t>（7）安装、调试、验收方法或方案；</w:t>
      </w:r>
    </w:p>
    <w:p>
      <w:pPr>
        <w:pStyle w:val="46"/>
        <w:spacing w:line="300" w:lineRule="auto"/>
        <w:ind w:left="0" w:leftChars="0" w:firstLine="0" w:firstLineChars="0"/>
        <w:rPr>
          <w:rFonts w:ascii="宋体" w:hAnsi="宋体" w:cs="宋体"/>
          <w:color w:val="auto"/>
          <w:highlight w:val="none"/>
        </w:rPr>
      </w:pPr>
      <w:r>
        <w:rPr>
          <w:rFonts w:hint="eastAsia" w:ascii="宋体" w:hAnsi="宋体" w:cs="宋体"/>
          <w:color w:val="auto"/>
          <w:highlight w:val="none"/>
        </w:rPr>
        <w:t>（8）技术服务、技术培训；</w:t>
      </w:r>
    </w:p>
    <w:p>
      <w:pPr>
        <w:pStyle w:val="46"/>
        <w:spacing w:line="300" w:lineRule="auto"/>
        <w:ind w:left="0" w:leftChars="0" w:firstLine="0" w:firstLineChars="0"/>
        <w:rPr>
          <w:rFonts w:ascii="宋体" w:hAnsi="宋体" w:cs="宋体"/>
          <w:color w:val="auto"/>
          <w:highlight w:val="none"/>
        </w:rPr>
      </w:pPr>
      <w:r>
        <w:rPr>
          <w:rFonts w:hint="eastAsia" w:ascii="宋体" w:hAnsi="宋体" w:cs="宋体"/>
          <w:color w:val="auto"/>
          <w:highlight w:val="none"/>
        </w:rPr>
        <w:t>（9）售后服务响应情况；</w:t>
      </w:r>
    </w:p>
    <w:p>
      <w:pPr>
        <w:pStyle w:val="46"/>
        <w:spacing w:line="300" w:lineRule="auto"/>
        <w:ind w:left="0" w:leftChars="0" w:firstLine="0" w:firstLineChars="0"/>
        <w:rPr>
          <w:rFonts w:ascii="宋体" w:hAnsi="宋体" w:cs="宋体"/>
          <w:color w:val="auto"/>
          <w:highlight w:val="none"/>
        </w:rPr>
      </w:pPr>
      <w:r>
        <w:rPr>
          <w:rFonts w:hint="eastAsia" w:ascii="宋体" w:hAnsi="宋体" w:cs="宋体"/>
          <w:color w:val="auto"/>
          <w:highlight w:val="none"/>
        </w:rPr>
        <w:t>（10）投标人所投产品的节能环保产品认证证书复印件及所投产品属于“节能产品政府采购清单”中所列产品的相关证明资料或截图（如有请提供，加盖公章）；</w:t>
      </w:r>
    </w:p>
    <w:p>
      <w:pPr>
        <w:snapToGrid w:val="0"/>
        <w:spacing w:after="156" w:afterLines="50" w:line="360" w:lineRule="auto"/>
        <w:jc w:val="left"/>
        <w:rPr>
          <w:rFonts w:ascii="宋体" w:hAnsi="宋体" w:cs="宋体"/>
          <w:color w:val="auto"/>
          <w:highlight w:val="none"/>
        </w:rPr>
        <w:sectPr>
          <w:headerReference r:id="rId7" w:type="default"/>
          <w:footerReference r:id="rId8" w:type="default"/>
          <w:pgSz w:w="11906" w:h="16838"/>
          <w:pgMar w:top="1474" w:right="1797" w:bottom="1247" w:left="1797" w:header="851" w:footer="851" w:gutter="0"/>
          <w:cols w:space="720" w:num="1"/>
          <w:docGrid w:type="lines" w:linePitch="312" w:charSpace="0"/>
        </w:sectPr>
      </w:pPr>
    </w:p>
    <w:p>
      <w:pPr>
        <w:snapToGrid w:val="0"/>
        <w:spacing w:after="156" w:afterLines="50" w:line="360" w:lineRule="auto"/>
        <w:jc w:val="left"/>
        <w:rPr>
          <w:rFonts w:ascii="宋体" w:hAnsi="宋体" w:cs="宋体"/>
          <w:color w:val="auto"/>
          <w:highlight w:val="none"/>
        </w:rPr>
      </w:pPr>
      <w:r>
        <w:rPr>
          <w:rFonts w:hint="eastAsia" w:ascii="宋体" w:hAnsi="宋体" w:cs="宋体"/>
          <w:color w:val="auto"/>
          <w:highlight w:val="none"/>
        </w:rPr>
        <w:t>（11）业绩一览表</w:t>
      </w:r>
    </w:p>
    <w:p>
      <w:pPr>
        <w:snapToGrid w:val="0"/>
        <w:spacing w:after="156" w:afterLines="50" w:line="360" w:lineRule="auto"/>
        <w:jc w:val="center"/>
        <w:rPr>
          <w:rFonts w:ascii="宋体" w:hAnsi="宋体" w:cs="宋体"/>
          <w:b/>
          <w:bCs/>
          <w:color w:val="auto"/>
          <w:highlight w:val="none"/>
        </w:rPr>
      </w:pPr>
      <w:r>
        <w:rPr>
          <w:rFonts w:hint="eastAsia" w:ascii="宋体" w:hAnsi="宋体" w:cs="宋体"/>
          <w:b/>
          <w:bCs/>
          <w:color w:val="auto"/>
          <w:highlight w:val="none"/>
        </w:rPr>
        <w:t>业绩一览表</w:t>
      </w:r>
    </w:p>
    <w:p>
      <w:pPr>
        <w:pStyle w:val="35"/>
        <w:snapToGrid w:val="0"/>
        <w:spacing w:line="360" w:lineRule="auto"/>
        <w:ind w:left="420" w:hanging="420"/>
        <w:rPr>
          <w:rFonts w:ascii="宋体" w:hAnsi="宋体" w:cs="宋体"/>
          <w:color w:val="auto"/>
          <w:sz w:val="21"/>
          <w:highlight w:val="none"/>
        </w:rPr>
      </w:pPr>
      <w:r>
        <w:rPr>
          <w:rFonts w:hint="eastAsia" w:ascii="宋体" w:hAnsi="宋体" w:cs="宋体"/>
          <w:color w:val="auto"/>
          <w:sz w:val="21"/>
          <w:highlight w:val="none"/>
        </w:rPr>
        <w:t>（投标人同类项目合同复印件）</w:t>
      </w:r>
    </w:p>
    <w:tbl>
      <w:tblPr>
        <w:tblStyle w:val="47"/>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645"/>
        <w:gridCol w:w="1955"/>
        <w:gridCol w:w="21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7"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color w:val="auto"/>
                <w:highlight w:val="none"/>
              </w:rPr>
            </w:pPr>
            <w:r>
              <w:rPr>
                <w:rFonts w:hint="eastAsia" w:ascii="宋体" w:hAnsi="宋体" w:cs="宋体"/>
                <w:color w:val="auto"/>
                <w:highlight w:val="none"/>
              </w:rPr>
              <w:t>采购人名称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color w:val="auto"/>
                <w:highlight w:val="none"/>
              </w:rPr>
            </w:pPr>
            <w:r>
              <w:rPr>
                <w:rFonts w:hint="eastAsia" w:ascii="宋体" w:hAnsi="宋体" w:cs="宋体"/>
                <w:color w:val="auto"/>
                <w:highlight w:val="none"/>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color w:val="auto"/>
                <w:highlight w:val="none"/>
              </w:rPr>
            </w:pPr>
            <w:r>
              <w:rPr>
                <w:rFonts w:hint="eastAsia" w:ascii="宋体" w:hAnsi="宋体" w:cs="宋体"/>
                <w:color w:val="auto"/>
                <w:highlight w:val="none"/>
              </w:rPr>
              <w:t>数量（套）</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color w:val="auto"/>
                <w:highlight w:val="none"/>
              </w:rPr>
            </w:pPr>
            <w:r>
              <w:rPr>
                <w:rFonts w:hint="eastAsia" w:ascii="宋体" w:hAnsi="宋体" w:cs="宋体"/>
                <w:color w:val="auto"/>
                <w:highlight w:val="none"/>
              </w:rPr>
              <w:t>单价</w:t>
            </w:r>
          </w:p>
        </w:tc>
        <w:tc>
          <w:tcPr>
            <w:tcW w:w="1645"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color w:val="auto"/>
                <w:highlight w:val="none"/>
              </w:rPr>
            </w:pPr>
            <w:r>
              <w:rPr>
                <w:rFonts w:hint="eastAsia" w:ascii="宋体" w:hAnsi="宋体" w:cs="宋体"/>
                <w:color w:val="auto"/>
                <w:highlight w:val="none"/>
              </w:rPr>
              <w:t>合同金额</w:t>
            </w:r>
          </w:p>
          <w:p>
            <w:pPr>
              <w:snapToGrid w:val="0"/>
              <w:spacing w:line="400" w:lineRule="exact"/>
              <w:jc w:val="center"/>
              <w:rPr>
                <w:rFonts w:ascii="宋体" w:hAnsi="宋体" w:cs="宋体"/>
                <w:color w:val="auto"/>
                <w:highlight w:val="none"/>
              </w:rPr>
            </w:pPr>
            <w:r>
              <w:rPr>
                <w:rFonts w:hint="eastAsia" w:ascii="宋体" w:hAnsi="宋体" w:cs="宋体"/>
                <w:color w:val="auto"/>
                <w:highlight w:val="none"/>
              </w:rPr>
              <w:t>（万元）</w:t>
            </w:r>
          </w:p>
        </w:tc>
        <w:tc>
          <w:tcPr>
            <w:tcW w:w="195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color w:val="auto"/>
                <w:highlight w:val="none"/>
              </w:rPr>
            </w:pPr>
            <w:r>
              <w:rPr>
                <w:rFonts w:hint="eastAsia" w:ascii="宋体" w:hAnsi="宋体" w:cs="宋体"/>
                <w:color w:val="auto"/>
                <w:highlight w:val="none"/>
              </w:rPr>
              <w:t>附件页码</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color w:val="auto"/>
                <w:highlight w:val="none"/>
              </w:rPr>
            </w:pPr>
            <w:r>
              <w:rPr>
                <w:rFonts w:hint="eastAsia" w:ascii="宋体" w:hAnsi="宋体" w:cs="宋体"/>
                <w:color w:val="auto"/>
                <w:highlight w:val="none"/>
              </w:rPr>
              <w:t>采购人联系人及</w:t>
            </w:r>
          </w:p>
          <w:p>
            <w:pPr>
              <w:snapToGrid w:val="0"/>
              <w:spacing w:line="400" w:lineRule="exact"/>
              <w:jc w:val="center"/>
              <w:rPr>
                <w:rFonts w:ascii="宋体" w:hAnsi="宋体" w:cs="宋体"/>
                <w:color w:val="auto"/>
                <w:highlight w:val="none"/>
              </w:rPr>
            </w:pPr>
            <w:r>
              <w:rPr>
                <w:rFonts w:hint="eastAsia" w:ascii="宋体" w:hAnsi="宋体" w:cs="宋体"/>
                <w:color w:val="auto"/>
                <w:highlight w:val="none"/>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3"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color w:val="auto"/>
                <w:highlight w:val="none"/>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color w:val="auto"/>
                <w:highlight w:val="none"/>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color w:val="auto"/>
                <w:highlight w:val="none"/>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color w:val="auto"/>
                <w:highlight w:val="none"/>
              </w:rPr>
            </w:pPr>
          </w:p>
        </w:tc>
        <w:tc>
          <w:tcPr>
            <w:tcW w:w="164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color w:val="auto"/>
                <w:highlight w:val="none"/>
              </w:rPr>
            </w:pPr>
          </w:p>
        </w:tc>
        <w:tc>
          <w:tcPr>
            <w:tcW w:w="1955"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ascii="宋体" w:hAnsi="宋体" w:cs="宋体"/>
                <w:color w:val="auto"/>
                <w:highlight w:val="none"/>
              </w:rPr>
            </w:pPr>
            <w:r>
              <w:rPr>
                <w:rFonts w:hint="eastAsia" w:ascii="宋体" w:hAnsi="宋体" w:cs="宋体"/>
                <w:color w:val="auto"/>
                <w:highlight w:val="none"/>
              </w:rPr>
              <w:t>合同</w:t>
            </w:r>
          </w:p>
        </w:tc>
        <w:tc>
          <w:tcPr>
            <w:tcW w:w="216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64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95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64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95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64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95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64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95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342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08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64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1955"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c>
          <w:tcPr>
            <w:tcW w:w="2160" w:type="dxa"/>
            <w:tcBorders>
              <w:top w:val="single" w:color="auto" w:sz="4" w:space="0"/>
              <w:left w:val="single" w:color="auto" w:sz="4" w:space="0"/>
              <w:bottom w:val="single" w:color="auto" w:sz="4" w:space="0"/>
              <w:right w:val="single" w:color="auto" w:sz="4" w:space="0"/>
            </w:tcBorders>
          </w:tcPr>
          <w:p>
            <w:pPr>
              <w:snapToGrid w:val="0"/>
              <w:spacing w:line="400" w:lineRule="exact"/>
              <w:jc w:val="left"/>
              <w:rPr>
                <w:rFonts w:ascii="宋体" w:hAnsi="宋体" w:cs="宋体"/>
                <w:color w:val="auto"/>
                <w:highlight w:val="none"/>
              </w:rPr>
            </w:pPr>
          </w:p>
        </w:tc>
      </w:tr>
    </w:tbl>
    <w:p>
      <w:pPr>
        <w:pStyle w:val="14"/>
        <w:snapToGrid w:val="0"/>
        <w:spacing w:after="156"/>
        <w:rPr>
          <w:rFonts w:ascii="宋体" w:hAnsi="宋体" w:eastAsia="宋体" w:cs="宋体"/>
          <w:color w:val="auto"/>
          <w:sz w:val="21"/>
          <w:szCs w:val="21"/>
          <w:highlight w:val="none"/>
        </w:rPr>
      </w:pPr>
    </w:p>
    <w:p>
      <w:pPr>
        <w:pStyle w:val="24"/>
        <w:tabs>
          <w:tab w:val="left" w:pos="2472"/>
        </w:tabs>
        <w:snapToGrid w:val="0"/>
        <w:spacing w:beforeLines="0" w:afterLines="0" w:line="360" w:lineRule="auto"/>
        <w:jc w:val="left"/>
        <w:rPr>
          <w:rFonts w:hAnsi="宋体"/>
          <w:color w:val="auto"/>
          <w:sz w:val="21"/>
          <w:highlight w:val="none"/>
        </w:rPr>
      </w:pPr>
      <w:r>
        <w:rPr>
          <w:rFonts w:hint="eastAsia" w:hAnsi="宋体"/>
          <w:color w:val="auto"/>
          <w:sz w:val="21"/>
          <w:highlight w:val="none"/>
        </w:rPr>
        <w:t xml:space="preserve">投标人名称(公章):___________________           </w:t>
      </w:r>
    </w:p>
    <w:p>
      <w:pPr>
        <w:snapToGrid w:val="0"/>
        <w:spacing w:before="50" w:line="360" w:lineRule="auto"/>
        <w:jc w:val="left"/>
        <w:rPr>
          <w:rFonts w:ascii="宋体" w:hAnsi="宋体" w:cs="宋体"/>
          <w:color w:val="auto"/>
          <w:highlight w:val="none"/>
        </w:rPr>
      </w:pPr>
      <w:r>
        <w:rPr>
          <w:rFonts w:hint="eastAsia" w:ascii="宋体" w:hAnsi="宋体" w:cs="宋体"/>
          <w:color w:val="auto"/>
          <w:highlight w:val="none"/>
        </w:rPr>
        <w:t>日期:_____年___月___日</w:t>
      </w:r>
    </w:p>
    <w:p>
      <w:pPr>
        <w:pStyle w:val="46"/>
        <w:spacing w:line="300" w:lineRule="auto"/>
        <w:rPr>
          <w:rFonts w:ascii="宋体" w:hAnsi="宋体" w:cs="宋体"/>
          <w:color w:val="auto"/>
          <w:highlight w:val="none"/>
        </w:rPr>
      </w:pPr>
    </w:p>
    <w:p>
      <w:pPr>
        <w:pStyle w:val="46"/>
        <w:spacing w:line="300" w:lineRule="auto"/>
        <w:ind w:left="0" w:leftChars="0" w:firstLine="0" w:firstLineChars="0"/>
        <w:rPr>
          <w:rFonts w:ascii="宋体" w:hAnsi="宋体" w:cs="宋体"/>
          <w:color w:val="auto"/>
          <w:highlight w:val="none"/>
        </w:rPr>
      </w:pPr>
      <w:r>
        <w:rPr>
          <w:rFonts w:hint="eastAsia" w:ascii="宋体" w:hAnsi="宋体" w:cs="宋体"/>
          <w:color w:val="auto"/>
          <w:highlight w:val="none"/>
        </w:rPr>
        <w:t>（12）其他采购需求或评分标准所需资料；</w:t>
      </w:r>
    </w:p>
    <w:sectPr>
      <w:pgSz w:w="16838" w:h="11906" w:orient="landscape"/>
      <w:pgMar w:top="1797" w:right="1474" w:bottom="1797" w:left="1247" w:header="851" w:footer="851"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Arial Unicode MS">
    <w:panose1 w:val="020B0604020202020204"/>
    <w:charset w:val="86"/>
    <w:family w:val="roman"/>
    <w:pitch w:val="default"/>
    <w:sig w:usb0="FFFFFFFF" w:usb1="E9FFFFFF" w:usb2="0000003F" w:usb3="00000000" w:csb0="603F01FF" w:csb1="FFFF0000"/>
  </w:font>
  <w:font w:name="汉鼎简细圆">
    <w:altName w:val="宋体"/>
    <w:panose1 w:val="00000000000000000000"/>
    <w:charset w:val="86"/>
    <w:family w:val="modern"/>
    <w:pitch w:val="default"/>
    <w:sig w:usb0="00000000" w:usb1="00000000" w:usb2="00000010" w:usb3="00000000" w:csb0="00040000" w:csb1="00000000"/>
  </w:font>
  <w:font w:name="Helvetica">
    <w:panose1 w:val="020B0604020202020204"/>
    <w:charset w:val="00"/>
    <w:family w:val="swiss"/>
    <w:pitch w:val="default"/>
    <w:sig w:usb0="00000000" w:usb1="00000000" w:usb2="00000000" w:usb3="00000000" w:csb0="00000000" w:csb1="00000000"/>
  </w:font>
  <w:font w:name="Verdana">
    <w:panose1 w:val="020B0604030504040204"/>
    <w:charset w:val="00"/>
    <w:family w:val="swiss"/>
    <w:pitch w:val="default"/>
    <w:sig w:usb0="A00006FF" w:usb1="4000205B" w:usb2="00000010" w:usb3="00000000" w:csb0="2000019F" w:csb1="00000000"/>
  </w:font>
  <w:font w:name="PMingLiUfalt">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Thorndale">
    <w:altName w:val="Times New Roman"/>
    <w:panose1 w:val="00000000000000000000"/>
    <w:charset w:val="00"/>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center"/>
      <w:rPr>
        <w:rFonts w:cs="Times New Roman"/>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0" b="0"/>
              <wp:wrapNone/>
              <wp:docPr id="2" name="文本框 3"/>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a:noFill/>
                      </a:ln>
                      <a:effectLst/>
                    </wps:spPr>
                    <wps:txbx>
                      <w:txbxContent>
                        <w:p>
                          <w:pPr>
                            <w:pStyle w:val="30"/>
                            <w:jc w:val="center"/>
                            <w:rPr>
                              <w:rFonts w:cs="Times New Roman"/>
                            </w:rPr>
                          </w:pPr>
                          <w:r>
                            <w:fldChar w:fldCharType="begin"/>
                          </w:r>
                          <w:r>
                            <w:instrText xml:space="preserve"> PAGE   \* MERGEFORMAT </w:instrText>
                          </w:r>
                          <w:r>
                            <w:fldChar w:fldCharType="separate"/>
                          </w:r>
                          <w:r>
                            <w:rPr>
                              <w:lang w:val="zh-CN"/>
                            </w:rPr>
                            <w:t>1</w:t>
                          </w:r>
                          <w:r>
                            <w:rPr>
                              <w:lang w:val="zh-CN"/>
                            </w:rP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z4vdRNAAAAAC AQAADwAAAGRycy9kb3ducmV2LnhtbE2PMU/DMBCFdyT+g3VIbNROB9qGOB0qsbBREBLbNb7GEfY5 st00+fcYFlhOenpP733X7GfvxEQxDYE1VCsFgrgLZuBew/vb88MWRMrIBl1g0rBQgn17e9NgbcKV X2k65l6UEk41arA5j7WUqbPkMa3CSFy8c4gec5GxlybitZR7J9dKPUqPA5cFiyMdLHVfx4vXsJk/ Ao2JDvR5nrpoh2XrXhat7+8q9QQi05z/wvCDX9ChLUyncGGThNNQHsm/t3i7CsRJw1ptQLaN/I/e fgNQSwMEFAAAAAgAh07iQI1tk5TTAQAApAMAAA4AAABkcnMvZTJvRG9jLnhtbK1TzY7TMBC+I/EO lu80TXfLrqKmK1C1CAkB0sIDuI7dWPKfPG6TvgC8AScu3HmuPseOnaT7w2UPXJzxzPib+b6ZrG56 o8lBBFDO1rSczSkRlrtG2V1Nv3+7fXNNCURmG6adFTU9CqA369evVp2vxMK1TjciEASxUHW+pm2M vioK4K0wDGbOC4tB6YJhEa9hVzSBdYhudLGYz98WnQuND44LAPRuhiAdEcNLAJ2UiouN43sjbBxQ g9AsIiVolQe6zt1KKXj8IiWISHRNkWnMJxZBe5vOYr1i1S4w3yo+tsBe0sIzToYpi0XPUBsWGdkH 9Q+UUTw4cDLOuDPFQCQrgizK+TNt7lrmReaCUoM/iw7/D5Z/PnwNRDU1XVBimcGBn379PP3+e/rz g1wkeToPFWbdecyL/XvX49JMfkBnYt3LYNIX+RCMo7jHs7iij4Sjc3l1db2khGOkvCgvL5cJpHh4 6wPED8IZkoyaBhxdVpQdPkEcUqeUVMq6W6V1Hp+2TxyIOXhEnv/4OtEY2k1W7Lf9yG3rmiNS63AH ampx5SnRHy1KnNZlMsJkbCdj74PatdhombsE/24fsaXcaaowwCLDdMHhZa7joqXteHzPWQ8/1/oe UEsDBAoAAAAAAIdO4kAAAAAAAAAAAAAAAAAGAAAAX3JlbHMvUEsDBBQAAAAIAIdO4kCKFGY80QAA AJQBAAALAAAAX3JlbHMvLnJlbHOlkMFqwzAMhu+DvYPRfXGawxijTi+j0GvpHsDYimMaW0Yy2fr2 8w6DZfS2o36h7xP//vCZFrUiS6RsYNf1oDA78jEHA++X49MLKKk2e7tQRgM3FDiMjw/7My62tiOZ YxHVKFkMzLWWV63FzZisdFQwt81EnGxtIwddrLvagHro+2fNvxkwbpjq5A3wyQ+gLrfSzH/YKTom oal2jpKmaYruHlUHtmWO7sg24Ru5RrMcsBrwLBoHalnXfgR9X7/7p97TRz7jutV+h4zrj1dvuhy/ AFBLAwQUAAAACACHTuJAfublIPcAAADhAQAAEwAAAFtDb250ZW50X1R5cGVzXS54bWyVkUFOwzAQ RfdI3MHyFiVOu0AIJemCtEtAqBxgZE8Si2RseUxob4+TthtEkVjaM/+/J7vcHMZBTBjYOqrkKi+k QNLOWOoq+b7fZQ9ScAQyMDjCSh6R5aa+vSn3R48sUpq4kn2M/lEp1j2OwLnzSGnSujBCTMfQKQ/6 AzpU66K4V9pRRIpZnDtkXTbYwucQxfaQrk8mAQeW4um0OLMqCd4PVkNMpmoi84OSnQl5Si473FvP d0lDql8J8+Q64Jx7SU8TrEHxCiE+w5g0lAmsjPuigFP+d8lsOXLm2tZqzJvATYq94XSxutaOa9c4 /d/y7ZK6dKvlg+pvUEsBAhQAFAAAAAgAh07iQH7m5SD3AAAA4QEAABMAAAAAAAAAAQAgAAAAPAQA AFtDb250ZW50X1R5cGVzXS54bWxQSwECFAAKAAAAAACHTuJAAAAAAAAAAAAAAAAABgAAAAAAAAAA ABAAAAAeAwAAX3JlbHMvUEsBAhQAFAAAAAgAh07iQIoUZjzRAAAAlAEAAAsAAAAAAAAAAQAgAAAA QgMAAF9yZWxzLy5yZWxzUEsBAhQACgAAAAAAh07iQAAAAAAAAAAAAAAAAAQAAAAAAAAAAAAQAAAA AAAAAGRycy9QSwECFAAUAAAACACHTuJAz4vdRNAAAAACAQAADwAAAAAAAAABACAAAAAiAAAAZHJz L2Rvd25yZXYueG1sUEsBAhQAFAAAAAgAh07iQI1tk5TTAQAApAMAAA4AAAAAAAAAAQAgAAAAHwEA AGRycy9lMm9Eb2MueG1sUEsFBgAAAAAGAAYAWQEAAGQFAAAAAA== ">
              <v:fill on="f" focussize="0,0"/>
              <v:stroke on="f"/>
              <v:imagedata o:title=""/>
              <o:lock v:ext="edit" aspectratio="f"/>
              <v:textbox inset="0mm,0mm,0mm,0mm" style="mso-fit-shape-to-text:t;">
                <w:txbxContent>
                  <w:p>
                    <w:pPr>
                      <w:pStyle w:val="30"/>
                      <w:jc w:val="center"/>
                      <w:rPr>
                        <w:rFonts w:cs="Times New Roman"/>
                      </w:rPr>
                    </w:pPr>
                    <w:r>
                      <w:fldChar w:fldCharType="begin"/>
                    </w:r>
                    <w:r>
                      <w:instrText xml:space="preserve"> PAGE   \* MERGEFORMAT </w:instrText>
                    </w:r>
                    <w:r>
                      <w:fldChar w:fldCharType="separate"/>
                    </w:r>
                    <w:r>
                      <w:rPr>
                        <w:lang w:val="zh-CN"/>
                      </w:rPr>
                      <w:t>1</w:t>
                    </w:r>
                    <w:r>
                      <w:rPr>
                        <w:lang w:val="zh-CN"/>
                      </w:rPr>
                      <w:fldChar w:fldCharType="end"/>
                    </w:r>
                  </w:p>
                </w:txbxContent>
              </v:textbox>
            </v:shape>
          </w:pict>
        </mc:Fallback>
      </mc:AlternateContent>
    </w:r>
  </w:p>
  <w:p>
    <w:pPr>
      <w:pStyle w:val="30"/>
      <w:rPr>
        <w:rFonts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36892576"/>
    </w:sdtPr>
    <w:sdtContent>
      <w:p>
        <w:pPr>
          <w:pStyle w:val="30"/>
          <w:jc w:val="center"/>
        </w:pPr>
        <w:r>
          <w:fldChar w:fldCharType="begin"/>
        </w:r>
        <w:r>
          <w:instrText xml:space="preserve">PAGE   \* MERGEFORMAT</w:instrText>
        </w:r>
        <w:r>
          <w:fldChar w:fldCharType="separate"/>
        </w:r>
        <w:r>
          <w:rPr>
            <w:lang w:val="zh-CN"/>
          </w:rPr>
          <w:t>31</w:t>
        </w:r>
        <w:r>
          <w:rPr>
            <w:lang w:val="zh-CN"/>
          </w:rPr>
          <w:fldChar w:fldCharType="end"/>
        </w:r>
      </w:p>
    </w:sdtContent>
  </w:sdt>
  <w:p>
    <w:pPr>
      <w:pStyle w:val="3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rPr>
        <w:rFonts w:cs="Times New Roman"/>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-170180</wp:posOffset>
              </wp:positionV>
              <wp:extent cx="210185" cy="301625"/>
              <wp:effectExtent l="0" t="0" r="0" b="0"/>
              <wp:wrapNone/>
              <wp:docPr id="3" name="文本框 1"/>
              <wp:cNvGraphicFramePr/>
              <a:graphic xmlns:a="http://schemas.openxmlformats.org/drawingml/2006/main">
                <a:graphicData uri="http://schemas.microsoft.com/office/word/2010/wordprocessingShape">
                  <wps:wsp>
                    <wps:cNvSpPr txBox="1"/>
                    <wps:spPr>
                      <a:xfrm>
                        <a:off x="0" y="0"/>
                        <a:ext cx="210185" cy="301625"/>
                      </a:xfrm>
                      <a:prstGeom prst="rect">
                        <a:avLst/>
                      </a:prstGeom>
                      <a:noFill/>
                      <a:ln>
                        <a:noFill/>
                      </a:ln>
                      <a:effectLst/>
                    </wps:spPr>
                    <wps:txbx>
                      <w:txbxContent>
                        <w:p>
                          <w:pPr>
                            <w:snapToGrid w:val="0"/>
                            <w:rPr>
                              <w:sz w:val="18"/>
                              <w:szCs w:val="18"/>
                            </w:rPr>
                          </w:pPr>
                          <w:r>
                            <w:fldChar w:fldCharType="begin"/>
                          </w:r>
                          <w:r>
                            <w:instrText xml:space="preserve"> PAGE  \* MERGEFORMAT </w:instrText>
                          </w:r>
                          <w:r>
                            <w:fldChar w:fldCharType="separate"/>
                          </w:r>
                          <w:r>
                            <w:rPr>
                              <w:sz w:val="18"/>
                              <w:szCs w:val="18"/>
                            </w:rPr>
                            <w:t>32</w:t>
                          </w:r>
                          <w:r>
                            <w:rPr>
                              <w:sz w:val="18"/>
                              <w:szCs w:val="18"/>
                            </w:rPr>
                            <w:fldChar w:fldCharType="end"/>
                          </w:r>
                        </w:p>
                      </w:txbxContent>
                    </wps:txbx>
                    <wps:bodyPr lIns="0" tIns="0" rIns="0" bIns="0" upright="1"/>
                  </wps:wsp>
                </a:graphicData>
              </a:graphic>
            </wp:anchor>
          </w:drawing>
        </mc:Choice>
        <mc:Fallback>
          <w:pict>
            <v:shape id="文本框 1" o:spid="_x0000_s1026" o:spt="202" type="#_x0000_t202" style="position:absolute;left:0pt;margin-top:-13.4pt;height:23.75pt;width:16.55pt;mso-position-horizontal:center;mso-position-horizontal-relative:margin;z-index:251660288;mso-width-relative:page;mso-height-relative:page;" filled="f" stroked="f" coordsize="21600,21600" o:gfxdata="UEsDBAoAAAAAAIdO4kAAAAAAAAAAAAAAAAAEAAAAZHJzL1BLAwQUAAAACACHTuJAkl9NQtYAAAAG AQAADwAAAGRycy9kb3ducmV2LnhtbE2PzU7DMBCE70i8g7WVuLV2UilAmk2FEJyQEGk4cHQSN7Ea r0Ps/vD2LCd6HM1o5ptie3GjOJk5WE8IyUqBMNT6zlKP8Fm/Lh9AhKip06Mng/BjAmzL25tC550/ U2VOu9gLLqGQa4QhximXMrSDcTqs/GSIvb2fnY4s5152sz5zuRtlqlQmnbbEC4OezPNg2sPu6BCe vqh6sd/vzUe1r2xdPyp6yw6Id4tEbUBEc4n/YfjDZ3QomanxR+qCGBH4SERYphkfYHu9TkA0CKm6 B1kW8hq//AVQSwMEFAAAAAgAh07iQDU3Fru9AQAAfwMAAA4AAABkcnMvZTJvRG9jLnhtbK1TS27b MBDdF8gdCO5rSg4SBILlAIWRIkDRFkh7AJoaWgT4A0lb8gXaG3TVTfc9l8/RoT7Ob5NFN9RwZvhm 3pvR6rY3mhwgROVsTctFQQlY4RpldzX9/u3u/Q0lMXHbcO0s1PQIkd6uL96tOl/B0rVONxAIgthY db6mbUq+YiyKFgyPC+fBYlC6YHjCa9ixJvAO0Y1my6K4Zp0LjQ9OQIzo3YxBOiGGtwA6KZWAjRN7 AzaNqAE0T0gptspHuh66lRJE+iJlhER0TZFpGk4sgvY2n2y94tUucN8qMbXA39LCC06GK4tFz1Ab njjZB/UKyigRXHQyLYQzbCQyKIIsyuKFNg8t9zBwQamjP4se/x+s+Hz4GohqanpJieUGB3769fP0 ++/pzw9SZnk6HyvMevCYl/oPrselmf0RnZl1L4PJX+RDMI7iHs/iQp+IQOeyLMqbK0oEhi6L8np5 lVHY42MfYvoIzpBs1DTg7AZJ+eFTTGPqnJJrWXentB7mp+0zB2KOHhgWYHqdeYz9Ziv1234it3XN Ebnpe4u65h2ZjTAb29nY+6B2LTY3KMAyEM5lYDHtUB780zvaT/+b9T9QSwMECgAAAAAAh07iQAAA AAAAAAAAAAAAAAYAAABfcmVscy9QSwMEFAAAAAgAh07iQIoUZjzRAAAAlAEAAAsAAABfcmVscy8u cmVsc6WQwWrDMAyG74O9g9F9cZrDGKNOL6PQa+kewNiKYxpbRjLZ+vbzDoNl9LajfqHvE//+8JkW tSJLpGxg1/WgMDvyMQcD75fj0wsoqTZ7u1BGAzcUOIyPD/szLra2I5ljEdUoWQzMtZZXrcXNmKx0 VDC3zUScbG0jB12su9qAeuj7Z82/GTBumOrkDfDJD6Aut9LMf9gpOiahqXaOkqZpiu4eVQe2ZY7u yDbhG7lGsxywGvAsGgdqWdd+BH1fv/un3tNHPuO61X6HjOuPV2+6HL8AUEsDBBQAAAAIAIdO4kB+ 5uUg9wAAAOEBAAATAAAAW0NvbnRlbnRfVHlwZXNdLnhtbJWRQU7DMBBF90jcwfIWJU67QAgl6YK0 S0CoHGBkTxKLZGx5TGhvj5O2G0SRWNoz/78nu9wcxkFMGNg6quQqL6RA0s5Y6ir5vt9lD1JwBDIw OMJKHpHlpr69KfdHjyxSmriSfYz+USnWPY7AufNIadK6MEJMx9ApD/oDOlTrorhX2lFEilmcO2Rd NtjC5xDF9pCuTyYBB5bi6bQ4syoJ3g9WQ0ymaiLzg5KdCXlKLjvcW893SUOqXwnz5DrgnHtJTxOs QfEKIT7DmDSUCayM+6KAU/53yWw5cuba1mrMm8BNir3hdLG61o5r1zj93/Ltkrp0q+WD6m9QSwEC FAAUAAAACACHTuJAfublIPcAAADhAQAAEwAAAAAAAAABACAAAAAsBAAAW0NvbnRlbnRfVHlwZXNd LnhtbFBLAQIUAAoAAAAAAIdO4kAAAAAAAAAAAAAAAAAGAAAAAAAAAAAAEAAAAA4DAABfcmVscy9Q SwECFAAUAAAACACHTuJAihRmPNEAAACUAQAACwAAAAAAAAABACAAAAAyAwAAX3JlbHMvLnJlbHNQ SwECFAAKAAAAAACHTuJAAAAAAAAAAAAAAAAABAAAAAAAAAAAABAAAAAAAAAAZHJzL1BLAQIUABQA AAAIAIdO4kCSX01C1gAAAAYBAAAPAAAAAAAAAAEAIAAAACIAAABkcnMvZG93bnJldi54bWxQSwEC FAAUAAAACACHTuJANTcWu70BAAB/AwAADgAAAAAAAAABACAAAAAlAQAAZHJzL2Uyb0RvYy54bWxQ SwUGAAAAAAYABgBZAQAAVAUAAAAA ">
              <v:fill on="f" focussize="0,0"/>
              <v:stroke on="f"/>
              <v:imagedata o:title=""/>
              <o:lock v:ext="edit" aspectratio="f"/>
              <v:textbox inset="0mm,0mm,0mm,0mm">
                <w:txbxContent>
                  <w:p>
                    <w:pPr>
                      <w:snapToGrid w:val="0"/>
                      <w:rPr>
                        <w:sz w:val="18"/>
                        <w:szCs w:val="18"/>
                      </w:rPr>
                    </w:pPr>
                    <w:r>
                      <w:fldChar w:fldCharType="begin"/>
                    </w:r>
                    <w:r>
                      <w:instrText xml:space="preserve"> PAGE  \* MERGEFORMAT </w:instrText>
                    </w:r>
                    <w:r>
                      <w:fldChar w:fldCharType="separate"/>
                    </w:r>
                    <w:r>
                      <w:rPr>
                        <w:sz w:val="18"/>
                        <w:szCs w:val="18"/>
                      </w:rPr>
                      <w:t>32</w:t>
                    </w:r>
                    <w:r>
                      <w:rPr>
                        <w:sz w:val="18"/>
                        <w:szCs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ind w:right="360" w:firstLine="360"/>
      <w:rPr>
        <w:rFonts w:cs="Times New Roman"/>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a:effectLst/>
                    </wps:spPr>
                    <wps:txbx>
                      <w:txbxContent>
                        <w:p>
                          <w:pPr>
                            <w:pStyle w:val="30"/>
                            <w:rPr>
                              <w:rStyle w:val="51"/>
                              <w:rFonts w:cs="Times New Roman"/>
                            </w:rPr>
                          </w:pPr>
                          <w:r>
                            <w:rPr>
                              <w:rStyle w:val="51"/>
                            </w:rPr>
                            <w:fldChar w:fldCharType="begin"/>
                          </w:r>
                          <w:r>
                            <w:rPr>
                              <w:rStyle w:val="51"/>
                            </w:rPr>
                            <w:instrText xml:space="preserve">PAGE  </w:instrText>
                          </w:r>
                          <w:r>
                            <w:rPr>
                              <w:rStyle w:val="51"/>
                            </w:rPr>
                            <w:fldChar w:fldCharType="separate"/>
                          </w:r>
                          <w:r>
                            <w:rPr>
                              <w:rStyle w:val="51"/>
                            </w:rPr>
                            <w:t>52</w:t>
                          </w:r>
                          <w:r>
                            <w:rPr>
                              <w:rStyle w:val="51"/>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Q+V+SdAAAAAD AQAADwAAAGRycy9kb3ducmV2LnhtbE2PMW/CMBCF90r9D9ZV6lbsMJQoxGFAYmGDVkhsJj7iCPsc 2SYk/76mS7uc9PSe3vuu3kzOshFD7D1JKBYCGFLrdU+dhO+v3UcJLCZFWllPKGHGCJvm9aVWlfYP OuB4TB3LJRQrJcGkNFScx9agU3HhB6TsXX1wKmUZOq6DeuRyZ/lSiE/uVE95wagBtwbb2/HuJKym k8ch4hbP17ENpp9Lu5+lfH8rxBpYwin9heGJn9GhyUwXfycdmZWQH0m/9+mVBbCLhKVYAW9q/p+9 +QFQSwMEFAAAAAgAh07iQGSup9DTAQAApQMAAA4AAABkcnMvZTJvRG9jLnhtbK1TzY7TMBC+I/EO lu80zW4WQdR0BaoWISFAWngA17EbS/6Tx23SF4A34MSFO8/V59ixk3TZ3cseuDjjmfE3830zWV0P RpODCKCcbWi5WFIiLHetsruGfv928+oNJRCZbZl2VjT0KIBer1++WPW+Fheuc7oVgSCIhbr3De1i 9HVRAO+EYbBwXlgMShcMi3gNu6INrEd0o4uL5fJ10bvQ+uC4AEDvZgzSCTE8B9BJqbjYOL43wsYR NQjNIlKCTnmg69ytlILHL1KCiEQ3FJnGfGIRtLfpLNYrVu8C853iUwvsOS084mSYslj0DLVhkZF9 UE+gjOLBgZNxwZ0pRiJZEWRRLh9pc9sxLzIXlBr8WXT4f7D88+FrIKptaEWJZQYHfvr18/T77+nP D1IleXoPNWbdesyLw3s34NLMfkBnYj3IYNIX+RCMo7jHs7hiiISnR2X19vKKEo6h8rKsqquEUtw/ 9gHiB+EMSUZDA84uS8oOnyCOqXNKqmXdjdI6z0/bBw7EHD0iL8D0OvEY+01WHLbDRG7r2iNy63EJ Gmpx5ynRHy1qnPZlNsJsbGdj74PaddhombsE/24fsaXcaaowwiLDdMHpZa7TpqX1+Pees+7/rvUd UEsDBAoAAAAAAIdO4kAAAAAAAAAAAAAAAAAGAAAAX3JlbHMvUEsDBBQAAAAIAIdO4kCKFGY80QAA AJQBAAALAAAAX3JlbHMvLnJlbHOlkMFqwzAMhu+DvYPRfXGawxijTi+j0GvpHsDYimMaW0Yy2fr2 8w6DZfS2o36h7xP//vCZFrUiS6RsYNf1oDA78jEHA++X49MLKKk2e7tQRgM3FDiMjw/7My62tiOZ YxHVKFkMzLWWV63FzZisdFQwt81EnGxtIwddrLvagHro+2fNvxkwbpjq5A3wyQ+gLrfSzH/YKTom oal2jpKmaYruHlUHtmWO7sg24Ru5RrMcsBrwLBoHalnXfgR9X7/7p97TRz7jutV+h4zrj1dvuhy/ AFBLAwQUAAAACACHTuJAfublIPcAAADhAQAAEwAAAFtDb250ZW50X1R5cGVzXS54bWyVkUFOwzAQ RfdI3MHyFiVOu0AIJemCtEtAqBxgZE8Si2RseUxob4+TthtEkVjaM/+/J7vcHMZBTBjYOqrkKi+k QNLOWOoq+b7fZQ9ScAQyMDjCSh6R5aa+vSn3R48sUpq4kn2M/lEp1j2OwLnzSGnSujBCTMfQKQ/6 AzpU66K4V9pRRIpZnDtkXTbYwucQxfaQrk8mAQeW4um0OLMqCd4PVkNMpmoi84OSnQl5Si473FvP d0lDql8J8+Q64Jx7SU8TrEHxCiE+w5g0lAmsjPuigFP+d8lsOXLm2tZqzJvATYq94XSxutaOa9c4 /d/y7ZK6dKvlg+pvUEsBAhQAFAAAAAgAh07iQH7m5SD3AAAA4QEAABMAAAAAAAAAAQAgAAAAPAQA AFtDb250ZW50X1R5cGVzXS54bWxQSwECFAAKAAAAAACHTuJAAAAAAAAAAAAAAAAABgAAAAAAAAAA ABAAAAAeAwAAX3JlbHMvUEsBAhQAFAAAAAgAh07iQIoUZjzRAAAAlAEAAAsAAAAAAAAAAQAgAAAA QgMAAF9yZWxzLy5yZWxzUEsBAhQACgAAAAAAh07iQAAAAAAAAAAAAAAAAAQAAAAAAAAAAAAQAAAA AAAAAGRycy9QSwECFAAUAAAACACHTuJAQ+V+SdAAAAADAQAADwAAAAAAAAABACAAAAAiAAAAZHJz L2Rvd25yZXYueG1sUEsBAhQAFAAAAAgAh07iQGSup9DTAQAApQMAAA4AAAAAAAAAAQAgAAAAHwEA AGRycy9lMm9Eb2MueG1sUEsFBgAAAAAGAAYAWQEAAGQFAAAAAA== ">
              <v:fill on="f" focussize="0,0"/>
              <v:stroke on="f"/>
              <v:imagedata o:title=""/>
              <o:lock v:ext="edit" aspectratio="f"/>
              <v:textbox inset="0mm,0mm,0mm,0mm" style="mso-fit-shape-to-text:t;">
                <w:txbxContent>
                  <w:p>
                    <w:pPr>
                      <w:pStyle w:val="30"/>
                      <w:rPr>
                        <w:rStyle w:val="51"/>
                        <w:rFonts w:cs="Times New Roman"/>
                      </w:rPr>
                    </w:pPr>
                    <w:r>
                      <w:rPr>
                        <w:rStyle w:val="51"/>
                      </w:rPr>
                      <w:fldChar w:fldCharType="begin"/>
                    </w:r>
                    <w:r>
                      <w:rPr>
                        <w:rStyle w:val="51"/>
                      </w:rPr>
                      <w:instrText xml:space="preserve">PAGE  </w:instrText>
                    </w:r>
                    <w:r>
                      <w:rPr>
                        <w:rStyle w:val="51"/>
                      </w:rPr>
                      <w:fldChar w:fldCharType="separate"/>
                    </w:r>
                    <w:r>
                      <w:rPr>
                        <w:rStyle w:val="51"/>
                      </w:rPr>
                      <w:t>52</w:t>
                    </w:r>
                    <w:r>
                      <w:rPr>
                        <w:rStyle w:val="51"/>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rPr>
        <w:rFonts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jc w:val="both"/>
      <w:rPr>
        <w:rFonts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6125BE"/>
    <w:multiLevelType w:val="singleLevel"/>
    <w:tmpl w:val="D06125BE"/>
    <w:lvl w:ilvl="0" w:tentative="0">
      <w:start w:val="1"/>
      <w:numFmt w:val="decimal"/>
      <w:lvlText w:val="(%1)"/>
      <w:lvlJc w:val="left"/>
      <w:pPr>
        <w:ind w:left="851" w:hanging="425"/>
      </w:pPr>
      <w:rPr>
        <w:rFonts w:hint="default"/>
      </w:rPr>
    </w:lvl>
  </w:abstractNum>
  <w:abstractNum w:abstractNumId="1">
    <w:nsid w:val="FD1CAF54"/>
    <w:multiLevelType w:val="singleLevel"/>
    <w:tmpl w:val="FD1CAF54"/>
    <w:lvl w:ilvl="0" w:tentative="0">
      <w:start w:val="1"/>
      <w:numFmt w:val="none"/>
      <w:lvlText w:val="(3)"/>
      <w:lvlJc w:val="left"/>
      <w:pPr>
        <w:tabs>
          <w:tab w:val="left" w:pos="840"/>
        </w:tabs>
        <w:ind w:left="845" w:hanging="425"/>
      </w:pPr>
      <w:rPr>
        <w:rFonts w:hint="default"/>
      </w:rPr>
    </w:lvl>
  </w:abstractNum>
  <w:abstractNum w:abstractNumId="2">
    <w:nsid w:val="FFFFFF7E"/>
    <w:multiLevelType w:val="singleLevel"/>
    <w:tmpl w:val="FFFFFF7E"/>
    <w:lvl w:ilvl="0" w:tentative="0">
      <w:start w:val="1"/>
      <w:numFmt w:val="decimal"/>
      <w:lvlText w:val="%1."/>
      <w:lvlJc w:val="left"/>
      <w:pPr>
        <w:tabs>
          <w:tab w:val="left" w:pos="1200"/>
        </w:tabs>
        <w:ind w:left="1200" w:hanging="360"/>
      </w:pPr>
    </w:lvl>
  </w:abstractNum>
  <w:abstractNum w:abstractNumId="3">
    <w:nsid w:val="00000003"/>
    <w:multiLevelType w:val="singleLevel"/>
    <w:tmpl w:val="00000003"/>
    <w:lvl w:ilvl="0" w:tentative="0">
      <w:start w:val="2"/>
      <w:numFmt w:val="decimal"/>
      <w:suff w:val="nothing"/>
      <w:lvlText w:val="（%1）"/>
      <w:lvlJc w:val="left"/>
    </w:lvl>
  </w:abstractNum>
  <w:abstractNum w:abstractNumId="4">
    <w:nsid w:val="00000005"/>
    <w:multiLevelType w:val="multilevel"/>
    <w:tmpl w:val="00000005"/>
    <w:lvl w:ilvl="0" w:tentative="0">
      <w:start w:val="1"/>
      <w:numFmt w:val="japaneseCounting"/>
      <w:pStyle w:val="56"/>
      <w:lvlText w:val="第%1章"/>
      <w:lvlJc w:val="left"/>
      <w:pPr>
        <w:tabs>
          <w:tab w:val="left" w:pos="1200"/>
        </w:tabs>
        <w:ind w:left="1200" w:hanging="120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pStyle w:val="6"/>
      <w:lvlText w:val="%5)"/>
      <w:lvlJc w:val="left"/>
      <w:pPr>
        <w:tabs>
          <w:tab w:val="left" w:pos="2100"/>
        </w:tabs>
        <w:ind w:left="2100" w:hanging="420"/>
      </w:pPr>
    </w:lvl>
    <w:lvl w:ilvl="5" w:tentative="0">
      <w:start w:val="1"/>
      <w:numFmt w:val="lowerRoman"/>
      <w:pStyle w:val="8"/>
      <w:lvlText w:val="%6."/>
      <w:lvlJc w:val="right"/>
      <w:pPr>
        <w:tabs>
          <w:tab w:val="left" w:pos="2520"/>
        </w:tabs>
        <w:ind w:left="2520" w:hanging="420"/>
      </w:pPr>
    </w:lvl>
    <w:lvl w:ilvl="6" w:tentative="0">
      <w:start w:val="1"/>
      <w:numFmt w:val="decimal"/>
      <w:pStyle w:val="9"/>
      <w:lvlText w:val="%7."/>
      <w:lvlJc w:val="left"/>
      <w:pPr>
        <w:tabs>
          <w:tab w:val="left" w:pos="2940"/>
        </w:tabs>
        <w:ind w:left="2940" w:hanging="420"/>
      </w:pPr>
    </w:lvl>
    <w:lvl w:ilvl="7" w:tentative="0">
      <w:start w:val="1"/>
      <w:numFmt w:val="lowerLetter"/>
      <w:pStyle w:val="10"/>
      <w:lvlText w:val="%8)"/>
      <w:lvlJc w:val="left"/>
      <w:pPr>
        <w:tabs>
          <w:tab w:val="left" w:pos="3360"/>
        </w:tabs>
        <w:ind w:left="3360" w:hanging="420"/>
      </w:pPr>
    </w:lvl>
    <w:lvl w:ilvl="8" w:tentative="0">
      <w:start w:val="1"/>
      <w:numFmt w:val="lowerRoman"/>
      <w:pStyle w:val="11"/>
      <w:lvlText w:val="%9."/>
      <w:lvlJc w:val="right"/>
      <w:pPr>
        <w:tabs>
          <w:tab w:val="left" w:pos="3780"/>
        </w:tabs>
        <w:ind w:left="3780" w:hanging="420"/>
      </w:pPr>
    </w:lvl>
  </w:abstractNum>
  <w:abstractNum w:abstractNumId="5">
    <w:nsid w:val="00000006"/>
    <w:multiLevelType w:val="singleLevel"/>
    <w:tmpl w:val="00000006"/>
    <w:lvl w:ilvl="0" w:tentative="0">
      <w:start w:val="1"/>
      <w:numFmt w:val="decimal"/>
      <w:suff w:val="nothing"/>
      <w:lvlText w:val="%1、"/>
      <w:lvlJc w:val="left"/>
    </w:lvl>
  </w:abstractNum>
  <w:abstractNum w:abstractNumId="6">
    <w:nsid w:val="00000007"/>
    <w:multiLevelType w:val="singleLevel"/>
    <w:tmpl w:val="00000007"/>
    <w:lvl w:ilvl="0" w:tentative="0">
      <w:start w:val="1"/>
      <w:numFmt w:val="chineseCounting"/>
      <w:pStyle w:val="324"/>
      <w:suff w:val="nothing"/>
      <w:lvlText w:val="%1、"/>
      <w:lvlJc w:val="left"/>
    </w:lvl>
  </w:abstractNum>
  <w:abstractNum w:abstractNumId="7">
    <w:nsid w:val="0000000B"/>
    <w:multiLevelType w:val="singleLevel"/>
    <w:tmpl w:val="0000000B"/>
    <w:lvl w:ilvl="0" w:tentative="0">
      <w:start w:val="1"/>
      <w:numFmt w:val="decimal"/>
      <w:suff w:val="nothing"/>
      <w:lvlText w:val="（%1）"/>
      <w:lvlJc w:val="left"/>
      <w:pPr>
        <w:ind w:firstLine="400"/>
      </w:pPr>
      <w:rPr>
        <w:rFonts w:hint="default"/>
      </w:rPr>
    </w:lvl>
  </w:abstractNum>
  <w:abstractNum w:abstractNumId="8">
    <w:nsid w:val="0000000C"/>
    <w:multiLevelType w:val="singleLevel"/>
    <w:tmpl w:val="0000000C"/>
    <w:lvl w:ilvl="0" w:tentative="0">
      <w:start w:val="11"/>
      <w:numFmt w:val="decimal"/>
      <w:suff w:val="nothing"/>
      <w:lvlText w:val="%1."/>
      <w:lvlJc w:val="left"/>
    </w:lvl>
  </w:abstractNum>
  <w:abstractNum w:abstractNumId="9">
    <w:nsid w:val="0000000D"/>
    <w:multiLevelType w:val="singleLevel"/>
    <w:tmpl w:val="0000000D"/>
    <w:lvl w:ilvl="0" w:tentative="0">
      <w:start w:val="1"/>
      <w:numFmt w:val="decimal"/>
      <w:lvlText w:val="%1."/>
      <w:lvlJc w:val="left"/>
      <w:pPr>
        <w:tabs>
          <w:tab w:val="left" w:pos="1200"/>
        </w:tabs>
        <w:ind w:left="1200" w:hanging="360"/>
      </w:pPr>
    </w:lvl>
  </w:abstractNum>
  <w:abstractNum w:abstractNumId="10">
    <w:nsid w:val="00000015"/>
    <w:multiLevelType w:val="singleLevel"/>
    <w:tmpl w:val="00000015"/>
    <w:lvl w:ilvl="0" w:tentative="0">
      <w:start w:val="2"/>
      <w:numFmt w:val="decimal"/>
      <w:suff w:val="nothing"/>
      <w:lvlText w:val="%1、"/>
      <w:lvlJc w:val="left"/>
    </w:lvl>
  </w:abstractNum>
  <w:abstractNum w:abstractNumId="11">
    <w:nsid w:val="0000001F"/>
    <w:multiLevelType w:val="multilevel"/>
    <w:tmpl w:val="0000001F"/>
    <w:lvl w:ilvl="0" w:tentative="0">
      <w:start w:val="1"/>
      <w:numFmt w:val="decimal"/>
      <w:pStyle w:val="153"/>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2">
    <w:nsid w:val="0485011F"/>
    <w:multiLevelType w:val="singleLevel"/>
    <w:tmpl w:val="0485011F"/>
    <w:lvl w:ilvl="0" w:tentative="0">
      <w:start w:val="1"/>
      <w:numFmt w:val="decimal"/>
      <w:lvlText w:val="(%1)"/>
      <w:lvlJc w:val="left"/>
      <w:pPr>
        <w:ind w:left="851" w:hanging="425"/>
      </w:pPr>
      <w:rPr>
        <w:rFonts w:hint="default"/>
      </w:rPr>
    </w:lvl>
  </w:abstractNum>
  <w:abstractNum w:abstractNumId="13">
    <w:nsid w:val="0A945848"/>
    <w:multiLevelType w:val="singleLevel"/>
    <w:tmpl w:val="0A945848"/>
    <w:lvl w:ilvl="0" w:tentative="0">
      <w:start w:val="2"/>
      <w:numFmt w:val="chineseCounting"/>
      <w:suff w:val="space"/>
      <w:lvlText w:val="第%1章"/>
      <w:lvlJc w:val="left"/>
      <w:rPr>
        <w:rFonts w:hint="eastAsia"/>
      </w:rPr>
    </w:lvl>
  </w:abstractNum>
  <w:abstractNum w:abstractNumId="14">
    <w:nsid w:val="0E5A4BA2"/>
    <w:multiLevelType w:val="multilevel"/>
    <w:tmpl w:val="0E5A4BA2"/>
    <w:lvl w:ilvl="0" w:tentative="0">
      <w:start w:val="1"/>
      <w:numFmt w:val="chineseCountingThousand"/>
      <w:pStyle w:val="147"/>
      <w:lvlText w:val="第%1章"/>
      <w:lvlJc w:val="left"/>
      <w:pPr>
        <w:ind w:left="425" w:hanging="425"/>
      </w:pPr>
      <w:rPr>
        <w:rFonts w:hint="eastAsia"/>
        <w:sz w:val="36"/>
        <w:szCs w:val="36"/>
      </w:rPr>
    </w:lvl>
    <w:lvl w:ilvl="1" w:tentative="0">
      <w:start w:val="1"/>
      <w:numFmt w:val="decimal"/>
      <w:isLgl/>
      <w:lvlText w:val="%1.%2"/>
      <w:lvlJc w:val="left"/>
      <w:pPr>
        <w:ind w:left="992" w:hanging="567"/>
      </w:pPr>
      <w:rPr>
        <w:rFonts w:hint="eastAsia"/>
      </w:rPr>
    </w:lvl>
    <w:lvl w:ilvl="2" w:tentative="0">
      <w:start w:val="1"/>
      <w:numFmt w:val="decimal"/>
      <w:isLgl/>
      <w:lvlText w:val="%1.%2.%3"/>
      <w:lvlJc w:val="left"/>
      <w:pPr>
        <w:ind w:left="1418" w:hanging="567"/>
      </w:pPr>
      <w:rPr>
        <w:rFonts w:hint="eastAsia"/>
      </w:rPr>
    </w:lvl>
    <w:lvl w:ilvl="3" w:tentative="0">
      <w:start w:val="1"/>
      <w:numFmt w:val="decimal"/>
      <w:isLgl/>
      <w:lvlText w:val="%1.%2.%3.%4"/>
      <w:lvlJc w:val="left"/>
      <w:pPr>
        <w:ind w:left="1984" w:hanging="708"/>
      </w:pPr>
      <w:rPr>
        <w:rFonts w:hint="eastAsia"/>
      </w:rPr>
    </w:lvl>
    <w:lvl w:ilvl="4" w:tentative="0">
      <w:start w:val="1"/>
      <w:numFmt w:val="decimal"/>
      <w:pStyle w:val="254"/>
      <w:isLgl/>
      <w:lvlText w:val="%1.%2.%3.%4.%5"/>
      <w:lvlJc w:val="left"/>
      <w:pPr>
        <w:ind w:left="2551" w:hanging="850"/>
      </w:pPr>
      <w:rPr>
        <w:rFonts w:hint="eastAsia"/>
      </w:rPr>
    </w:lvl>
    <w:lvl w:ilvl="5" w:tentative="0">
      <w:start w:val="1"/>
      <w:numFmt w:val="decimal"/>
      <w:isLgl/>
      <w:lvlText w:val="%1.%2.%3.%4.%5.%6"/>
      <w:lvlJc w:val="left"/>
      <w:pPr>
        <w:ind w:left="3260" w:hanging="1134"/>
      </w:pPr>
      <w:rPr>
        <w:rFonts w:hint="eastAsia"/>
      </w:rPr>
    </w:lvl>
    <w:lvl w:ilvl="6" w:tentative="0">
      <w:start w:val="1"/>
      <w:numFmt w:val="decimal"/>
      <w:isLgl/>
      <w:lvlText w:val="%1.%2.%3.%4.%5.%6.%7"/>
      <w:lvlJc w:val="left"/>
      <w:pPr>
        <w:ind w:left="3827" w:hanging="1276"/>
      </w:pPr>
      <w:rPr>
        <w:rFonts w:hint="eastAsia"/>
      </w:rPr>
    </w:lvl>
    <w:lvl w:ilvl="7" w:tentative="0">
      <w:start w:val="1"/>
      <w:numFmt w:val="decimal"/>
      <w:isLgl/>
      <w:lvlText w:val="%1.%2.%3.%4.%5.%6.%7.%8"/>
      <w:lvlJc w:val="left"/>
      <w:pPr>
        <w:ind w:left="4394" w:hanging="1418"/>
      </w:pPr>
      <w:rPr>
        <w:rFonts w:hint="eastAsia"/>
      </w:rPr>
    </w:lvl>
    <w:lvl w:ilvl="8" w:tentative="0">
      <w:start w:val="1"/>
      <w:numFmt w:val="decimal"/>
      <w:isLgl/>
      <w:lvlText w:val="%1.%2.%3.%4.%5.%6.%7.%8.%9"/>
      <w:lvlJc w:val="left"/>
      <w:pPr>
        <w:ind w:left="5102" w:hanging="1700"/>
      </w:pPr>
      <w:rPr>
        <w:rFonts w:hint="eastAsia"/>
      </w:rPr>
    </w:lvl>
  </w:abstractNum>
  <w:abstractNum w:abstractNumId="15">
    <w:nsid w:val="1AB70387"/>
    <w:multiLevelType w:val="singleLevel"/>
    <w:tmpl w:val="1AB70387"/>
    <w:lvl w:ilvl="0" w:tentative="0">
      <w:start w:val="1"/>
      <w:numFmt w:val="chineseCounting"/>
      <w:suff w:val="nothing"/>
      <w:lvlText w:val="%1、"/>
      <w:lvlJc w:val="left"/>
      <w:rPr>
        <w:rFonts w:hint="eastAsia"/>
      </w:rPr>
    </w:lvl>
  </w:abstractNum>
  <w:abstractNum w:abstractNumId="16">
    <w:nsid w:val="22926F30"/>
    <w:multiLevelType w:val="multilevel"/>
    <w:tmpl w:val="22926F30"/>
    <w:lvl w:ilvl="0" w:tentative="0">
      <w:start w:val="1"/>
      <w:numFmt w:val="chineseCounting"/>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7">
    <w:nsid w:val="29D120CC"/>
    <w:multiLevelType w:val="singleLevel"/>
    <w:tmpl w:val="29D120CC"/>
    <w:lvl w:ilvl="0" w:tentative="0">
      <w:start w:val="1"/>
      <w:numFmt w:val="decimal"/>
      <w:suff w:val="nothing"/>
      <w:lvlText w:val="（%1）"/>
      <w:lvlJc w:val="left"/>
    </w:lvl>
  </w:abstractNum>
  <w:abstractNum w:abstractNumId="18">
    <w:nsid w:val="2C5917C3"/>
    <w:multiLevelType w:val="multilevel"/>
    <w:tmpl w:val="2C5917C3"/>
    <w:lvl w:ilvl="0" w:tentative="0">
      <w:start w:val="1"/>
      <w:numFmt w:val="none"/>
      <w:suff w:val="nothing"/>
      <w:lvlText w:val="%1——"/>
      <w:lvlJc w:val="left"/>
      <w:pPr>
        <w:ind w:left="2393" w:hanging="408"/>
      </w:pPr>
    </w:lvl>
    <w:lvl w:ilvl="1" w:tentative="0">
      <w:start w:val="1"/>
      <w:numFmt w:val="bullet"/>
      <w:pStyle w:val="235"/>
      <w:lvlText w:val=""/>
      <w:lvlJc w:val="left"/>
      <w:pPr>
        <w:tabs>
          <w:tab w:val="left" w:pos="760"/>
        </w:tabs>
        <w:ind w:left="1264" w:hanging="413"/>
      </w:pPr>
      <w:rPr>
        <w:rFonts w:hint="default" w:ascii="Symbol" w:hAnsi="Symbol" w:cs="Symbol"/>
        <w:color w:val="auto"/>
      </w:rPr>
    </w:lvl>
    <w:lvl w:ilvl="2" w:tentative="0">
      <w:start w:val="1"/>
      <w:numFmt w:val="bullet"/>
      <w:pStyle w:val="210"/>
      <w:lvlText w:val=""/>
      <w:lvlJc w:val="left"/>
      <w:pPr>
        <w:tabs>
          <w:tab w:val="left" w:pos="1678"/>
        </w:tabs>
        <w:ind w:left="1678" w:hanging="414"/>
      </w:pPr>
      <w:rPr>
        <w:rFonts w:hint="default" w:ascii="Symbol" w:hAnsi="Symbol" w:cs="Symbol"/>
        <w:color w:val="auto"/>
      </w:rPr>
    </w:lvl>
    <w:lvl w:ilvl="3" w:tentative="0">
      <w:start w:val="1"/>
      <w:numFmt w:val="decimal"/>
      <w:lvlText w:val="%4."/>
      <w:lvlJc w:val="left"/>
      <w:pPr>
        <w:tabs>
          <w:tab w:val="left" w:pos="2071"/>
        </w:tabs>
        <w:ind w:left="1884" w:hanging="528"/>
      </w:pPr>
    </w:lvl>
    <w:lvl w:ilvl="4" w:tentative="0">
      <w:start w:val="1"/>
      <w:numFmt w:val="lowerLetter"/>
      <w:lvlText w:val="%5)"/>
      <w:lvlJc w:val="left"/>
      <w:pPr>
        <w:tabs>
          <w:tab w:val="left" w:pos="2383"/>
        </w:tabs>
        <w:ind w:left="2196" w:hanging="528"/>
      </w:pPr>
    </w:lvl>
    <w:lvl w:ilvl="5" w:tentative="0">
      <w:start w:val="1"/>
      <w:numFmt w:val="lowerRoman"/>
      <w:lvlText w:val="%6."/>
      <w:lvlJc w:val="right"/>
      <w:pPr>
        <w:tabs>
          <w:tab w:val="left" w:pos="2695"/>
        </w:tabs>
        <w:ind w:left="2508" w:hanging="528"/>
      </w:pPr>
    </w:lvl>
    <w:lvl w:ilvl="6" w:tentative="0">
      <w:start w:val="1"/>
      <w:numFmt w:val="decimal"/>
      <w:lvlText w:val="%7."/>
      <w:lvlJc w:val="left"/>
      <w:pPr>
        <w:tabs>
          <w:tab w:val="left" w:pos="3007"/>
        </w:tabs>
        <w:ind w:left="2820" w:hanging="528"/>
      </w:pPr>
    </w:lvl>
    <w:lvl w:ilvl="7" w:tentative="0">
      <w:start w:val="1"/>
      <w:numFmt w:val="lowerLetter"/>
      <w:lvlText w:val="%8)"/>
      <w:lvlJc w:val="left"/>
      <w:pPr>
        <w:tabs>
          <w:tab w:val="left" w:pos="3319"/>
        </w:tabs>
        <w:ind w:left="3132" w:hanging="528"/>
      </w:pPr>
    </w:lvl>
    <w:lvl w:ilvl="8" w:tentative="0">
      <w:start w:val="1"/>
      <w:numFmt w:val="lowerRoman"/>
      <w:lvlText w:val="%9."/>
      <w:lvlJc w:val="right"/>
      <w:pPr>
        <w:tabs>
          <w:tab w:val="left" w:pos="3631"/>
        </w:tabs>
        <w:ind w:left="3444" w:hanging="528"/>
      </w:pPr>
    </w:lvl>
  </w:abstractNum>
  <w:abstractNum w:abstractNumId="19">
    <w:nsid w:val="49D5323B"/>
    <w:multiLevelType w:val="multilevel"/>
    <w:tmpl w:val="49D5323B"/>
    <w:lvl w:ilvl="0" w:tentative="0">
      <w:start w:val="1"/>
      <w:numFmt w:val="upperLetter"/>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0">
    <w:nsid w:val="567CFDD7"/>
    <w:multiLevelType w:val="singleLevel"/>
    <w:tmpl w:val="567CFDD7"/>
    <w:lvl w:ilvl="0" w:tentative="0">
      <w:start w:val="1"/>
      <w:numFmt w:val="decimal"/>
      <w:suff w:val="nothing"/>
      <w:lvlText w:val="%1、"/>
      <w:lvlJc w:val="left"/>
    </w:lvl>
  </w:abstractNum>
  <w:abstractNum w:abstractNumId="21">
    <w:nsid w:val="63F9C3A2"/>
    <w:multiLevelType w:val="singleLevel"/>
    <w:tmpl w:val="63F9C3A2"/>
    <w:lvl w:ilvl="0" w:tentative="0">
      <w:start w:val="4"/>
      <w:numFmt w:val="decimal"/>
      <w:lvlText w:val="(%1)"/>
      <w:lvlJc w:val="left"/>
      <w:pPr>
        <w:tabs>
          <w:tab w:val="left" w:pos="840"/>
        </w:tabs>
        <w:ind w:left="845" w:hanging="425"/>
      </w:pPr>
      <w:rPr>
        <w:rFonts w:hint="default"/>
      </w:rPr>
    </w:lvl>
  </w:abstractNum>
  <w:num w:numId="1">
    <w:abstractNumId w:val="4"/>
  </w:num>
  <w:num w:numId="2">
    <w:abstractNumId w:val="14"/>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18"/>
  </w:num>
  <w:num w:numId="6">
    <w:abstractNumId w:val="9"/>
  </w:num>
  <w:num w:numId="7">
    <w:abstractNumId w:val="6"/>
  </w:num>
  <w:num w:numId="8">
    <w:abstractNumId w:val="13"/>
  </w:num>
  <w:num w:numId="9">
    <w:abstractNumId w:val="15"/>
  </w:num>
  <w:num w:numId="10">
    <w:abstractNumId w:val="0"/>
  </w:num>
  <w:num w:numId="11">
    <w:abstractNumId w:val="12"/>
  </w:num>
  <w:num w:numId="12">
    <w:abstractNumId w:val="1"/>
  </w:num>
  <w:num w:numId="13">
    <w:abstractNumId w:val="21"/>
  </w:num>
  <w:num w:numId="14">
    <w:abstractNumId w:val="7"/>
  </w:num>
  <w:num w:numId="15">
    <w:abstractNumId w:val="17"/>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num>
  <w:num w:numId="19">
    <w:abstractNumId w:val="8"/>
  </w:num>
  <w:num w:numId="20">
    <w:abstractNumId w:val="10"/>
  </w:num>
  <w:num w:numId="21">
    <w:abstractNumId w:val="3"/>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BookNames" w:val="?¡ì?????????¡ì?¡ì?"/>
    <w:docVar w:name="commondata" w:val="eyJoZGlkIjoiMTVhMWZiNDQyNjcyYjIyMjUwYzQ4YjMyNWVhODhmZTUifQ=="/>
    <w:docVar w:name="CurUserName" w:val="??¡ì??? ???¡ì??? 1???????¡ì?????¡ì????¡ì???H1h1Level 1 Topic HeadingH11H12H111H13H1... Char"/>
    <w:docVar w:name="DeleteMarces" w:val="?¡ì?????????¡ì?¡ì???~????b ?~??????¡§????"/>
    <w:docVar w:name="DocName" w:val="w:rsidR"/>
    <w:docVar w:name="OldInfo" w:val="??????"/>
  </w:docVars>
  <w:rsids>
    <w:rsidRoot w:val="00172A27"/>
    <w:rsid w:val="000049CD"/>
    <w:rsid w:val="00005E47"/>
    <w:rsid w:val="00010A2C"/>
    <w:rsid w:val="000112D8"/>
    <w:rsid w:val="00015B7B"/>
    <w:rsid w:val="00021FF7"/>
    <w:rsid w:val="000327A3"/>
    <w:rsid w:val="00033472"/>
    <w:rsid w:val="00033B44"/>
    <w:rsid w:val="000345C2"/>
    <w:rsid w:val="00035679"/>
    <w:rsid w:val="00035824"/>
    <w:rsid w:val="00036646"/>
    <w:rsid w:val="00037FFA"/>
    <w:rsid w:val="00041FDA"/>
    <w:rsid w:val="00042A8E"/>
    <w:rsid w:val="0004424B"/>
    <w:rsid w:val="000503C2"/>
    <w:rsid w:val="00053B09"/>
    <w:rsid w:val="00054378"/>
    <w:rsid w:val="0005484E"/>
    <w:rsid w:val="0005668C"/>
    <w:rsid w:val="0006051B"/>
    <w:rsid w:val="0006108D"/>
    <w:rsid w:val="00062050"/>
    <w:rsid w:val="000621A1"/>
    <w:rsid w:val="00062805"/>
    <w:rsid w:val="00063BF3"/>
    <w:rsid w:val="00064033"/>
    <w:rsid w:val="00070469"/>
    <w:rsid w:val="0007142A"/>
    <w:rsid w:val="00071A95"/>
    <w:rsid w:val="000738F4"/>
    <w:rsid w:val="00073E34"/>
    <w:rsid w:val="00074256"/>
    <w:rsid w:val="000803DB"/>
    <w:rsid w:val="00081131"/>
    <w:rsid w:val="0008192E"/>
    <w:rsid w:val="000841BE"/>
    <w:rsid w:val="0008431C"/>
    <w:rsid w:val="00090C82"/>
    <w:rsid w:val="00090EC1"/>
    <w:rsid w:val="00091F00"/>
    <w:rsid w:val="00093C91"/>
    <w:rsid w:val="00093EC1"/>
    <w:rsid w:val="00096271"/>
    <w:rsid w:val="00097AD4"/>
    <w:rsid w:val="00097FF8"/>
    <w:rsid w:val="000A2C88"/>
    <w:rsid w:val="000A3785"/>
    <w:rsid w:val="000A555E"/>
    <w:rsid w:val="000A6393"/>
    <w:rsid w:val="000B00A3"/>
    <w:rsid w:val="000B08DA"/>
    <w:rsid w:val="000B23DC"/>
    <w:rsid w:val="000B26C8"/>
    <w:rsid w:val="000B3673"/>
    <w:rsid w:val="000B3C9B"/>
    <w:rsid w:val="000B4307"/>
    <w:rsid w:val="000B5AE1"/>
    <w:rsid w:val="000B6EA7"/>
    <w:rsid w:val="000C1383"/>
    <w:rsid w:val="000C1EE4"/>
    <w:rsid w:val="000C4B41"/>
    <w:rsid w:val="000C4FDD"/>
    <w:rsid w:val="000C516F"/>
    <w:rsid w:val="000C766B"/>
    <w:rsid w:val="000D0500"/>
    <w:rsid w:val="000D0F41"/>
    <w:rsid w:val="000D1351"/>
    <w:rsid w:val="000D21D7"/>
    <w:rsid w:val="000D2B5A"/>
    <w:rsid w:val="000D5400"/>
    <w:rsid w:val="000D701E"/>
    <w:rsid w:val="000D796C"/>
    <w:rsid w:val="000E12B4"/>
    <w:rsid w:val="000E3D93"/>
    <w:rsid w:val="000E677F"/>
    <w:rsid w:val="000E6B10"/>
    <w:rsid w:val="000E7418"/>
    <w:rsid w:val="000F2188"/>
    <w:rsid w:val="000F2D65"/>
    <w:rsid w:val="000F3F73"/>
    <w:rsid w:val="000F5421"/>
    <w:rsid w:val="000F5648"/>
    <w:rsid w:val="000F598A"/>
    <w:rsid w:val="000F7912"/>
    <w:rsid w:val="00100F91"/>
    <w:rsid w:val="001010CE"/>
    <w:rsid w:val="00102782"/>
    <w:rsid w:val="00103334"/>
    <w:rsid w:val="001055CA"/>
    <w:rsid w:val="001104E3"/>
    <w:rsid w:val="00112436"/>
    <w:rsid w:val="001136FC"/>
    <w:rsid w:val="001174E0"/>
    <w:rsid w:val="00120E07"/>
    <w:rsid w:val="00121864"/>
    <w:rsid w:val="001224BE"/>
    <w:rsid w:val="0012429D"/>
    <w:rsid w:val="00130D10"/>
    <w:rsid w:val="00131C44"/>
    <w:rsid w:val="00133DB3"/>
    <w:rsid w:val="001341A1"/>
    <w:rsid w:val="0013519F"/>
    <w:rsid w:val="00135942"/>
    <w:rsid w:val="001360B5"/>
    <w:rsid w:val="00142C92"/>
    <w:rsid w:val="00144B53"/>
    <w:rsid w:val="00154D49"/>
    <w:rsid w:val="00154DD7"/>
    <w:rsid w:val="00155930"/>
    <w:rsid w:val="00155E94"/>
    <w:rsid w:val="00162B94"/>
    <w:rsid w:val="00162D88"/>
    <w:rsid w:val="0016378D"/>
    <w:rsid w:val="001642A1"/>
    <w:rsid w:val="0016583C"/>
    <w:rsid w:val="00166CD6"/>
    <w:rsid w:val="00167E56"/>
    <w:rsid w:val="0017073C"/>
    <w:rsid w:val="00170CAE"/>
    <w:rsid w:val="00171834"/>
    <w:rsid w:val="00172A27"/>
    <w:rsid w:val="00173BC1"/>
    <w:rsid w:val="00174294"/>
    <w:rsid w:val="00182035"/>
    <w:rsid w:val="001830B3"/>
    <w:rsid w:val="001836DD"/>
    <w:rsid w:val="00183887"/>
    <w:rsid w:val="0018481A"/>
    <w:rsid w:val="00185343"/>
    <w:rsid w:val="0018621B"/>
    <w:rsid w:val="00187EC3"/>
    <w:rsid w:val="0019386F"/>
    <w:rsid w:val="00197508"/>
    <w:rsid w:val="001A0A83"/>
    <w:rsid w:val="001A2A45"/>
    <w:rsid w:val="001A2B1C"/>
    <w:rsid w:val="001A5E8D"/>
    <w:rsid w:val="001A6884"/>
    <w:rsid w:val="001B4BC4"/>
    <w:rsid w:val="001B619E"/>
    <w:rsid w:val="001B6B2C"/>
    <w:rsid w:val="001B6E44"/>
    <w:rsid w:val="001B794C"/>
    <w:rsid w:val="001B7A8D"/>
    <w:rsid w:val="001B7B8F"/>
    <w:rsid w:val="001C01BE"/>
    <w:rsid w:val="001C15EF"/>
    <w:rsid w:val="001C37C0"/>
    <w:rsid w:val="001C3834"/>
    <w:rsid w:val="001C4529"/>
    <w:rsid w:val="001C4D5A"/>
    <w:rsid w:val="001D135E"/>
    <w:rsid w:val="001D288E"/>
    <w:rsid w:val="001D3324"/>
    <w:rsid w:val="001D53BC"/>
    <w:rsid w:val="001D5E95"/>
    <w:rsid w:val="001E17C4"/>
    <w:rsid w:val="001E50D3"/>
    <w:rsid w:val="001E5D07"/>
    <w:rsid w:val="001E5FE6"/>
    <w:rsid w:val="001F2B28"/>
    <w:rsid w:val="001F3DBE"/>
    <w:rsid w:val="001F4201"/>
    <w:rsid w:val="001F6CB8"/>
    <w:rsid w:val="0020163F"/>
    <w:rsid w:val="002031F7"/>
    <w:rsid w:val="00204FEE"/>
    <w:rsid w:val="002065DC"/>
    <w:rsid w:val="0020670E"/>
    <w:rsid w:val="00210618"/>
    <w:rsid w:val="00210718"/>
    <w:rsid w:val="00211417"/>
    <w:rsid w:val="0021304A"/>
    <w:rsid w:val="00213DD0"/>
    <w:rsid w:val="00215274"/>
    <w:rsid w:val="00215FB9"/>
    <w:rsid w:val="002200D7"/>
    <w:rsid w:val="0022194B"/>
    <w:rsid w:val="00222AD3"/>
    <w:rsid w:val="00224FDC"/>
    <w:rsid w:val="002253D6"/>
    <w:rsid w:val="00227059"/>
    <w:rsid w:val="00227649"/>
    <w:rsid w:val="00227C3B"/>
    <w:rsid w:val="00231FCA"/>
    <w:rsid w:val="002328B4"/>
    <w:rsid w:val="00232C22"/>
    <w:rsid w:val="00233A62"/>
    <w:rsid w:val="00234C40"/>
    <w:rsid w:val="00240115"/>
    <w:rsid w:val="00241BD1"/>
    <w:rsid w:val="00244384"/>
    <w:rsid w:val="00245CF3"/>
    <w:rsid w:val="002471B3"/>
    <w:rsid w:val="00250CBF"/>
    <w:rsid w:val="00251145"/>
    <w:rsid w:val="00261BDD"/>
    <w:rsid w:val="00262DCF"/>
    <w:rsid w:val="00262F39"/>
    <w:rsid w:val="00265F1F"/>
    <w:rsid w:val="00267A10"/>
    <w:rsid w:val="0027124A"/>
    <w:rsid w:val="00271804"/>
    <w:rsid w:val="0027610A"/>
    <w:rsid w:val="00280DE3"/>
    <w:rsid w:val="00281821"/>
    <w:rsid w:val="0028661E"/>
    <w:rsid w:val="00287653"/>
    <w:rsid w:val="00287F91"/>
    <w:rsid w:val="00290D16"/>
    <w:rsid w:val="0029114C"/>
    <w:rsid w:val="00292882"/>
    <w:rsid w:val="00293FF2"/>
    <w:rsid w:val="00294A12"/>
    <w:rsid w:val="00295A5A"/>
    <w:rsid w:val="00295B44"/>
    <w:rsid w:val="002963B8"/>
    <w:rsid w:val="00297ED1"/>
    <w:rsid w:val="002A0823"/>
    <w:rsid w:val="002A154C"/>
    <w:rsid w:val="002A3F8E"/>
    <w:rsid w:val="002A56AF"/>
    <w:rsid w:val="002A636E"/>
    <w:rsid w:val="002B0CBD"/>
    <w:rsid w:val="002B2510"/>
    <w:rsid w:val="002B312E"/>
    <w:rsid w:val="002B31AE"/>
    <w:rsid w:val="002B4090"/>
    <w:rsid w:val="002B40ED"/>
    <w:rsid w:val="002B468D"/>
    <w:rsid w:val="002B6ED3"/>
    <w:rsid w:val="002C0D58"/>
    <w:rsid w:val="002C2F3E"/>
    <w:rsid w:val="002C303E"/>
    <w:rsid w:val="002C36B3"/>
    <w:rsid w:val="002C5FEB"/>
    <w:rsid w:val="002C78B6"/>
    <w:rsid w:val="002D0748"/>
    <w:rsid w:val="002D2B7C"/>
    <w:rsid w:val="002D748D"/>
    <w:rsid w:val="002E104E"/>
    <w:rsid w:val="002E2061"/>
    <w:rsid w:val="002E254A"/>
    <w:rsid w:val="002E34E8"/>
    <w:rsid w:val="002E35A6"/>
    <w:rsid w:val="002E38EA"/>
    <w:rsid w:val="002F0249"/>
    <w:rsid w:val="002F0DE5"/>
    <w:rsid w:val="002F63AA"/>
    <w:rsid w:val="002F7F5F"/>
    <w:rsid w:val="00302676"/>
    <w:rsid w:val="0030365B"/>
    <w:rsid w:val="00305438"/>
    <w:rsid w:val="0031042E"/>
    <w:rsid w:val="003152A5"/>
    <w:rsid w:val="003177F8"/>
    <w:rsid w:val="00317C07"/>
    <w:rsid w:val="00323149"/>
    <w:rsid w:val="003271C6"/>
    <w:rsid w:val="00327B34"/>
    <w:rsid w:val="00327CFC"/>
    <w:rsid w:val="0033278E"/>
    <w:rsid w:val="003327E1"/>
    <w:rsid w:val="00333EC5"/>
    <w:rsid w:val="00334227"/>
    <w:rsid w:val="00340AA7"/>
    <w:rsid w:val="003424C4"/>
    <w:rsid w:val="00345DC8"/>
    <w:rsid w:val="00346ED0"/>
    <w:rsid w:val="00346F6A"/>
    <w:rsid w:val="003471D1"/>
    <w:rsid w:val="0035047D"/>
    <w:rsid w:val="00350876"/>
    <w:rsid w:val="003521FA"/>
    <w:rsid w:val="0035337F"/>
    <w:rsid w:val="003541B4"/>
    <w:rsid w:val="003561AC"/>
    <w:rsid w:val="00357848"/>
    <w:rsid w:val="00357E25"/>
    <w:rsid w:val="003616A0"/>
    <w:rsid w:val="00362B7D"/>
    <w:rsid w:val="00362E1D"/>
    <w:rsid w:val="00363E3D"/>
    <w:rsid w:val="00366942"/>
    <w:rsid w:val="00370C44"/>
    <w:rsid w:val="00370C71"/>
    <w:rsid w:val="00371A83"/>
    <w:rsid w:val="00373232"/>
    <w:rsid w:val="00373FB2"/>
    <w:rsid w:val="0037516C"/>
    <w:rsid w:val="0037723A"/>
    <w:rsid w:val="00380634"/>
    <w:rsid w:val="003816EE"/>
    <w:rsid w:val="0038369E"/>
    <w:rsid w:val="00385A22"/>
    <w:rsid w:val="003870C7"/>
    <w:rsid w:val="00392830"/>
    <w:rsid w:val="00395D8E"/>
    <w:rsid w:val="00396D0C"/>
    <w:rsid w:val="003A1EBA"/>
    <w:rsid w:val="003A2C49"/>
    <w:rsid w:val="003A35C8"/>
    <w:rsid w:val="003A58B3"/>
    <w:rsid w:val="003A679A"/>
    <w:rsid w:val="003B1086"/>
    <w:rsid w:val="003B12C9"/>
    <w:rsid w:val="003B351D"/>
    <w:rsid w:val="003B50B9"/>
    <w:rsid w:val="003B62B2"/>
    <w:rsid w:val="003B70A7"/>
    <w:rsid w:val="003B7110"/>
    <w:rsid w:val="003B71DD"/>
    <w:rsid w:val="003C1A3A"/>
    <w:rsid w:val="003C2BB3"/>
    <w:rsid w:val="003C2D4A"/>
    <w:rsid w:val="003C3673"/>
    <w:rsid w:val="003D528C"/>
    <w:rsid w:val="003D7B39"/>
    <w:rsid w:val="003E05CB"/>
    <w:rsid w:val="003E1A91"/>
    <w:rsid w:val="003E32D8"/>
    <w:rsid w:val="003E40E5"/>
    <w:rsid w:val="003F0520"/>
    <w:rsid w:val="003F1BBE"/>
    <w:rsid w:val="003F1EEC"/>
    <w:rsid w:val="003F22A7"/>
    <w:rsid w:val="003F53C0"/>
    <w:rsid w:val="003F6C47"/>
    <w:rsid w:val="0040027F"/>
    <w:rsid w:val="00401340"/>
    <w:rsid w:val="00403306"/>
    <w:rsid w:val="004035A2"/>
    <w:rsid w:val="00406297"/>
    <w:rsid w:val="004077F8"/>
    <w:rsid w:val="0041279A"/>
    <w:rsid w:val="0041294C"/>
    <w:rsid w:val="004139B9"/>
    <w:rsid w:val="0041687A"/>
    <w:rsid w:val="004208B5"/>
    <w:rsid w:val="0042154B"/>
    <w:rsid w:val="0042160A"/>
    <w:rsid w:val="00423EA6"/>
    <w:rsid w:val="00424540"/>
    <w:rsid w:val="00425785"/>
    <w:rsid w:val="004258E1"/>
    <w:rsid w:val="00427D09"/>
    <w:rsid w:val="00435A7F"/>
    <w:rsid w:val="00435BE5"/>
    <w:rsid w:val="00436E97"/>
    <w:rsid w:val="00437095"/>
    <w:rsid w:val="00440ED2"/>
    <w:rsid w:val="004413D3"/>
    <w:rsid w:val="0044147E"/>
    <w:rsid w:val="00442895"/>
    <w:rsid w:val="00443CED"/>
    <w:rsid w:val="00444F94"/>
    <w:rsid w:val="004502D9"/>
    <w:rsid w:val="004522E9"/>
    <w:rsid w:val="004551DA"/>
    <w:rsid w:val="00455863"/>
    <w:rsid w:val="00457AE2"/>
    <w:rsid w:val="00461481"/>
    <w:rsid w:val="00462285"/>
    <w:rsid w:val="00462550"/>
    <w:rsid w:val="004636EC"/>
    <w:rsid w:val="00466AAA"/>
    <w:rsid w:val="0047442F"/>
    <w:rsid w:val="0047495F"/>
    <w:rsid w:val="00477D19"/>
    <w:rsid w:val="004809E5"/>
    <w:rsid w:val="00486554"/>
    <w:rsid w:val="0048771D"/>
    <w:rsid w:val="004905DD"/>
    <w:rsid w:val="00490D43"/>
    <w:rsid w:val="00491088"/>
    <w:rsid w:val="00494BF7"/>
    <w:rsid w:val="00495676"/>
    <w:rsid w:val="004962A4"/>
    <w:rsid w:val="004A0028"/>
    <w:rsid w:val="004A2365"/>
    <w:rsid w:val="004A62DF"/>
    <w:rsid w:val="004A77CB"/>
    <w:rsid w:val="004A7CCC"/>
    <w:rsid w:val="004B0927"/>
    <w:rsid w:val="004B1F7B"/>
    <w:rsid w:val="004B24D8"/>
    <w:rsid w:val="004B2B02"/>
    <w:rsid w:val="004B34E5"/>
    <w:rsid w:val="004B3EEA"/>
    <w:rsid w:val="004B54B3"/>
    <w:rsid w:val="004C1FDA"/>
    <w:rsid w:val="004C459C"/>
    <w:rsid w:val="004C49BE"/>
    <w:rsid w:val="004C5CD3"/>
    <w:rsid w:val="004C608E"/>
    <w:rsid w:val="004D0B92"/>
    <w:rsid w:val="004D6573"/>
    <w:rsid w:val="004E28FB"/>
    <w:rsid w:val="004E4B22"/>
    <w:rsid w:val="004E65EA"/>
    <w:rsid w:val="004F2C1F"/>
    <w:rsid w:val="004F35ED"/>
    <w:rsid w:val="004F54EE"/>
    <w:rsid w:val="004F6BCD"/>
    <w:rsid w:val="004F7116"/>
    <w:rsid w:val="0050178D"/>
    <w:rsid w:val="00501F4A"/>
    <w:rsid w:val="00502312"/>
    <w:rsid w:val="00507B09"/>
    <w:rsid w:val="00507C8E"/>
    <w:rsid w:val="0051211E"/>
    <w:rsid w:val="00513884"/>
    <w:rsid w:val="00514E69"/>
    <w:rsid w:val="00514EA8"/>
    <w:rsid w:val="00517414"/>
    <w:rsid w:val="00521A76"/>
    <w:rsid w:val="00522AFB"/>
    <w:rsid w:val="00524984"/>
    <w:rsid w:val="00524BFE"/>
    <w:rsid w:val="00524C67"/>
    <w:rsid w:val="00525B4D"/>
    <w:rsid w:val="00526FFA"/>
    <w:rsid w:val="00531EAC"/>
    <w:rsid w:val="00532C24"/>
    <w:rsid w:val="00532D32"/>
    <w:rsid w:val="00533DB4"/>
    <w:rsid w:val="005352C8"/>
    <w:rsid w:val="005401BB"/>
    <w:rsid w:val="0054028B"/>
    <w:rsid w:val="00540988"/>
    <w:rsid w:val="0054197C"/>
    <w:rsid w:val="0054570C"/>
    <w:rsid w:val="0054648E"/>
    <w:rsid w:val="00546539"/>
    <w:rsid w:val="00553F5D"/>
    <w:rsid w:val="00554C69"/>
    <w:rsid w:val="00556C4F"/>
    <w:rsid w:val="005571E2"/>
    <w:rsid w:val="0056035A"/>
    <w:rsid w:val="00560FE1"/>
    <w:rsid w:val="00561D09"/>
    <w:rsid w:val="00562337"/>
    <w:rsid w:val="005642A5"/>
    <w:rsid w:val="005650BD"/>
    <w:rsid w:val="0056547C"/>
    <w:rsid w:val="005674B8"/>
    <w:rsid w:val="00567A61"/>
    <w:rsid w:val="00571F65"/>
    <w:rsid w:val="00573306"/>
    <w:rsid w:val="00576B6F"/>
    <w:rsid w:val="0058144F"/>
    <w:rsid w:val="005827D4"/>
    <w:rsid w:val="00584321"/>
    <w:rsid w:val="005847B5"/>
    <w:rsid w:val="0059160B"/>
    <w:rsid w:val="00592DC3"/>
    <w:rsid w:val="005939CE"/>
    <w:rsid w:val="00594015"/>
    <w:rsid w:val="005940DD"/>
    <w:rsid w:val="0059504E"/>
    <w:rsid w:val="00596D40"/>
    <w:rsid w:val="005A766E"/>
    <w:rsid w:val="005A7FAB"/>
    <w:rsid w:val="005B093C"/>
    <w:rsid w:val="005B106A"/>
    <w:rsid w:val="005B2699"/>
    <w:rsid w:val="005B2916"/>
    <w:rsid w:val="005B3820"/>
    <w:rsid w:val="005B427D"/>
    <w:rsid w:val="005B52FA"/>
    <w:rsid w:val="005B684A"/>
    <w:rsid w:val="005C368E"/>
    <w:rsid w:val="005D1127"/>
    <w:rsid w:val="005D3490"/>
    <w:rsid w:val="005D4230"/>
    <w:rsid w:val="005D77E2"/>
    <w:rsid w:val="005E239D"/>
    <w:rsid w:val="005E599E"/>
    <w:rsid w:val="005F0DAA"/>
    <w:rsid w:val="005F1B69"/>
    <w:rsid w:val="005F4991"/>
    <w:rsid w:val="00601652"/>
    <w:rsid w:val="00602BC9"/>
    <w:rsid w:val="00602CDC"/>
    <w:rsid w:val="0060375E"/>
    <w:rsid w:val="00603A96"/>
    <w:rsid w:val="006058A7"/>
    <w:rsid w:val="006060E2"/>
    <w:rsid w:val="0061249A"/>
    <w:rsid w:val="0061390C"/>
    <w:rsid w:val="006143C0"/>
    <w:rsid w:val="00616750"/>
    <w:rsid w:val="00617400"/>
    <w:rsid w:val="00620E3B"/>
    <w:rsid w:val="0062353A"/>
    <w:rsid w:val="00623FD6"/>
    <w:rsid w:val="0062432F"/>
    <w:rsid w:val="00626F6F"/>
    <w:rsid w:val="00634E05"/>
    <w:rsid w:val="006352D5"/>
    <w:rsid w:val="00643F5A"/>
    <w:rsid w:val="006444EA"/>
    <w:rsid w:val="00646114"/>
    <w:rsid w:val="006465FE"/>
    <w:rsid w:val="006541D7"/>
    <w:rsid w:val="00654D43"/>
    <w:rsid w:val="00660852"/>
    <w:rsid w:val="00661315"/>
    <w:rsid w:val="00662AFA"/>
    <w:rsid w:val="00665E1F"/>
    <w:rsid w:val="0066703F"/>
    <w:rsid w:val="0067095C"/>
    <w:rsid w:val="00673B27"/>
    <w:rsid w:val="00675C56"/>
    <w:rsid w:val="00684DD4"/>
    <w:rsid w:val="00685D97"/>
    <w:rsid w:val="00691BA9"/>
    <w:rsid w:val="00693B4A"/>
    <w:rsid w:val="0069442A"/>
    <w:rsid w:val="006952FD"/>
    <w:rsid w:val="006A0711"/>
    <w:rsid w:val="006A219C"/>
    <w:rsid w:val="006A573B"/>
    <w:rsid w:val="006A6F2A"/>
    <w:rsid w:val="006B0474"/>
    <w:rsid w:val="006B075F"/>
    <w:rsid w:val="006B4255"/>
    <w:rsid w:val="006B44E1"/>
    <w:rsid w:val="006B4EB6"/>
    <w:rsid w:val="006C3420"/>
    <w:rsid w:val="006C3E04"/>
    <w:rsid w:val="006D157E"/>
    <w:rsid w:val="006D23F3"/>
    <w:rsid w:val="006D34F5"/>
    <w:rsid w:val="006D367C"/>
    <w:rsid w:val="006D5B61"/>
    <w:rsid w:val="006D7BB3"/>
    <w:rsid w:val="006D7CCA"/>
    <w:rsid w:val="006E0AC6"/>
    <w:rsid w:val="006E2754"/>
    <w:rsid w:val="006E2839"/>
    <w:rsid w:val="006E58B3"/>
    <w:rsid w:val="006E6C95"/>
    <w:rsid w:val="006F036C"/>
    <w:rsid w:val="006F2D4E"/>
    <w:rsid w:val="006F4088"/>
    <w:rsid w:val="006F41D9"/>
    <w:rsid w:val="006F46AD"/>
    <w:rsid w:val="006F52DC"/>
    <w:rsid w:val="006F6CB0"/>
    <w:rsid w:val="0070020C"/>
    <w:rsid w:val="00700396"/>
    <w:rsid w:val="00703367"/>
    <w:rsid w:val="007057EF"/>
    <w:rsid w:val="0071043E"/>
    <w:rsid w:val="00710C1A"/>
    <w:rsid w:val="00712118"/>
    <w:rsid w:val="00712282"/>
    <w:rsid w:val="00715468"/>
    <w:rsid w:val="00716DC3"/>
    <w:rsid w:val="00717ECD"/>
    <w:rsid w:val="007209FB"/>
    <w:rsid w:val="00721AC0"/>
    <w:rsid w:val="00721B0C"/>
    <w:rsid w:val="00723BD9"/>
    <w:rsid w:val="007254C9"/>
    <w:rsid w:val="007265A9"/>
    <w:rsid w:val="0073012C"/>
    <w:rsid w:val="007333C0"/>
    <w:rsid w:val="00733B25"/>
    <w:rsid w:val="00734CB6"/>
    <w:rsid w:val="00735C00"/>
    <w:rsid w:val="00737487"/>
    <w:rsid w:val="007411EC"/>
    <w:rsid w:val="00741CFA"/>
    <w:rsid w:val="00744C4B"/>
    <w:rsid w:val="00744C7C"/>
    <w:rsid w:val="00744FBE"/>
    <w:rsid w:val="0075011A"/>
    <w:rsid w:val="0075236A"/>
    <w:rsid w:val="00752915"/>
    <w:rsid w:val="00754AA6"/>
    <w:rsid w:val="00757C9B"/>
    <w:rsid w:val="0076223C"/>
    <w:rsid w:val="00764A29"/>
    <w:rsid w:val="00767265"/>
    <w:rsid w:val="00767DBB"/>
    <w:rsid w:val="007722F2"/>
    <w:rsid w:val="00773232"/>
    <w:rsid w:val="007735B6"/>
    <w:rsid w:val="0077451F"/>
    <w:rsid w:val="00780AFB"/>
    <w:rsid w:val="0078513E"/>
    <w:rsid w:val="00785739"/>
    <w:rsid w:val="0078653A"/>
    <w:rsid w:val="00786631"/>
    <w:rsid w:val="00786D33"/>
    <w:rsid w:val="007908DD"/>
    <w:rsid w:val="007942B9"/>
    <w:rsid w:val="007961D5"/>
    <w:rsid w:val="007A2065"/>
    <w:rsid w:val="007A3406"/>
    <w:rsid w:val="007A3FC3"/>
    <w:rsid w:val="007A40EF"/>
    <w:rsid w:val="007A5D19"/>
    <w:rsid w:val="007A6268"/>
    <w:rsid w:val="007A641D"/>
    <w:rsid w:val="007A6977"/>
    <w:rsid w:val="007B25EC"/>
    <w:rsid w:val="007B304D"/>
    <w:rsid w:val="007B5289"/>
    <w:rsid w:val="007B533A"/>
    <w:rsid w:val="007B707F"/>
    <w:rsid w:val="007C0393"/>
    <w:rsid w:val="007C137C"/>
    <w:rsid w:val="007C4CA4"/>
    <w:rsid w:val="007C5A0B"/>
    <w:rsid w:val="007D0422"/>
    <w:rsid w:val="007D255C"/>
    <w:rsid w:val="007D3B05"/>
    <w:rsid w:val="007D5A45"/>
    <w:rsid w:val="007D6024"/>
    <w:rsid w:val="007D7FC1"/>
    <w:rsid w:val="007E104B"/>
    <w:rsid w:val="007E1EFD"/>
    <w:rsid w:val="007E2E82"/>
    <w:rsid w:val="007E4B2B"/>
    <w:rsid w:val="007E4E7A"/>
    <w:rsid w:val="007E58D2"/>
    <w:rsid w:val="007E6978"/>
    <w:rsid w:val="007E6CA3"/>
    <w:rsid w:val="007E7413"/>
    <w:rsid w:val="007F5B8E"/>
    <w:rsid w:val="007F6240"/>
    <w:rsid w:val="007F71BE"/>
    <w:rsid w:val="0080141A"/>
    <w:rsid w:val="008019F1"/>
    <w:rsid w:val="0080239E"/>
    <w:rsid w:val="00802B71"/>
    <w:rsid w:val="008033AB"/>
    <w:rsid w:val="00803CEB"/>
    <w:rsid w:val="008041AB"/>
    <w:rsid w:val="00805878"/>
    <w:rsid w:val="00811461"/>
    <w:rsid w:val="0081503C"/>
    <w:rsid w:val="00815A72"/>
    <w:rsid w:val="008163CB"/>
    <w:rsid w:val="00816A8B"/>
    <w:rsid w:val="008176F5"/>
    <w:rsid w:val="008244DD"/>
    <w:rsid w:val="00831FEA"/>
    <w:rsid w:val="0083397E"/>
    <w:rsid w:val="008350D7"/>
    <w:rsid w:val="00836588"/>
    <w:rsid w:val="00837832"/>
    <w:rsid w:val="0084036C"/>
    <w:rsid w:val="008409A3"/>
    <w:rsid w:val="00840B81"/>
    <w:rsid w:val="00844985"/>
    <w:rsid w:val="00846663"/>
    <w:rsid w:val="00850251"/>
    <w:rsid w:val="008507F9"/>
    <w:rsid w:val="008509C0"/>
    <w:rsid w:val="00850CA9"/>
    <w:rsid w:val="0085311B"/>
    <w:rsid w:val="00857C85"/>
    <w:rsid w:val="00861E94"/>
    <w:rsid w:val="00863AE8"/>
    <w:rsid w:val="008643C1"/>
    <w:rsid w:val="00864C0B"/>
    <w:rsid w:val="0086628D"/>
    <w:rsid w:val="008665A8"/>
    <w:rsid w:val="00871043"/>
    <w:rsid w:val="0087191A"/>
    <w:rsid w:val="00871B11"/>
    <w:rsid w:val="00874338"/>
    <w:rsid w:val="00874697"/>
    <w:rsid w:val="00884779"/>
    <w:rsid w:val="00886CB3"/>
    <w:rsid w:val="0089142B"/>
    <w:rsid w:val="00891451"/>
    <w:rsid w:val="008915FB"/>
    <w:rsid w:val="00891CBA"/>
    <w:rsid w:val="00891DE5"/>
    <w:rsid w:val="00892629"/>
    <w:rsid w:val="00893905"/>
    <w:rsid w:val="00895A4F"/>
    <w:rsid w:val="008A12C6"/>
    <w:rsid w:val="008A1755"/>
    <w:rsid w:val="008A30D8"/>
    <w:rsid w:val="008A40B4"/>
    <w:rsid w:val="008A517F"/>
    <w:rsid w:val="008A7415"/>
    <w:rsid w:val="008B0BC9"/>
    <w:rsid w:val="008B1454"/>
    <w:rsid w:val="008B1BBE"/>
    <w:rsid w:val="008B3568"/>
    <w:rsid w:val="008B46A0"/>
    <w:rsid w:val="008B5055"/>
    <w:rsid w:val="008B5401"/>
    <w:rsid w:val="008C09E6"/>
    <w:rsid w:val="008C1D52"/>
    <w:rsid w:val="008C1DEC"/>
    <w:rsid w:val="008C1EB6"/>
    <w:rsid w:val="008C272F"/>
    <w:rsid w:val="008C4165"/>
    <w:rsid w:val="008C73C6"/>
    <w:rsid w:val="008C7C24"/>
    <w:rsid w:val="008D0BFD"/>
    <w:rsid w:val="008D1A96"/>
    <w:rsid w:val="008D39FF"/>
    <w:rsid w:val="008D7D9F"/>
    <w:rsid w:val="008E0F28"/>
    <w:rsid w:val="008E26D5"/>
    <w:rsid w:val="008E31AF"/>
    <w:rsid w:val="008E7B87"/>
    <w:rsid w:val="00900515"/>
    <w:rsid w:val="009012F6"/>
    <w:rsid w:val="009042F3"/>
    <w:rsid w:val="00906CEC"/>
    <w:rsid w:val="009077FD"/>
    <w:rsid w:val="00911BCA"/>
    <w:rsid w:val="0091394E"/>
    <w:rsid w:val="00920D99"/>
    <w:rsid w:val="009218E5"/>
    <w:rsid w:val="0092266F"/>
    <w:rsid w:val="009236A2"/>
    <w:rsid w:val="00923721"/>
    <w:rsid w:val="00924E25"/>
    <w:rsid w:val="00930A6F"/>
    <w:rsid w:val="009314F8"/>
    <w:rsid w:val="00933A1D"/>
    <w:rsid w:val="0093432E"/>
    <w:rsid w:val="009349B4"/>
    <w:rsid w:val="00935477"/>
    <w:rsid w:val="0093552B"/>
    <w:rsid w:val="009402DA"/>
    <w:rsid w:val="009406A0"/>
    <w:rsid w:val="00940E05"/>
    <w:rsid w:val="00940FF4"/>
    <w:rsid w:val="00941307"/>
    <w:rsid w:val="009462DB"/>
    <w:rsid w:val="00947918"/>
    <w:rsid w:val="00947DED"/>
    <w:rsid w:val="00951148"/>
    <w:rsid w:val="0095225A"/>
    <w:rsid w:val="00953404"/>
    <w:rsid w:val="009554B4"/>
    <w:rsid w:val="00957791"/>
    <w:rsid w:val="0095783B"/>
    <w:rsid w:val="009641F4"/>
    <w:rsid w:val="00966C37"/>
    <w:rsid w:val="00966EE5"/>
    <w:rsid w:val="009670AC"/>
    <w:rsid w:val="009673F7"/>
    <w:rsid w:val="009674C4"/>
    <w:rsid w:val="00967B6F"/>
    <w:rsid w:val="00967E7F"/>
    <w:rsid w:val="00970C1A"/>
    <w:rsid w:val="00974596"/>
    <w:rsid w:val="00974E25"/>
    <w:rsid w:val="009801C8"/>
    <w:rsid w:val="009838EC"/>
    <w:rsid w:val="00984837"/>
    <w:rsid w:val="0098633E"/>
    <w:rsid w:val="00990014"/>
    <w:rsid w:val="00990D10"/>
    <w:rsid w:val="00992927"/>
    <w:rsid w:val="00996D01"/>
    <w:rsid w:val="009A1C10"/>
    <w:rsid w:val="009A2C46"/>
    <w:rsid w:val="009A2EA7"/>
    <w:rsid w:val="009A356C"/>
    <w:rsid w:val="009A3DA5"/>
    <w:rsid w:val="009A7F20"/>
    <w:rsid w:val="009B5659"/>
    <w:rsid w:val="009C1D4C"/>
    <w:rsid w:val="009C2EC1"/>
    <w:rsid w:val="009C35FF"/>
    <w:rsid w:val="009C36A9"/>
    <w:rsid w:val="009C4476"/>
    <w:rsid w:val="009C512B"/>
    <w:rsid w:val="009D380B"/>
    <w:rsid w:val="009D66D8"/>
    <w:rsid w:val="009D68B6"/>
    <w:rsid w:val="009D71A9"/>
    <w:rsid w:val="009D7384"/>
    <w:rsid w:val="009D76AE"/>
    <w:rsid w:val="009D7F44"/>
    <w:rsid w:val="009E10FD"/>
    <w:rsid w:val="009E1D76"/>
    <w:rsid w:val="009E2EAD"/>
    <w:rsid w:val="009E3155"/>
    <w:rsid w:val="009E4B58"/>
    <w:rsid w:val="009F0CB0"/>
    <w:rsid w:val="009F588F"/>
    <w:rsid w:val="009F6C9F"/>
    <w:rsid w:val="009F7C7A"/>
    <w:rsid w:val="00A01D1B"/>
    <w:rsid w:val="00A02197"/>
    <w:rsid w:val="00A02A49"/>
    <w:rsid w:val="00A0364A"/>
    <w:rsid w:val="00A05943"/>
    <w:rsid w:val="00A062D0"/>
    <w:rsid w:val="00A17C60"/>
    <w:rsid w:val="00A225F3"/>
    <w:rsid w:val="00A22A5E"/>
    <w:rsid w:val="00A22CC6"/>
    <w:rsid w:val="00A246B5"/>
    <w:rsid w:val="00A25720"/>
    <w:rsid w:val="00A260F4"/>
    <w:rsid w:val="00A26EB6"/>
    <w:rsid w:val="00A274AC"/>
    <w:rsid w:val="00A27B08"/>
    <w:rsid w:val="00A32DBF"/>
    <w:rsid w:val="00A34640"/>
    <w:rsid w:val="00A36912"/>
    <w:rsid w:val="00A42F3F"/>
    <w:rsid w:val="00A51C1C"/>
    <w:rsid w:val="00A51F4B"/>
    <w:rsid w:val="00A526A3"/>
    <w:rsid w:val="00A5293E"/>
    <w:rsid w:val="00A535B3"/>
    <w:rsid w:val="00A6135B"/>
    <w:rsid w:val="00A637B2"/>
    <w:rsid w:val="00A63D08"/>
    <w:rsid w:val="00A64CAB"/>
    <w:rsid w:val="00A67931"/>
    <w:rsid w:val="00A702D7"/>
    <w:rsid w:val="00A70E22"/>
    <w:rsid w:val="00A7192B"/>
    <w:rsid w:val="00A7475B"/>
    <w:rsid w:val="00A7494B"/>
    <w:rsid w:val="00A74E9A"/>
    <w:rsid w:val="00A7512F"/>
    <w:rsid w:val="00A76B86"/>
    <w:rsid w:val="00A77C6B"/>
    <w:rsid w:val="00A81520"/>
    <w:rsid w:val="00A82AC0"/>
    <w:rsid w:val="00A84270"/>
    <w:rsid w:val="00A9149B"/>
    <w:rsid w:val="00A91866"/>
    <w:rsid w:val="00A9234B"/>
    <w:rsid w:val="00A950BE"/>
    <w:rsid w:val="00A969B1"/>
    <w:rsid w:val="00AA0013"/>
    <w:rsid w:val="00AA0923"/>
    <w:rsid w:val="00AA3781"/>
    <w:rsid w:val="00AA40FB"/>
    <w:rsid w:val="00AA5405"/>
    <w:rsid w:val="00AA589B"/>
    <w:rsid w:val="00AA6F57"/>
    <w:rsid w:val="00AA7544"/>
    <w:rsid w:val="00AB0791"/>
    <w:rsid w:val="00AB1B5E"/>
    <w:rsid w:val="00AB5573"/>
    <w:rsid w:val="00AB6191"/>
    <w:rsid w:val="00AB6C79"/>
    <w:rsid w:val="00AB783D"/>
    <w:rsid w:val="00AB7E6A"/>
    <w:rsid w:val="00AC0280"/>
    <w:rsid w:val="00AC3A39"/>
    <w:rsid w:val="00AC4D13"/>
    <w:rsid w:val="00AC5649"/>
    <w:rsid w:val="00AC7415"/>
    <w:rsid w:val="00AD07A2"/>
    <w:rsid w:val="00AD08E8"/>
    <w:rsid w:val="00AD2579"/>
    <w:rsid w:val="00AD30BE"/>
    <w:rsid w:val="00AD65D0"/>
    <w:rsid w:val="00AE0CF6"/>
    <w:rsid w:val="00AE1AC6"/>
    <w:rsid w:val="00AE1C41"/>
    <w:rsid w:val="00AE5213"/>
    <w:rsid w:val="00AE772A"/>
    <w:rsid w:val="00AF160B"/>
    <w:rsid w:val="00AF1648"/>
    <w:rsid w:val="00B0324A"/>
    <w:rsid w:val="00B04931"/>
    <w:rsid w:val="00B058BB"/>
    <w:rsid w:val="00B07354"/>
    <w:rsid w:val="00B07D9D"/>
    <w:rsid w:val="00B1140F"/>
    <w:rsid w:val="00B11634"/>
    <w:rsid w:val="00B11AEC"/>
    <w:rsid w:val="00B1427E"/>
    <w:rsid w:val="00B16A83"/>
    <w:rsid w:val="00B17F39"/>
    <w:rsid w:val="00B209D6"/>
    <w:rsid w:val="00B21EDE"/>
    <w:rsid w:val="00B27FB2"/>
    <w:rsid w:val="00B31213"/>
    <w:rsid w:val="00B31D06"/>
    <w:rsid w:val="00B34682"/>
    <w:rsid w:val="00B37F26"/>
    <w:rsid w:val="00B37F82"/>
    <w:rsid w:val="00B400F7"/>
    <w:rsid w:val="00B41259"/>
    <w:rsid w:val="00B413AB"/>
    <w:rsid w:val="00B4300D"/>
    <w:rsid w:val="00B44135"/>
    <w:rsid w:val="00B44725"/>
    <w:rsid w:val="00B45231"/>
    <w:rsid w:val="00B5006C"/>
    <w:rsid w:val="00B513FF"/>
    <w:rsid w:val="00B55F1C"/>
    <w:rsid w:val="00B56012"/>
    <w:rsid w:val="00B5621E"/>
    <w:rsid w:val="00B619EA"/>
    <w:rsid w:val="00B61BBF"/>
    <w:rsid w:val="00B647C7"/>
    <w:rsid w:val="00B6586E"/>
    <w:rsid w:val="00B65C3E"/>
    <w:rsid w:val="00B710D4"/>
    <w:rsid w:val="00B72A92"/>
    <w:rsid w:val="00B7389E"/>
    <w:rsid w:val="00B76B9F"/>
    <w:rsid w:val="00B817BA"/>
    <w:rsid w:val="00B817CB"/>
    <w:rsid w:val="00B81E5F"/>
    <w:rsid w:val="00B82DA7"/>
    <w:rsid w:val="00B87467"/>
    <w:rsid w:val="00B91C53"/>
    <w:rsid w:val="00B93043"/>
    <w:rsid w:val="00B93899"/>
    <w:rsid w:val="00B96FAF"/>
    <w:rsid w:val="00BA184C"/>
    <w:rsid w:val="00BA3574"/>
    <w:rsid w:val="00BA5EF8"/>
    <w:rsid w:val="00BA7450"/>
    <w:rsid w:val="00BA7BBA"/>
    <w:rsid w:val="00BB0A85"/>
    <w:rsid w:val="00BB0E3A"/>
    <w:rsid w:val="00BB292D"/>
    <w:rsid w:val="00BC29E1"/>
    <w:rsid w:val="00BC50CF"/>
    <w:rsid w:val="00BC534B"/>
    <w:rsid w:val="00BC5D5D"/>
    <w:rsid w:val="00BC6AFA"/>
    <w:rsid w:val="00BC6E9F"/>
    <w:rsid w:val="00BD2133"/>
    <w:rsid w:val="00BD2FDE"/>
    <w:rsid w:val="00BD4A72"/>
    <w:rsid w:val="00BE0B08"/>
    <w:rsid w:val="00BE0C47"/>
    <w:rsid w:val="00BE1DFB"/>
    <w:rsid w:val="00BE1E6E"/>
    <w:rsid w:val="00BE24F6"/>
    <w:rsid w:val="00BE4133"/>
    <w:rsid w:val="00BE5D2E"/>
    <w:rsid w:val="00BE60D3"/>
    <w:rsid w:val="00BF12A1"/>
    <w:rsid w:val="00BF2C17"/>
    <w:rsid w:val="00BF316E"/>
    <w:rsid w:val="00BF6F1B"/>
    <w:rsid w:val="00BF725C"/>
    <w:rsid w:val="00C030DE"/>
    <w:rsid w:val="00C0620E"/>
    <w:rsid w:val="00C100B6"/>
    <w:rsid w:val="00C11321"/>
    <w:rsid w:val="00C1265D"/>
    <w:rsid w:val="00C133E6"/>
    <w:rsid w:val="00C141F1"/>
    <w:rsid w:val="00C1516C"/>
    <w:rsid w:val="00C236A5"/>
    <w:rsid w:val="00C23798"/>
    <w:rsid w:val="00C3145A"/>
    <w:rsid w:val="00C31EC3"/>
    <w:rsid w:val="00C33F2B"/>
    <w:rsid w:val="00C355A8"/>
    <w:rsid w:val="00C36F66"/>
    <w:rsid w:val="00C37FA9"/>
    <w:rsid w:val="00C40288"/>
    <w:rsid w:val="00C4091F"/>
    <w:rsid w:val="00C42443"/>
    <w:rsid w:val="00C51DCC"/>
    <w:rsid w:val="00C540C6"/>
    <w:rsid w:val="00C54170"/>
    <w:rsid w:val="00C5469F"/>
    <w:rsid w:val="00C56CB5"/>
    <w:rsid w:val="00C60483"/>
    <w:rsid w:val="00C6144A"/>
    <w:rsid w:val="00C61B9A"/>
    <w:rsid w:val="00C63046"/>
    <w:rsid w:val="00C637AB"/>
    <w:rsid w:val="00C67485"/>
    <w:rsid w:val="00C67C50"/>
    <w:rsid w:val="00C7386D"/>
    <w:rsid w:val="00C7455A"/>
    <w:rsid w:val="00C74E1F"/>
    <w:rsid w:val="00C7674D"/>
    <w:rsid w:val="00C76B0A"/>
    <w:rsid w:val="00C77AE6"/>
    <w:rsid w:val="00C80A13"/>
    <w:rsid w:val="00C81D57"/>
    <w:rsid w:val="00C82240"/>
    <w:rsid w:val="00C822A6"/>
    <w:rsid w:val="00C82AFE"/>
    <w:rsid w:val="00C849CB"/>
    <w:rsid w:val="00C854F7"/>
    <w:rsid w:val="00C90CDF"/>
    <w:rsid w:val="00C9593A"/>
    <w:rsid w:val="00C962D5"/>
    <w:rsid w:val="00CA03CE"/>
    <w:rsid w:val="00CA3B06"/>
    <w:rsid w:val="00CA3B70"/>
    <w:rsid w:val="00CA6646"/>
    <w:rsid w:val="00CA7746"/>
    <w:rsid w:val="00CB0C4F"/>
    <w:rsid w:val="00CB228C"/>
    <w:rsid w:val="00CB2BE6"/>
    <w:rsid w:val="00CB5E4F"/>
    <w:rsid w:val="00CB67A5"/>
    <w:rsid w:val="00CB7AA1"/>
    <w:rsid w:val="00CC0C37"/>
    <w:rsid w:val="00CC1AF1"/>
    <w:rsid w:val="00CC1E8E"/>
    <w:rsid w:val="00CC1EE2"/>
    <w:rsid w:val="00CC2F1B"/>
    <w:rsid w:val="00CC424C"/>
    <w:rsid w:val="00CC43BC"/>
    <w:rsid w:val="00CC4746"/>
    <w:rsid w:val="00CC5FBE"/>
    <w:rsid w:val="00CC60E4"/>
    <w:rsid w:val="00CC768C"/>
    <w:rsid w:val="00CD1B38"/>
    <w:rsid w:val="00CD4EF1"/>
    <w:rsid w:val="00CD5252"/>
    <w:rsid w:val="00CD5A51"/>
    <w:rsid w:val="00CE045D"/>
    <w:rsid w:val="00CE0D56"/>
    <w:rsid w:val="00CE3EDF"/>
    <w:rsid w:val="00CE428D"/>
    <w:rsid w:val="00CF02BE"/>
    <w:rsid w:val="00CF0E51"/>
    <w:rsid w:val="00CF21A7"/>
    <w:rsid w:val="00CF33EF"/>
    <w:rsid w:val="00CF4799"/>
    <w:rsid w:val="00CF4C4D"/>
    <w:rsid w:val="00CF52F9"/>
    <w:rsid w:val="00D00215"/>
    <w:rsid w:val="00D00B29"/>
    <w:rsid w:val="00D04265"/>
    <w:rsid w:val="00D0426A"/>
    <w:rsid w:val="00D0619A"/>
    <w:rsid w:val="00D0635E"/>
    <w:rsid w:val="00D10127"/>
    <w:rsid w:val="00D148B3"/>
    <w:rsid w:val="00D16B49"/>
    <w:rsid w:val="00D17B2F"/>
    <w:rsid w:val="00D202A0"/>
    <w:rsid w:val="00D2136F"/>
    <w:rsid w:val="00D21699"/>
    <w:rsid w:val="00D2250B"/>
    <w:rsid w:val="00D2329B"/>
    <w:rsid w:val="00D25916"/>
    <w:rsid w:val="00D265A4"/>
    <w:rsid w:val="00D3178A"/>
    <w:rsid w:val="00D3486C"/>
    <w:rsid w:val="00D34F26"/>
    <w:rsid w:val="00D36723"/>
    <w:rsid w:val="00D379FE"/>
    <w:rsid w:val="00D37F77"/>
    <w:rsid w:val="00D42D23"/>
    <w:rsid w:val="00D4317B"/>
    <w:rsid w:val="00D441A9"/>
    <w:rsid w:val="00D44BA1"/>
    <w:rsid w:val="00D46202"/>
    <w:rsid w:val="00D4701D"/>
    <w:rsid w:val="00D47F2A"/>
    <w:rsid w:val="00D5071C"/>
    <w:rsid w:val="00D52D1C"/>
    <w:rsid w:val="00D554CA"/>
    <w:rsid w:val="00D55B94"/>
    <w:rsid w:val="00D623DE"/>
    <w:rsid w:val="00D62D26"/>
    <w:rsid w:val="00D63F97"/>
    <w:rsid w:val="00D67896"/>
    <w:rsid w:val="00D67C58"/>
    <w:rsid w:val="00D70435"/>
    <w:rsid w:val="00D7089E"/>
    <w:rsid w:val="00D71A67"/>
    <w:rsid w:val="00D71B90"/>
    <w:rsid w:val="00D720BF"/>
    <w:rsid w:val="00D73E36"/>
    <w:rsid w:val="00D83F82"/>
    <w:rsid w:val="00D844F9"/>
    <w:rsid w:val="00D8481B"/>
    <w:rsid w:val="00D84FE6"/>
    <w:rsid w:val="00D85DAD"/>
    <w:rsid w:val="00D86C88"/>
    <w:rsid w:val="00D87014"/>
    <w:rsid w:val="00D8711F"/>
    <w:rsid w:val="00D874F4"/>
    <w:rsid w:val="00D87E66"/>
    <w:rsid w:val="00D912C9"/>
    <w:rsid w:val="00DA004C"/>
    <w:rsid w:val="00DA0200"/>
    <w:rsid w:val="00DA24E7"/>
    <w:rsid w:val="00DA4A05"/>
    <w:rsid w:val="00DA4E30"/>
    <w:rsid w:val="00DA5B48"/>
    <w:rsid w:val="00DA615B"/>
    <w:rsid w:val="00DA653F"/>
    <w:rsid w:val="00DA7E98"/>
    <w:rsid w:val="00DB03BB"/>
    <w:rsid w:val="00DB06D8"/>
    <w:rsid w:val="00DB108C"/>
    <w:rsid w:val="00DB1338"/>
    <w:rsid w:val="00DB3245"/>
    <w:rsid w:val="00DB64E9"/>
    <w:rsid w:val="00DB766D"/>
    <w:rsid w:val="00DC00A5"/>
    <w:rsid w:val="00DC4179"/>
    <w:rsid w:val="00DC48E6"/>
    <w:rsid w:val="00DD0F2F"/>
    <w:rsid w:val="00DD13C3"/>
    <w:rsid w:val="00DD145D"/>
    <w:rsid w:val="00DD2314"/>
    <w:rsid w:val="00DD3203"/>
    <w:rsid w:val="00DD3844"/>
    <w:rsid w:val="00DD70AC"/>
    <w:rsid w:val="00DE1ECA"/>
    <w:rsid w:val="00DE3B01"/>
    <w:rsid w:val="00DE3D80"/>
    <w:rsid w:val="00DE3FBC"/>
    <w:rsid w:val="00DF007B"/>
    <w:rsid w:val="00DF183B"/>
    <w:rsid w:val="00DF3350"/>
    <w:rsid w:val="00DF3592"/>
    <w:rsid w:val="00DF4B1D"/>
    <w:rsid w:val="00DF7436"/>
    <w:rsid w:val="00DF772B"/>
    <w:rsid w:val="00DF77E8"/>
    <w:rsid w:val="00E00E8F"/>
    <w:rsid w:val="00E01CB1"/>
    <w:rsid w:val="00E039B6"/>
    <w:rsid w:val="00E0475C"/>
    <w:rsid w:val="00E077E4"/>
    <w:rsid w:val="00E07EB0"/>
    <w:rsid w:val="00E10EA2"/>
    <w:rsid w:val="00E13D52"/>
    <w:rsid w:val="00E143B3"/>
    <w:rsid w:val="00E151FA"/>
    <w:rsid w:val="00E171F8"/>
    <w:rsid w:val="00E17AE3"/>
    <w:rsid w:val="00E21A2C"/>
    <w:rsid w:val="00E21AD0"/>
    <w:rsid w:val="00E22CC6"/>
    <w:rsid w:val="00E24AFE"/>
    <w:rsid w:val="00E26F18"/>
    <w:rsid w:val="00E30F8A"/>
    <w:rsid w:val="00E310DF"/>
    <w:rsid w:val="00E31E6F"/>
    <w:rsid w:val="00E3360C"/>
    <w:rsid w:val="00E33674"/>
    <w:rsid w:val="00E353D4"/>
    <w:rsid w:val="00E35B47"/>
    <w:rsid w:val="00E434E3"/>
    <w:rsid w:val="00E452A4"/>
    <w:rsid w:val="00E5153E"/>
    <w:rsid w:val="00E524D1"/>
    <w:rsid w:val="00E535CE"/>
    <w:rsid w:val="00E543DC"/>
    <w:rsid w:val="00E61730"/>
    <w:rsid w:val="00E632DA"/>
    <w:rsid w:val="00E654D5"/>
    <w:rsid w:val="00E65995"/>
    <w:rsid w:val="00E664FD"/>
    <w:rsid w:val="00E703AB"/>
    <w:rsid w:val="00E705EC"/>
    <w:rsid w:val="00E70874"/>
    <w:rsid w:val="00E73368"/>
    <w:rsid w:val="00E746B4"/>
    <w:rsid w:val="00E74A3C"/>
    <w:rsid w:val="00E777A2"/>
    <w:rsid w:val="00E81B07"/>
    <w:rsid w:val="00E84968"/>
    <w:rsid w:val="00E84A19"/>
    <w:rsid w:val="00E90C0E"/>
    <w:rsid w:val="00E90C30"/>
    <w:rsid w:val="00E91676"/>
    <w:rsid w:val="00E9555E"/>
    <w:rsid w:val="00E9709A"/>
    <w:rsid w:val="00E97EE7"/>
    <w:rsid w:val="00EA0F97"/>
    <w:rsid w:val="00EA1872"/>
    <w:rsid w:val="00EA27E1"/>
    <w:rsid w:val="00EA391C"/>
    <w:rsid w:val="00EA4EF7"/>
    <w:rsid w:val="00EA7261"/>
    <w:rsid w:val="00EB175A"/>
    <w:rsid w:val="00EB450D"/>
    <w:rsid w:val="00EB4E76"/>
    <w:rsid w:val="00EB6BF1"/>
    <w:rsid w:val="00EB76CD"/>
    <w:rsid w:val="00EC0BCA"/>
    <w:rsid w:val="00EC29E3"/>
    <w:rsid w:val="00EC535B"/>
    <w:rsid w:val="00ED08E2"/>
    <w:rsid w:val="00ED14E4"/>
    <w:rsid w:val="00ED1597"/>
    <w:rsid w:val="00ED2573"/>
    <w:rsid w:val="00ED2CD2"/>
    <w:rsid w:val="00ED3DF2"/>
    <w:rsid w:val="00ED58B0"/>
    <w:rsid w:val="00ED70A6"/>
    <w:rsid w:val="00EE0D21"/>
    <w:rsid w:val="00EE101B"/>
    <w:rsid w:val="00EE1981"/>
    <w:rsid w:val="00EE1E69"/>
    <w:rsid w:val="00EE1E92"/>
    <w:rsid w:val="00EE3389"/>
    <w:rsid w:val="00EE42B0"/>
    <w:rsid w:val="00EE69F5"/>
    <w:rsid w:val="00EE7F63"/>
    <w:rsid w:val="00EF06B7"/>
    <w:rsid w:val="00EF1125"/>
    <w:rsid w:val="00EF1550"/>
    <w:rsid w:val="00EF2476"/>
    <w:rsid w:val="00EF28D8"/>
    <w:rsid w:val="00EF3E87"/>
    <w:rsid w:val="00EF3E92"/>
    <w:rsid w:val="00EF3F61"/>
    <w:rsid w:val="00EF4B80"/>
    <w:rsid w:val="00F020E9"/>
    <w:rsid w:val="00F03DA5"/>
    <w:rsid w:val="00F04918"/>
    <w:rsid w:val="00F06544"/>
    <w:rsid w:val="00F075F0"/>
    <w:rsid w:val="00F079B6"/>
    <w:rsid w:val="00F113F4"/>
    <w:rsid w:val="00F1321F"/>
    <w:rsid w:val="00F13A10"/>
    <w:rsid w:val="00F21961"/>
    <w:rsid w:val="00F21A4F"/>
    <w:rsid w:val="00F23699"/>
    <w:rsid w:val="00F24F02"/>
    <w:rsid w:val="00F263DB"/>
    <w:rsid w:val="00F3005D"/>
    <w:rsid w:val="00F37359"/>
    <w:rsid w:val="00F40774"/>
    <w:rsid w:val="00F426E3"/>
    <w:rsid w:val="00F4618C"/>
    <w:rsid w:val="00F46A4B"/>
    <w:rsid w:val="00F5260D"/>
    <w:rsid w:val="00F560E9"/>
    <w:rsid w:val="00F56A1C"/>
    <w:rsid w:val="00F56EC6"/>
    <w:rsid w:val="00F57572"/>
    <w:rsid w:val="00F578BE"/>
    <w:rsid w:val="00F57DED"/>
    <w:rsid w:val="00F62EAC"/>
    <w:rsid w:val="00F63E63"/>
    <w:rsid w:val="00F643E4"/>
    <w:rsid w:val="00F64AE3"/>
    <w:rsid w:val="00F674B8"/>
    <w:rsid w:val="00F72FE3"/>
    <w:rsid w:val="00F7332A"/>
    <w:rsid w:val="00F758B5"/>
    <w:rsid w:val="00F77580"/>
    <w:rsid w:val="00F8345F"/>
    <w:rsid w:val="00F9156A"/>
    <w:rsid w:val="00F928DD"/>
    <w:rsid w:val="00F93029"/>
    <w:rsid w:val="00F93219"/>
    <w:rsid w:val="00F93E4D"/>
    <w:rsid w:val="00F951BF"/>
    <w:rsid w:val="00F9526B"/>
    <w:rsid w:val="00F95403"/>
    <w:rsid w:val="00F96651"/>
    <w:rsid w:val="00F97D86"/>
    <w:rsid w:val="00FA051B"/>
    <w:rsid w:val="00FA0B1B"/>
    <w:rsid w:val="00FA4232"/>
    <w:rsid w:val="00FA4A60"/>
    <w:rsid w:val="00FA56FB"/>
    <w:rsid w:val="00FB09FC"/>
    <w:rsid w:val="00FB1289"/>
    <w:rsid w:val="00FB1C39"/>
    <w:rsid w:val="00FB2254"/>
    <w:rsid w:val="00FB477F"/>
    <w:rsid w:val="00FC3B3D"/>
    <w:rsid w:val="00FD1A37"/>
    <w:rsid w:val="00FD22B2"/>
    <w:rsid w:val="00FD37FF"/>
    <w:rsid w:val="00FD4FB9"/>
    <w:rsid w:val="00FD621C"/>
    <w:rsid w:val="00FE0D61"/>
    <w:rsid w:val="00FE0DCB"/>
    <w:rsid w:val="00FE2153"/>
    <w:rsid w:val="00FE7F73"/>
    <w:rsid w:val="00FF07E7"/>
    <w:rsid w:val="00FF1717"/>
    <w:rsid w:val="00FF41FB"/>
    <w:rsid w:val="00FF4F3C"/>
    <w:rsid w:val="00FF6365"/>
    <w:rsid w:val="01185ECE"/>
    <w:rsid w:val="01453950"/>
    <w:rsid w:val="01456A08"/>
    <w:rsid w:val="01C73FAA"/>
    <w:rsid w:val="01D823B1"/>
    <w:rsid w:val="022A7E95"/>
    <w:rsid w:val="02624152"/>
    <w:rsid w:val="02783976"/>
    <w:rsid w:val="03A55BCA"/>
    <w:rsid w:val="045B49F5"/>
    <w:rsid w:val="04930AA1"/>
    <w:rsid w:val="04C56194"/>
    <w:rsid w:val="05014F82"/>
    <w:rsid w:val="052577E9"/>
    <w:rsid w:val="053D6328"/>
    <w:rsid w:val="05495D59"/>
    <w:rsid w:val="054D2E98"/>
    <w:rsid w:val="060914B4"/>
    <w:rsid w:val="062A5DF7"/>
    <w:rsid w:val="06383B48"/>
    <w:rsid w:val="0706063A"/>
    <w:rsid w:val="07372051"/>
    <w:rsid w:val="079500F6"/>
    <w:rsid w:val="07A50D69"/>
    <w:rsid w:val="07EC2E3C"/>
    <w:rsid w:val="083C7EB4"/>
    <w:rsid w:val="08A91BD9"/>
    <w:rsid w:val="08CE0793"/>
    <w:rsid w:val="08CE325D"/>
    <w:rsid w:val="0928110D"/>
    <w:rsid w:val="094F44C9"/>
    <w:rsid w:val="09526CCE"/>
    <w:rsid w:val="0AA8021A"/>
    <w:rsid w:val="0B022976"/>
    <w:rsid w:val="0B044101"/>
    <w:rsid w:val="0B860EB1"/>
    <w:rsid w:val="0B9A5A90"/>
    <w:rsid w:val="0BAB4DBC"/>
    <w:rsid w:val="0BBF1C25"/>
    <w:rsid w:val="0C063B21"/>
    <w:rsid w:val="0C097F64"/>
    <w:rsid w:val="0C0C2939"/>
    <w:rsid w:val="0C61547A"/>
    <w:rsid w:val="0C945E53"/>
    <w:rsid w:val="0CA27F6D"/>
    <w:rsid w:val="0CCC0564"/>
    <w:rsid w:val="0D380E95"/>
    <w:rsid w:val="0D483DB6"/>
    <w:rsid w:val="0D49663A"/>
    <w:rsid w:val="0D981BE2"/>
    <w:rsid w:val="0DC1168A"/>
    <w:rsid w:val="0DD73C46"/>
    <w:rsid w:val="0DE3083D"/>
    <w:rsid w:val="0DF51500"/>
    <w:rsid w:val="0E2D3866"/>
    <w:rsid w:val="0E45051A"/>
    <w:rsid w:val="0E5C05EF"/>
    <w:rsid w:val="0EA165BA"/>
    <w:rsid w:val="0EAE0E4B"/>
    <w:rsid w:val="0ED924DE"/>
    <w:rsid w:val="0F6D7786"/>
    <w:rsid w:val="0F793013"/>
    <w:rsid w:val="0FA97A45"/>
    <w:rsid w:val="0FCE6F7C"/>
    <w:rsid w:val="0FE36E63"/>
    <w:rsid w:val="10953945"/>
    <w:rsid w:val="10A9313E"/>
    <w:rsid w:val="111D7D2A"/>
    <w:rsid w:val="11555572"/>
    <w:rsid w:val="11DB182B"/>
    <w:rsid w:val="123D038C"/>
    <w:rsid w:val="12443874"/>
    <w:rsid w:val="124F46F3"/>
    <w:rsid w:val="126514D6"/>
    <w:rsid w:val="126E6D2B"/>
    <w:rsid w:val="12AD446F"/>
    <w:rsid w:val="12CC0C07"/>
    <w:rsid w:val="12ED3C46"/>
    <w:rsid w:val="134E49AB"/>
    <w:rsid w:val="13561AB1"/>
    <w:rsid w:val="13FD2BE8"/>
    <w:rsid w:val="141E7BFA"/>
    <w:rsid w:val="14883EEC"/>
    <w:rsid w:val="14AD74AF"/>
    <w:rsid w:val="150C3AAB"/>
    <w:rsid w:val="15347E88"/>
    <w:rsid w:val="153B4ABB"/>
    <w:rsid w:val="15D058D6"/>
    <w:rsid w:val="166B0E80"/>
    <w:rsid w:val="16D76B3A"/>
    <w:rsid w:val="172A73AE"/>
    <w:rsid w:val="17ED5547"/>
    <w:rsid w:val="17FA5823"/>
    <w:rsid w:val="182642C1"/>
    <w:rsid w:val="189B7D05"/>
    <w:rsid w:val="18CC3E8C"/>
    <w:rsid w:val="19707D4F"/>
    <w:rsid w:val="19916D03"/>
    <w:rsid w:val="19B80F45"/>
    <w:rsid w:val="19BB266E"/>
    <w:rsid w:val="1A2521DD"/>
    <w:rsid w:val="1A385085"/>
    <w:rsid w:val="1A693E78"/>
    <w:rsid w:val="1A887069"/>
    <w:rsid w:val="1AD25198"/>
    <w:rsid w:val="1B317FDA"/>
    <w:rsid w:val="1BCC1384"/>
    <w:rsid w:val="1C5743A2"/>
    <w:rsid w:val="1C6F78BE"/>
    <w:rsid w:val="1C7E25A5"/>
    <w:rsid w:val="1C960037"/>
    <w:rsid w:val="1D063C00"/>
    <w:rsid w:val="1D097F24"/>
    <w:rsid w:val="1D9B6A3E"/>
    <w:rsid w:val="1ECE074D"/>
    <w:rsid w:val="1ED41ADC"/>
    <w:rsid w:val="1EF02DBA"/>
    <w:rsid w:val="1EFF5FB8"/>
    <w:rsid w:val="1F0625DD"/>
    <w:rsid w:val="1FA6791C"/>
    <w:rsid w:val="20362A4E"/>
    <w:rsid w:val="2043516B"/>
    <w:rsid w:val="209244B7"/>
    <w:rsid w:val="20992FDD"/>
    <w:rsid w:val="20A200E4"/>
    <w:rsid w:val="20B63B8F"/>
    <w:rsid w:val="21701F90"/>
    <w:rsid w:val="217F6677"/>
    <w:rsid w:val="2181181C"/>
    <w:rsid w:val="21891265"/>
    <w:rsid w:val="21A525BC"/>
    <w:rsid w:val="21A97250"/>
    <w:rsid w:val="21B76AE0"/>
    <w:rsid w:val="21CD6779"/>
    <w:rsid w:val="21E93AF0"/>
    <w:rsid w:val="22761567"/>
    <w:rsid w:val="22D81D21"/>
    <w:rsid w:val="23594841"/>
    <w:rsid w:val="23BA5744"/>
    <w:rsid w:val="24386EC6"/>
    <w:rsid w:val="2455546D"/>
    <w:rsid w:val="25315EDA"/>
    <w:rsid w:val="25853522"/>
    <w:rsid w:val="25925115"/>
    <w:rsid w:val="25956469"/>
    <w:rsid w:val="259A3FDD"/>
    <w:rsid w:val="25B032A3"/>
    <w:rsid w:val="263A2B6C"/>
    <w:rsid w:val="267E514F"/>
    <w:rsid w:val="268D32B8"/>
    <w:rsid w:val="26936BE5"/>
    <w:rsid w:val="274E2D73"/>
    <w:rsid w:val="27637EA1"/>
    <w:rsid w:val="27983FEE"/>
    <w:rsid w:val="27AC65CB"/>
    <w:rsid w:val="280D12AA"/>
    <w:rsid w:val="280E605F"/>
    <w:rsid w:val="28631B9C"/>
    <w:rsid w:val="290F37BA"/>
    <w:rsid w:val="29534671"/>
    <w:rsid w:val="298011DE"/>
    <w:rsid w:val="29912F65"/>
    <w:rsid w:val="29F7252B"/>
    <w:rsid w:val="2A7F1496"/>
    <w:rsid w:val="2AAD3642"/>
    <w:rsid w:val="2AAE58D7"/>
    <w:rsid w:val="2B0D0850"/>
    <w:rsid w:val="2B2050E0"/>
    <w:rsid w:val="2B342280"/>
    <w:rsid w:val="2B607CC3"/>
    <w:rsid w:val="2BCC4267"/>
    <w:rsid w:val="2BE21CDC"/>
    <w:rsid w:val="2BF847E5"/>
    <w:rsid w:val="2C9A25B7"/>
    <w:rsid w:val="2C9D688B"/>
    <w:rsid w:val="2CA46F92"/>
    <w:rsid w:val="2D406CBA"/>
    <w:rsid w:val="2D9E60D7"/>
    <w:rsid w:val="2DDB3F6C"/>
    <w:rsid w:val="2E163EBF"/>
    <w:rsid w:val="2E4F3690"/>
    <w:rsid w:val="2E662DF3"/>
    <w:rsid w:val="2E734E6D"/>
    <w:rsid w:val="2E76670C"/>
    <w:rsid w:val="2EEB6188"/>
    <w:rsid w:val="2EF73CF0"/>
    <w:rsid w:val="2F5B602D"/>
    <w:rsid w:val="2F832EF4"/>
    <w:rsid w:val="2F9A4B34"/>
    <w:rsid w:val="30C61BCC"/>
    <w:rsid w:val="30FD3114"/>
    <w:rsid w:val="31BF4FB9"/>
    <w:rsid w:val="31F12C79"/>
    <w:rsid w:val="31F2079F"/>
    <w:rsid w:val="322946C9"/>
    <w:rsid w:val="32AF737A"/>
    <w:rsid w:val="33152997"/>
    <w:rsid w:val="333A7FDD"/>
    <w:rsid w:val="34192013"/>
    <w:rsid w:val="341E3ACD"/>
    <w:rsid w:val="34C04B85"/>
    <w:rsid w:val="357F67EE"/>
    <w:rsid w:val="35FD171E"/>
    <w:rsid w:val="3623361D"/>
    <w:rsid w:val="36570DD6"/>
    <w:rsid w:val="3668693C"/>
    <w:rsid w:val="36715DBA"/>
    <w:rsid w:val="3684230E"/>
    <w:rsid w:val="368A544A"/>
    <w:rsid w:val="36C271E7"/>
    <w:rsid w:val="371F0504"/>
    <w:rsid w:val="372568E0"/>
    <w:rsid w:val="37353608"/>
    <w:rsid w:val="37392328"/>
    <w:rsid w:val="377C1A18"/>
    <w:rsid w:val="3790083E"/>
    <w:rsid w:val="37C00D36"/>
    <w:rsid w:val="38334452"/>
    <w:rsid w:val="38682628"/>
    <w:rsid w:val="38803573"/>
    <w:rsid w:val="38EA5988"/>
    <w:rsid w:val="390E5784"/>
    <w:rsid w:val="39332945"/>
    <w:rsid w:val="39A763EE"/>
    <w:rsid w:val="39F257E0"/>
    <w:rsid w:val="3A5E2E76"/>
    <w:rsid w:val="3A916ECC"/>
    <w:rsid w:val="3A920D71"/>
    <w:rsid w:val="3B540F72"/>
    <w:rsid w:val="3B783B55"/>
    <w:rsid w:val="3B8801D5"/>
    <w:rsid w:val="3BF3370C"/>
    <w:rsid w:val="3C61620C"/>
    <w:rsid w:val="3C6B1AD1"/>
    <w:rsid w:val="3C7644C1"/>
    <w:rsid w:val="3CD94A35"/>
    <w:rsid w:val="3D483969"/>
    <w:rsid w:val="3D8F4E37"/>
    <w:rsid w:val="3D960B78"/>
    <w:rsid w:val="3E083824"/>
    <w:rsid w:val="3E1C1B38"/>
    <w:rsid w:val="3E310BD1"/>
    <w:rsid w:val="3E43589F"/>
    <w:rsid w:val="3E4B54BF"/>
    <w:rsid w:val="3EA60F91"/>
    <w:rsid w:val="3EBC3B56"/>
    <w:rsid w:val="3F4E1470"/>
    <w:rsid w:val="3FEF6DB1"/>
    <w:rsid w:val="3FF027C2"/>
    <w:rsid w:val="406330B9"/>
    <w:rsid w:val="40A45CAC"/>
    <w:rsid w:val="412E4EB5"/>
    <w:rsid w:val="41895373"/>
    <w:rsid w:val="419D5C78"/>
    <w:rsid w:val="41BC157F"/>
    <w:rsid w:val="41F97A49"/>
    <w:rsid w:val="42140B1B"/>
    <w:rsid w:val="421F2EEA"/>
    <w:rsid w:val="42274495"/>
    <w:rsid w:val="42533248"/>
    <w:rsid w:val="425A03C6"/>
    <w:rsid w:val="425F59DD"/>
    <w:rsid w:val="42CE22CA"/>
    <w:rsid w:val="43A302E1"/>
    <w:rsid w:val="44617EC6"/>
    <w:rsid w:val="44632243"/>
    <w:rsid w:val="449E0F56"/>
    <w:rsid w:val="450F1BE1"/>
    <w:rsid w:val="45815C6A"/>
    <w:rsid w:val="458C5E0F"/>
    <w:rsid w:val="45AB2CE7"/>
    <w:rsid w:val="45BE2A1A"/>
    <w:rsid w:val="46B12B90"/>
    <w:rsid w:val="46BC1650"/>
    <w:rsid w:val="473C69AD"/>
    <w:rsid w:val="474E2445"/>
    <w:rsid w:val="47646C1E"/>
    <w:rsid w:val="479954ED"/>
    <w:rsid w:val="47A508CD"/>
    <w:rsid w:val="47B02834"/>
    <w:rsid w:val="47CB7C8B"/>
    <w:rsid w:val="47E14962"/>
    <w:rsid w:val="48020772"/>
    <w:rsid w:val="48896395"/>
    <w:rsid w:val="489906A4"/>
    <w:rsid w:val="4907292A"/>
    <w:rsid w:val="492334DC"/>
    <w:rsid w:val="49463453"/>
    <w:rsid w:val="49747FC0"/>
    <w:rsid w:val="497E2BEC"/>
    <w:rsid w:val="498A480B"/>
    <w:rsid w:val="49B06B1E"/>
    <w:rsid w:val="49DF11B1"/>
    <w:rsid w:val="4A0B5227"/>
    <w:rsid w:val="4A4F4589"/>
    <w:rsid w:val="4A6D1F00"/>
    <w:rsid w:val="4A9455FE"/>
    <w:rsid w:val="4A954D4B"/>
    <w:rsid w:val="4AA058F7"/>
    <w:rsid w:val="4ACF7478"/>
    <w:rsid w:val="4B0F52DA"/>
    <w:rsid w:val="4BD9255C"/>
    <w:rsid w:val="4BFA0524"/>
    <w:rsid w:val="4C156DE4"/>
    <w:rsid w:val="4C3B231E"/>
    <w:rsid w:val="4C416153"/>
    <w:rsid w:val="4CE87C0B"/>
    <w:rsid w:val="4D663C6F"/>
    <w:rsid w:val="4D914D59"/>
    <w:rsid w:val="4DA621CD"/>
    <w:rsid w:val="4DCB2D88"/>
    <w:rsid w:val="4DEB3FAD"/>
    <w:rsid w:val="4E0F6509"/>
    <w:rsid w:val="4E593A24"/>
    <w:rsid w:val="4E5E2FEC"/>
    <w:rsid w:val="4E9D5A9B"/>
    <w:rsid w:val="4EB1136E"/>
    <w:rsid w:val="4EE516E2"/>
    <w:rsid w:val="4F53726B"/>
    <w:rsid w:val="4F8B7E11"/>
    <w:rsid w:val="4F943D47"/>
    <w:rsid w:val="4F975D19"/>
    <w:rsid w:val="4FCB6460"/>
    <w:rsid w:val="4FE623CF"/>
    <w:rsid w:val="504D156B"/>
    <w:rsid w:val="50B52C6C"/>
    <w:rsid w:val="50B56C90"/>
    <w:rsid w:val="50DC24BC"/>
    <w:rsid w:val="50F01CAE"/>
    <w:rsid w:val="514F664F"/>
    <w:rsid w:val="518D05C9"/>
    <w:rsid w:val="51A946CE"/>
    <w:rsid w:val="51F06651"/>
    <w:rsid w:val="522337C3"/>
    <w:rsid w:val="52491AC3"/>
    <w:rsid w:val="5297562A"/>
    <w:rsid w:val="52AE7084"/>
    <w:rsid w:val="52B33145"/>
    <w:rsid w:val="52BC7A8F"/>
    <w:rsid w:val="52EF06B7"/>
    <w:rsid w:val="5302663C"/>
    <w:rsid w:val="533267F6"/>
    <w:rsid w:val="534E1E59"/>
    <w:rsid w:val="53582132"/>
    <w:rsid w:val="536C7F5A"/>
    <w:rsid w:val="538232D9"/>
    <w:rsid w:val="53EE6BC1"/>
    <w:rsid w:val="543D5452"/>
    <w:rsid w:val="54436F0C"/>
    <w:rsid w:val="54DA5359"/>
    <w:rsid w:val="552E7FC9"/>
    <w:rsid w:val="55341623"/>
    <w:rsid w:val="55AC6AAE"/>
    <w:rsid w:val="56130B60"/>
    <w:rsid w:val="567C04B4"/>
    <w:rsid w:val="568A7C35"/>
    <w:rsid w:val="56A1405A"/>
    <w:rsid w:val="578F1F30"/>
    <w:rsid w:val="579C0D9C"/>
    <w:rsid w:val="58062172"/>
    <w:rsid w:val="5830404E"/>
    <w:rsid w:val="584C37CB"/>
    <w:rsid w:val="584F7E8A"/>
    <w:rsid w:val="58F15C2B"/>
    <w:rsid w:val="58FB1B23"/>
    <w:rsid w:val="592F0511"/>
    <w:rsid w:val="59562159"/>
    <w:rsid w:val="59D14FBA"/>
    <w:rsid w:val="59E940B2"/>
    <w:rsid w:val="5A3D0B5E"/>
    <w:rsid w:val="5A4A559B"/>
    <w:rsid w:val="5A9D2AA8"/>
    <w:rsid w:val="5AE31418"/>
    <w:rsid w:val="5B4067A6"/>
    <w:rsid w:val="5B6559BA"/>
    <w:rsid w:val="5B8B6B3E"/>
    <w:rsid w:val="5C761E49"/>
    <w:rsid w:val="5CB63FF4"/>
    <w:rsid w:val="5D656AC5"/>
    <w:rsid w:val="5D7E0546"/>
    <w:rsid w:val="5D7E0FB5"/>
    <w:rsid w:val="5DAA1DAA"/>
    <w:rsid w:val="5DC34C1A"/>
    <w:rsid w:val="5E023994"/>
    <w:rsid w:val="5E781EA8"/>
    <w:rsid w:val="5E7F4FE5"/>
    <w:rsid w:val="5E9F7435"/>
    <w:rsid w:val="5EBE28BA"/>
    <w:rsid w:val="5F310373"/>
    <w:rsid w:val="5F36141C"/>
    <w:rsid w:val="5F4F0E5B"/>
    <w:rsid w:val="5FD02094"/>
    <w:rsid w:val="60251BBC"/>
    <w:rsid w:val="602D6EC7"/>
    <w:rsid w:val="60475183"/>
    <w:rsid w:val="604E1113"/>
    <w:rsid w:val="60CC028A"/>
    <w:rsid w:val="619932A3"/>
    <w:rsid w:val="629C550F"/>
    <w:rsid w:val="62C21944"/>
    <w:rsid w:val="62D52568"/>
    <w:rsid w:val="62E163D6"/>
    <w:rsid w:val="632748F0"/>
    <w:rsid w:val="63321E3C"/>
    <w:rsid w:val="63555685"/>
    <w:rsid w:val="635B58F5"/>
    <w:rsid w:val="63E853DA"/>
    <w:rsid w:val="643C74D4"/>
    <w:rsid w:val="6441132E"/>
    <w:rsid w:val="65635506"/>
    <w:rsid w:val="657D0799"/>
    <w:rsid w:val="65BA6903"/>
    <w:rsid w:val="668B029F"/>
    <w:rsid w:val="66B45A48"/>
    <w:rsid w:val="67286252"/>
    <w:rsid w:val="674342E3"/>
    <w:rsid w:val="67A21D44"/>
    <w:rsid w:val="67CE0F73"/>
    <w:rsid w:val="67DA14DE"/>
    <w:rsid w:val="68355788"/>
    <w:rsid w:val="68576637"/>
    <w:rsid w:val="68E00D76"/>
    <w:rsid w:val="693E3CEF"/>
    <w:rsid w:val="697D65C5"/>
    <w:rsid w:val="69B775A9"/>
    <w:rsid w:val="6A4D6295"/>
    <w:rsid w:val="6A6F2A29"/>
    <w:rsid w:val="6A9040D6"/>
    <w:rsid w:val="6B607F4C"/>
    <w:rsid w:val="6B85681C"/>
    <w:rsid w:val="6BF03ECB"/>
    <w:rsid w:val="6C221B87"/>
    <w:rsid w:val="6C4F7438"/>
    <w:rsid w:val="6C5740F9"/>
    <w:rsid w:val="6C7F08A6"/>
    <w:rsid w:val="6CA67BE1"/>
    <w:rsid w:val="6D17288C"/>
    <w:rsid w:val="6D184E6C"/>
    <w:rsid w:val="6D583572"/>
    <w:rsid w:val="6D6A6E60"/>
    <w:rsid w:val="6D885633"/>
    <w:rsid w:val="6DAA1953"/>
    <w:rsid w:val="6DB66549"/>
    <w:rsid w:val="6DEC300B"/>
    <w:rsid w:val="6E2214E9"/>
    <w:rsid w:val="6E6164B5"/>
    <w:rsid w:val="6E680B4E"/>
    <w:rsid w:val="6E97093B"/>
    <w:rsid w:val="6EC801D0"/>
    <w:rsid w:val="6ED35967"/>
    <w:rsid w:val="6F4E54A4"/>
    <w:rsid w:val="6FB30EF7"/>
    <w:rsid w:val="6FB676E1"/>
    <w:rsid w:val="6FBC0A83"/>
    <w:rsid w:val="6FBE1712"/>
    <w:rsid w:val="6FC456F4"/>
    <w:rsid w:val="6FD61C0D"/>
    <w:rsid w:val="6FEE170C"/>
    <w:rsid w:val="70586013"/>
    <w:rsid w:val="70D30D13"/>
    <w:rsid w:val="71607830"/>
    <w:rsid w:val="718801FD"/>
    <w:rsid w:val="71B3723B"/>
    <w:rsid w:val="725E2D0C"/>
    <w:rsid w:val="728A7984"/>
    <w:rsid w:val="72F378F8"/>
    <w:rsid w:val="73396270"/>
    <w:rsid w:val="73671E54"/>
    <w:rsid w:val="742324ED"/>
    <w:rsid w:val="74884070"/>
    <w:rsid w:val="74C652C4"/>
    <w:rsid w:val="74D3178F"/>
    <w:rsid w:val="74FF707E"/>
    <w:rsid w:val="75226B23"/>
    <w:rsid w:val="75B0387E"/>
    <w:rsid w:val="75C14E11"/>
    <w:rsid w:val="76393874"/>
    <w:rsid w:val="764A5A81"/>
    <w:rsid w:val="76515EBE"/>
    <w:rsid w:val="765426D0"/>
    <w:rsid w:val="766234D3"/>
    <w:rsid w:val="76780A5B"/>
    <w:rsid w:val="76886999"/>
    <w:rsid w:val="76A2766B"/>
    <w:rsid w:val="76BD18D0"/>
    <w:rsid w:val="78485FF0"/>
    <w:rsid w:val="78CE71F9"/>
    <w:rsid w:val="79214B3D"/>
    <w:rsid w:val="79605479"/>
    <w:rsid w:val="79BA462A"/>
    <w:rsid w:val="79C8782F"/>
    <w:rsid w:val="79D40FAF"/>
    <w:rsid w:val="79E0578A"/>
    <w:rsid w:val="7A441A53"/>
    <w:rsid w:val="7A822729"/>
    <w:rsid w:val="7B2A5E81"/>
    <w:rsid w:val="7B3E36DA"/>
    <w:rsid w:val="7B68344D"/>
    <w:rsid w:val="7B815F7A"/>
    <w:rsid w:val="7BB06AAC"/>
    <w:rsid w:val="7BC2430B"/>
    <w:rsid w:val="7BEF5047"/>
    <w:rsid w:val="7C2366FD"/>
    <w:rsid w:val="7C6501D8"/>
    <w:rsid w:val="7D341605"/>
    <w:rsid w:val="7D7D79ED"/>
    <w:rsid w:val="7DDF6300"/>
    <w:rsid w:val="7E3D748B"/>
    <w:rsid w:val="7E5316BF"/>
    <w:rsid w:val="7F50259B"/>
    <w:rsid w:val="7F9E0C69"/>
    <w:rsid w:val="7FDE37F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5"/>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qFormat="1" w:unhideWhenUsed="0" w:uiPriority="99"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semiHidden="0" w:name="List Number 3"/>
    <w:lsdException w:uiPriority="99" w:name="List Number 4" w:locked="1"/>
    <w:lsdException w:uiPriority="99" w:name="List Number 5" w:locked="1"/>
    <w:lsdException w:qFormat="1" w:unhideWhenUsed="0" w:uiPriority="10"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nhideWhenUsed="0" w:uiPriority="99" w:semiHidden="0" w:name="Table Web 2" w:locked="1"/>
    <w:lsdException w:unhideWhenUsed="0" w:uiPriority="99" w:semiHidden="0" w:name="Table Web 3" w:locked="1"/>
    <w:lsdException w:qFormat="1" w:unhideWhenUsed="0" w:uiPriority="99" w:name="Balloon Text"/>
    <w:lsdException w:qFormat="1" w:unhideWhenUsed="0" w:uiPriority="0" w:semiHidden="0" w:name="Table Grid"/>
    <w:lsdException w:unhideWhenUsed="0" w:uiPriority="99" w:semiHidden="0"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57"/>
    <w:qFormat/>
    <w:uiPriority w:val="99"/>
    <w:pPr>
      <w:snapToGrid w:val="0"/>
      <w:spacing w:before="120" w:after="120" w:line="360" w:lineRule="auto"/>
      <w:jc w:val="center"/>
      <w:outlineLvl w:val="0"/>
    </w:pPr>
    <w:rPr>
      <w:rFonts w:ascii="Calibri" w:hAnsi="宋体" w:cs="Calibri"/>
      <w:b/>
      <w:bCs/>
      <w:color w:val="000000"/>
      <w:sz w:val="30"/>
      <w:szCs w:val="30"/>
    </w:rPr>
  </w:style>
  <w:style w:type="paragraph" w:styleId="3">
    <w:name w:val="heading 2"/>
    <w:basedOn w:val="1"/>
    <w:next w:val="1"/>
    <w:link w:val="58"/>
    <w:qFormat/>
    <w:uiPriority w:val="99"/>
    <w:pPr>
      <w:keepNext/>
      <w:keepLines/>
      <w:spacing w:before="260" w:after="260" w:line="413" w:lineRule="auto"/>
      <w:outlineLvl w:val="1"/>
    </w:pPr>
    <w:rPr>
      <w:rFonts w:ascii="Arial" w:hAnsi="Arial" w:eastAsia="黑体" w:cs="Arial"/>
      <w:b/>
      <w:bCs/>
      <w:sz w:val="32"/>
      <w:szCs w:val="32"/>
    </w:rPr>
  </w:style>
  <w:style w:type="paragraph" w:styleId="4">
    <w:name w:val="heading 3"/>
    <w:basedOn w:val="1"/>
    <w:next w:val="1"/>
    <w:link w:val="59"/>
    <w:qFormat/>
    <w:uiPriority w:val="99"/>
    <w:pPr>
      <w:keepNext/>
      <w:keepLines/>
      <w:adjustRightInd w:val="0"/>
      <w:spacing w:before="260" w:after="260" w:line="416" w:lineRule="atLeast"/>
      <w:textAlignment w:val="baseline"/>
      <w:outlineLvl w:val="2"/>
    </w:pPr>
    <w:rPr>
      <w:rFonts w:ascii="Calibri" w:hAnsi="Calibri" w:cs="Calibri"/>
      <w:b/>
      <w:bCs/>
      <w:kern w:val="0"/>
      <w:sz w:val="32"/>
      <w:szCs w:val="32"/>
    </w:rPr>
  </w:style>
  <w:style w:type="paragraph" w:styleId="5">
    <w:name w:val="heading 4"/>
    <w:basedOn w:val="1"/>
    <w:next w:val="1"/>
    <w:link w:val="60"/>
    <w:qFormat/>
    <w:uiPriority w:val="99"/>
    <w:pPr>
      <w:keepNext/>
      <w:keepLines/>
      <w:spacing w:before="280" w:after="290" w:line="372" w:lineRule="auto"/>
      <w:outlineLvl w:val="3"/>
    </w:pPr>
    <w:rPr>
      <w:rFonts w:ascii="Arial" w:hAnsi="Arial" w:eastAsia="黑体" w:cs="Arial"/>
      <w:b/>
      <w:bCs/>
      <w:sz w:val="28"/>
      <w:szCs w:val="28"/>
    </w:rPr>
  </w:style>
  <w:style w:type="paragraph" w:styleId="6">
    <w:name w:val="heading 5"/>
    <w:basedOn w:val="1"/>
    <w:next w:val="7"/>
    <w:link w:val="61"/>
    <w:qFormat/>
    <w:uiPriority w:val="99"/>
    <w:pPr>
      <w:keepNext/>
      <w:keepLines/>
      <w:numPr>
        <w:ilvl w:val="4"/>
        <w:numId w:val="1"/>
      </w:numPr>
      <w:spacing w:before="280" w:after="290" w:line="372" w:lineRule="auto"/>
      <w:outlineLvl w:val="4"/>
    </w:pPr>
    <w:rPr>
      <w:rFonts w:ascii="Calibri" w:hAnsi="Calibri" w:cs="Calibri"/>
      <w:b/>
      <w:bCs/>
      <w:sz w:val="28"/>
      <w:szCs w:val="28"/>
    </w:rPr>
  </w:style>
  <w:style w:type="paragraph" w:styleId="8">
    <w:name w:val="heading 6"/>
    <w:basedOn w:val="1"/>
    <w:next w:val="7"/>
    <w:link w:val="62"/>
    <w:qFormat/>
    <w:uiPriority w:val="99"/>
    <w:pPr>
      <w:keepNext/>
      <w:keepLines/>
      <w:numPr>
        <w:ilvl w:val="5"/>
        <w:numId w:val="1"/>
      </w:numPr>
      <w:spacing w:before="240" w:after="64" w:line="317" w:lineRule="auto"/>
      <w:outlineLvl w:val="5"/>
    </w:pPr>
    <w:rPr>
      <w:rFonts w:ascii="Arial" w:hAnsi="Arial" w:eastAsia="黑体" w:cs="Arial"/>
      <w:b/>
      <w:bCs/>
      <w:sz w:val="24"/>
      <w:szCs w:val="24"/>
    </w:rPr>
  </w:style>
  <w:style w:type="paragraph" w:styleId="9">
    <w:name w:val="heading 7"/>
    <w:basedOn w:val="1"/>
    <w:next w:val="7"/>
    <w:link w:val="63"/>
    <w:qFormat/>
    <w:uiPriority w:val="99"/>
    <w:pPr>
      <w:keepNext/>
      <w:keepLines/>
      <w:numPr>
        <w:ilvl w:val="6"/>
        <w:numId w:val="1"/>
      </w:numPr>
      <w:spacing w:before="240" w:after="64" w:line="317" w:lineRule="auto"/>
      <w:outlineLvl w:val="6"/>
    </w:pPr>
    <w:rPr>
      <w:rFonts w:ascii="Calibri" w:hAnsi="Calibri" w:cs="Calibri"/>
      <w:b/>
      <w:bCs/>
      <w:sz w:val="24"/>
      <w:szCs w:val="24"/>
    </w:rPr>
  </w:style>
  <w:style w:type="paragraph" w:styleId="10">
    <w:name w:val="heading 8"/>
    <w:basedOn w:val="1"/>
    <w:next w:val="7"/>
    <w:link w:val="64"/>
    <w:qFormat/>
    <w:uiPriority w:val="99"/>
    <w:pPr>
      <w:keepNext/>
      <w:keepLines/>
      <w:numPr>
        <w:ilvl w:val="7"/>
        <w:numId w:val="1"/>
      </w:numPr>
      <w:spacing w:before="240" w:after="64" w:line="317" w:lineRule="auto"/>
      <w:outlineLvl w:val="7"/>
    </w:pPr>
    <w:rPr>
      <w:rFonts w:ascii="Arial" w:hAnsi="Arial" w:eastAsia="黑体" w:cs="Arial"/>
      <w:sz w:val="24"/>
      <w:szCs w:val="24"/>
    </w:rPr>
  </w:style>
  <w:style w:type="paragraph" w:styleId="11">
    <w:name w:val="heading 9"/>
    <w:basedOn w:val="1"/>
    <w:next w:val="7"/>
    <w:link w:val="65"/>
    <w:qFormat/>
    <w:uiPriority w:val="99"/>
    <w:pPr>
      <w:keepNext/>
      <w:keepLines/>
      <w:numPr>
        <w:ilvl w:val="8"/>
        <w:numId w:val="1"/>
      </w:numPr>
      <w:spacing w:before="240" w:after="64" w:line="317" w:lineRule="auto"/>
      <w:outlineLvl w:val="8"/>
    </w:pPr>
    <w:rPr>
      <w:rFonts w:ascii="Arial" w:hAnsi="Arial" w:eastAsia="黑体" w:cs="Arial"/>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7">
    <w:name w:val="Normal Indent"/>
    <w:basedOn w:val="1"/>
    <w:link w:val="129"/>
    <w:qFormat/>
    <w:uiPriority w:val="99"/>
    <w:pPr>
      <w:ind w:firstLine="420"/>
    </w:pPr>
  </w:style>
  <w:style w:type="paragraph" w:styleId="12">
    <w:name w:val="toc 7"/>
    <w:basedOn w:val="1"/>
    <w:next w:val="1"/>
    <w:semiHidden/>
    <w:qFormat/>
    <w:uiPriority w:val="99"/>
    <w:pPr>
      <w:ind w:left="1260"/>
      <w:jc w:val="left"/>
    </w:pPr>
    <w:rPr>
      <w:sz w:val="18"/>
      <w:szCs w:val="18"/>
    </w:rPr>
  </w:style>
  <w:style w:type="paragraph" w:styleId="13">
    <w:name w:val="List Number"/>
    <w:basedOn w:val="1"/>
    <w:qFormat/>
    <w:uiPriority w:val="99"/>
    <w:pPr>
      <w:widowControl/>
      <w:tabs>
        <w:tab w:val="left" w:pos="454"/>
        <w:tab w:val="left" w:pos="720"/>
      </w:tabs>
      <w:spacing w:afterLines="50"/>
      <w:ind w:left="454" w:hanging="284"/>
      <w:jc w:val="left"/>
    </w:pPr>
    <w:rPr>
      <w:kern w:val="0"/>
      <w:sz w:val="24"/>
      <w:szCs w:val="24"/>
    </w:rPr>
  </w:style>
  <w:style w:type="paragraph" w:styleId="14">
    <w:name w:val="caption"/>
    <w:basedOn w:val="1"/>
    <w:next w:val="1"/>
    <w:qFormat/>
    <w:uiPriority w:val="99"/>
    <w:pPr>
      <w:spacing w:before="152" w:after="160"/>
    </w:pPr>
    <w:rPr>
      <w:rFonts w:ascii="Arial" w:hAnsi="Arial" w:eastAsia="黑体" w:cs="Arial"/>
      <w:sz w:val="20"/>
      <w:szCs w:val="20"/>
    </w:rPr>
  </w:style>
  <w:style w:type="paragraph" w:styleId="15">
    <w:name w:val="Document Map"/>
    <w:basedOn w:val="1"/>
    <w:link w:val="67"/>
    <w:semiHidden/>
    <w:qFormat/>
    <w:uiPriority w:val="99"/>
    <w:pPr>
      <w:shd w:val="clear" w:color="auto" w:fill="000080"/>
    </w:pPr>
    <w:rPr>
      <w:rFonts w:ascii="Calibri" w:hAnsi="Calibri" w:cs="Calibri"/>
      <w:shd w:val="clear" w:color="auto" w:fill="000080"/>
    </w:rPr>
  </w:style>
  <w:style w:type="paragraph" w:styleId="16">
    <w:name w:val="annotation text"/>
    <w:basedOn w:val="1"/>
    <w:link w:val="68"/>
    <w:semiHidden/>
    <w:qFormat/>
    <w:uiPriority w:val="99"/>
    <w:pPr>
      <w:jc w:val="left"/>
    </w:pPr>
    <w:rPr>
      <w:rFonts w:ascii="Calibri" w:hAnsi="Calibri" w:cs="Calibri"/>
    </w:rPr>
  </w:style>
  <w:style w:type="paragraph" w:styleId="17">
    <w:name w:val="Body Text 3"/>
    <w:basedOn w:val="1"/>
    <w:link w:val="69"/>
    <w:qFormat/>
    <w:uiPriority w:val="99"/>
    <w:pPr>
      <w:snapToGrid w:val="0"/>
      <w:spacing w:before="50" w:after="50"/>
    </w:pPr>
    <w:rPr>
      <w:rFonts w:ascii="Calibri" w:hAnsi="宋体" w:eastAsia="仿宋_GB2312" w:cs="Calibri"/>
      <w:b/>
      <w:bCs/>
      <w:sz w:val="24"/>
      <w:szCs w:val="24"/>
    </w:rPr>
  </w:style>
  <w:style w:type="paragraph" w:styleId="18">
    <w:name w:val="Body Text"/>
    <w:basedOn w:val="1"/>
    <w:next w:val="1"/>
    <w:link w:val="70"/>
    <w:qFormat/>
    <w:uiPriority w:val="99"/>
    <w:pPr>
      <w:spacing w:after="120"/>
    </w:pPr>
    <w:rPr>
      <w:rFonts w:ascii="Calibri" w:hAnsi="Calibri" w:cs="Calibri"/>
      <w:sz w:val="28"/>
      <w:szCs w:val="28"/>
    </w:rPr>
  </w:style>
  <w:style w:type="paragraph" w:styleId="19">
    <w:name w:val="Body Text Indent"/>
    <w:basedOn w:val="1"/>
    <w:next w:val="1"/>
    <w:link w:val="71"/>
    <w:qFormat/>
    <w:uiPriority w:val="99"/>
    <w:pPr>
      <w:spacing w:line="200" w:lineRule="exact"/>
      <w:ind w:firstLine="301"/>
    </w:pPr>
    <w:rPr>
      <w:rFonts w:ascii="宋体" w:hAnsi="Courier New" w:cs="宋体"/>
      <w:spacing w:val="-4"/>
      <w:sz w:val="18"/>
      <w:szCs w:val="18"/>
    </w:rPr>
  </w:style>
  <w:style w:type="paragraph" w:styleId="20">
    <w:name w:val="List Number 3"/>
    <w:basedOn w:val="1"/>
    <w:qFormat/>
    <w:uiPriority w:val="99"/>
    <w:pPr>
      <w:tabs>
        <w:tab w:val="left" w:pos="1200"/>
      </w:tabs>
      <w:ind w:left="1200" w:hanging="360"/>
    </w:pPr>
  </w:style>
  <w:style w:type="paragraph" w:styleId="21">
    <w:name w:val="List 2"/>
    <w:basedOn w:val="1"/>
    <w:qFormat/>
    <w:uiPriority w:val="99"/>
    <w:pPr>
      <w:ind w:left="100" w:leftChars="200" w:hanging="200" w:hangingChars="200"/>
    </w:pPr>
    <w:rPr>
      <w:sz w:val="28"/>
      <w:szCs w:val="28"/>
    </w:rPr>
  </w:style>
  <w:style w:type="paragraph" w:styleId="22">
    <w:name w:val="toc 5"/>
    <w:basedOn w:val="1"/>
    <w:next w:val="1"/>
    <w:semiHidden/>
    <w:qFormat/>
    <w:uiPriority w:val="99"/>
    <w:pPr>
      <w:ind w:left="840"/>
      <w:jc w:val="left"/>
    </w:pPr>
    <w:rPr>
      <w:sz w:val="18"/>
      <w:szCs w:val="18"/>
    </w:rPr>
  </w:style>
  <w:style w:type="paragraph" w:styleId="23">
    <w:name w:val="toc 3"/>
    <w:basedOn w:val="1"/>
    <w:next w:val="1"/>
    <w:semiHidden/>
    <w:qFormat/>
    <w:uiPriority w:val="99"/>
    <w:pPr>
      <w:ind w:left="420"/>
      <w:jc w:val="left"/>
    </w:pPr>
    <w:rPr>
      <w:i/>
      <w:iCs/>
      <w:sz w:val="20"/>
      <w:szCs w:val="20"/>
    </w:rPr>
  </w:style>
  <w:style w:type="paragraph" w:styleId="24">
    <w:name w:val="Plain Text"/>
    <w:basedOn w:val="1"/>
    <w:link w:val="114"/>
    <w:qFormat/>
    <w:uiPriority w:val="99"/>
    <w:pPr>
      <w:spacing w:beforeLines="50" w:afterLines="50" w:line="400" w:lineRule="exact"/>
    </w:pPr>
    <w:rPr>
      <w:rFonts w:ascii="宋体" w:hAnsi="Courier New" w:cs="宋体"/>
      <w:sz w:val="24"/>
      <w:szCs w:val="24"/>
    </w:rPr>
  </w:style>
  <w:style w:type="paragraph" w:styleId="25">
    <w:name w:val="toc 8"/>
    <w:basedOn w:val="1"/>
    <w:next w:val="1"/>
    <w:semiHidden/>
    <w:qFormat/>
    <w:uiPriority w:val="99"/>
    <w:pPr>
      <w:ind w:left="1470"/>
      <w:jc w:val="left"/>
    </w:pPr>
    <w:rPr>
      <w:sz w:val="18"/>
      <w:szCs w:val="18"/>
    </w:rPr>
  </w:style>
  <w:style w:type="paragraph" w:styleId="26">
    <w:name w:val="Date"/>
    <w:basedOn w:val="1"/>
    <w:next w:val="1"/>
    <w:link w:val="72"/>
    <w:qFormat/>
    <w:uiPriority w:val="99"/>
    <w:pPr>
      <w:ind w:left="2500" w:leftChars="2500"/>
    </w:pPr>
    <w:rPr>
      <w:rFonts w:ascii="Calibri" w:hAnsi="Calibri" w:eastAsia="楷体_GB2312" w:cs="Calibri"/>
      <w:sz w:val="32"/>
      <w:szCs w:val="32"/>
    </w:rPr>
  </w:style>
  <w:style w:type="paragraph" w:styleId="27">
    <w:name w:val="Body Text Indent 2"/>
    <w:basedOn w:val="1"/>
    <w:link w:val="73"/>
    <w:qFormat/>
    <w:uiPriority w:val="99"/>
    <w:pPr>
      <w:snapToGrid w:val="0"/>
      <w:ind w:firstLine="542" w:firstLineChars="225"/>
    </w:pPr>
    <w:rPr>
      <w:rFonts w:ascii="仿宋_GB2312" w:hAnsi="宋体" w:cs="仿宋_GB2312"/>
      <w:b/>
      <w:bCs/>
      <w:color w:val="000000"/>
      <w:sz w:val="24"/>
      <w:szCs w:val="24"/>
    </w:rPr>
  </w:style>
  <w:style w:type="paragraph" w:styleId="28">
    <w:name w:val="endnote text"/>
    <w:basedOn w:val="1"/>
    <w:link w:val="74"/>
    <w:semiHidden/>
    <w:qFormat/>
    <w:uiPriority w:val="99"/>
    <w:pPr>
      <w:snapToGrid w:val="0"/>
      <w:jc w:val="left"/>
    </w:pPr>
    <w:rPr>
      <w:rFonts w:ascii="Calibri" w:hAnsi="Calibri" w:cs="Calibri"/>
    </w:rPr>
  </w:style>
  <w:style w:type="paragraph" w:styleId="29">
    <w:name w:val="Balloon Text"/>
    <w:basedOn w:val="1"/>
    <w:link w:val="75"/>
    <w:semiHidden/>
    <w:qFormat/>
    <w:uiPriority w:val="99"/>
    <w:rPr>
      <w:rFonts w:ascii="Calibri" w:hAnsi="Calibri" w:cs="Calibri"/>
      <w:sz w:val="18"/>
      <w:szCs w:val="18"/>
    </w:rPr>
  </w:style>
  <w:style w:type="paragraph" w:styleId="30">
    <w:name w:val="footer"/>
    <w:basedOn w:val="1"/>
    <w:link w:val="76"/>
    <w:qFormat/>
    <w:uiPriority w:val="99"/>
    <w:pPr>
      <w:tabs>
        <w:tab w:val="center" w:pos="4153"/>
        <w:tab w:val="right" w:pos="8306"/>
      </w:tabs>
      <w:snapToGrid w:val="0"/>
      <w:jc w:val="left"/>
    </w:pPr>
    <w:rPr>
      <w:rFonts w:ascii="Calibri" w:hAnsi="Calibri" w:eastAsia="黑体" w:cs="Calibri"/>
      <w:kern w:val="0"/>
      <w:sz w:val="18"/>
      <w:szCs w:val="18"/>
    </w:rPr>
  </w:style>
  <w:style w:type="paragraph" w:styleId="31">
    <w:name w:val="header"/>
    <w:basedOn w:val="1"/>
    <w:link w:val="77"/>
    <w:qFormat/>
    <w:uiPriority w:val="99"/>
    <w:pPr>
      <w:pBdr>
        <w:bottom w:val="single" w:color="auto" w:sz="6" w:space="1"/>
      </w:pBdr>
      <w:tabs>
        <w:tab w:val="center" w:pos="4153"/>
        <w:tab w:val="right" w:pos="8306"/>
      </w:tabs>
      <w:snapToGrid w:val="0"/>
      <w:jc w:val="center"/>
    </w:pPr>
    <w:rPr>
      <w:rFonts w:ascii="Calibri" w:hAnsi="Calibri" w:eastAsia="仿宋_GB2312" w:cs="Calibri"/>
      <w:sz w:val="18"/>
      <w:szCs w:val="18"/>
    </w:rPr>
  </w:style>
  <w:style w:type="paragraph" w:styleId="32">
    <w:name w:val="toc 1"/>
    <w:basedOn w:val="1"/>
    <w:next w:val="1"/>
    <w:semiHidden/>
    <w:qFormat/>
    <w:uiPriority w:val="99"/>
  </w:style>
  <w:style w:type="paragraph" w:styleId="33">
    <w:name w:val="toc 4"/>
    <w:basedOn w:val="1"/>
    <w:next w:val="1"/>
    <w:semiHidden/>
    <w:qFormat/>
    <w:uiPriority w:val="99"/>
    <w:pPr>
      <w:ind w:left="630"/>
      <w:jc w:val="left"/>
    </w:pPr>
    <w:rPr>
      <w:sz w:val="18"/>
      <w:szCs w:val="18"/>
    </w:rPr>
  </w:style>
  <w:style w:type="paragraph" w:styleId="34">
    <w:name w:val="Subtitle"/>
    <w:basedOn w:val="1"/>
    <w:next w:val="1"/>
    <w:link w:val="78"/>
    <w:qFormat/>
    <w:uiPriority w:val="99"/>
    <w:pPr>
      <w:spacing w:before="240" w:after="60" w:line="312" w:lineRule="auto"/>
      <w:jc w:val="center"/>
      <w:outlineLvl w:val="1"/>
    </w:pPr>
    <w:rPr>
      <w:rFonts w:ascii="Cambria" w:hAnsi="Cambria" w:cs="Cambria"/>
      <w:b/>
      <w:bCs/>
      <w:kern w:val="28"/>
      <w:sz w:val="32"/>
      <w:szCs w:val="32"/>
    </w:rPr>
  </w:style>
  <w:style w:type="paragraph" w:styleId="35">
    <w:name w:val="List"/>
    <w:basedOn w:val="1"/>
    <w:qFormat/>
    <w:uiPriority w:val="99"/>
    <w:pPr>
      <w:ind w:left="200" w:hanging="200" w:hangingChars="200"/>
    </w:pPr>
    <w:rPr>
      <w:sz w:val="28"/>
      <w:szCs w:val="28"/>
    </w:rPr>
  </w:style>
  <w:style w:type="paragraph" w:styleId="36">
    <w:name w:val="footnote text"/>
    <w:basedOn w:val="1"/>
    <w:link w:val="79"/>
    <w:semiHidden/>
    <w:qFormat/>
    <w:uiPriority w:val="99"/>
    <w:pPr>
      <w:snapToGrid w:val="0"/>
      <w:jc w:val="left"/>
    </w:pPr>
    <w:rPr>
      <w:rFonts w:ascii="Calibri" w:hAnsi="Calibri" w:cs="Calibri"/>
      <w:sz w:val="18"/>
      <w:szCs w:val="18"/>
    </w:rPr>
  </w:style>
  <w:style w:type="paragraph" w:styleId="37">
    <w:name w:val="toc 6"/>
    <w:basedOn w:val="1"/>
    <w:next w:val="1"/>
    <w:semiHidden/>
    <w:qFormat/>
    <w:uiPriority w:val="99"/>
    <w:pPr>
      <w:ind w:left="1050"/>
      <w:jc w:val="left"/>
    </w:pPr>
    <w:rPr>
      <w:sz w:val="18"/>
      <w:szCs w:val="18"/>
    </w:rPr>
  </w:style>
  <w:style w:type="paragraph" w:styleId="38">
    <w:name w:val="Body Text Indent 3"/>
    <w:basedOn w:val="1"/>
    <w:link w:val="80"/>
    <w:qFormat/>
    <w:uiPriority w:val="99"/>
    <w:pPr>
      <w:snapToGrid w:val="0"/>
      <w:ind w:firstLine="480" w:firstLineChars="200"/>
      <w:jc w:val="left"/>
    </w:pPr>
    <w:rPr>
      <w:rFonts w:ascii="仿宋_GB2312" w:hAnsi="宋体" w:eastAsia="仿宋_GB2312" w:cs="仿宋_GB2312"/>
      <w:color w:val="000000"/>
      <w:sz w:val="24"/>
      <w:szCs w:val="24"/>
    </w:rPr>
  </w:style>
  <w:style w:type="paragraph" w:styleId="39">
    <w:name w:val="toc 2"/>
    <w:basedOn w:val="1"/>
    <w:next w:val="1"/>
    <w:semiHidden/>
    <w:qFormat/>
    <w:uiPriority w:val="99"/>
    <w:pPr>
      <w:ind w:left="210"/>
      <w:jc w:val="left"/>
    </w:pPr>
    <w:rPr>
      <w:smallCaps/>
      <w:sz w:val="20"/>
      <w:szCs w:val="20"/>
    </w:rPr>
  </w:style>
  <w:style w:type="paragraph" w:styleId="40">
    <w:name w:val="toc 9"/>
    <w:basedOn w:val="1"/>
    <w:next w:val="1"/>
    <w:semiHidden/>
    <w:qFormat/>
    <w:uiPriority w:val="99"/>
    <w:pPr>
      <w:ind w:left="1680"/>
      <w:jc w:val="left"/>
    </w:pPr>
    <w:rPr>
      <w:sz w:val="18"/>
      <w:szCs w:val="18"/>
    </w:rPr>
  </w:style>
  <w:style w:type="paragraph" w:styleId="41">
    <w:name w:val="Body Text 2"/>
    <w:basedOn w:val="1"/>
    <w:link w:val="81"/>
    <w:qFormat/>
    <w:uiPriority w:val="99"/>
    <w:pPr>
      <w:widowControl/>
      <w:snapToGrid w:val="0"/>
      <w:spacing w:before="50" w:afterLines="50" w:line="400" w:lineRule="exact"/>
      <w:jc w:val="left"/>
    </w:pPr>
    <w:rPr>
      <w:rFonts w:ascii="宋体" w:hAnsi="宋体" w:cs="宋体"/>
      <w:color w:val="000000"/>
      <w:sz w:val="24"/>
      <w:szCs w:val="24"/>
    </w:rPr>
  </w:style>
  <w:style w:type="paragraph" w:styleId="42">
    <w:name w:val="Normal (Web)"/>
    <w:basedOn w:val="1"/>
    <w:qFormat/>
    <w:uiPriority w:val="99"/>
    <w:pPr>
      <w:widowControl/>
      <w:spacing w:before="100" w:beforeAutospacing="1" w:after="100" w:afterAutospacing="1"/>
      <w:jc w:val="left"/>
    </w:pPr>
    <w:rPr>
      <w:kern w:val="0"/>
      <w:sz w:val="24"/>
      <w:szCs w:val="24"/>
    </w:rPr>
  </w:style>
  <w:style w:type="paragraph" w:styleId="43">
    <w:name w:val="Title"/>
    <w:basedOn w:val="1"/>
    <w:next w:val="1"/>
    <w:link w:val="82"/>
    <w:qFormat/>
    <w:uiPriority w:val="10"/>
    <w:pPr>
      <w:spacing w:before="240" w:after="60"/>
      <w:jc w:val="center"/>
      <w:outlineLvl w:val="0"/>
    </w:pPr>
    <w:rPr>
      <w:rFonts w:ascii="Cambria" w:hAnsi="Cambria" w:cs="Cambria"/>
      <w:b/>
      <w:bCs/>
      <w:sz w:val="32"/>
      <w:szCs w:val="32"/>
    </w:rPr>
  </w:style>
  <w:style w:type="paragraph" w:styleId="44">
    <w:name w:val="annotation subject"/>
    <w:basedOn w:val="16"/>
    <w:next w:val="16"/>
    <w:link w:val="83"/>
    <w:semiHidden/>
    <w:qFormat/>
    <w:uiPriority w:val="99"/>
    <w:rPr>
      <w:b/>
      <w:bCs/>
    </w:rPr>
  </w:style>
  <w:style w:type="paragraph" w:styleId="45">
    <w:name w:val="Body Text First Indent"/>
    <w:basedOn w:val="18"/>
    <w:link w:val="84"/>
    <w:qFormat/>
    <w:uiPriority w:val="99"/>
    <w:pPr>
      <w:ind w:firstLine="420" w:firstLineChars="100"/>
    </w:pPr>
    <w:rPr>
      <w:sz w:val="21"/>
      <w:szCs w:val="21"/>
    </w:rPr>
  </w:style>
  <w:style w:type="paragraph" w:styleId="46">
    <w:name w:val="Body Text First Indent 2"/>
    <w:basedOn w:val="19"/>
    <w:next w:val="1"/>
    <w:link w:val="85"/>
    <w:qFormat/>
    <w:uiPriority w:val="99"/>
    <w:pPr>
      <w:spacing w:after="120" w:line="240" w:lineRule="auto"/>
      <w:ind w:left="420" w:leftChars="200" w:firstLine="420" w:firstLineChars="200"/>
    </w:pPr>
    <w:rPr>
      <w:rFonts w:ascii="Times New Roman" w:hAnsi="Times New Roman" w:cs="Times New Roman"/>
      <w:spacing w:val="0"/>
      <w:sz w:val="21"/>
      <w:szCs w:val="21"/>
    </w:rPr>
  </w:style>
  <w:style w:type="table" w:styleId="48">
    <w:name w:val="Table Grid"/>
    <w:basedOn w:val="4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0">
    <w:name w:val="Strong"/>
    <w:basedOn w:val="49"/>
    <w:qFormat/>
    <w:uiPriority w:val="99"/>
    <w:rPr>
      <w:b/>
      <w:bCs/>
    </w:rPr>
  </w:style>
  <w:style w:type="character" w:styleId="51">
    <w:name w:val="page number"/>
    <w:basedOn w:val="49"/>
    <w:qFormat/>
    <w:uiPriority w:val="99"/>
  </w:style>
  <w:style w:type="character" w:styleId="52">
    <w:name w:val="FollowedHyperlink"/>
    <w:basedOn w:val="49"/>
    <w:qFormat/>
    <w:uiPriority w:val="99"/>
    <w:rPr>
      <w:color w:val="800080"/>
      <w:u w:val="single"/>
    </w:rPr>
  </w:style>
  <w:style w:type="character" w:styleId="53">
    <w:name w:val="Emphasis"/>
    <w:basedOn w:val="49"/>
    <w:qFormat/>
    <w:uiPriority w:val="99"/>
    <w:rPr>
      <w:i/>
      <w:iCs/>
    </w:rPr>
  </w:style>
  <w:style w:type="character" w:styleId="54">
    <w:name w:val="Hyperlink"/>
    <w:basedOn w:val="49"/>
    <w:qFormat/>
    <w:uiPriority w:val="99"/>
    <w:rPr>
      <w:color w:val="0000FF"/>
      <w:u w:val="single"/>
    </w:rPr>
  </w:style>
  <w:style w:type="character" w:styleId="55">
    <w:name w:val="annotation reference"/>
    <w:basedOn w:val="49"/>
    <w:semiHidden/>
    <w:qFormat/>
    <w:uiPriority w:val="99"/>
    <w:rPr>
      <w:sz w:val="21"/>
      <w:szCs w:val="21"/>
    </w:rPr>
  </w:style>
  <w:style w:type="paragraph" w:customStyle="1" w:styleId="56">
    <w:name w:val="样式3"/>
    <w:basedOn w:val="24"/>
    <w:qFormat/>
    <w:uiPriority w:val="99"/>
    <w:pPr>
      <w:numPr>
        <w:ilvl w:val="0"/>
        <w:numId w:val="1"/>
      </w:numPr>
      <w:tabs>
        <w:tab w:val="left" w:pos="420"/>
      </w:tabs>
      <w:spacing w:line="360" w:lineRule="auto"/>
      <w:ind w:left="0" w:firstLine="883" w:firstLineChars="200"/>
      <w:jc w:val="left"/>
    </w:pPr>
    <w:rPr>
      <w:sz w:val="28"/>
      <w:szCs w:val="28"/>
    </w:rPr>
  </w:style>
  <w:style w:type="character" w:customStyle="1" w:styleId="57">
    <w:name w:val="标题 1 Char"/>
    <w:basedOn w:val="49"/>
    <w:link w:val="2"/>
    <w:qFormat/>
    <w:locked/>
    <w:uiPriority w:val="99"/>
    <w:rPr>
      <w:rFonts w:hAnsi="宋体"/>
      <w:b/>
      <w:bCs/>
      <w:color w:val="000000"/>
      <w:kern w:val="2"/>
      <w:sz w:val="30"/>
      <w:szCs w:val="30"/>
    </w:rPr>
  </w:style>
  <w:style w:type="character" w:customStyle="1" w:styleId="58">
    <w:name w:val="标题 2 Char"/>
    <w:basedOn w:val="49"/>
    <w:link w:val="3"/>
    <w:qFormat/>
    <w:locked/>
    <w:uiPriority w:val="99"/>
    <w:rPr>
      <w:rFonts w:ascii="Arial" w:hAnsi="Arial" w:eastAsia="黑体" w:cs="Arial"/>
      <w:b/>
      <w:bCs/>
      <w:kern w:val="2"/>
      <w:sz w:val="32"/>
      <w:szCs w:val="32"/>
    </w:rPr>
  </w:style>
  <w:style w:type="character" w:customStyle="1" w:styleId="59">
    <w:name w:val="标题 3 Char"/>
    <w:basedOn w:val="49"/>
    <w:link w:val="4"/>
    <w:qFormat/>
    <w:locked/>
    <w:uiPriority w:val="99"/>
    <w:rPr>
      <w:b/>
      <w:bCs/>
      <w:sz w:val="32"/>
      <w:szCs w:val="32"/>
    </w:rPr>
  </w:style>
  <w:style w:type="character" w:customStyle="1" w:styleId="60">
    <w:name w:val="标题 4 Char"/>
    <w:basedOn w:val="49"/>
    <w:link w:val="5"/>
    <w:qFormat/>
    <w:locked/>
    <w:uiPriority w:val="99"/>
    <w:rPr>
      <w:rFonts w:ascii="Arial" w:hAnsi="Arial" w:eastAsia="黑体" w:cs="Arial"/>
      <w:b/>
      <w:bCs/>
      <w:kern w:val="2"/>
      <w:sz w:val="28"/>
      <w:szCs w:val="28"/>
    </w:rPr>
  </w:style>
  <w:style w:type="character" w:customStyle="1" w:styleId="61">
    <w:name w:val="标题 5 Char"/>
    <w:basedOn w:val="49"/>
    <w:link w:val="6"/>
    <w:qFormat/>
    <w:locked/>
    <w:uiPriority w:val="99"/>
    <w:rPr>
      <w:rFonts w:ascii="Calibri" w:hAnsi="Calibri" w:cs="Calibri"/>
      <w:b/>
      <w:bCs/>
      <w:sz w:val="28"/>
      <w:szCs w:val="28"/>
    </w:rPr>
  </w:style>
  <w:style w:type="character" w:customStyle="1" w:styleId="62">
    <w:name w:val="标题 6 Char"/>
    <w:basedOn w:val="49"/>
    <w:link w:val="8"/>
    <w:qFormat/>
    <w:locked/>
    <w:uiPriority w:val="99"/>
    <w:rPr>
      <w:rFonts w:ascii="Arial" w:hAnsi="Arial" w:eastAsia="黑体" w:cs="Arial"/>
      <w:b/>
      <w:bCs/>
      <w:sz w:val="24"/>
      <w:szCs w:val="24"/>
    </w:rPr>
  </w:style>
  <w:style w:type="character" w:customStyle="1" w:styleId="63">
    <w:name w:val="标题 7 Char"/>
    <w:basedOn w:val="49"/>
    <w:link w:val="9"/>
    <w:qFormat/>
    <w:locked/>
    <w:uiPriority w:val="99"/>
    <w:rPr>
      <w:rFonts w:ascii="Calibri" w:hAnsi="Calibri" w:cs="Calibri"/>
      <w:b/>
      <w:bCs/>
      <w:sz w:val="24"/>
      <w:szCs w:val="24"/>
    </w:rPr>
  </w:style>
  <w:style w:type="character" w:customStyle="1" w:styleId="64">
    <w:name w:val="标题 8 Char"/>
    <w:basedOn w:val="49"/>
    <w:link w:val="10"/>
    <w:qFormat/>
    <w:locked/>
    <w:uiPriority w:val="99"/>
    <w:rPr>
      <w:rFonts w:ascii="Arial" w:hAnsi="Arial" w:eastAsia="黑体" w:cs="Arial"/>
      <w:sz w:val="24"/>
      <w:szCs w:val="24"/>
    </w:rPr>
  </w:style>
  <w:style w:type="character" w:customStyle="1" w:styleId="65">
    <w:name w:val="标题 9 Char"/>
    <w:basedOn w:val="49"/>
    <w:link w:val="11"/>
    <w:qFormat/>
    <w:locked/>
    <w:uiPriority w:val="99"/>
    <w:rPr>
      <w:rFonts w:ascii="Arial" w:hAnsi="Arial" w:eastAsia="黑体" w:cs="Arial"/>
      <w:szCs w:val="21"/>
    </w:rPr>
  </w:style>
  <w:style w:type="character" w:customStyle="1" w:styleId="66">
    <w:name w:val="Plain Text Char"/>
    <w:basedOn w:val="49"/>
    <w:qFormat/>
    <w:locked/>
    <w:uiPriority w:val="99"/>
    <w:rPr>
      <w:rFonts w:ascii="宋体" w:hAnsi="Courier New" w:eastAsia="宋体" w:cs="宋体"/>
      <w:sz w:val="21"/>
      <w:szCs w:val="21"/>
    </w:rPr>
  </w:style>
  <w:style w:type="character" w:customStyle="1" w:styleId="67">
    <w:name w:val="文档结构图 Char"/>
    <w:basedOn w:val="49"/>
    <w:link w:val="15"/>
    <w:qFormat/>
    <w:locked/>
    <w:uiPriority w:val="99"/>
    <w:rPr>
      <w:kern w:val="2"/>
      <w:sz w:val="24"/>
      <w:szCs w:val="24"/>
      <w:shd w:val="clear" w:color="auto" w:fill="000080"/>
    </w:rPr>
  </w:style>
  <w:style w:type="character" w:customStyle="1" w:styleId="68">
    <w:name w:val="批注文字 Char"/>
    <w:basedOn w:val="49"/>
    <w:link w:val="16"/>
    <w:qFormat/>
    <w:locked/>
    <w:uiPriority w:val="99"/>
    <w:rPr>
      <w:kern w:val="2"/>
      <w:sz w:val="24"/>
      <w:szCs w:val="24"/>
    </w:rPr>
  </w:style>
  <w:style w:type="character" w:customStyle="1" w:styleId="69">
    <w:name w:val="正文文本 3 Char"/>
    <w:basedOn w:val="49"/>
    <w:link w:val="17"/>
    <w:qFormat/>
    <w:locked/>
    <w:uiPriority w:val="99"/>
    <w:rPr>
      <w:rFonts w:hAnsi="宋体" w:eastAsia="仿宋_GB2312"/>
      <w:b/>
      <w:bCs/>
      <w:kern w:val="2"/>
      <w:sz w:val="24"/>
      <w:szCs w:val="24"/>
    </w:rPr>
  </w:style>
  <w:style w:type="character" w:customStyle="1" w:styleId="70">
    <w:name w:val="正文文本 Char1"/>
    <w:basedOn w:val="49"/>
    <w:link w:val="18"/>
    <w:qFormat/>
    <w:locked/>
    <w:uiPriority w:val="99"/>
    <w:rPr>
      <w:kern w:val="2"/>
      <w:sz w:val="24"/>
      <w:szCs w:val="24"/>
    </w:rPr>
  </w:style>
  <w:style w:type="character" w:customStyle="1" w:styleId="71">
    <w:name w:val="正文文本缩进 Char"/>
    <w:basedOn w:val="49"/>
    <w:link w:val="19"/>
    <w:qFormat/>
    <w:locked/>
    <w:uiPriority w:val="99"/>
    <w:rPr>
      <w:rFonts w:ascii="宋体" w:hAnsi="Courier New" w:cs="宋体"/>
      <w:spacing w:val="-4"/>
      <w:kern w:val="2"/>
      <w:sz w:val="18"/>
      <w:szCs w:val="18"/>
    </w:rPr>
  </w:style>
  <w:style w:type="character" w:customStyle="1" w:styleId="72">
    <w:name w:val="日期 Char"/>
    <w:basedOn w:val="49"/>
    <w:link w:val="26"/>
    <w:qFormat/>
    <w:locked/>
    <w:uiPriority w:val="99"/>
    <w:rPr>
      <w:rFonts w:eastAsia="楷体_GB2312"/>
      <w:kern w:val="2"/>
      <w:sz w:val="32"/>
      <w:szCs w:val="32"/>
    </w:rPr>
  </w:style>
  <w:style w:type="character" w:customStyle="1" w:styleId="73">
    <w:name w:val="正文文本缩进 2 Char"/>
    <w:basedOn w:val="49"/>
    <w:link w:val="27"/>
    <w:qFormat/>
    <w:locked/>
    <w:uiPriority w:val="99"/>
    <w:rPr>
      <w:rFonts w:ascii="仿宋_GB2312" w:hAnsi="宋体" w:cs="仿宋_GB2312"/>
      <w:b/>
      <w:bCs/>
      <w:color w:val="000000"/>
      <w:kern w:val="2"/>
      <w:sz w:val="24"/>
      <w:szCs w:val="24"/>
    </w:rPr>
  </w:style>
  <w:style w:type="character" w:customStyle="1" w:styleId="74">
    <w:name w:val="尾注文本 Char"/>
    <w:basedOn w:val="49"/>
    <w:link w:val="28"/>
    <w:qFormat/>
    <w:locked/>
    <w:uiPriority w:val="99"/>
    <w:rPr>
      <w:kern w:val="2"/>
      <w:sz w:val="24"/>
      <w:szCs w:val="24"/>
    </w:rPr>
  </w:style>
  <w:style w:type="character" w:customStyle="1" w:styleId="75">
    <w:name w:val="批注框文本 Char"/>
    <w:basedOn w:val="49"/>
    <w:link w:val="29"/>
    <w:qFormat/>
    <w:locked/>
    <w:uiPriority w:val="99"/>
    <w:rPr>
      <w:kern w:val="2"/>
      <w:sz w:val="18"/>
      <w:szCs w:val="18"/>
    </w:rPr>
  </w:style>
  <w:style w:type="character" w:customStyle="1" w:styleId="76">
    <w:name w:val="页脚 Char"/>
    <w:basedOn w:val="49"/>
    <w:link w:val="30"/>
    <w:qFormat/>
    <w:locked/>
    <w:uiPriority w:val="99"/>
    <w:rPr>
      <w:rFonts w:eastAsia="黑体"/>
      <w:snapToGrid w:val="0"/>
      <w:sz w:val="18"/>
      <w:szCs w:val="18"/>
      <w:lang w:val="en-US" w:eastAsia="zh-CN"/>
    </w:rPr>
  </w:style>
  <w:style w:type="character" w:customStyle="1" w:styleId="77">
    <w:name w:val="页眉 Char"/>
    <w:basedOn w:val="49"/>
    <w:link w:val="31"/>
    <w:qFormat/>
    <w:locked/>
    <w:uiPriority w:val="99"/>
    <w:rPr>
      <w:rFonts w:eastAsia="仿宋_GB2312"/>
      <w:kern w:val="2"/>
      <w:sz w:val="18"/>
      <w:szCs w:val="18"/>
    </w:rPr>
  </w:style>
  <w:style w:type="character" w:customStyle="1" w:styleId="78">
    <w:name w:val="副标题 Char"/>
    <w:basedOn w:val="49"/>
    <w:link w:val="34"/>
    <w:qFormat/>
    <w:locked/>
    <w:uiPriority w:val="99"/>
    <w:rPr>
      <w:rFonts w:ascii="Cambria" w:hAnsi="Cambria" w:cs="Cambria"/>
      <w:b/>
      <w:bCs/>
      <w:kern w:val="28"/>
      <w:sz w:val="32"/>
      <w:szCs w:val="32"/>
    </w:rPr>
  </w:style>
  <w:style w:type="character" w:customStyle="1" w:styleId="79">
    <w:name w:val="脚注文本 Char"/>
    <w:basedOn w:val="49"/>
    <w:link w:val="36"/>
    <w:qFormat/>
    <w:locked/>
    <w:uiPriority w:val="99"/>
    <w:rPr>
      <w:kern w:val="2"/>
      <w:sz w:val="18"/>
      <w:szCs w:val="18"/>
    </w:rPr>
  </w:style>
  <w:style w:type="character" w:customStyle="1" w:styleId="80">
    <w:name w:val="正文文本缩进 3 Char"/>
    <w:basedOn w:val="49"/>
    <w:link w:val="38"/>
    <w:qFormat/>
    <w:locked/>
    <w:uiPriority w:val="99"/>
    <w:rPr>
      <w:rFonts w:ascii="仿宋_GB2312" w:hAnsi="宋体" w:eastAsia="仿宋_GB2312" w:cs="仿宋_GB2312"/>
      <w:color w:val="000000"/>
      <w:kern w:val="2"/>
      <w:sz w:val="24"/>
      <w:szCs w:val="24"/>
    </w:rPr>
  </w:style>
  <w:style w:type="character" w:customStyle="1" w:styleId="81">
    <w:name w:val="正文文本 2 Char"/>
    <w:basedOn w:val="49"/>
    <w:link w:val="41"/>
    <w:qFormat/>
    <w:locked/>
    <w:uiPriority w:val="99"/>
    <w:rPr>
      <w:rFonts w:ascii="宋体" w:eastAsia="宋体" w:cs="宋体"/>
      <w:color w:val="000000"/>
      <w:kern w:val="2"/>
      <w:sz w:val="24"/>
      <w:szCs w:val="24"/>
    </w:rPr>
  </w:style>
  <w:style w:type="character" w:customStyle="1" w:styleId="82">
    <w:name w:val="标题 Char"/>
    <w:basedOn w:val="49"/>
    <w:link w:val="43"/>
    <w:qFormat/>
    <w:locked/>
    <w:uiPriority w:val="10"/>
    <w:rPr>
      <w:rFonts w:ascii="Cambria" w:hAnsi="Cambria" w:cs="Cambria"/>
      <w:b/>
      <w:bCs/>
      <w:kern w:val="2"/>
      <w:sz w:val="32"/>
      <w:szCs w:val="32"/>
    </w:rPr>
  </w:style>
  <w:style w:type="character" w:customStyle="1" w:styleId="83">
    <w:name w:val="批注主题 Char"/>
    <w:basedOn w:val="68"/>
    <w:link w:val="44"/>
    <w:qFormat/>
    <w:locked/>
    <w:uiPriority w:val="99"/>
    <w:rPr>
      <w:b/>
      <w:bCs/>
      <w:kern w:val="2"/>
      <w:sz w:val="24"/>
      <w:szCs w:val="24"/>
    </w:rPr>
  </w:style>
  <w:style w:type="character" w:customStyle="1" w:styleId="84">
    <w:name w:val="正文首行缩进 Char1"/>
    <w:basedOn w:val="70"/>
    <w:link w:val="45"/>
    <w:qFormat/>
    <w:locked/>
    <w:uiPriority w:val="99"/>
    <w:rPr>
      <w:kern w:val="2"/>
      <w:sz w:val="24"/>
      <w:szCs w:val="24"/>
    </w:rPr>
  </w:style>
  <w:style w:type="character" w:customStyle="1" w:styleId="85">
    <w:name w:val="正文首行缩进 2 Char"/>
    <w:basedOn w:val="71"/>
    <w:link w:val="46"/>
    <w:qFormat/>
    <w:locked/>
    <w:uiPriority w:val="99"/>
    <w:rPr>
      <w:rFonts w:ascii="宋体" w:hAnsi="Courier New" w:cs="宋体"/>
      <w:spacing w:val="-4"/>
      <w:kern w:val="2"/>
      <w:sz w:val="21"/>
      <w:szCs w:val="21"/>
    </w:rPr>
  </w:style>
  <w:style w:type="character" w:customStyle="1" w:styleId="86">
    <w:name w:val="纯文本 字符"/>
    <w:qFormat/>
    <w:locked/>
    <w:uiPriority w:val="99"/>
    <w:rPr>
      <w:rFonts w:ascii="宋体" w:hAnsi="Courier New" w:cs="宋体"/>
      <w:kern w:val="2"/>
    </w:rPr>
  </w:style>
  <w:style w:type="character" w:customStyle="1" w:styleId="87">
    <w:name w:val="标题 字符"/>
    <w:qFormat/>
    <w:uiPriority w:val="99"/>
    <w:rPr>
      <w:rFonts w:ascii="等线 Light" w:eastAsia="等线 Light" w:cs="等线 Light"/>
      <w:b/>
      <w:bCs/>
      <w:kern w:val="2"/>
      <w:sz w:val="32"/>
      <w:szCs w:val="32"/>
    </w:rPr>
  </w:style>
  <w:style w:type="character" w:customStyle="1" w:styleId="88">
    <w:name w:val="font14zd"/>
    <w:basedOn w:val="49"/>
    <w:qFormat/>
    <w:uiPriority w:val="99"/>
  </w:style>
  <w:style w:type="character" w:customStyle="1" w:styleId="89">
    <w:name w:val="批注文字 Char1"/>
    <w:qFormat/>
    <w:locked/>
    <w:uiPriority w:val="99"/>
    <w:rPr>
      <w:rFonts w:ascii="Times New Roman" w:hAnsi="Times New Roman" w:eastAsia="宋体" w:cs="Times New Roman"/>
      <w:sz w:val="20"/>
      <w:szCs w:val="20"/>
    </w:rPr>
  </w:style>
  <w:style w:type="character" w:customStyle="1" w:styleId="90">
    <w:name w:val="尾注文本 Char1"/>
    <w:qFormat/>
    <w:uiPriority w:val="99"/>
    <w:rPr>
      <w:kern w:val="2"/>
      <w:sz w:val="24"/>
      <w:szCs w:val="24"/>
    </w:rPr>
  </w:style>
  <w:style w:type="character" w:customStyle="1" w:styleId="91">
    <w:name w:val="列出段落 Char1"/>
    <w:link w:val="92"/>
    <w:qFormat/>
    <w:locked/>
    <w:uiPriority w:val="99"/>
    <w:rPr>
      <w:rFonts w:ascii="Calibri" w:hAnsi="Calibri" w:cs="Calibri"/>
      <w:kern w:val="2"/>
      <w:sz w:val="22"/>
      <w:szCs w:val="22"/>
    </w:rPr>
  </w:style>
  <w:style w:type="paragraph" w:customStyle="1" w:styleId="92">
    <w:name w:val="列出段落11"/>
    <w:basedOn w:val="1"/>
    <w:link w:val="91"/>
    <w:qFormat/>
    <w:uiPriority w:val="99"/>
    <w:pPr>
      <w:ind w:firstLine="420" w:firstLineChars="200"/>
    </w:pPr>
    <w:rPr>
      <w:rFonts w:ascii="Calibri" w:hAnsi="Calibri" w:cs="Calibri"/>
      <w:sz w:val="22"/>
      <w:szCs w:val="22"/>
    </w:rPr>
  </w:style>
  <w:style w:type="character" w:customStyle="1" w:styleId="93">
    <w:name w:val="页码1"/>
    <w:qFormat/>
    <w:uiPriority w:val="99"/>
  </w:style>
  <w:style w:type="character" w:customStyle="1" w:styleId="94">
    <w:name w:val="样式 标题 1合同标题卷标题H1h1Level 1 Topic HeadingH11H12H111H13H1... Char Char"/>
    <w:qFormat/>
    <w:uiPriority w:val="99"/>
    <w:rPr>
      <w:rFonts w:ascii="宋体" w:hAnsi="宋体" w:eastAsia="宋体" w:cs="宋体"/>
      <w:b/>
      <w:bCs/>
      <w:kern w:val="44"/>
      <w:sz w:val="44"/>
      <w:szCs w:val="44"/>
      <w:lang w:val="en-US" w:eastAsia="zh-CN"/>
    </w:rPr>
  </w:style>
  <w:style w:type="character" w:customStyle="1" w:styleId="95">
    <w:name w:val="样式 正文缩进 + 首行缩进:  2 字符 Char"/>
    <w:link w:val="96"/>
    <w:qFormat/>
    <w:locked/>
    <w:uiPriority w:val="99"/>
    <w:rPr>
      <w:sz w:val="24"/>
      <w:szCs w:val="24"/>
    </w:rPr>
  </w:style>
  <w:style w:type="paragraph" w:customStyle="1" w:styleId="96">
    <w:name w:val="样式 正文缩进 + 首行缩进:  2 字符"/>
    <w:basedOn w:val="7"/>
    <w:link w:val="95"/>
    <w:qFormat/>
    <w:uiPriority w:val="99"/>
    <w:pPr>
      <w:spacing w:after="80" w:line="360" w:lineRule="auto"/>
      <w:ind w:firstLine="480" w:firstLineChars="200"/>
    </w:pPr>
    <w:rPr>
      <w:kern w:val="0"/>
      <w:sz w:val="24"/>
      <w:szCs w:val="24"/>
    </w:rPr>
  </w:style>
  <w:style w:type="character" w:customStyle="1" w:styleId="97">
    <w:name w:val="样式 标题 1合同标题卷标题H1h1Level 1 Topic HeadingH11H12H111H13H1... Char"/>
    <w:qFormat/>
    <w:uiPriority w:val="99"/>
    <w:rPr>
      <w:rFonts w:ascii="宋体" w:hAnsi="宋体" w:eastAsia="宋体" w:cs="宋体"/>
      <w:b/>
      <w:bCs/>
      <w:kern w:val="44"/>
      <w:sz w:val="44"/>
      <w:szCs w:val="44"/>
      <w:lang w:val="en-US" w:eastAsia="zh-CN"/>
    </w:rPr>
  </w:style>
  <w:style w:type="character" w:customStyle="1" w:styleId="98">
    <w:name w:val="文档正文 Char"/>
    <w:link w:val="99"/>
    <w:qFormat/>
    <w:locked/>
    <w:uiPriority w:val="99"/>
    <w:rPr>
      <w:rFonts w:ascii="Arial" w:hAnsi="Arial" w:cs="Arial"/>
      <w:sz w:val="24"/>
      <w:szCs w:val="24"/>
    </w:rPr>
  </w:style>
  <w:style w:type="paragraph" w:customStyle="1" w:styleId="99">
    <w:name w:val="文档正文"/>
    <w:basedOn w:val="1"/>
    <w:link w:val="98"/>
    <w:qFormat/>
    <w:uiPriority w:val="99"/>
    <w:rPr>
      <w:rFonts w:ascii="Arial" w:hAnsi="Arial" w:cs="Arial"/>
      <w:kern w:val="0"/>
      <w:sz w:val="24"/>
      <w:szCs w:val="24"/>
    </w:rPr>
  </w:style>
  <w:style w:type="character" w:customStyle="1" w:styleId="100">
    <w:name w:val="页脚 字符"/>
    <w:qFormat/>
    <w:uiPriority w:val="99"/>
    <w:rPr>
      <w:rFonts w:ascii="Tahoma" w:hAnsi="Tahoma" w:eastAsia="微软雅黑" w:cs="Tahoma"/>
      <w:sz w:val="18"/>
      <w:szCs w:val="18"/>
    </w:rPr>
  </w:style>
  <w:style w:type="character" w:customStyle="1" w:styleId="101">
    <w:name w:val="font21"/>
    <w:basedOn w:val="49"/>
    <w:qFormat/>
    <w:uiPriority w:val="99"/>
    <w:rPr>
      <w:rFonts w:ascii="微软雅黑" w:hAnsi="微软雅黑" w:eastAsia="微软雅黑" w:cs="微软雅黑"/>
      <w:color w:val="auto"/>
      <w:sz w:val="18"/>
      <w:szCs w:val="18"/>
      <w:u w:val="none"/>
    </w:rPr>
  </w:style>
  <w:style w:type="character" w:customStyle="1" w:styleId="102">
    <w:name w:val="04-正文 Char Char"/>
    <w:link w:val="103"/>
    <w:qFormat/>
    <w:locked/>
    <w:uiPriority w:val="99"/>
    <w:rPr>
      <w:sz w:val="24"/>
      <w:szCs w:val="24"/>
    </w:rPr>
  </w:style>
  <w:style w:type="paragraph" w:customStyle="1" w:styleId="103">
    <w:name w:val="04-正文"/>
    <w:basedOn w:val="1"/>
    <w:link w:val="102"/>
    <w:qFormat/>
    <w:uiPriority w:val="99"/>
    <w:pPr>
      <w:spacing w:line="360" w:lineRule="exact"/>
      <w:ind w:firstLine="420"/>
    </w:pPr>
    <w:rPr>
      <w:kern w:val="0"/>
      <w:sz w:val="24"/>
      <w:szCs w:val="24"/>
    </w:rPr>
  </w:style>
  <w:style w:type="character" w:customStyle="1" w:styleId="104">
    <w:name w:val="未处理的提及1"/>
    <w:qFormat/>
    <w:uiPriority w:val="99"/>
    <w:rPr>
      <w:color w:val="auto"/>
      <w:shd w:val="clear" w:color="auto" w:fill="auto"/>
    </w:rPr>
  </w:style>
  <w:style w:type="character" w:customStyle="1" w:styleId="105">
    <w:name w:val="text1"/>
    <w:qFormat/>
    <w:uiPriority w:val="99"/>
    <w:rPr>
      <w:color w:val="000000"/>
      <w:sz w:val="24"/>
      <w:szCs w:val="24"/>
    </w:rPr>
  </w:style>
  <w:style w:type="character" w:customStyle="1" w:styleId="106">
    <w:name w:val="段 Char"/>
    <w:link w:val="107"/>
    <w:qFormat/>
    <w:locked/>
    <w:uiPriority w:val="99"/>
    <w:rPr>
      <w:rFonts w:ascii="宋体" w:cs="宋体"/>
      <w:sz w:val="21"/>
      <w:szCs w:val="21"/>
      <w:lang w:val="en-US" w:eastAsia="zh-CN"/>
    </w:rPr>
  </w:style>
  <w:style w:type="paragraph" w:customStyle="1" w:styleId="107">
    <w:name w:val="段"/>
    <w:link w:val="106"/>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character" w:customStyle="1" w:styleId="108">
    <w:name w:val="title_emph1"/>
    <w:qFormat/>
    <w:uiPriority w:val="99"/>
    <w:rPr>
      <w:rFonts w:ascii="Arial" w:hAnsi="Arial" w:cs="Arial"/>
      <w:b/>
      <w:bCs/>
      <w:sz w:val="18"/>
      <w:szCs w:val="18"/>
    </w:rPr>
  </w:style>
  <w:style w:type="character" w:customStyle="1" w:styleId="109">
    <w:name w:val="标题 41"/>
    <w:qFormat/>
    <w:uiPriority w:val="99"/>
  </w:style>
  <w:style w:type="character" w:customStyle="1" w:styleId="110">
    <w:name w:val="apple-style-span"/>
    <w:qFormat/>
    <w:uiPriority w:val="99"/>
  </w:style>
  <w:style w:type="character" w:customStyle="1" w:styleId="111">
    <w:name w:val="04-正文 Char"/>
    <w:qFormat/>
    <w:uiPriority w:val="99"/>
    <w:rPr>
      <w:rFonts w:eastAsia="仿宋"/>
      <w:kern w:val="2"/>
      <w:sz w:val="24"/>
      <w:szCs w:val="24"/>
    </w:rPr>
  </w:style>
  <w:style w:type="character" w:customStyle="1" w:styleId="112">
    <w:name w:val="纯文本 Char1"/>
    <w:qFormat/>
    <w:uiPriority w:val="99"/>
    <w:rPr>
      <w:rFonts w:ascii="宋体" w:hAnsi="Courier New" w:eastAsia="宋体" w:cs="宋体"/>
      <w:kern w:val="2"/>
      <w:sz w:val="21"/>
      <w:szCs w:val="21"/>
    </w:rPr>
  </w:style>
  <w:style w:type="character" w:customStyle="1" w:styleId="113">
    <w:name w:val="m_171"/>
    <w:qFormat/>
    <w:uiPriority w:val="99"/>
  </w:style>
  <w:style w:type="character" w:customStyle="1" w:styleId="114">
    <w:name w:val="纯文本 Char"/>
    <w:link w:val="24"/>
    <w:qFormat/>
    <w:locked/>
    <w:uiPriority w:val="99"/>
    <w:rPr>
      <w:rFonts w:ascii="宋体" w:hAnsi="Courier New" w:eastAsia="宋体" w:cs="宋体"/>
      <w:kern w:val="2"/>
      <w:sz w:val="24"/>
      <w:szCs w:val="24"/>
      <w:lang w:val="en-US" w:eastAsia="zh-CN"/>
    </w:rPr>
  </w:style>
  <w:style w:type="character" w:customStyle="1" w:styleId="115">
    <w:name w:val="aa1"/>
    <w:basedOn w:val="49"/>
    <w:qFormat/>
    <w:uiPriority w:val="99"/>
  </w:style>
  <w:style w:type="character" w:customStyle="1" w:styleId="116">
    <w:name w:val="www序号1) Char"/>
    <w:link w:val="117"/>
    <w:qFormat/>
    <w:locked/>
    <w:uiPriority w:val="99"/>
    <w:rPr>
      <w:sz w:val="24"/>
      <w:szCs w:val="24"/>
    </w:rPr>
  </w:style>
  <w:style w:type="paragraph" w:customStyle="1" w:styleId="117">
    <w:name w:val="www序号1)"/>
    <w:basedOn w:val="1"/>
    <w:link w:val="116"/>
    <w:qFormat/>
    <w:uiPriority w:val="99"/>
    <w:pPr>
      <w:tabs>
        <w:tab w:val="left" w:pos="2160"/>
      </w:tabs>
      <w:ind w:left="2160" w:hanging="420"/>
    </w:pPr>
    <w:rPr>
      <w:kern w:val="0"/>
      <w:sz w:val="24"/>
      <w:szCs w:val="24"/>
    </w:rPr>
  </w:style>
  <w:style w:type="character" w:customStyle="1" w:styleId="118">
    <w:name w:val="JD1-正文 Char"/>
    <w:link w:val="119"/>
    <w:qFormat/>
    <w:locked/>
    <w:uiPriority w:val="99"/>
    <w:rPr>
      <w:rFonts w:ascii="宋体" w:hAnsi="宋体" w:eastAsia="仿宋_GB2312" w:cs="宋体"/>
      <w:kern w:val="2"/>
      <w:sz w:val="24"/>
      <w:szCs w:val="24"/>
      <w:lang w:val="zh-CN"/>
    </w:rPr>
  </w:style>
  <w:style w:type="paragraph" w:customStyle="1" w:styleId="119">
    <w:name w:val="JD1-正文"/>
    <w:basedOn w:val="1"/>
    <w:link w:val="118"/>
    <w:qFormat/>
    <w:uiPriority w:val="99"/>
    <w:pPr>
      <w:spacing w:line="360" w:lineRule="auto"/>
      <w:ind w:firstLine="480"/>
      <w:jc w:val="left"/>
    </w:pPr>
    <w:rPr>
      <w:rFonts w:ascii="宋体" w:hAnsi="宋体" w:eastAsia="仿宋_GB2312" w:cs="宋体"/>
      <w:sz w:val="24"/>
      <w:szCs w:val="24"/>
      <w:lang w:val="zh-CN"/>
    </w:rPr>
  </w:style>
  <w:style w:type="character" w:customStyle="1" w:styleId="120">
    <w:name w:val="apple-converted-space"/>
    <w:basedOn w:val="49"/>
    <w:qFormat/>
    <w:uiPriority w:val="99"/>
  </w:style>
  <w:style w:type="character" w:customStyle="1" w:styleId="121">
    <w:name w:val="en"/>
    <w:basedOn w:val="49"/>
    <w:qFormat/>
    <w:uiPriority w:val="99"/>
  </w:style>
  <w:style w:type="character" w:customStyle="1" w:styleId="122">
    <w:name w:val="H4"/>
    <w:qFormat/>
    <w:uiPriority w:val="99"/>
  </w:style>
  <w:style w:type="character" w:customStyle="1" w:styleId="123">
    <w:name w:val="正文缩进 Char"/>
    <w:qFormat/>
    <w:locked/>
    <w:uiPriority w:val="99"/>
    <w:rPr>
      <w:kern w:val="2"/>
      <w:sz w:val="21"/>
      <w:szCs w:val="21"/>
    </w:rPr>
  </w:style>
  <w:style w:type="character" w:customStyle="1" w:styleId="124">
    <w:name w:val="Table Text Char Char Char Char"/>
    <w:qFormat/>
    <w:uiPriority w:val="99"/>
    <w:rPr>
      <w:rFonts w:ascii="Arial" w:hAnsi="Arial" w:eastAsia="宋体" w:cs="Arial"/>
      <w:kern w:val="2"/>
      <w:sz w:val="18"/>
      <w:szCs w:val="18"/>
      <w:lang w:val="en-US" w:eastAsia="zh-CN"/>
    </w:rPr>
  </w:style>
  <w:style w:type="character" w:customStyle="1" w:styleId="125">
    <w:name w:val="批注框文本 字符"/>
    <w:qFormat/>
    <w:uiPriority w:val="99"/>
    <w:rPr>
      <w:rFonts w:ascii="Tahoma" w:hAnsi="Tahoma" w:eastAsia="微软雅黑" w:cs="Tahoma"/>
      <w:sz w:val="18"/>
      <w:szCs w:val="18"/>
    </w:rPr>
  </w:style>
  <w:style w:type="character" w:customStyle="1" w:styleId="126">
    <w:name w:val="_正文段落 Char"/>
    <w:link w:val="127"/>
    <w:qFormat/>
    <w:locked/>
    <w:uiPriority w:val="99"/>
    <w:rPr>
      <w:rFonts w:ascii="宋体" w:hAnsi="宋体" w:eastAsia="仿宋_GB2312" w:cs="宋体"/>
      <w:sz w:val="24"/>
      <w:szCs w:val="24"/>
    </w:rPr>
  </w:style>
  <w:style w:type="paragraph" w:customStyle="1" w:styleId="127">
    <w:name w:val="_正文段落"/>
    <w:basedOn w:val="1"/>
    <w:link w:val="126"/>
    <w:qFormat/>
    <w:uiPriority w:val="99"/>
    <w:pPr>
      <w:spacing w:beforeLines="15" w:afterLines="15" w:line="360" w:lineRule="auto"/>
      <w:ind w:firstLine="480" w:firstLineChars="200"/>
    </w:pPr>
    <w:rPr>
      <w:rFonts w:ascii="宋体" w:hAnsi="宋体" w:eastAsia="仿宋_GB2312" w:cs="宋体"/>
      <w:kern w:val="0"/>
      <w:sz w:val="24"/>
      <w:szCs w:val="24"/>
    </w:rPr>
  </w:style>
  <w:style w:type="character" w:customStyle="1" w:styleId="128">
    <w:name w:val="列出段落 Char"/>
    <w:qFormat/>
    <w:uiPriority w:val="99"/>
    <w:rPr>
      <w:rFonts w:ascii="Calibri" w:hAnsi="Calibri" w:eastAsia="宋体" w:cs="Calibri"/>
    </w:rPr>
  </w:style>
  <w:style w:type="character" w:customStyle="1" w:styleId="129">
    <w:name w:val="正文缩进 Char1"/>
    <w:link w:val="7"/>
    <w:qFormat/>
    <w:locked/>
    <w:uiPriority w:val="99"/>
    <w:rPr>
      <w:kern w:val="2"/>
      <w:sz w:val="21"/>
      <w:szCs w:val="21"/>
    </w:rPr>
  </w:style>
  <w:style w:type="character" w:customStyle="1" w:styleId="130">
    <w:name w:val="m_491"/>
    <w:qFormat/>
    <w:uiPriority w:val="99"/>
  </w:style>
  <w:style w:type="character" w:customStyle="1" w:styleId="131">
    <w:name w:val="m_391"/>
    <w:qFormat/>
    <w:uiPriority w:val="99"/>
  </w:style>
  <w:style w:type="character" w:customStyle="1" w:styleId="132">
    <w:name w:val="副标题 Char1"/>
    <w:qFormat/>
    <w:uiPriority w:val="99"/>
    <w:rPr>
      <w:rFonts w:ascii="Cambria" w:hAnsi="Cambria" w:cs="Cambria"/>
      <w:b/>
      <w:bCs/>
      <w:kern w:val="28"/>
      <w:sz w:val="32"/>
      <w:szCs w:val="32"/>
    </w:rPr>
  </w:style>
  <w:style w:type="character" w:customStyle="1" w:styleId="133">
    <w:name w:val="页眉 字符"/>
    <w:qFormat/>
    <w:uiPriority w:val="99"/>
    <w:rPr>
      <w:rFonts w:ascii="Tahoma" w:hAnsi="Tahoma" w:eastAsia="微软雅黑" w:cs="Tahoma"/>
      <w:sz w:val="18"/>
      <w:szCs w:val="18"/>
    </w:rPr>
  </w:style>
  <w:style w:type="character" w:customStyle="1" w:styleId="134">
    <w:name w:val="正文首行缩进 Char"/>
    <w:qFormat/>
    <w:uiPriority w:val="99"/>
    <w:rPr>
      <w:kern w:val="2"/>
      <w:sz w:val="24"/>
      <w:szCs w:val="24"/>
    </w:rPr>
  </w:style>
  <w:style w:type="character" w:customStyle="1" w:styleId="135">
    <w:name w:val="m_01"/>
    <w:qFormat/>
    <w:uiPriority w:val="99"/>
  </w:style>
  <w:style w:type="character" w:customStyle="1" w:styleId="136">
    <w:name w:val="m_461"/>
    <w:qFormat/>
    <w:uiPriority w:val="99"/>
  </w:style>
  <w:style w:type="character" w:customStyle="1" w:styleId="137">
    <w:name w:val="脚注文本 Char1"/>
    <w:qFormat/>
    <w:uiPriority w:val="99"/>
    <w:rPr>
      <w:kern w:val="2"/>
      <w:sz w:val="18"/>
      <w:szCs w:val="18"/>
    </w:rPr>
  </w:style>
  <w:style w:type="character" w:customStyle="1" w:styleId="138">
    <w:name w:val="正文文本 Char"/>
    <w:qFormat/>
    <w:uiPriority w:val="99"/>
    <w:rPr>
      <w:kern w:val="2"/>
      <w:sz w:val="24"/>
      <w:szCs w:val="24"/>
    </w:rPr>
  </w:style>
  <w:style w:type="character" w:customStyle="1" w:styleId="139">
    <w:name w:val="文档结构图 Char1"/>
    <w:qFormat/>
    <w:uiPriority w:val="99"/>
    <w:rPr>
      <w:rFonts w:ascii="宋体" w:cs="宋体"/>
      <w:kern w:val="2"/>
      <w:sz w:val="18"/>
      <w:szCs w:val="18"/>
    </w:rPr>
  </w:style>
  <w:style w:type="character" w:customStyle="1" w:styleId="140">
    <w:name w:val="二级标题 Char"/>
    <w:link w:val="141"/>
    <w:qFormat/>
    <w:locked/>
    <w:uiPriority w:val="99"/>
    <w:rPr>
      <w:rFonts w:ascii="宋体" w:eastAsia="宋体" w:cs="宋体"/>
      <w:b/>
      <w:bCs/>
      <w:sz w:val="30"/>
      <w:szCs w:val="30"/>
      <w:lang w:val="zh-CN"/>
    </w:rPr>
  </w:style>
  <w:style w:type="paragraph" w:customStyle="1" w:styleId="141">
    <w:name w:val="二级标题"/>
    <w:basedOn w:val="3"/>
    <w:link w:val="140"/>
    <w:qFormat/>
    <w:uiPriority w:val="99"/>
    <w:pPr>
      <w:adjustRightInd w:val="0"/>
      <w:spacing w:beforeLines="50" w:after="0" w:line="360" w:lineRule="auto"/>
      <w:jc w:val="left"/>
      <w:textAlignment w:val="baseline"/>
    </w:pPr>
    <w:rPr>
      <w:rFonts w:ascii="宋体" w:hAnsi="Times New Roman" w:eastAsia="宋体" w:cs="宋体"/>
      <w:kern w:val="0"/>
      <w:sz w:val="30"/>
      <w:szCs w:val="30"/>
      <w:lang w:val="zh-CN"/>
    </w:rPr>
  </w:style>
  <w:style w:type="character" w:customStyle="1" w:styleId="142">
    <w:name w:val="标题 1 Char Char"/>
    <w:qFormat/>
    <w:uiPriority w:val="99"/>
    <w:rPr>
      <w:rFonts w:eastAsia="宋体"/>
      <w:b/>
      <w:bCs/>
      <w:spacing w:val="-2"/>
      <w:sz w:val="24"/>
      <w:szCs w:val="24"/>
      <w:lang w:val="en-US" w:eastAsia="zh-CN"/>
    </w:rPr>
  </w:style>
  <w:style w:type="character" w:customStyle="1" w:styleId="143">
    <w:name w:val="m_51"/>
    <w:qFormat/>
    <w:uiPriority w:val="99"/>
  </w:style>
  <w:style w:type="character" w:customStyle="1" w:styleId="144">
    <w:name w:val="z21"/>
    <w:qFormat/>
    <w:uiPriority w:val="99"/>
    <w:rPr>
      <w:color w:val="000000"/>
      <w:sz w:val="18"/>
      <w:szCs w:val="18"/>
    </w:rPr>
  </w:style>
  <w:style w:type="character" w:customStyle="1" w:styleId="145">
    <w:name w:val="a41"/>
    <w:qFormat/>
    <w:uiPriority w:val="99"/>
    <w:rPr>
      <w:color w:val="auto"/>
      <w:sz w:val="26"/>
      <w:szCs w:val="26"/>
    </w:rPr>
  </w:style>
  <w:style w:type="character" w:customStyle="1" w:styleId="146">
    <w:name w:val="2.1样式 Char"/>
    <w:link w:val="147"/>
    <w:qFormat/>
    <w:locked/>
    <w:uiPriority w:val="99"/>
    <w:rPr>
      <w:rFonts w:ascii="Arial" w:hAnsi="Arial" w:eastAsia="黑体" w:cs="Arial"/>
      <w:b/>
      <w:bCs/>
      <w:kern w:val="0"/>
      <w:sz w:val="32"/>
      <w:szCs w:val="32"/>
    </w:rPr>
  </w:style>
  <w:style w:type="paragraph" w:customStyle="1" w:styleId="147">
    <w:name w:val="2.1样式"/>
    <w:basedOn w:val="3"/>
    <w:link w:val="146"/>
    <w:qFormat/>
    <w:uiPriority w:val="99"/>
    <w:pPr>
      <w:numPr>
        <w:ilvl w:val="0"/>
        <w:numId w:val="2"/>
      </w:numPr>
      <w:spacing w:line="416" w:lineRule="auto"/>
    </w:pPr>
    <w:rPr>
      <w:kern w:val="0"/>
    </w:rPr>
  </w:style>
  <w:style w:type="character" w:customStyle="1" w:styleId="148">
    <w:name w:val="bookmark-item"/>
    <w:qFormat/>
    <w:uiPriority w:val="99"/>
  </w:style>
  <w:style w:type="paragraph" w:customStyle="1" w:styleId="149">
    <w:name w:val="xl8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150">
    <w:name w:val="Char Char Char Char Char Char"/>
    <w:basedOn w:val="1"/>
    <w:qFormat/>
    <w:uiPriority w:val="99"/>
    <w:pPr>
      <w:ind w:firstLine="200" w:firstLineChars="200"/>
    </w:pPr>
    <w:rPr>
      <w:rFonts w:ascii="Tahoma" w:hAnsi="Tahoma" w:cs="Tahoma"/>
      <w:sz w:val="24"/>
      <w:szCs w:val="24"/>
    </w:rPr>
  </w:style>
  <w:style w:type="paragraph" w:customStyle="1" w:styleId="151">
    <w:name w:val="Note Level 1"/>
    <w:basedOn w:val="1"/>
    <w:qFormat/>
    <w:uiPriority w:val="99"/>
    <w:pPr>
      <w:keepNext/>
      <w:tabs>
        <w:tab w:val="left" w:pos="1200"/>
      </w:tabs>
      <w:ind w:left="450" w:hanging="450"/>
      <w:outlineLvl w:val="0"/>
    </w:pPr>
    <w:rPr>
      <w:rFonts w:ascii="宋体" w:hAnsi="Cambria" w:cs="宋体"/>
      <w:sz w:val="24"/>
      <w:szCs w:val="24"/>
    </w:rPr>
  </w:style>
  <w:style w:type="paragraph" w:customStyle="1" w:styleId="152">
    <w:name w:val="Normal New New New New New New New New New New New New New New New New New New New New New New New New New New New New New New New New New New New New New New New New New New New New New New New New New New New New New New New New New New New New New N"/>
    <w:qFormat/>
    <w:uiPriority w:val="99"/>
    <w:pPr>
      <w:widowControl w:val="0"/>
      <w:jc w:val="both"/>
    </w:pPr>
    <w:rPr>
      <w:rFonts w:ascii="Times New Roman" w:hAnsi="Times New Roman" w:eastAsia="宋体" w:cs="Times New Roman"/>
      <w:kern w:val="2"/>
      <w:sz w:val="28"/>
      <w:szCs w:val="28"/>
      <w:lang w:val="en-US" w:eastAsia="zh-CN" w:bidi="ar-SA"/>
    </w:rPr>
  </w:style>
  <w:style w:type="paragraph" w:customStyle="1" w:styleId="153">
    <w:name w:val="33-1级列表编号-1"/>
    <w:basedOn w:val="1"/>
    <w:next w:val="1"/>
    <w:qFormat/>
    <w:uiPriority w:val="99"/>
    <w:pPr>
      <w:numPr>
        <w:ilvl w:val="0"/>
        <w:numId w:val="3"/>
      </w:numPr>
      <w:adjustRightInd w:val="0"/>
      <w:spacing w:line="360" w:lineRule="exact"/>
    </w:pPr>
  </w:style>
  <w:style w:type="paragraph" w:customStyle="1" w:styleId="154">
    <w:name w:val="xl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kern w:val="0"/>
      <w:sz w:val="24"/>
      <w:szCs w:val="24"/>
    </w:rPr>
  </w:style>
  <w:style w:type="paragraph" w:customStyle="1" w:styleId="155">
    <w:name w:val="正文空2格  1."/>
    <w:basedOn w:val="1"/>
    <w:qFormat/>
    <w:uiPriority w:val="99"/>
    <w:pPr>
      <w:adjustRightInd w:val="0"/>
      <w:spacing w:line="360" w:lineRule="auto"/>
      <w:ind w:firstLine="480" w:firstLineChars="200"/>
      <w:textAlignment w:val="baseline"/>
    </w:pPr>
    <w:rPr>
      <w:rFonts w:ascii="宋体" w:eastAsia="仿宋" w:cs="宋体"/>
      <w:kern w:val="0"/>
      <w:sz w:val="28"/>
      <w:szCs w:val="28"/>
    </w:rPr>
  </w:style>
  <w:style w:type="paragraph" w:customStyle="1" w:styleId="156">
    <w:name w:val="xl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b/>
      <w:bCs/>
      <w:kern w:val="0"/>
      <w:sz w:val="24"/>
      <w:szCs w:val="24"/>
    </w:rPr>
  </w:style>
  <w:style w:type="paragraph" w:customStyle="1" w:styleId="157">
    <w:name w:val="Char Char Char Char Char Char1"/>
    <w:basedOn w:val="1"/>
    <w:qFormat/>
    <w:uiPriority w:val="99"/>
    <w:pPr>
      <w:ind w:firstLine="200" w:firstLineChars="200"/>
    </w:pPr>
    <w:rPr>
      <w:rFonts w:ascii="Tahoma" w:hAnsi="Tahoma" w:cs="Tahoma"/>
      <w:sz w:val="24"/>
      <w:szCs w:val="24"/>
    </w:rPr>
  </w:style>
  <w:style w:type="paragraph" w:customStyle="1" w:styleId="158">
    <w:name w:val="para"/>
    <w:basedOn w:val="1"/>
    <w:qFormat/>
    <w:uiPriority w:val="99"/>
    <w:pPr>
      <w:widowControl/>
      <w:adjustRightInd w:val="0"/>
      <w:spacing w:before="160" w:line="360" w:lineRule="auto"/>
      <w:ind w:firstLine="425"/>
      <w:textAlignment w:val="baseline"/>
    </w:pPr>
    <w:rPr>
      <w:kern w:val="0"/>
      <w:sz w:val="24"/>
      <w:szCs w:val="24"/>
      <w:lang w:eastAsia="en-US"/>
    </w:rPr>
  </w:style>
  <w:style w:type="paragraph" w:customStyle="1" w:styleId="159">
    <w:name w:val="Note Level 9"/>
    <w:basedOn w:val="1"/>
    <w:qFormat/>
    <w:uiPriority w:val="99"/>
    <w:pPr>
      <w:keepNext/>
      <w:numPr>
        <w:ilvl w:val="8"/>
        <w:numId w:val="4"/>
      </w:numPr>
      <w:tabs>
        <w:tab w:val="left" w:pos="1200"/>
      </w:tabs>
      <w:ind w:left="3780" w:hanging="420"/>
      <w:outlineLvl w:val="8"/>
    </w:pPr>
    <w:rPr>
      <w:rFonts w:ascii="宋体" w:hAnsi="Cambria" w:cs="宋体"/>
      <w:sz w:val="24"/>
      <w:szCs w:val="24"/>
    </w:rPr>
  </w:style>
  <w:style w:type="paragraph" w:customStyle="1" w:styleId="160">
    <w:name w:val="xl25"/>
    <w:basedOn w:val="1"/>
    <w:qFormat/>
    <w:uiPriority w:val="99"/>
    <w:pPr>
      <w:widowControl/>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161">
    <w:name w:val="Note Level 7"/>
    <w:basedOn w:val="1"/>
    <w:qFormat/>
    <w:uiPriority w:val="99"/>
    <w:pPr>
      <w:keepNext/>
      <w:numPr>
        <w:ilvl w:val="6"/>
        <w:numId w:val="4"/>
      </w:numPr>
      <w:tabs>
        <w:tab w:val="left" w:pos="1200"/>
      </w:tabs>
      <w:ind w:left="2940" w:hanging="420"/>
      <w:outlineLvl w:val="6"/>
    </w:pPr>
    <w:rPr>
      <w:rFonts w:ascii="宋体" w:hAnsi="Cambria" w:cs="宋体"/>
      <w:sz w:val="24"/>
      <w:szCs w:val="24"/>
    </w:rPr>
  </w:style>
  <w:style w:type="paragraph" w:customStyle="1" w:styleId="162">
    <w:name w:val="xl62"/>
    <w:basedOn w:val="1"/>
    <w:qFormat/>
    <w:uiPriority w:val="99"/>
    <w:pPr>
      <w:widowControl/>
      <w:pBdr>
        <w:left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b/>
      <w:bCs/>
      <w:kern w:val="0"/>
      <w:sz w:val="24"/>
      <w:szCs w:val="24"/>
    </w:rPr>
  </w:style>
  <w:style w:type="paragraph" w:customStyle="1" w:styleId="163">
    <w:name w:val="xl91"/>
    <w:basedOn w:val="1"/>
    <w:qFormat/>
    <w:uiPriority w:val="99"/>
    <w:pPr>
      <w:widowControl/>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164">
    <w:name w:val="Char"/>
    <w:basedOn w:val="1"/>
    <w:qFormat/>
    <w:uiPriority w:val="99"/>
    <w:pPr>
      <w:ind w:firstLine="200" w:firstLineChars="200"/>
    </w:pPr>
    <w:rPr>
      <w:rFonts w:ascii="Tahoma" w:hAnsi="Tahoma" w:cs="Tahoma"/>
      <w:sz w:val="24"/>
      <w:szCs w:val="24"/>
    </w:rPr>
  </w:style>
  <w:style w:type="paragraph" w:customStyle="1" w:styleId="165">
    <w:name w:val="xl24"/>
    <w:basedOn w:val="1"/>
    <w:qFormat/>
    <w:uiPriority w:val="99"/>
    <w:pPr>
      <w:widowControl/>
      <w:spacing w:before="100" w:beforeAutospacing="1" w:after="100" w:afterAutospacing="1"/>
      <w:jc w:val="center"/>
      <w:textAlignment w:val="center"/>
    </w:pPr>
    <w:rPr>
      <w:rFonts w:ascii="宋体" w:hAnsi="宋体" w:cs="宋体"/>
      <w:kern w:val="0"/>
      <w:sz w:val="24"/>
      <w:szCs w:val="24"/>
    </w:rPr>
  </w:style>
  <w:style w:type="paragraph" w:customStyle="1" w:styleId="166">
    <w:name w:val="xl81"/>
    <w:basedOn w:val="1"/>
    <w:qFormat/>
    <w:uiPriority w:val="99"/>
    <w:pPr>
      <w:widowControl/>
      <w:pBdr>
        <w:top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167">
    <w:name w:val="xl85"/>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kern w:val="0"/>
      <w:sz w:val="24"/>
      <w:szCs w:val="24"/>
    </w:rPr>
  </w:style>
  <w:style w:type="paragraph" w:customStyle="1" w:styleId="168">
    <w:name w:val="标准小三"/>
    <w:basedOn w:val="1"/>
    <w:qFormat/>
    <w:uiPriority w:val="99"/>
    <w:pPr>
      <w:spacing w:line="700" w:lineRule="exact"/>
      <w:ind w:firstLine="200" w:firstLineChars="200"/>
    </w:pPr>
    <w:rPr>
      <w:rFonts w:ascii="宋体" w:hAnsi="Arial" w:eastAsia="仿宋_GB2312" w:cs="宋体"/>
      <w:kern w:val="0"/>
      <w:sz w:val="30"/>
      <w:szCs w:val="30"/>
    </w:rPr>
  </w:style>
  <w:style w:type="paragraph" w:customStyle="1" w:styleId="169">
    <w:name w:val="正文－恩普"/>
    <w:basedOn w:val="7"/>
    <w:qFormat/>
    <w:uiPriority w:val="99"/>
    <w:pPr>
      <w:widowControl/>
      <w:spacing w:afterLines="50" w:line="360" w:lineRule="auto"/>
      <w:ind w:firstLine="480" w:firstLineChars="200"/>
      <w:jc w:val="left"/>
    </w:pPr>
    <w:rPr>
      <w:kern w:val="0"/>
      <w:sz w:val="24"/>
      <w:szCs w:val="24"/>
    </w:rPr>
  </w:style>
  <w:style w:type="paragraph" w:customStyle="1" w:styleId="170">
    <w:name w:val="_Style 116"/>
    <w:basedOn w:val="1"/>
    <w:next w:val="1"/>
    <w:qFormat/>
    <w:uiPriority w:val="99"/>
    <w:pPr>
      <w:spacing w:line="360" w:lineRule="auto"/>
      <w:ind w:firstLine="600"/>
    </w:pPr>
    <w:rPr>
      <w:sz w:val="24"/>
      <w:szCs w:val="24"/>
    </w:rPr>
  </w:style>
  <w:style w:type="paragraph" w:customStyle="1" w:styleId="171">
    <w:name w:val="样式 标题 1合同标题卷标题H1h1Level 1 Topic HeadingH11H12H111H13H1..."/>
    <w:qFormat/>
    <w:uiPriority w:val="99"/>
    <w:rPr>
      <w:rFonts w:ascii="宋体" w:hAnsi="宋体" w:eastAsia="宋体" w:cs="宋体"/>
      <w:b/>
      <w:bCs/>
      <w:kern w:val="44"/>
      <w:sz w:val="24"/>
      <w:szCs w:val="24"/>
      <w:lang w:val="en-US" w:eastAsia="zh-CN" w:bidi="ar-SA"/>
    </w:rPr>
  </w:style>
  <w:style w:type="paragraph" w:customStyle="1" w:styleId="172">
    <w:name w:val="xl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styleId="173">
    <w:name w:val="No Spacing"/>
    <w:qFormat/>
    <w:uiPriority w:val="99"/>
    <w:pPr>
      <w:widowControl w:val="0"/>
      <w:spacing w:line="360" w:lineRule="auto"/>
    </w:pPr>
    <w:rPr>
      <w:rFonts w:ascii="Times New Roman" w:hAnsi="Times New Roman" w:eastAsia="宋体" w:cs="Times New Roman"/>
      <w:kern w:val="2"/>
      <w:sz w:val="21"/>
      <w:szCs w:val="21"/>
      <w:lang w:val="en-US" w:eastAsia="zh-CN" w:bidi="ar-SA"/>
    </w:rPr>
  </w:style>
  <w:style w:type="paragraph" w:customStyle="1" w:styleId="174">
    <w:name w:val="xl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kern w:val="0"/>
      <w:sz w:val="24"/>
      <w:szCs w:val="24"/>
    </w:rPr>
  </w:style>
  <w:style w:type="paragraph" w:customStyle="1" w:styleId="175">
    <w:name w:val="xl4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Arial Unicode MS" w:hAnsi="Arial Unicode MS" w:cs="Arial Unicode MS"/>
      <w:kern w:val="0"/>
      <w:sz w:val="24"/>
      <w:szCs w:val="24"/>
    </w:rPr>
  </w:style>
  <w:style w:type="paragraph" w:customStyle="1" w:styleId="176">
    <w:name w:val="列出段落1"/>
    <w:basedOn w:val="1"/>
    <w:qFormat/>
    <w:uiPriority w:val="99"/>
    <w:pPr>
      <w:ind w:firstLine="420" w:firstLineChars="200"/>
    </w:pPr>
  </w:style>
  <w:style w:type="paragraph" w:customStyle="1" w:styleId="177">
    <w:name w:val="xl80"/>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textAlignment w:val="center"/>
    </w:pPr>
    <w:rPr>
      <w:kern w:val="0"/>
      <w:sz w:val="24"/>
      <w:szCs w:val="24"/>
    </w:rPr>
  </w:style>
  <w:style w:type="paragraph" w:customStyle="1" w:styleId="178">
    <w:name w:val="p19"/>
    <w:basedOn w:val="1"/>
    <w:qFormat/>
    <w:uiPriority w:val="99"/>
    <w:pPr>
      <w:widowControl/>
      <w:snapToGrid w:val="0"/>
      <w:spacing w:before="60" w:after="120" w:line="360" w:lineRule="auto"/>
      <w:ind w:firstLine="420"/>
    </w:pPr>
    <w:rPr>
      <w:rFonts w:ascii="宋体" w:hAnsi="宋体" w:cs="宋体"/>
      <w:color w:val="000000"/>
      <w:kern w:val="0"/>
      <w:sz w:val="24"/>
      <w:szCs w:val="24"/>
    </w:rPr>
  </w:style>
  <w:style w:type="paragraph" w:customStyle="1" w:styleId="179">
    <w:name w:val="Char2"/>
    <w:basedOn w:val="1"/>
    <w:qFormat/>
    <w:uiPriority w:val="99"/>
    <w:rPr>
      <w:rFonts w:ascii="仿宋_GB2312" w:eastAsia="仿宋_GB2312" w:cs="仿宋_GB2312"/>
      <w:b/>
      <w:bCs/>
      <w:sz w:val="32"/>
      <w:szCs w:val="32"/>
    </w:rPr>
  </w:style>
  <w:style w:type="paragraph" w:customStyle="1" w:styleId="180">
    <w:name w:val="font8"/>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81">
    <w:name w:val="font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82">
    <w:name w:val="font9"/>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customStyle="1" w:styleId="183">
    <w:name w:val="样式 标题 3 + 左侧:  0 厘米 首行缩进:  0 厘米"/>
    <w:basedOn w:val="4"/>
    <w:qFormat/>
    <w:uiPriority w:val="99"/>
    <w:pPr>
      <w:tabs>
        <w:tab w:val="left" w:pos="720"/>
      </w:tabs>
      <w:adjustRightInd/>
      <w:spacing w:before="240" w:after="120" w:line="520" w:lineRule="atLeast"/>
      <w:ind w:left="267" w:leftChars="267" w:hanging="57" w:hangingChars="57"/>
      <w:textAlignment w:val="auto"/>
    </w:pPr>
    <w:rPr>
      <w:kern w:val="24"/>
      <w:sz w:val="28"/>
      <w:szCs w:val="28"/>
    </w:rPr>
  </w:style>
  <w:style w:type="paragraph" w:customStyle="1" w:styleId="184">
    <w:name w:val="样式 标题 1 + 两端对齐"/>
    <w:basedOn w:val="3"/>
    <w:next w:val="3"/>
    <w:qFormat/>
    <w:uiPriority w:val="99"/>
    <w:pPr>
      <w:autoSpaceDE w:val="0"/>
      <w:autoSpaceDN w:val="0"/>
      <w:adjustRightInd w:val="0"/>
      <w:spacing w:before="340" w:after="330" w:line="240" w:lineRule="auto"/>
      <w:jc w:val="center"/>
    </w:pPr>
    <w:rPr>
      <w:rFonts w:ascii="汉鼎简细圆" w:hAnsi="Times New Roman" w:eastAsia="宋体" w:cs="汉鼎简细圆"/>
      <w:kern w:val="44"/>
      <w:sz w:val="28"/>
      <w:szCs w:val="28"/>
    </w:rPr>
  </w:style>
  <w:style w:type="paragraph" w:customStyle="1" w:styleId="185">
    <w:name w:val="修订1"/>
    <w:qFormat/>
    <w:uiPriority w:val="99"/>
    <w:rPr>
      <w:rFonts w:ascii="Times New Roman" w:hAnsi="Times New Roman" w:eastAsia="宋体" w:cs="Times New Roman"/>
      <w:kern w:val="2"/>
      <w:sz w:val="21"/>
      <w:szCs w:val="21"/>
      <w:lang w:val="en-US" w:eastAsia="zh-CN" w:bidi="ar-SA"/>
    </w:rPr>
  </w:style>
  <w:style w:type="paragraph" w:customStyle="1" w:styleId="186">
    <w:name w:val="样式 标题 3 +"/>
    <w:basedOn w:val="4"/>
    <w:qFormat/>
    <w:uiPriority w:val="99"/>
    <w:pPr>
      <w:adjustRightInd/>
      <w:spacing w:line="416" w:lineRule="auto"/>
      <w:jc w:val="center"/>
      <w:textAlignment w:val="auto"/>
    </w:pPr>
    <w:rPr>
      <w:sz w:val="28"/>
      <w:szCs w:val="28"/>
    </w:rPr>
  </w:style>
  <w:style w:type="paragraph" w:customStyle="1" w:styleId="187">
    <w:name w:val="xl9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188">
    <w:name w:val="样式 样式 样式 标题 2 + 左  1 字符 + 左侧:  1 字符 + 左  0 字符"/>
    <w:basedOn w:val="1"/>
    <w:qFormat/>
    <w:uiPriority w:val="99"/>
    <w:pPr>
      <w:keepNext/>
      <w:keepLines/>
      <w:spacing w:before="120" w:after="120" w:line="520" w:lineRule="atLeast"/>
      <w:outlineLvl w:val="1"/>
    </w:pPr>
    <w:rPr>
      <w:b/>
      <w:bCs/>
      <w:sz w:val="24"/>
      <w:szCs w:val="24"/>
    </w:rPr>
  </w:style>
  <w:style w:type="paragraph" w:customStyle="1" w:styleId="189">
    <w:name w:val="正文文字缩进4字符"/>
    <w:basedOn w:val="1"/>
    <w:next w:val="7"/>
    <w:qFormat/>
    <w:uiPriority w:val="99"/>
    <w:pPr>
      <w:ind w:firstLine="420" w:firstLineChars="200"/>
    </w:pPr>
  </w:style>
  <w:style w:type="paragraph" w:customStyle="1" w:styleId="190">
    <w:name w:val="Char1"/>
    <w:basedOn w:val="1"/>
    <w:qFormat/>
    <w:uiPriority w:val="99"/>
    <w:rPr>
      <w:rFonts w:ascii="Tahoma" w:hAnsi="Tahoma" w:cs="Tahoma"/>
      <w:sz w:val="24"/>
      <w:szCs w:val="24"/>
    </w:rPr>
  </w:style>
  <w:style w:type="paragraph" w:customStyle="1" w:styleId="191">
    <w:name w:val="List Paragraph1"/>
    <w:basedOn w:val="1"/>
    <w:qFormat/>
    <w:uiPriority w:val="99"/>
    <w:pPr>
      <w:ind w:firstLine="420" w:firstLineChars="200"/>
    </w:pPr>
    <w:rPr>
      <w:rFonts w:ascii="Calibri" w:hAnsi="Calibri" w:cs="Calibri"/>
    </w:rPr>
  </w:style>
  <w:style w:type="paragraph" w:customStyle="1" w:styleId="192">
    <w:name w:val="xl4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kern w:val="0"/>
      <w:sz w:val="24"/>
      <w:szCs w:val="24"/>
    </w:rPr>
  </w:style>
  <w:style w:type="paragraph" w:customStyle="1" w:styleId="193">
    <w:name w:val="f1"/>
    <w:basedOn w:val="1"/>
    <w:qFormat/>
    <w:uiPriority w:val="99"/>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94">
    <w:name w:val="xl9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kern w:val="0"/>
      <w:sz w:val="24"/>
      <w:szCs w:val="24"/>
    </w:rPr>
  </w:style>
  <w:style w:type="paragraph" w:customStyle="1" w:styleId="195">
    <w:name w:val="Default"/>
    <w:qFormat/>
    <w:uiPriority w:val="99"/>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196">
    <w:name w:val="40-表格首行"/>
    <w:basedOn w:val="1"/>
    <w:next w:val="1"/>
    <w:qFormat/>
    <w:uiPriority w:val="99"/>
    <w:pPr>
      <w:spacing w:line="200" w:lineRule="exact"/>
      <w:jc w:val="center"/>
    </w:pPr>
    <w:rPr>
      <w:rFonts w:eastAsia="微软雅黑"/>
      <w:b/>
      <w:bCs/>
      <w:color w:val="000000"/>
      <w:kern w:val="0"/>
      <w:sz w:val="18"/>
      <w:szCs w:val="18"/>
    </w:rPr>
  </w:style>
  <w:style w:type="paragraph" w:customStyle="1" w:styleId="197">
    <w:name w:val="xl55"/>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kern w:val="0"/>
      <w:sz w:val="24"/>
      <w:szCs w:val="24"/>
    </w:rPr>
  </w:style>
  <w:style w:type="paragraph" w:customStyle="1" w:styleId="198">
    <w:name w:val="Char11"/>
    <w:basedOn w:val="1"/>
    <w:qFormat/>
    <w:uiPriority w:val="99"/>
    <w:rPr>
      <w:rFonts w:ascii="Tahoma" w:hAnsi="Tahoma" w:cs="Tahoma"/>
      <w:sz w:val="24"/>
      <w:szCs w:val="24"/>
    </w:rPr>
  </w:style>
  <w:style w:type="paragraph" w:customStyle="1" w:styleId="199">
    <w:name w:val="正文-列出段落"/>
    <w:basedOn w:val="1"/>
    <w:next w:val="1"/>
    <w:qFormat/>
    <w:uiPriority w:val="99"/>
    <w:pPr>
      <w:spacing w:line="360" w:lineRule="auto"/>
    </w:pPr>
    <w:rPr>
      <w:rFonts w:ascii="微软雅黑" w:hAnsi="微软雅黑" w:eastAsia="微软雅黑" w:cs="微软雅黑"/>
      <w:b/>
      <w:bCs/>
      <w:sz w:val="24"/>
      <w:szCs w:val="24"/>
    </w:rPr>
  </w:style>
  <w:style w:type="paragraph" w:customStyle="1" w:styleId="200">
    <w:name w:val="TOC 标题1"/>
    <w:basedOn w:val="2"/>
    <w:next w:val="1"/>
    <w:qFormat/>
    <w:uiPriority w:val="99"/>
    <w:pPr>
      <w:pageBreakBefore/>
      <w:widowControl/>
      <w:snapToGrid/>
      <w:spacing w:before="240" w:after="0" w:line="259" w:lineRule="auto"/>
      <w:jc w:val="left"/>
      <w:outlineLvl w:val="9"/>
    </w:pPr>
    <w:rPr>
      <w:rFonts w:ascii="Cambria" w:hAnsi="Cambria" w:cs="Cambria"/>
      <w:b w:val="0"/>
      <w:bCs w:val="0"/>
      <w:color w:val="365F91"/>
      <w:kern w:val="0"/>
      <w:sz w:val="32"/>
      <w:szCs w:val="32"/>
    </w:rPr>
  </w:style>
  <w:style w:type="paragraph" w:customStyle="1" w:styleId="201">
    <w:name w:val="xl92"/>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kern w:val="0"/>
      <w:sz w:val="24"/>
      <w:szCs w:val="24"/>
    </w:rPr>
  </w:style>
  <w:style w:type="paragraph" w:customStyle="1" w:styleId="202">
    <w:name w:val="xl61"/>
    <w:basedOn w:val="1"/>
    <w:qFormat/>
    <w:uiPriority w:val="99"/>
    <w:pPr>
      <w:widowControl/>
      <w:shd w:val="clear" w:color="auto" w:fill="FFFFFF"/>
      <w:spacing w:before="100" w:beforeAutospacing="1" w:after="100" w:afterAutospacing="1"/>
      <w:jc w:val="center"/>
      <w:textAlignment w:val="center"/>
    </w:pPr>
    <w:rPr>
      <w:rFonts w:ascii="Arial Unicode MS" w:hAnsi="Arial Unicode MS" w:cs="Arial Unicode MS"/>
      <w:b/>
      <w:bCs/>
      <w:kern w:val="0"/>
      <w:sz w:val="36"/>
      <w:szCs w:val="36"/>
    </w:rPr>
  </w:style>
  <w:style w:type="paragraph" w:customStyle="1" w:styleId="203">
    <w:name w:val="列表段落1"/>
    <w:basedOn w:val="1"/>
    <w:qFormat/>
    <w:uiPriority w:val="99"/>
    <w:pPr>
      <w:ind w:firstLine="420" w:firstLineChars="200"/>
    </w:pPr>
  </w:style>
  <w:style w:type="paragraph" w:customStyle="1" w:styleId="204">
    <w:name w:val="xl77"/>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right"/>
      <w:textAlignment w:val="center"/>
    </w:pPr>
    <w:rPr>
      <w:rFonts w:ascii="Arial Unicode MS" w:hAnsi="Arial Unicode MS" w:cs="Arial Unicode MS"/>
      <w:kern w:val="0"/>
      <w:sz w:val="24"/>
      <w:szCs w:val="24"/>
    </w:rPr>
  </w:style>
  <w:style w:type="paragraph" w:customStyle="1" w:styleId="205">
    <w:name w:val="xl68"/>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Arial Unicode MS" w:hAnsi="Arial Unicode MS" w:cs="Arial Unicode MS"/>
      <w:b/>
      <w:bCs/>
      <w:kern w:val="0"/>
      <w:sz w:val="24"/>
      <w:szCs w:val="24"/>
    </w:rPr>
  </w:style>
  <w:style w:type="paragraph" w:customStyle="1" w:styleId="206">
    <w:name w:val="xl82"/>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207">
    <w:name w:val="Normal New New New New New New New New New New New New New New New New New New New New New New New New New New New New New New New New New New New New New New New New New New New New New New New New New New New New New New New New New New New"/>
    <w:qFormat/>
    <w:uiPriority w:val="99"/>
    <w:pPr>
      <w:widowControl w:val="0"/>
      <w:jc w:val="both"/>
    </w:pPr>
    <w:rPr>
      <w:rFonts w:ascii="Times New Roman" w:hAnsi="Times New Roman" w:eastAsia="宋体" w:cs="Times New Roman"/>
      <w:kern w:val="2"/>
      <w:sz w:val="28"/>
      <w:szCs w:val="28"/>
      <w:lang w:val="en-US" w:eastAsia="zh-CN" w:bidi="ar-SA"/>
    </w:rPr>
  </w:style>
  <w:style w:type="paragraph" w:customStyle="1" w:styleId="208">
    <w:name w:val="正文段"/>
    <w:basedOn w:val="1"/>
    <w:qFormat/>
    <w:uiPriority w:val="99"/>
    <w:pPr>
      <w:widowControl/>
      <w:snapToGrid w:val="0"/>
      <w:spacing w:afterLines="50"/>
      <w:ind w:firstLine="200" w:firstLineChars="200"/>
    </w:pPr>
    <w:rPr>
      <w:kern w:val="0"/>
      <w:sz w:val="24"/>
      <w:szCs w:val="24"/>
    </w:rPr>
  </w:style>
  <w:style w:type="paragraph" w:customStyle="1" w:styleId="209">
    <w:name w:val="四号正文"/>
    <w:basedOn w:val="1"/>
    <w:qFormat/>
    <w:uiPriority w:val="99"/>
    <w:pPr>
      <w:spacing w:line="360" w:lineRule="auto"/>
      <w:ind w:firstLine="560" w:firstLineChars="200"/>
    </w:pPr>
    <w:rPr>
      <w:sz w:val="28"/>
      <w:szCs w:val="28"/>
    </w:rPr>
  </w:style>
  <w:style w:type="paragraph" w:customStyle="1" w:styleId="210">
    <w:name w:val="列项◆（三级）"/>
    <w:basedOn w:val="1"/>
    <w:qFormat/>
    <w:uiPriority w:val="99"/>
    <w:pPr>
      <w:numPr>
        <w:ilvl w:val="2"/>
        <w:numId w:val="5"/>
      </w:numPr>
      <w:ind w:firstLine="0"/>
    </w:pPr>
    <w:rPr>
      <w:rFonts w:ascii="宋体" w:cs="宋体"/>
    </w:rPr>
  </w:style>
  <w:style w:type="paragraph" w:customStyle="1" w:styleId="211">
    <w:name w:val="font6"/>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212">
    <w:name w:val="Note Level 8"/>
    <w:basedOn w:val="1"/>
    <w:qFormat/>
    <w:uiPriority w:val="99"/>
    <w:pPr>
      <w:keepNext/>
      <w:numPr>
        <w:ilvl w:val="7"/>
        <w:numId w:val="4"/>
      </w:numPr>
      <w:tabs>
        <w:tab w:val="left" w:pos="1200"/>
      </w:tabs>
      <w:ind w:left="3360" w:hanging="420"/>
      <w:outlineLvl w:val="7"/>
    </w:pPr>
    <w:rPr>
      <w:rFonts w:ascii="宋体" w:hAnsi="Cambria" w:cs="宋体"/>
      <w:sz w:val="24"/>
      <w:szCs w:val="24"/>
    </w:rPr>
  </w:style>
  <w:style w:type="paragraph" w:customStyle="1" w:styleId="213">
    <w:name w:val="Table Text Char Char"/>
    <w:qFormat/>
    <w:uiPriority w:val="99"/>
    <w:pPr>
      <w:snapToGrid w:val="0"/>
      <w:spacing w:before="80" w:after="80"/>
    </w:pPr>
    <w:rPr>
      <w:rFonts w:ascii="Arial" w:hAnsi="Arial" w:eastAsia="宋体" w:cs="Arial"/>
      <w:kern w:val="2"/>
      <w:sz w:val="18"/>
      <w:szCs w:val="18"/>
      <w:lang w:val="en-US" w:eastAsia="zh-CN" w:bidi="ar-SA"/>
    </w:rPr>
  </w:style>
  <w:style w:type="paragraph" w:customStyle="1" w:styleId="214">
    <w:name w:val="列出段落1111"/>
    <w:basedOn w:val="1"/>
    <w:qFormat/>
    <w:uiPriority w:val="99"/>
    <w:pPr>
      <w:ind w:firstLine="420" w:firstLineChars="200"/>
    </w:pPr>
    <w:rPr>
      <w:rFonts w:ascii="Calibri" w:hAnsi="Calibri" w:cs="Calibri"/>
    </w:rPr>
  </w:style>
  <w:style w:type="paragraph" w:customStyle="1" w:styleId="215">
    <w:name w:val="xl54"/>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color w:val="000000"/>
      <w:kern w:val="0"/>
      <w:sz w:val="24"/>
      <w:szCs w:val="24"/>
    </w:rPr>
  </w:style>
  <w:style w:type="paragraph" w:customStyle="1" w:styleId="216">
    <w:name w:val="xl7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217">
    <w:name w:val="Note Level 4"/>
    <w:basedOn w:val="1"/>
    <w:qFormat/>
    <w:uiPriority w:val="99"/>
    <w:pPr>
      <w:keepNext/>
      <w:numPr>
        <w:ilvl w:val="3"/>
        <w:numId w:val="4"/>
      </w:numPr>
      <w:tabs>
        <w:tab w:val="left" w:pos="1200"/>
      </w:tabs>
      <w:ind w:left="1680" w:hanging="420"/>
      <w:outlineLvl w:val="3"/>
    </w:pPr>
    <w:rPr>
      <w:rFonts w:ascii="宋体" w:hAnsi="Cambria" w:cs="宋体"/>
      <w:sz w:val="24"/>
      <w:szCs w:val="24"/>
    </w:rPr>
  </w:style>
  <w:style w:type="paragraph" w:customStyle="1" w:styleId="218">
    <w:name w:val="普通(网站)1"/>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219">
    <w:name w:val="样式1"/>
    <w:basedOn w:val="5"/>
    <w:qFormat/>
    <w:uiPriority w:val="99"/>
  </w:style>
  <w:style w:type="paragraph" w:customStyle="1" w:styleId="220">
    <w:name w:val="TOC 标题2"/>
    <w:basedOn w:val="2"/>
    <w:next w:val="1"/>
    <w:qFormat/>
    <w:uiPriority w:val="99"/>
    <w:pPr>
      <w:pageBreakBefore/>
      <w:widowControl/>
      <w:snapToGrid/>
      <w:spacing w:before="240" w:after="0" w:line="259" w:lineRule="auto"/>
      <w:jc w:val="left"/>
      <w:outlineLvl w:val="9"/>
    </w:pPr>
    <w:rPr>
      <w:rFonts w:ascii="Cambria" w:hAnsi="Cambria" w:cs="Cambria"/>
      <w:b w:val="0"/>
      <w:bCs w:val="0"/>
      <w:color w:val="365F91"/>
      <w:kern w:val="0"/>
      <w:sz w:val="32"/>
      <w:szCs w:val="32"/>
    </w:rPr>
  </w:style>
  <w:style w:type="paragraph" w:customStyle="1" w:styleId="221">
    <w:name w:val="Char3"/>
    <w:basedOn w:val="1"/>
    <w:qFormat/>
    <w:uiPriority w:val="99"/>
    <w:pPr>
      <w:widowControl/>
      <w:spacing w:after="160" w:line="240" w:lineRule="exact"/>
      <w:jc w:val="left"/>
    </w:pPr>
    <w:rPr>
      <w:rFonts w:ascii="Verdana" w:hAnsi="Verdana" w:eastAsia="仿宋_GB2312" w:cs="Verdana"/>
      <w:kern w:val="0"/>
      <w:sz w:val="24"/>
      <w:szCs w:val="24"/>
      <w:lang w:eastAsia="en-US"/>
    </w:rPr>
  </w:style>
  <w:style w:type="paragraph" w:customStyle="1" w:styleId="222">
    <w:name w:val="xl6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b/>
      <w:bCs/>
      <w:kern w:val="0"/>
      <w:sz w:val="24"/>
      <w:szCs w:val="24"/>
    </w:rPr>
  </w:style>
  <w:style w:type="paragraph" w:customStyle="1" w:styleId="223">
    <w:name w:val="xl52"/>
    <w:basedOn w:val="1"/>
    <w:qFormat/>
    <w:uiPriority w:val="99"/>
    <w:pPr>
      <w:widowControl/>
      <w:pBdr>
        <w:left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224">
    <w:name w:val="big"/>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225">
    <w:name w:val="无间隔1"/>
    <w:qFormat/>
    <w:uiPriority w:val="0"/>
    <w:pPr>
      <w:widowControl w:val="0"/>
      <w:spacing w:line="360" w:lineRule="auto"/>
      <w:jc w:val="both"/>
    </w:pPr>
    <w:rPr>
      <w:rFonts w:ascii="宋体" w:hAnsi="Calibri" w:eastAsia="宋体" w:cs="宋体"/>
      <w:kern w:val="2"/>
      <w:sz w:val="24"/>
      <w:szCs w:val="24"/>
      <w:lang w:val="en-US" w:eastAsia="zh-CN" w:bidi="ar-SA"/>
    </w:rPr>
  </w:style>
  <w:style w:type="paragraph" w:customStyle="1" w:styleId="226">
    <w:name w:val="Note Level 2"/>
    <w:basedOn w:val="1"/>
    <w:qFormat/>
    <w:uiPriority w:val="99"/>
    <w:pPr>
      <w:keepNext/>
      <w:numPr>
        <w:ilvl w:val="1"/>
        <w:numId w:val="4"/>
      </w:numPr>
      <w:tabs>
        <w:tab w:val="left" w:pos="1200"/>
      </w:tabs>
      <w:ind w:left="840" w:hanging="420"/>
      <w:outlineLvl w:val="1"/>
    </w:pPr>
    <w:rPr>
      <w:rFonts w:ascii="宋体" w:hAnsi="Cambria" w:cs="宋体"/>
      <w:sz w:val="24"/>
      <w:szCs w:val="24"/>
    </w:rPr>
  </w:style>
  <w:style w:type="paragraph" w:customStyle="1" w:styleId="227">
    <w:name w:val="此正文"/>
    <w:basedOn w:val="1"/>
    <w:qFormat/>
    <w:uiPriority w:val="99"/>
    <w:pPr>
      <w:spacing w:line="360" w:lineRule="auto"/>
      <w:ind w:firstLine="200" w:firstLineChars="200"/>
    </w:pPr>
    <w:rPr>
      <w:sz w:val="24"/>
      <w:szCs w:val="24"/>
    </w:rPr>
  </w:style>
  <w:style w:type="paragraph" w:customStyle="1" w:styleId="228">
    <w:name w:val="Note Level 6"/>
    <w:basedOn w:val="1"/>
    <w:qFormat/>
    <w:uiPriority w:val="99"/>
    <w:pPr>
      <w:keepNext/>
      <w:numPr>
        <w:ilvl w:val="5"/>
        <w:numId w:val="4"/>
      </w:numPr>
      <w:tabs>
        <w:tab w:val="left" w:pos="1200"/>
      </w:tabs>
      <w:ind w:left="2520" w:hanging="420"/>
      <w:outlineLvl w:val="5"/>
    </w:pPr>
    <w:rPr>
      <w:rFonts w:ascii="宋体" w:hAnsi="Cambria" w:cs="宋体"/>
      <w:sz w:val="24"/>
      <w:szCs w:val="24"/>
    </w:rPr>
  </w:style>
  <w:style w:type="paragraph" w:customStyle="1" w:styleId="229">
    <w:name w:val="xl73"/>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230">
    <w:name w:val="xl93"/>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Unicode MS" w:hAnsi="Arial Unicode MS" w:cs="Arial Unicode MS"/>
      <w:kern w:val="0"/>
      <w:sz w:val="24"/>
      <w:szCs w:val="24"/>
    </w:rPr>
  </w:style>
  <w:style w:type="paragraph" w:customStyle="1" w:styleId="231">
    <w:name w:val="xl8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kern w:val="0"/>
      <w:sz w:val="24"/>
      <w:szCs w:val="24"/>
    </w:rPr>
  </w:style>
  <w:style w:type="paragraph" w:customStyle="1" w:styleId="232">
    <w:name w:val="xl78"/>
    <w:basedOn w:val="1"/>
    <w:qFormat/>
    <w:uiPriority w:val="99"/>
    <w:pPr>
      <w:widowControl/>
      <w:pBdr>
        <w:top w:val="single" w:color="auto" w:sz="4" w:space="0"/>
        <w:bottom w:val="single" w:color="auto" w:sz="4" w:space="0"/>
      </w:pBdr>
      <w:shd w:val="clear" w:color="auto" w:fill="FFFFFF"/>
      <w:spacing w:before="100" w:beforeAutospacing="1" w:after="100" w:afterAutospacing="1"/>
      <w:jc w:val="right"/>
      <w:textAlignment w:val="center"/>
    </w:pPr>
    <w:rPr>
      <w:rFonts w:ascii="Arial Unicode MS" w:hAnsi="Arial Unicode MS" w:cs="Arial Unicode MS"/>
      <w:kern w:val="0"/>
      <w:sz w:val="24"/>
      <w:szCs w:val="24"/>
    </w:rPr>
  </w:style>
  <w:style w:type="paragraph" w:customStyle="1" w:styleId="233">
    <w:name w:val="xl8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234">
    <w:name w:val="xl3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b/>
      <w:bCs/>
      <w:kern w:val="0"/>
      <w:sz w:val="24"/>
      <w:szCs w:val="24"/>
    </w:rPr>
  </w:style>
  <w:style w:type="paragraph" w:customStyle="1" w:styleId="235">
    <w:name w:val="列项●（二级）"/>
    <w:qFormat/>
    <w:uiPriority w:val="99"/>
    <w:pPr>
      <w:numPr>
        <w:ilvl w:val="1"/>
        <w:numId w:val="5"/>
      </w:numPr>
      <w:tabs>
        <w:tab w:val="left" w:pos="840"/>
      </w:tabs>
      <w:jc w:val="both"/>
    </w:pPr>
    <w:rPr>
      <w:rFonts w:ascii="宋体" w:hAnsi="Times New Roman" w:eastAsia="宋体" w:cs="宋体"/>
      <w:sz w:val="21"/>
      <w:szCs w:val="21"/>
      <w:lang w:val="en-US" w:eastAsia="zh-CN" w:bidi="ar-SA"/>
    </w:rPr>
  </w:style>
  <w:style w:type="paragraph" w:customStyle="1" w:styleId="236">
    <w:name w:val="证文"/>
    <w:basedOn w:val="1"/>
    <w:qFormat/>
    <w:uiPriority w:val="99"/>
    <w:pPr>
      <w:spacing w:line="360" w:lineRule="auto"/>
    </w:pPr>
    <w:rPr>
      <w:sz w:val="24"/>
      <w:szCs w:val="24"/>
    </w:rPr>
  </w:style>
  <w:style w:type="paragraph" w:customStyle="1" w:styleId="237">
    <w:name w:val="标准正文"/>
    <w:basedOn w:val="1"/>
    <w:qFormat/>
    <w:uiPriority w:val="99"/>
    <w:pPr>
      <w:spacing w:line="240" w:lineRule="atLeast"/>
      <w:ind w:firstLine="200" w:firstLineChars="200"/>
    </w:pPr>
  </w:style>
  <w:style w:type="paragraph" w:customStyle="1" w:styleId="238">
    <w:name w:val="Normal New New New New New New New New New New New New New New New New"/>
    <w:qFormat/>
    <w:uiPriority w:val="99"/>
    <w:pPr>
      <w:widowControl w:val="0"/>
      <w:jc w:val="both"/>
    </w:pPr>
    <w:rPr>
      <w:rFonts w:ascii="Times New Roman" w:hAnsi="Times New Roman" w:eastAsia="宋体" w:cs="Times New Roman"/>
      <w:kern w:val="2"/>
      <w:sz w:val="28"/>
      <w:szCs w:val="28"/>
      <w:lang w:val="en-US" w:eastAsia="zh-CN" w:bidi="ar-SA"/>
    </w:rPr>
  </w:style>
  <w:style w:type="paragraph" w:customStyle="1" w:styleId="239">
    <w:name w:val="xl72"/>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240">
    <w:name w:val="xl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241">
    <w:name w:val="xl8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kern w:val="0"/>
      <w:sz w:val="24"/>
      <w:szCs w:val="24"/>
    </w:rPr>
  </w:style>
  <w:style w:type="paragraph" w:customStyle="1" w:styleId="242">
    <w:name w:val="文字"/>
    <w:basedOn w:val="1"/>
    <w:qFormat/>
    <w:uiPriority w:val="99"/>
    <w:pPr>
      <w:tabs>
        <w:tab w:val="left" w:pos="8520"/>
      </w:tabs>
      <w:spacing w:line="312" w:lineRule="auto"/>
      <w:ind w:right="-210" w:firstLine="556"/>
    </w:pPr>
    <w:rPr>
      <w:rFonts w:ascii="宋体" w:cs="宋体"/>
      <w:sz w:val="28"/>
      <w:szCs w:val="28"/>
    </w:rPr>
  </w:style>
  <w:style w:type="paragraph" w:customStyle="1" w:styleId="243">
    <w:name w:val="_Style 2"/>
    <w:qFormat/>
    <w:uiPriority w:val="99"/>
    <w:pPr>
      <w:widowControl w:val="0"/>
      <w:spacing w:line="360" w:lineRule="auto"/>
    </w:pPr>
    <w:rPr>
      <w:rFonts w:ascii="Times New Roman" w:hAnsi="Times New Roman" w:eastAsia="宋体" w:cs="Times New Roman"/>
      <w:kern w:val="2"/>
      <w:sz w:val="21"/>
      <w:szCs w:val="21"/>
      <w:lang w:val="en-US" w:eastAsia="zh-CN" w:bidi="ar-SA"/>
    </w:rPr>
  </w:style>
  <w:style w:type="paragraph" w:customStyle="1" w:styleId="244">
    <w:name w:val="正文文本缩进1"/>
    <w:basedOn w:val="1"/>
    <w:qFormat/>
    <w:uiPriority w:val="99"/>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right="25" w:rightChars="12" w:firstLine="720" w:firstLineChars="300"/>
      <w:jc w:val="left"/>
    </w:pPr>
    <w:rPr>
      <w:rFonts w:ascii="宋体" w:cs="宋体"/>
      <w:color w:val="000000"/>
      <w:sz w:val="24"/>
      <w:szCs w:val="24"/>
    </w:rPr>
  </w:style>
  <w:style w:type="paragraph" w:customStyle="1" w:styleId="245">
    <w:name w:val="42-表格数字"/>
    <w:next w:val="1"/>
    <w:qFormat/>
    <w:uiPriority w:val="99"/>
    <w:pPr>
      <w:jc w:val="center"/>
      <w:textAlignment w:val="center"/>
    </w:pPr>
    <w:rPr>
      <w:rFonts w:ascii="Times New Roman" w:hAnsi="Times New Roman" w:eastAsia="微软雅黑" w:cs="Times New Roman"/>
      <w:color w:val="000000"/>
      <w:sz w:val="18"/>
      <w:szCs w:val="18"/>
      <w:lang w:val="en-US" w:eastAsia="zh-CN" w:bidi="ar-SA"/>
    </w:rPr>
  </w:style>
  <w:style w:type="paragraph" w:customStyle="1" w:styleId="246">
    <w:name w:val="xl45"/>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kern w:val="0"/>
      <w:sz w:val="24"/>
      <w:szCs w:val="24"/>
    </w:rPr>
  </w:style>
  <w:style w:type="paragraph" w:customStyle="1" w:styleId="247">
    <w:name w:val="ZJ正文"/>
    <w:basedOn w:val="1"/>
    <w:qFormat/>
    <w:uiPriority w:val="99"/>
    <w:pPr>
      <w:spacing w:line="360" w:lineRule="auto"/>
      <w:ind w:firstLine="480" w:firstLineChars="200"/>
    </w:pPr>
    <w:rPr>
      <w:sz w:val="24"/>
      <w:szCs w:val="24"/>
    </w:rPr>
  </w:style>
  <w:style w:type="paragraph" w:customStyle="1" w:styleId="248">
    <w:name w:val="Char1 Char Char Char"/>
    <w:basedOn w:val="1"/>
    <w:qFormat/>
    <w:uiPriority w:val="99"/>
    <w:pPr>
      <w:tabs>
        <w:tab w:val="left" w:pos="420"/>
      </w:tabs>
      <w:ind w:left="420" w:hanging="420"/>
    </w:pPr>
    <w:rPr>
      <w:rFonts w:ascii="Tahoma" w:hAnsi="Tahoma" w:cs="Tahoma"/>
      <w:sz w:val="24"/>
      <w:szCs w:val="24"/>
    </w:rPr>
  </w:style>
  <w:style w:type="paragraph" w:customStyle="1" w:styleId="249">
    <w:name w:val="xl2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250">
    <w:name w:val="表内文字"/>
    <w:basedOn w:val="1"/>
    <w:qFormat/>
    <w:uiPriority w:val="99"/>
    <w:pPr>
      <w:tabs>
        <w:tab w:val="left" w:pos="1418"/>
      </w:tabs>
      <w:spacing w:line="360" w:lineRule="auto"/>
      <w:jc w:val="center"/>
    </w:pPr>
    <w:rPr>
      <w:rFonts w:ascii="仿宋_GB2312" w:eastAsia="仿宋_GB2312" w:cs="仿宋_GB2312"/>
      <w:spacing w:val="-20"/>
      <w:kern w:val="0"/>
      <w:sz w:val="24"/>
      <w:szCs w:val="24"/>
    </w:rPr>
  </w:style>
  <w:style w:type="paragraph" w:customStyle="1" w:styleId="251">
    <w:name w:val="列出段落111"/>
    <w:basedOn w:val="1"/>
    <w:qFormat/>
    <w:uiPriority w:val="99"/>
    <w:pPr>
      <w:spacing w:line="360" w:lineRule="auto"/>
      <w:ind w:firstLine="420" w:firstLineChars="200"/>
    </w:pPr>
    <w:rPr>
      <w:rFonts w:ascii="Calibri" w:hAnsi="Calibri" w:cs="Calibri"/>
    </w:rPr>
  </w:style>
  <w:style w:type="paragraph" w:customStyle="1" w:styleId="252">
    <w:name w:val="xl3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color w:val="000000"/>
      <w:kern w:val="0"/>
      <w:sz w:val="24"/>
      <w:szCs w:val="24"/>
    </w:rPr>
  </w:style>
  <w:style w:type="paragraph" w:customStyle="1" w:styleId="253">
    <w:name w:val="标准正文缩进"/>
    <w:basedOn w:val="1"/>
    <w:qFormat/>
    <w:uiPriority w:val="99"/>
    <w:pPr>
      <w:spacing w:line="300" w:lineRule="auto"/>
      <w:ind w:firstLine="200" w:firstLineChars="200"/>
      <w:jc w:val="left"/>
    </w:pPr>
    <w:rPr>
      <w:rFonts w:eastAsia="PMingLiUfalt"/>
      <w:sz w:val="24"/>
      <w:szCs w:val="24"/>
    </w:rPr>
  </w:style>
  <w:style w:type="paragraph" w:customStyle="1" w:styleId="254">
    <w:name w:val="Note Level 5"/>
    <w:basedOn w:val="1"/>
    <w:qFormat/>
    <w:uiPriority w:val="99"/>
    <w:pPr>
      <w:keepNext/>
      <w:numPr>
        <w:ilvl w:val="4"/>
        <w:numId w:val="2"/>
      </w:numPr>
      <w:tabs>
        <w:tab w:val="left" w:pos="1200"/>
      </w:tabs>
      <w:ind w:left="2100" w:hanging="420"/>
      <w:outlineLvl w:val="4"/>
    </w:pPr>
    <w:rPr>
      <w:rFonts w:ascii="宋体" w:hAnsi="Cambria" w:cs="宋体"/>
      <w:sz w:val="24"/>
      <w:szCs w:val="24"/>
    </w:rPr>
  </w:style>
  <w:style w:type="paragraph" w:customStyle="1" w:styleId="255">
    <w:name w:val="font1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256">
    <w:name w:val="WPSOffice手动目录 1"/>
    <w:qFormat/>
    <w:uiPriority w:val="99"/>
    <w:rPr>
      <w:rFonts w:ascii="Calibri" w:hAnsi="Calibri" w:eastAsia="宋体" w:cs="Calibri"/>
      <w:lang w:val="en-US" w:eastAsia="zh-CN" w:bidi="ar-SA"/>
    </w:rPr>
  </w:style>
  <w:style w:type="paragraph" w:customStyle="1" w:styleId="257">
    <w:name w:val="font7"/>
    <w:basedOn w:val="1"/>
    <w:qFormat/>
    <w:uiPriority w:val="99"/>
    <w:pPr>
      <w:widowControl/>
      <w:spacing w:before="100" w:beforeAutospacing="1" w:after="100" w:afterAutospacing="1"/>
      <w:jc w:val="left"/>
    </w:pPr>
    <w:rPr>
      <w:rFonts w:ascii="宋体" w:hAnsi="宋体" w:cs="宋体"/>
      <w:b/>
      <w:bCs/>
      <w:kern w:val="0"/>
      <w:sz w:val="24"/>
      <w:szCs w:val="24"/>
    </w:rPr>
  </w:style>
  <w:style w:type="paragraph" w:customStyle="1" w:styleId="258">
    <w:name w:val="xl29"/>
    <w:basedOn w:val="1"/>
    <w:qFormat/>
    <w:uiPriority w:val="99"/>
    <w:pPr>
      <w:widowControl/>
      <w:spacing w:before="100" w:beforeAutospacing="1" w:after="100" w:afterAutospacing="1"/>
      <w:jc w:val="center"/>
    </w:pPr>
    <w:rPr>
      <w:rFonts w:ascii="Arial Unicode MS" w:hAnsi="Arial Unicode MS" w:cs="Arial Unicode MS"/>
      <w:kern w:val="0"/>
      <w:sz w:val="24"/>
      <w:szCs w:val="24"/>
    </w:rPr>
  </w:style>
  <w:style w:type="paragraph" w:customStyle="1" w:styleId="259">
    <w:name w:val="列出段落111111"/>
    <w:basedOn w:val="1"/>
    <w:qFormat/>
    <w:uiPriority w:val="99"/>
    <w:pPr>
      <w:spacing w:line="360" w:lineRule="auto"/>
      <w:ind w:firstLine="420" w:firstLineChars="200"/>
    </w:pPr>
    <w:rPr>
      <w:rFonts w:ascii="Calibri" w:hAnsi="Calibri" w:cs="Calibri"/>
    </w:rPr>
  </w:style>
  <w:style w:type="paragraph" w:customStyle="1" w:styleId="260">
    <w:name w:val="p18"/>
    <w:basedOn w:val="1"/>
    <w:qFormat/>
    <w:uiPriority w:val="99"/>
    <w:pPr>
      <w:widowControl/>
    </w:pPr>
    <w:rPr>
      <w:kern w:val="0"/>
      <w:sz w:val="24"/>
      <w:szCs w:val="24"/>
    </w:rPr>
  </w:style>
  <w:style w:type="paragraph" w:customStyle="1" w:styleId="261">
    <w:name w:val="xl3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b/>
      <w:bCs/>
      <w:kern w:val="0"/>
      <w:sz w:val="24"/>
      <w:szCs w:val="24"/>
    </w:rPr>
  </w:style>
  <w:style w:type="paragraph" w:customStyle="1" w:styleId="262">
    <w:name w:val="样式 标题 3 +1"/>
    <w:basedOn w:val="4"/>
    <w:qFormat/>
    <w:uiPriority w:val="99"/>
    <w:pPr>
      <w:adjustRightInd/>
      <w:spacing w:line="416" w:lineRule="auto"/>
      <w:jc w:val="center"/>
      <w:textAlignment w:val="auto"/>
    </w:pPr>
    <w:rPr>
      <w:sz w:val="28"/>
      <w:szCs w:val="28"/>
    </w:rPr>
  </w:style>
  <w:style w:type="paragraph" w:customStyle="1" w:styleId="263">
    <w:name w:val="xl63"/>
    <w:basedOn w:val="1"/>
    <w:qFormat/>
    <w:uiPriority w:val="99"/>
    <w:pPr>
      <w:widowControl/>
      <w:pBdr>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b/>
      <w:bCs/>
      <w:kern w:val="0"/>
      <w:sz w:val="24"/>
      <w:szCs w:val="24"/>
    </w:rPr>
  </w:style>
  <w:style w:type="paragraph" w:customStyle="1" w:styleId="264">
    <w:name w:val="xl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Unicode MS" w:hAnsi="Arial Unicode MS" w:cs="Arial Unicode MS"/>
      <w:kern w:val="0"/>
      <w:sz w:val="24"/>
      <w:szCs w:val="24"/>
    </w:rPr>
  </w:style>
  <w:style w:type="paragraph" w:customStyle="1" w:styleId="265">
    <w:name w:val="xl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color w:val="000000"/>
      <w:kern w:val="0"/>
      <w:sz w:val="24"/>
      <w:szCs w:val="24"/>
    </w:rPr>
  </w:style>
  <w:style w:type="paragraph" w:customStyle="1" w:styleId="266">
    <w:name w:val="Note Level 3"/>
    <w:basedOn w:val="1"/>
    <w:qFormat/>
    <w:uiPriority w:val="99"/>
    <w:pPr>
      <w:keepNext/>
      <w:numPr>
        <w:ilvl w:val="2"/>
        <w:numId w:val="6"/>
      </w:numPr>
      <w:tabs>
        <w:tab w:val="left" w:pos="1200"/>
      </w:tabs>
      <w:ind w:left="1260" w:hanging="420"/>
      <w:outlineLvl w:val="2"/>
    </w:pPr>
    <w:rPr>
      <w:rFonts w:ascii="宋体" w:hAnsi="Cambria" w:cs="宋体"/>
      <w:sz w:val="24"/>
      <w:szCs w:val="24"/>
    </w:rPr>
  </w:style>
  <w:style w:type="paragraph" w:customStyle="1" w:styleId="267">
    <w:name w:val="xl70"/>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268">
    <w:name w:val="43-表格正文"/>
    <w:basedOn w:val="1"/>
    <w:next w:val="1"/>
    <w:qFormat/>
    <w:uiPriority w:val="99"/>
    <w:pPr>
      <w:jc w:val="left"/>
    </w:pPr>
    <w:rPr>
      <w:rFonts w:eastAsia="微软雅黑"/>
      <w:sz w:val="18"/>
      <w:szCs w:val="18"/>
    </w:rPr>
  </w:style>
  <w:style w:type="paragraph" w:customStyle="1" w:styleId="269">
    <w:name w:val="5"/>
    <w:basedOn w:val="1"/>
    <w:next w:val="1"/>
    <w:qFormat/>
    <w:uiPriority w:val="99"/>
  </w:style>
  <w:style w:type="paragraph" w:customStyle="1" w:styleId="270">
    <w:name w:val="xl66"/>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b/>
      <w:bCs/>
      <w:kern w:val="0"/>
      <w:sz w:val="24"/>
      <w:szCs w:val="24"/>
    </w:rPr>
  </w:style>
  <w:style w:type="paragraph" w:customStyle="1" w:styleId="271">
    <w:name w:val="xl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272">
    <w:name w:val="xl7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kern w:val="0"/>
      <w:sz w:val="24"/>
      <w:szCs w:val="24"/>
    </w:rPr>
  </w:style>
  <w:style w:type="paragraph" w:customStyle="1" w:styleId="273">
    <w:name w:val="xl6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b/>
      <w:bCs/>
      <w:kern w:val="0"/>
      <w:sz w:val="24"/>
      <w:szCs w:val="24"/>
    </w:rPr>
  </w:style>
  <w:style w:type="paragraph" w:customStyle="1" w:styleId="274">
    <w:name w:val="Char1 Char Char Char Char Char"/>
    <w:basedOn w:val="1"/>
    <w:qFormat/>
    <w:uiPriority w:val="99"/>
    <w:rPr>
      <w:rFonts w:ascii="仿宋_GB2312" w:eastAsia="仿宋_GB2312" w:cs="仿宋_GB2312"/>
      <w:sz w:val="24"/>
      <w:szCs w:val="24"/>
    </w:rPr>
  </w:style>
  <w:style w:type="paragraph" w:customStyle="1" w:styleId="275">
    <w:name w:val="xl8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276">
    <w:name w:val="TOC 标题3"/>
    <w:basedOn w:val="2"/>
    <w:next w:val="1"/>
    <w:qFormat/>
    <w:uiPriority w:val="99"/>
    <w:pPr>
      <w:widowControl/>
      <w:spacing w:before="480" w:after="0" w:line="276" w:lineRule="auto"/>
      <w:jc w:val="left"/>
      <w:outlineLvl w:val="9"/>
    </w:pPr>
    <w:rPr>
      <w:rFonts w:ascii="Cambria" w:hAnsi="Cambria" w:cs="Cambria"/>
      <w:color w:val="365F91"/>
      <w:kern w:val="0"/>
      <w:sz w:val="28"/>
      <w:szCs w:val="28"/>
    </w:rPr>
  </w:style>
  <w:style w:type="paragraph" w:customStyle="1" w:styleId="277">
    <w:name w:val="正文 New New New New"/>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278">
    <w:name w:val="xl4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Unicode MS" w:hAnsi="Arial Unicode MS" w:cs="Arial Unicode MS"/>
      <w:kern w:val="0"/>
      <w:sz w:val="24"/>
      <w:szCs w:val="24"/>
    </w:rPr>
  </w:style>
  <w:style w:type="paragraph" w:customStyle="1" w:styleId="279">
    <w:name w:val="标准小四"/>
    <w:basedOn w:val="1"/>
    <w:qFormat/>
    <w:uiPriority w:val="99"/>
    <w:pPr>
      <w:spacing w:line="360" w:lineRule="auto"/>
      <w:ind w:firstLine="480" w:firstLineChars="200"/>
    </w:pPr>
    <w:rPr>
      <w:rFonts w:ascii="Arial" w:hAnsi="Arial" w:cs="Arial"/>
      <w:sz w:val="24"/>
      <w:szCs w:val="24"/>
    </w:rPr>
  </w:style>
  <w:style w:type="paragraph" w:customStyle="1" w:styleId="280">
    <w:name w:val="font13"/>
    <w:basedOn w:val="1"/>
    <w:qFormat/>
    <w:uiPriority w:val="99"/>
    <w:pPr>
      <w:widowControl/>
      <w:spacing w:before="100" w:beforeAutospacing="1" w:after="100" w:afterAutospacing="1"/>
      <w:jc w:val="left"/>
    </w:pPr>
    <w:rPr>
      <w:b/>
      <w:bCs/>
      <w:kern w:val="0"/>
      <w:sz w:val="24"/>
      <w:szCs w:val="24"/>
    </w:rPr>
  </w:style>
  <w:style w:type="paragraph" w:customStyle="1" w:styleId="281">
    <w:name w:val="Char Char Char Char Char Char Char Char Char Char Char Char1 Char"/>
    <w:basedOn w:val="15"/>
    <w:qFormat/>
    <w:uiPriority w:val="99"/>
    <w:rPr>
      <w:rFonts w:ascii="Tahoma" w:hAnsi="Tahoma" w:cs="Tahoma"/>
      <w:sz w:val="24"/>
      <w:szCs w:val="24"/>
    </w:rPr>
  </w:style>
  <w:style w:type="paragraph" w:customStyle="1" w:styleId="282">
    <w:name w:val="xl5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color w:val="000000"/>
      <w:kern w:val="0"/>
      <w:sz w:val="24"/>
      <w:szCs w:val="24"/>
    </w:rPr>
  </w:style>
  <w:style w:type="paragraph" w:customStyle="1" w:styleId="283">
    <w:name w:val="xl3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color w:val="000000"/>
      <w:kern w:val="0"/>
      <w:sz w:val="24"/>
      <w:szCs w:val="24"/>
    </w:rPr>
  </w:style>
  <w:style w:type="paragraph" w:customStyle="1" w:styleId="284">
    <w:name w:val="Normal Char"/>
    <w:basedOn w:val="1"/>
    <w:qFormat/>
    <w:uiPriority w:val="99"/>
    <w:pPr>
      <w:suppressAutoHyphens/>
      <w:autoSpaceDE w:val="0"/>
      <w:jc w:val="left"/>
    </w:pPr>
    <w:rPr>
      <w:rFonts w:ascii="Thorndale" w:hAnsi="Thorndale" w:cs="Thorndale"/>
      <w:color w:val="000000"/>
      <w:kern w:val="0"/>
      <w:sz w:val="20"/>
      <w:szCs w:val="20"/>
      <w:lang w:val="hu-HU"/>
    </w:rPr>
  </w:style>
  <w:style w:type="paragraph" w:customStyle="1" w:styleId="285">
    <w:name w:val="font12"/>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286">
    <w:name w:val="xl51"/>
    <w:basedOn w:val="1"/>
    <w:qFormat/>
    <w:uiPriority w:val="99"/>
    <w:pPr>
      <w:widowControl/>
      <w:pBdr>
        <w:top w:val="single" w:color="auto" w:sz="4" w:space="0"/>
        <w:bottom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287">
    <w:name w:val="xl95"/>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Arial Unicode MS" w:hAnsi="Arial Unicode MS" w:cs="Arial Unicode MS"/>
      <w:kern w:val="0"/>
      <w:sz w:val="24"/>
      <w:szCs w:val="24"/>
    </w:rPr>
  </w:style>
  <w:style w:type="paragraph" w:customStyle="1" w:styleId="288">
    <w:name w:val="xl7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289">
    <w:name w:val="ZJGIS-五级标题"/>
    <w:basedOn w:val="6"/>
    <w:qFormat/>
    <w:uiPriority w:val="99"/>
    <w:pPr>
      <w:tabs>
        <w:tab w:val="left" w:pos="992"/>
        <w:tab w:val="clear" w:pos="2100"/>
      </w:tabs>
      <w:spacing w:before="120" w:after="120" w:line="240" w:lineRule="auto"/>
      <w:ind w:left="0" w:firstLine="0"/>
    </w:pPr>
  </w:style>
  <w:style w:type="paragraph" w:customStyle="1" w:styleId="290">
    <w:name w:val="xl56"/>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291">
    <w:name w:val="xl32"/>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color w:val="000000"/>
      <w:kern w:val="0"/>
      <w:sz w:val="24"/>
      <w:szCs w:val="24"/>
    </w:rPr>
  </w:style>
  <w:style w:type="paragraph" w:customStyle="1" w:styleId="292">
    <w:name w:val="xl34"/>
    <w:basedOn w:val="1"/>
    <w:qFormat/>
    <w:uiPriority w:val="99"/>
    <w:pPr>
      <w:widowControl/>
      <w:spacing w:before="100" w:beforeAutospacing="1" w:after="100" w:afterAutospacing="1"/>
      <w:jc w:val="center"/>
    </w:pPr>
    <w:rPr>
      <w:rFonts w:ascii="Arial Unicode MS" w:hAnsi="Arial Unicode MS" w:cs="Arial Unicode MS"/>
      <w:kern w:val="0"/>
      <w:sz w:val="24"/>
      <w:szCs w:val="24"/>
    </w:rPr>
  </w:style>
  <w:style w:type="paragraph" w:customStyle="1" w:styleId="293">
    <w:name w:val="xl5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right"/>
    </w:pPr>
    <w:rPr>
      <w:rFonts w:ascii="Arial Unicode MS" w:hAnsi="Arial Unicode MS" w:cs="Arial Unicode MS"/>
      <w:kern w:val="0"/>
      <w:sz w:val="24"/>
      <w:szCs w:val="24"/>
    </w:rPr>
  </w:style>
  <w:style w:type="paragraph" w:customStyle="1" w:styleId="294">
    <w:name w:val="xl42"/>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textAlignment w:val="center"/>
    </w:pPr>
    <w:rPr>
      <w:color w:val="000000"/>
      <w:kern w:val="0"/>
      <w:sz w:val="24"/>
      <w:szCs w:val="24"/>
    </w:rPr>
  </w:style>
  <w:style w:type="paragraph" w:customStyle="1" w:styleId="295">
    <w:name w:val="自由格式 A"/>
    <w:qFormat/>
    <w:uiPriority w:val="99"/>
    <w:rPr>
      <w:rFonts w:ascii="Helvetica" w:hAnsi="Helvetica" w:eastAsia="宋体" w:cs="Helvetica"/>
      <w:color w:val="000000"/>
      <w:sz w:val="24"/>
      <w:szCs w:val="24"/>
      <w:lang w:val="en-US" w:eastAsia="zh-CN" w:bidi="ar-SA"/>
    </w:rPr>
  </w:style>
  <w:style w:type="paragraph" w:customStyle="1" w:styleId="296">
    <w:name w:val="纯文本1"/>
    <w:basedOn w:val="1"/>
    <w:qFormat/>
    <w:uiPriority w:val="99"/>
    <w:pPr>
      <w:spacing w:beforeLines="50" w:afterLines="50" w:line="400" w:lineRule="exact"/>
    </w:pPr>
    <w:rPr>
      <w:rFonts w:ascii="宋体" w:hAnsi="Courier New" w:cs="宋体"/>
      <w:sz w:val="24"/>
      <w:szCs w:val="24"/>
    </w:rPr>
  </w:style>
  <w:style w:type="paragraph" w:customStyle="1" w:styleId="297">
    <w:name w:val="默认段落字体 Para Char Char Char Char Char Char Char Char Char1 Char Char Char Char"/>
    <w:basedOn w:val="1"/>
    <w:qFormat/>
    <w:uiPriority w:val="99"/>
    <w:rPr>
      <w:rFonts w:ascii="Tahoma" w:hAnsi="Tahoma" w:cs="Tahoma"/>
      <w:sz w:val="24"/>
      <w:szCs w:val="24"/>
    </w:rPr>
  </w:style>
  <w:style w:type="paragraph" w:customStyle="1" w:styleId="298">
    <w:name w:val="xl2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299">
    <w:name w:val="Char1 Char"/>
    <w:basedOn w:val="1"/>
    <w:qFormat/>
    <w:uiPriority w:val="99"/>
    <w:pPr>
      <w:tabs>
        <w:tab w:val="left" w:pos="360"/>
      </w:tabs>
      <w:spacing w:line="360" w:lineRule="auto"/>
    </w:pPr>
    <w:rPr>
      <w:sz w:val="24"/>
      <w:szCs w:val="24"/>
    </w:rPr>
  </w:style>
  <w:style w:type="paragraph" w:customStyle="1" w:styleId="300">
    <w:name w:val="列表段落2"/>
    <w:basedOn w:val="1"/>
    <w:qFormat/>
    <w:uiPriority w:val="99"/>
    <w:pPr>
      <w:ind w:firstLine="420" w:firstLineChars="200"/>
    </w:pPr>
    <w:rPr>
      <w:rFonts w:ascii="Calibri" w:hAnsi="Calibri" w:cs="Calibri"/>
    </w:rPr>
  </w:style>
  <w:style w:type="paragraph" w:customStyle="1" w:styleId="301">
    <w:name w:val="xl57"/>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302">
    <w:name w:val="font5"/>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303">
    <w:name w:val="正文1"/>
    <w:qFormat/>
    <w:uiPriority w:val="99"/>
    <w:pPr>
      <w:jc w:val="both"/>
    </w:pPr>
    <w:rPr>
      <w:rFonts w:ascii="等线" w:hAnsi="等线" w:eastAsia="宋体" w:cs="等线"/>
      <w:kern w:val="2"/>
      <w:sz w:val="21"/>
      <w:szCs w:val="21"/>
      <w:lang w:val="en-US" w:eastAsia="zh-CN" w:bidi="ar-SA"/>
    </w:rPr>
  </w:style>
  <w:style w:type="paragraph" w:customStyle="1" w:styleId="304">
    <w:name w:val="xl67"/>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b/>
      <w:bCs/>
      <w:kern w:val="0"/>
      <w:sz w:val="24"/>
      <w:szCs w:val="24"/>
    </w:rPr>
  </w:style>
  <w:style w:type="paragraph" w:customStyle="1" w:styleId="305">
    <w:name w:val="xl71"/>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06">
    <w:name w:val="列表段落21"/>
    <w:basedOn w:val="1"/>
    <w:qFormat/>
    <w:uiPriority w:val="99"/>
    <w:pPr>
      <w:widowControl/>
      <w:spacing w:after="160" w:line="259" w:lineRule="auto"/>
      <w:ind w:left="720"/>
      <w:jc w:val="left"/>
    </w:pPr>
    <w:rPr>
      <w:kern w:val="0"/>
      <w:sz w:val="22"/>
      <w:szCs w:val="22"/>
    </w:rPr>
  </w:style>
  <w:style w:type="paragraph" w:customStyle="1" w:styleId="307">
    <w:name w:val="_Style 222"/>
    <w:basedOn w:val="1"/>
    <w:next w:val="300"/>
    <w:qFormat/>
    <w:uiPriority w:val="99"/>
    <w:pPr>
      <w:ind w:firstLine="420" w:firstLineChars="200"/>
    </w:pPr>
    <w:rPr>
      <w:rFonts w:ascii="Calibri" w:hAnsi="Calibri" w:cs="Calibri"/>
    </w:rPr>
  </w:style>
  <w:style w:type="paragraph" w:customStyle="1" w:styleId="308">
    <w:name w:val="xl69"/>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Arial Unicode MS" w:hAnsi="Arial Unicode MS" w:cs="Arial Unicode MS"/>
      <w:b/>
      <w:bCs/>
      <w:kern w:val="0"/>
      <w:sz w:val="24"/>
      <w:szCs w:val="24"/>
    </w:rPr>
  </w:style>
  <w:style w:type="paragraph" w:customStyle="1" w:styleId="309">
    <w:name w:val="xl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310">
    <w:name w:val="xl9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kern w:val="0"/>
      <w:sz w:val="24"/>
      <w:szCs w:val="24"/>
    </w:rPr>
  </w:style>
  <w:style w:type="paragraph" w:customStyle="1" w:styleId="311">
    <w:name w:val="xl53"/>
    <w:basedOn w:val="1"/>
    <w:qFormat/>
    <w:uiPriority w:val="99"/>
    <w:pPr>
      <w:widowControl/>
      <w:pBdr>
        <w:left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312">
    <w:name w:val="xl9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Unicode MS" w:hAnsi="Arial Unicode MS" w:cs="Arial Unicode MS"/>
      <w:kern w:val="0"/>
      <w:sz w:val="24"/>
      <w:szCs w:val="24"/>
    </w:rPr>
  </w:style>
  <w:style w:type="paragraph" w:customStyle="1" w:styleId="313">
    <w:name w:val="xl60"/>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14">
    <w:name w:val="xl9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Unicode MS" w:hAnsi="Arial Unicode MS" w:cs="Arial Unicode MS"/>
      <w:kern w:val="0"/>
      <w:sz w:val="24"/>
      <w:szCs w:val="24"/>
    </w:rPr>
  </w:style>
  <w:style w:type="paragraph" w:customStyle="1" w:styleId="315">
    <w:name w:val="WPSOffice手动目录 2"/>
    <w:qFormat/>
    <w:uiPriority w:val="99"/>
    <w:pPr>
      <w:ind w:left="200" w:leftChars="200"/>
    </w:pPr>
    <w:rPr>
      <w:rFonts w:ascii="Calibri" w:hAnsi="Calibri" w:eastAsia="宋体" w:cs="Calibri"/>
      <w:lang w:val="en-US" w:eastAsia="zh-CN" w:bidi="ar-SA"/>
    </w:rPr>
  </w:style>
  <w:style w:type="paragraph" w:customStyle="1" w:styleId="316">
    <w:name w:val="font11"/>
    <w:basedOn w:val="1"/>
    <w:qFormat/>
    <w:uiPriority w:val="99"/>
    <w:pPr>
      <w:widowControl/>
      <w:spacing w:before="100" w:beforeAutospacing="1" w:after="100" w:afterAutospacing="1"/>
      <w:jc w:val="left"/>
    </w:pPr>
    <w:rPr>
      <w:kern w:val="0"/>
      <w:sz w:val="24"/>
      <w:szCs w:val="24"/>
    </w:rPr>
  </w:style>
  <w:style w:type="paragraph" w:customStyle="1" w:styleId="317">
    <w:name w:val="xl2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cs="Arial Unicode MS"/>
      <w:kern w:val="0"/>
      <w:sz w:val="24"/>
      <w:szCs w:val="24"/>
    </w:rPr>
  </w:style>
  <w:style w:type="paragraph" w:customStyle="1" w:styleId="318">
    <w:name w:val="ZJGIS-四级标题"/>
    <w:basedOn w:val="5"/>
    <w:qFormat/>
    <w:uiPriority w:val="99"/>
    <w:pPr>
      <w:spacing w:before="120" w:after="120" w:line="240" w:lineRule="auto"/>
    </w:pPr>
    <w:rPr>
      <w:rFonts w:eastAsia="仿宋_GB2312"/>
    </w:rPr>
  </w:style>
  <w:style w:type="paragraph" w:customStyle="1" w:styleId="319">
    <w:name w:val="_Style 1"/>
    <w:basedOn w:val="1"/>
    <w:qFormat/>
    <w:uiPriority w:val="99"/>
    <w:pPr>
      <w:ind w:firstLine="420" w:firstLineChars="200"/>
    </w:pPr>
    <w:rPr>
      <w:rFonts w:ascii="Calibri" w:hAnsi="Calibri" w:cs="Calibri"/>
    </w:rPr>
  </w:style>
  <w:style w:type="paragraph" w:customStyle="1" w:styleId="320">
    <w:name w:val="xl7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21">
    <w:name w:val="xl84"/>
    <w:basedOn w:val="1"/>
    <w:qFormat/>
    <w:uiPriority w:val="99"/>
    <w:pPr>
      <w:widowControl/>
      <w:shd w:val="clear" w:color="auto" w:fill="FFFFFF"/>
      <w:spacing w:before="100" w:beforeAutospacing="1" w:after="100" w:afterAutospacing="1"/>
      <w:jc w:val="left"/>
      <w:textAlignment w:val="center"/>
    </w:pPr>
    <w:rPr>
      <w:kern w:val="0"/>
      <w:sz w:val="24"/>
      <w:szCs w:val="24"/>
    </w:rPr>
  </w:style>
  <w:style w:type="paragraph" w:customStyle="1" w:styleId="322">
    <w:name w:val="列项——（一级）"/>
    <w:qFormat/>
    <w:uiPriority w:val="99"/>
    <w:pPr>
      <w:widowControl w:val="0"/>
      <w:ind w:left="1118" w:hanging="408"/>
      <w:jc w:val="both"/>
    </w:pPr>
    <w:rPr>
      <w:rFonts w:ascii="宋体" w:hAnsi="Times New Roman" w:eastAsia="宋体" w:cs="宋体"/>
      <w:sz w:val="21"/>
      <w:szCs w:val="21"/>
      <w:lang w:val="en-US" w:eastAsia="zh-CN" w:bidi="ar-SA"/>
    </w:rPr>
  </w:style>
  <w:style w:type="paragraph" w:customStyle="1" w:styleId="323">
    <w:name w:val="地址内"/>
    <w:basedOn w:val="1"/>
    <w:qFormat/>
    <w:uiPriority w:val="99"/>
  </w:style>
  <w:style w:type="paragraph" w:customStyle="1" w:styleId="324">
    <w:name w:val="Item List in Table"/>
    <w:qFormat/>
    <w:uiPriority w:val="99"/>
    <w:pPr>
      <w:numPr>
        <w:ilvl w:val="0"/>
        <w:numId w:val="7"/>
      </w:numPr>
      <w:tabs>
        <w:tab w:val="left" w:pos="1260"/>
      </w:tabs>
      <w:spacing w:before="40" w:after="40"/>
      <w:jc w:val="both"/>
    </w:pPr>
    <w:rPr>
      <w:rFonts w:ascii="Arial" w:hAnsi="Arial" w:eastAsia="宋体" w:cs="Arial"/>
      <w:sz w:val="18"/>
      <w:szCs w:val="18"/>
      <w:lang w:val="en-US" w:eastAsia="zh-CN" w:bidi="ar-SA"/>
    </w:rPr>
  </w:style>
  <w:style w:type="paragraph" w:customStyle="1" w:styleId="325">
    <w:name w:val="xl35"/>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kern w:val="0"/>
      <w:sz w:val="24"/>
      <w:szCs w:val="24"/>
    </w:rPr>
  </w:style>
  <w:style w:type="paragraph" w:customStyle="1" w:styleId="326">
    <w:name w:val="xl94"/>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Arial Unicode MS" w:hAnsi="Arial Unicode MS" w:cs="Arial Unicode MS"/>
      <w:kern w:val="0"/>
      <w:sz w:val="24"/>
      <w:szCs w:val="24"/>
    </w:rPr>
  </w:style>
  <w:style w:type="paragraph" w:customStyle="1" w:styleId="327">
    <w:name w:val="p0"/>
    <w:basedOn w:val="1"/>
    <w:qFormat/>
    <w:uiPriority w:val="99"/>
    <w:pPr>
      <w:widowControl/>
      <w:snapToGrid w:val="0"/>
      <w:spacing w:line="312" w:lineRule="atLeast"/>
    </w:pPr>
    <w:rPr>
      <w:kern w:val="0"/>
    </w:rPr>
  </w:style>
  <w:style w:type="paragraph" w:customStyle="1" w:styleId="328">
    <w:name w:val="列出段落2"/>
    <w:basedOn w:val="1"/>
    <w:qFormat/>
    <w:uiPriority w:val="99"/>
    <w:pPr>
      <w:spacing w:line="360" w:lineRule="auto"/>
      <w:ind w:firstLine="420" w:firstLineChars="200"/>
    </w:pPr>
    <w:rPr>
      <w:sz w:val="24"/>
      <w:szCs w:val="24"/>
    </w:rPr>
  </w:style>
  <w:style w:type="paragraph" w:styleId="329">
    <w:name w:val="List Paragraph"/>
    <w:basedOn w:val="1"/>
    <w:qFormat/>
    <w:uiPriority w:val="34"/>
    <w:pPr>
      <w:ind w:firstLine="420" w:firstLineChars="200"/>
    </w:pPr>
  </w:style>
  <w:style w:type="paragraph" w:customStyle="1" w:styleId="330">
    <w:name w:val="修订2"/>
    <w:hidden/>
    <w:qFormat/>
    <w:uiPriority w:val="99"/>
    <w:rPr>
      <w:rFonts w:ascii="Times New Roman" w:hAnsi="Times New Roman" w:eastAsia="宋体" w:cs="Times New Roman"/>
      <w:kern w:val="2"/>
      <w:sz w:val="21"/>
      <w:szCs w:val="21"/>
      <w:lang w:val="en-US" w:eastAsia="zh-CN" w:bidi="ar-SA"/>
    </w:rPr>
  </w:style>
  <w:style w:type="character" w:customStyle="1" w:styleId="331">
    <w:name w:val="NormalCharacter"/>
    <w:semiHidden/>
    <w:qFormat/>
    <w:uiPriority w:val="99"/>
  </w:style>
  <w:style w:type="paragraph" w:customStyle="1" w:styleId="332">
    <w:name w:val="Char5"/>
    <w:basedOn w:val="1"/>
    <w:qFormat/>
    <w:uiPriority w:val="99"/>
    <w:pPr>
      <w:tabs>
        <w:tab w:val="left" w:pos="840"/>
      </w:tabs>
      <w:ind w:left="840" w:hanging="420"/>
    </w:pPr>
    <w:rPr>
      <w:kern w:val="0"/>
      <w:sz w:val="24"/>
      <w:szCs w:val="24"/>
    </w:rPr>
  </w:style>
  <w:style w:type="paragraph" w:customStyle="1" w:styleId="333">
    <w:name w:val="Char4"/>
    <w:basedOn w:val="1"/>
    <w:qFormat/>
    <w:uiPriority w:val="99"/>
    <w:pPr>
      <w:tabs>
        <w:tab w:val="left" w:pos="840"/>
      </w:tabs>
      <w:ind w:left="840" w:hanging="420"/>
    </w:pPr>
    <w:rPr>
      <w:kern w:val="0"/>
      <w:sz w:val="24"/>
      <w:szCs w:val="24"/>
    </w:rPr>
  </w:style>
  <w:style w:type="character" w:customStyle="1" w:styleId="334">
    <w:name w:val="未处理的提及2"/>
    <w:basedOn w:val="49"/>
    <w:semiHidden/>
    <w:unhideWhenUsed/>
    <w:qFormat/>
    <w:uiPriority w:val="99"/>
    <w:rPr>
      <w:color w:val="605E5C"/>
      <w:shd w:val="clear" w:color="auto" w:fill="E1DFDD"/>
    </w:rPr>
  </w:style>
  <w:style w:type="paragraph" w:customStyle="1" w:styleId="335">
    <w:name w:val="小四 段落 宋体 Char Char"/>
    <w:basedOn w:val="1"/>
    <w:qFormat/>
    <w:uiPriority w:val="0"/>
    <w:pPr>
      <w:spacing w:line="360" w:lineRule="auto"/>
      <w:ind w:firstLine="480"/>
    </w:pPr>
    <w:rPr>
      <w:rFonts w:ascii="宋体" w:hAnsi="宋体" w:cs="宋体"/>
      <w:sz w:val="24"/>
      <w:szCs w:val="20"/>
    </w:rPr>
  </w:style>
  <w:style w:type="table" w:customStyle="1" w:styleId="336">
    <w:name w:val="网格型浅色1"/>
    <w:basedOn w:val="47"/>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
  </w:style>
  <w:style w:type="character" w:customStyle="1" w:styleId="337">
    <w:name w:val="未处理的提及3"/>
    <w:basedOn w:val="49"/>
    <w:semiHidden/>
    <w:unhideWhenUsed/>
    <w:qFormat/>
    <w:uiPriority w:val="99"/>
    <w:rPr>
      <w:color w:val="605E5C"/>
      <w:shd w:val="clear" w:color="auto" w:fill="E1DFDD"/>
    </w:rPr>
  </w:style>
  <w:style w:type="paragraph" w:customStyle="1" w:styleId="338">
    <w:name w:val="修订3"/>
    <w:hidden/>
    <w:unhideWhenUsed/>
    <w:qFormat/>
    <w:uiPriority w:val="99"/>
    <w:rPr>
      <w:rFonts w:ascii="Times New Roman" w:hAnsi="Times New Roman" w:eastAsia="宋体" w:cs="Times New Roman"/>
      <w:kern w:val="2"/>
      <w:sz w:val="21"/>
      <w:szCs w:val="21"/>
      <w:lang w:val="en-US" w:eastAsia="zh-CN" w:bidi="ar-SA"/>
    </w:rPr>
  </w:style>
  <w:style w:type="character" w:customStyle="1" w:styleId="339">
    <w:name w:val="font31"/>
    <w:basedOn w:val="49"/>
    <w:qFormat/>
    <w:uiPriority w:val="0"/>
    <w:rPr>
      <w:rFonts w:hint="eastAsia" w:ascii="宋体" w:hAnsi="宋体" w:eastAsia="宋体" w:cs="宋体"/>
      <w:color w:val="000000"/>
      <w:sz w:val="21"/>
      <w:szCs w:val="21"/>
      <w:u w:val="none"/>
    </w:rPr>
  </w:style>
  <w:style w:type="character" w:customStyle="1" w:styleId="340">
    <w:name w:val="font41"/>
    <w:basedOn w:val="49"/>
    <w:qFormat/>
    <w:uiPriority w:val="0"/>
    <w:rPr>
      <w:rFonts w:hint="eastAsia" w:ascii="宋体" w:hAnsi="宋体" w:eastAsia="宋体" w:cs="宋体"/>
      <w:color w:val="000000"/>
      <w:sz w:val="21"/>
      <w:szCs w:val="21"/>
      <w:u w:val="none"/>
    </w:rPr>
  </w:style>
  <w:style w:type="character" w:customStyle="1" w:styleId="341">
    <w:name w:val="font01"/>
    <w:basedOn w:val="49"/>
    <w:qFormat/>
    <w:uiPriority w:val="0"/>
    <w:rPr>
      <w:rFonts w:ascii="Arial" w:hAnsi="Arial" w:cs="Arial"/>
      <w:color w:val="000000"/>
      <w:sz w:val="21"/>
      <w:szCs w:val="21"/>
      <w:u w:val="none"/>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customXml/item1.xml" Type="http://schemas.openxmlformats.org/officeDocument/2006/relationships/customXml"/><Relationship Id="rId11" Target="numbering.xml" Type="http://schemas.openxmlformats.org/officeDocument/2006/relationships/numbering"/><Relationship Id="rId12" Target="../customXml/item2.xml" Type="http://schemas.openxmlformats.org/officeDocument/2006/relationships/customXml"/><Relationship Id="rId13" Target="fontTable.xml" Type="http://schemas.openxmlformats.org/officeDocument/2006/relationships/fontTable"/><Relationship Id="rId2" Target="settings.xml" Type="http://schemas.openxmlformats.org/officeDocument/2006/relationships/settings"/><Relationship Id="rId3" Target="footer1.xml" Type="http://schemas.openxmlformats.org/officeDocument/2006/relationships/footer"/><Relationship Id="rId4" Target="footer2.xml" Type="http://schemas.openxmlformats.org/officeDocument/2006/relationships/footer"/><Relationship Id="rId5" Target="header1.xml" Type="http://schemas.openxmlformats.org/officeDocument/2006/relationships/header"/><Relationship Id="rId6" Target="footer3.xml" Type="http://schemas.openxmlformats.org/officeDocument/2006/relationships/footer"/><Relationship Id="rId7" Target="header2.xml" Type="http://schemas.openxmlformats.org/officeDocument/2006/relationships/header"/><Relationship Id="rId8" Target="footer4.xml" Type="http://schemas.openxmlformats.org/officeDocument/2006/relationships/footer"/><Relationship Id="rId9" Target="theme/theme1.xml" Type="http://schemas.openxmlformats.org/officeDocument/2006/relationships/theme"/></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DD7456-B1D1-4116-BA06-12307DA9344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55</Pages>
  <Words>30276</Words>
  <Characters>32909</Characters>
  <Lines>52</Lines>
  <Paragraphs>64</Paragraphs>
  <TotalTime>1</TotalTime>
  <ScaleCrop>false</ScaleCrop>
  <LinksUpToDate>false</LinksUpToDate>
  <CharactersWithSpaces>35633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2021-06-07T07:56:00Z</dcterms:created>
  <dc:creator>cqhac</dc:creator>
  <cp:lastModifiedBy>BigBearΨ熊﹏</cp:lastModifiedBy>
  <cp:lastPrinted>2022-06-09T00:47:00Z</cp:lastPrinted>
  <dcterms:modified xsi:type="dcterms:W3CDTF">2022-12-08T03:53:45Z</dcterms:modified>
  <cp:revision>187</cp:revision>
  <dc:title>丽水市人民医院采购全自动特定蛋白分析系统及配套和便携彩超项目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936EAC502E7045E28894565E468840E8</vt:lpwstr>
  </property>
</Properties>
</file>