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p>
    <w:p>
      <w:pPr>
        <w:rPr>
          <w:color w:val="auto"/>
        </w:rPr>
      </w:pPr>
    </w:p>
    <w:p>
      <w:pPr>
        <w:ind w:firstLine="640"/>
        <w:rPr>
          <w:color w:val="auto"/>
          <w:sz w:val="32"/>
          <w:szCs w:val="32"/>
        </w:rPr>
      </w:pPr>
    </w:p>
    <w:p>
      <w:pPr>
        <w:keepNext w:val="0"/>
        <w:keepLines w:val="0"/>
        <w:pageBreakBefore w:val="0"/>
        <w:widowControl w:val="0"/>
        <w:kinsoku/>
        <w:wordWrap/>
        <w:overflowPunct/>
        <w:topLinePunct w:val="0"/>
        <w:autoSpaceDE/>
        <w:autoSpaceDN/>
        <w:bidi w:val="0"/>
        <w:adjustRightInd w:val="0"/>
        <w:snapToGrid/>
        <w:ind w:firstLine="0" w:firstLineChars="0"/>
        <w:textAlignment w:val="auto"/>
        <w:rPr>
          <w:color w:val="auto"/>
          <w:sz w:val="32"/>
          <w:szCs w:val="32"/>
        </w:rPr>
      </w:pP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eastAsia="宋体"/>
          <w:b/>
          <w:bCs/>
          <w:color w:val="auto"/>
          <w:sz w:val="32"/>
          <w:szCs w:val="32"/>
          <w:lang w:eastAsia="zh-CN"/>
        </w:rPr>
      </w:pPr>
      <w:r>
        <w:rPr>
          <w:rFonts w:hint="eastAsia"/>
          <w:b/>
          <w:bCs/>
          <w:color w:val="auto"/>
          <w:sz w:val="32"/>
          <w:szCs w:val="32"/>
          <w:lang w:eastAsia="zh-CN"/>
        </w:rPr>
        <w:t>象山县水务集团有限公司2024－2025年度漏损控制服务项目（重发）</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b/>
          <w:bCs/>
          <w:color w:val="auto"/>
          <w:sz w:val="32"/>
          <w:szCs w:val="32"/>
        </w:rPr>
      </w:pPr>
      <w:r>
        <w:rPr>
          <w:rFonts w:hint="eastAsia"/>
          <w:b/>
          <w:bCs/>
          <w:color w:val="auto"/>
          <w:sz w:val="32"/>
          <w:szCs w:val="32"/>
        </w:rPr>
        <w:t>采购文件（服务）</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b/>
          <w:bCs/>
          <w:color w:val="auto"/>
          <w:sz w:val="32"/>
          <w:szCs w:val="32"/>
        </w:rPr>
      </w:pPr>
      <w:r>
        <w:rPr>
          <w:rFonts w:hint="eastAsia"/>
          <w:b/>
          <w:bCs/>
          <w:color w:val="auto"/>
          <w:sz w:val="32"/>
          <w:szCs w:val="32"/>
        </w:rPr>
        <w:t>（电子招投标）</w:t>
      </w:r>
    </w:p>
    <w:p>
      <w:pPr>
        <w:ind w:firstLine="640"/>
        <w:jc w:val="center"/>
        <w:rPr>
          <w:rFonts w:hint="eastAsia" w:eastAsia="宋体"/>
          <w:b/>
          <w:bCs/>
          <w:color w:val="auto"/>
          <w:sz w:val="32"/>
          <w:szCs w:val="32"/>
          <w:lang w:eastAsia="zh-CN"/>
        </w:rPr>
      </w:pPr>
    </w:p>
    <w:p>
      <w:pPr>
        <w:pStyle w:val="2"/>
        <w:rPr>
          <w:rFonts w:hint="eastAsia"/>
          <w:color w:val="auto"/>
          <w:lang w:eastAsia="zh-CN"/>
        </w:rPr>
      </w:pPr>
    </w:p>
    <w:p>
      <w:pPr>
        <w:rPr>
          <w:color w:val="auto"/>
        </w:rPr>
      </w:pP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color w:val="auto"/>
          <w:sz w:val="32"/>
          <w:szCs w:val="32"/>
        </w:rPr>
      </w:pPr>
      <w:r>
        <w:rPr>
          <w:rFonts w:hint="eastAsia"/>
          <w:b/>
          <w:bCs/>
          <w:color w:val="auto"/>
          <w:sz w:val="32"/>
          <w:szCs w:val="32"/>
        </w:rPr>
        <w:t>项目编号：</w:t>
      </w:r>
      <w:r>
        <w:rPr>
          <w:rFonts w:hint="eastAsia"/>
          <w:b/>
          <w:bCs/>
          <w:color w:val="auto"/>
          <w:sz w:val="32"/>
          <w:szCs w:val="32"/>
          <w:lang w:eastAsia="zh-CN"/>
        </w:rPr>
        <w:t>CBZJ-20243006G（重发）</w:t>
      </w:r>
    </w:p>
    <w:p>
      <w:pPr>
        <w:rPr>
          <w:color w:val="auto"/>
        </w:rPr>
      </w:pPr>
    </w:p>
    <w:p>
      <w:pPr>
        <w:rPr>
          <w:color w:val="auto"/>
        </w:rPr>
      </w:pPr>
    </w:p>
    <w:p>
      <w:pPr>
        <w:rPr>
          <w:color w:val="auto"/>
        </w:rPr>
      </w:pPr>
    </w:p>
    <w:p>
      <w:pPr>
        <w:pStyle w:val="2"/>
        <w:rPr>
          <w:color w:val="auto"/>
        </w:rPr>
      </w:pPr>
    </w:p>
    <w:p>
      <w:pPr>
        <w:pStyle w:val="5"/>
        <w:rPr>
          <w:color w:val="auto"/>
        </w:rPr>
      </w:pPr>
    </w:p>
    <w:p>
      <w:pPr>
        <w:rPr>
          <w:color w:val="auto"/>
        </w:rPr>
      </w:pPr>
    </w:p>
    <w:p>
      <w:pPr>
        <w:pStyle w:val="2"/>
        <w:rPr>
          <w:color w:val="auto"/>
        </w:rPr>
      </w:pPr>
    </w:p>
    <w:p>
      <w:pPr>
        <w:pStyle w:val="5"/>
        <w:rPr>
          <w:color w:val="auto"/>
        </w:rPr>
      </w:pP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Times New Roman" w:hAnsi="Times New Roman" w:eastAsia="宋体" w:cs="Times New Roman"/>
          <w:b/>
          <w:bCs/>
          <w:color w:val="auto"/>
          <w:sz w:val="32"/>
          <w:szCs w:val="32"/>
        </w:rPr>
      </w:pPr>
      <w:r>
        <w:rPr>
          <w:rFonts w:hint="eastAsia" w:ascii="Times New Roman" w:hAnsi="Times New Roman" w:eastAsia="宋体" w:cs="Times New Roman"/>
          <w:b/>
          <w:bCs/>
          <w:color w:val="auto"/>
          <w:sz w:val="32"/>
          <w:szCs w:val="32"/>
        </w:rPr>
        <w:t>采购人：象山县水务集团有限公司</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b/>
          <w:bCs/>
          <w:color w:val="auto"/>
          <w:sz w:val="32"/>
          <w:szCs w:val="32"/>
        </w:rPr>
      </w:pPr>
      <w:r>
        <w:rPr>
          <w:rFonts w:hint="eastAsia"/>
          <w:b/>
          <w:bCs/>
          <w:color w:val="auto"/>
          <w:sz w:val="32"/>
          <w:szCs w:val="32"/>
        </w:rPr>
        <w:t>采购代理机构：浙江中基正采管理咨询有限公司</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b/>
          <w:bCs/>
          <w:color w:val="auto"/>
          <w:sz w:val="32"/>
          <w:szCs w:val="32"/>
        </w:rPr>
      </w:pPr>
      <w:r>
        <w:rPr>
          <w:rFonts w:hint="eastAsia"/>
          <w:b/>
          <w:bCs/>
          <w:color w:val="auto"/>
          <w:sz w:val="32"/>
          <w:szCs w:val="32"/>
        </w:rPr>
        <w:t>二〇二四年</w:t>
      </w:r>
      <w:r>
        <w:rPr>
          <w:rFonts w:hint="eastAsia"/>
          <w:b/>
          <w:bCs/>
          <w:color w:val="auto"/>
          <w:sz w:val="32"/>
          <w:szCs w:val="32"/>
          <w:lang w:val="en-US" w:eastAsia="zh-CN"/>
        </w:rPr>
        <w:t>四</w:t>
      </w:r>
      <w:r>
        <w:rPr>
          <w:rFonts w:hint="eastAsia"/>
          <w:b/>
          <w:bCs/>
          <w:color w:val="auto"/>
          <w:sz w:val="32"/>
          <w:szCs w:val="32"/>
        </w:rPr>
        <w:t>月</w:t>
      </w:r>
    </w:p>
    <w:p>
      <w:pPr>
        <w:adjustRightInd/>
        <w:ind w:firstLine="480"/>
        <w:jc w:val="center"/>
        <w:rPr>
          <w:rFonts w:hint="eastAsia" w:cs="宋体"/>
          <w:color w:val="auto"/>
          <w:sz w:val="24"/>
        </w:rPr>
      </w:pPr>
      <w:r>
        <w:rPr>
          <w:rFonts w:hint="eastAsia" w:cs="宋体"/>
          <w:color w:val="auto"/>
          <w:sz w:val="24"/>
        </w:rPr>
        <w:br w:type="page"/>
      </w:r>
      <w:bookmarkStart w:id="0" w:name="_Hlt67893495"/>
      <w:bookmarkEnd w:id="0"/>
    </w:p>
    <w:p>
      <w:pPr>
        <w:adjustRightInd/>
        <w:ind w:firstLine="480"/>
        <w:jc w:val="center"/>
        <w:rPr>
          <w:rFonts w:hint="eastAsia" w:cs="宋体"/>
          <w:color w:val="auto"/>
          <w:sz w:val="24"/>
        </w:rPr>
      </w:pPr>
    </w:p>
    <w:p>
      <w:pPr>
        <w:adjustRightInd/>
        <w:ind w:firstLine="480"/>
        <w:jc w:val="center"/>
        <w:rPr>
          <w:b/>
          <w:bCs/>
          <w:color w:val="auto"/>
          <w:sz w:val="28"/>
          <w:szCs w:val="28"/>
        </w:rPr>
      </w:pPr>
      <w:r>
        <w:rPr>
          <w:b/>
          <w:bCs/>
          <w:color w:val="auto"/>
          <w:sz w:val="28"/>
          <w:szCs w:val="28"/>
        </w:rPr>
        <w:t>目录</w:t>
      </w:r>
    </w:p>
    <w:p>
      <w:pPr>
        <w:pStyle w:val="28"/>
        <w:tabs>
          <w:tab w:val="right" w:leader="dot" w:pos="9746"/>
        </w:tabs>
        <w:spacing w:line="600" w:lineRule="auto"/>
        <w:ind w:firstLine="0" w:firstLineChars="0"/>
        <w:rPr>
          <w:b/>
          <w:bCs/>
          <w:color w:val="auto"/>
          <w:sz w:val="28"/>
          <w:szCs w:val="36"/>
        </w:rPr>
      </w:pPr>
      <w:r>
        <w:rPr>
          <w:b/>
          <w:bCs/>
          <w:color w:val="auto"/>
          <w:sz w:val="40"/>
          <w:szCs w:val="40"/>
        </w:rPr>
        <w:fldChar w:fldCharType="begin"/>
      </w:r>
      <w:r>
        <w:rPr>
          <w:b/>
          <w:bCs/>
          <w:color w:val="auto"/>
          <w:sz w:val="40"/>
          <w:szCs w:val="40"/>
        </w:rPr>
        <w:instrText xml:space="preserve">TOC \o "1-1" \h \u </w:instrText>
      </w:r>
      <w:r>
        <w:rPr>
          <w:b/>
          <w:bCs/>
          <w:color w:val="auto"/>
          <w:sz w:val="40"/>
          <w:szCs w:val="40"/>
        </w:rPr>
        <w:fldChar w:fldCharType="separate"/>
      </w:r>
      <w:r>
        <w:rPr>
          <w:b/>
          <w:bCs/>
          <w:color w:val="auto"/>
          <w:sz w:val="28"/>
          <w:szCs w:val="36"/>
        </w:rPr>
        <w:fldChar w:fldCharType="begin"/>
      </w:r>
      <w:r>
        <w:rPr>
          <w:b/>
          <w:bCs/>
          <w:color w:val="auto"/>
          <w:sz w:val="28"/>
          <w:szCs w:val="36"/>
        </w:rPr>
        <w:instrText xml:space="preserve"> HYPERLINK \l "_Toc1322" </w:instrText>
      </w:r>
      <w:r>
        <w:rPr>
          <w:b/>
          <w:bCs/>
          <w:color w:val="auto"/>
          <w:sz w:val="28"/>
          <w:szCs w:val="36"/>
        </w:rPr>
        <w:fldChar w:fldCharType="separate"/>
      </w:r>
      <w:r>
        <w:rPr>
          <w:rFonts w:ascii="Arial" w:hAnsi="Arial"/>
          <w:b/>
          <w:bCs/>
          <w:color w:val="auto"/>
          <w:sz w:val="28"/>
          <w:szCs w:val="48"/>
        </w:rPr>
        <w:t>第一部分招标公告</w:t>
      </w:r>
      <w:r>
        <w:rPr>
          <w:b/>
          <w:bCs/>
          <w:color w:val="auto"/>
          <w:sz w:val="28"/>
          <w:szCs w:val="36"/>
        </w:rPr>
        <w:tab/>
      </w:r>
      <w:r>
        <w:rPr>
          <w:b/>
          <w:bCs/>
          <w:color w:val="auto"/>
          <w:sz w:val="28"/>
          <w:szCs w:val="36"/>
        </w:rPr>
        <w:fldChar w:fldCharType="begin"/>
      </w:r>
      <w:r>
        <w:rPr>
          <w:b/>
          <w:bCs/>
          <w:color w:val="auto"/>
          <w:sz w:val="28"/>
          <w:szCs w:val="36"/>
        </w:rPr>
        <w:instrText xml:space="preserve"> PAGEREF _Toc1322 \h </w:instrText>
      </w:r>
      <w:r>
        <w:rPr>
          <w:b/>
          <w:bCs/>
          <w:color w:val="auto"/>
          <w:sz w:val="28"/>
          <w:szCs w:val="36"/>
        </w:rPr>
        <w:fldChar w:fldCharType="separate"/>
      </w:r>
      <w:r>
        <w:rPr>
          <w:b/>
          <w:bCs/>
          <w:color w:val="auto"/>
          <w:sz w:val="28"/>
          <w:szCs w:val="36"/>
        </w:rPr>
        <w:t>1</w:t>
      </w:r>
      <w:r>
        <w:rPr>
          <w:b/>
          <w:bCs/>
          <w:color w:val="auto"/>
          <w:sz w:val="28"/>
          <w:szCs w:val="36"/>
        </w:rPr>
        <w:fldChar w:fldCharType="end"/>
      </w:r>
      <w:r>
        <w:rPr>
          <w:b/>
          <w:bCs/>
          <w:color w:val="auto"/>
          <w:sz w:val="28"/>
          <w:szCs w:val="36"/>
        </w:rPr>
        <w:fldChar w:fldCharType="end"/>
      </w:r>
    </w:p>
    <w:p>
      <w:pPr>
        <w:pStyle w:val="28"/>
        <w:tabs>
          <w:tab w:val="right" w:leader="dot" w:pos="9746"/>
        </w:tabs>
        <w:spacing w:line="600" w:lineRule="auto"/>
        <w:ind w:firstLine="0" w:firstLineChars="0"/>
        <w:rPr>
          <w:b/>
          <w:bCs/>
          <w:color w:val="auto"/>
          <w:sz w:val="28"/>
          <w:szCs w:val="36"/>
        </w:rPr>
      </w:pPr>
      <w:r>
        <w:rPr>
          <w:b/>
          <w:bCs/>
          <w:color w:val="auto"/>
          <w:sz w:val="28"/>
          <w:szCs w:val="36"/>
        </w:rPr>
        <w:fldChar w:fldCharType="begin"/>
      </w:r>
      <w:r>
        <w:rPr>
          <w:b/>
          <w:bCs/>
          <w:color w:val="auto"/>
          <w:sz w:val="28"/>
          <w:szCs w:val="36"/>
        </w:rPr>
        <w:instrText xml:space="preserve"> HYPERLINK \l "_Toc26266" </w:instrText>
      </w:r>
      <w:r>
        <w:rPr>
          <w:b/>
          <w:bCs/>
          <w:color w:val="auto"/>
          <w:sz w:val="28"/>
          <w:szCs w:val="36"/>
        </w:rPr>
        <w:fldChar w:fldCharType="separate"/>
      </w:r>
      <w:r>
        <w:rPr>
          <w:rFonts w:hint="eastAsia" w:ascii="Arial" w:hAnsi="Arial"/>
          <w:b/>
          <w:bCs/>
          <w:color w:val="auto"/>
          <w:sz w:val="28"/>
          <w:szCs w:val="48"/>
        </w:rPr>
        <w:t>第二部分供应商须知</w:t>
      </w:r>
      <w:r>
        <w:rPr>
          <w:b/>
          <w:bCs/>
          <w:color w:val="auto"/>
          <w:sz w:val="28"/>
          <w:szCs w:val="36"/>
        </w:rPr>
        <w:tab/>
      </w:r>
      <w:r>
        <w:rPr>
          <w:b/>
          <w:bCs/>
          <w:color w:val="auto"/>
          <w:sz w:val="28"/>
          <w:szCs w:val="36"/>
        </w:rPr>
        <w:fldChar w:fldCharType="begin"/>
      </w:r>
      <w:r>
        <w:rPr>
          <w:b/>
          <w:bCs/>
          <w:color w:val="auto"/>
          <w:sz w:val="28"/>
          <w:szCs w:val="36"/>
        </w:rPr>
        <w:instrText xml:space="preserve"> PAGEREF _Toc26266 \h </w:instrText>
      </w:r>
      <w:r>
        <w:rPr>
          <w:b/>
          <w:bCs/>
          <w:color w:val="auto"/>
          <w:sz w:val="28"/>
          <w:szCs w:val="36"/>
        </w:rPr>
        <w:fldChar w:fldCharType="separate"/>
      </w:r>
      <w:r>
        <w:rPr>
          <w:b/>
          <w:bCs/>
          <w:color w:val="auto"/>
          <w:sz w:val="28"/>
          <w:szCs w:val="36"/>
        </w:rPr>
        <w:t>4</w:t>
      </w:r>
      <w:r>
        <w:rPr>
          <w:b/>
          <w:bCs/>
          <w:color w:val="auto"/>
          <w:sz w:val="28"/>
          <w:szCs w:val="36"/>
        </w:rPr>
        <w:fldChar w:fldCharType="end"/>
      </w:r>
      <w:r>
        <w:rPr>
          <w:b/>
          <w:bCs/>
          <w:color w:val="auto"/>
          <w:sz w:val="28"/>
          <w:szCs w:val="36"/>
        </w:rPr>
        <w:fldChar w:fldCharType="end"/>
      </w:r>
    </w:p>
    <w:p>
      <w:pPr>
        <w:pStyle w:val="28"/>
        <w:tabs>
          <w:tab w:val="right" w:leader="dot" w:pos="9746"/>
        </w:tabs>
        <w:spacing w:line="600" w:lineRule="auto"/>
        <w:ind w:firstLine="0" w:firstLineChars="0"/>
        <w:rPr>
          <w:b/>
          <w:bCs/>
          <w:color w:val="auto"/>
          <w:sz w:val="28"/>
          <w:szCs w:val="36"/>
        </w:rPr>
      </w:pPr>
      <w:r>
        <w:rPr>
          <w:b/>
          <w:bCs/>
          <w:color w:val="auto"/>
          <w:sz w:val="28"/>
          <w:szCs w:val="36"/>
        </w:rPr>
        <w:fldChar w:fldCharType="begin"/>
      </w:r>
      <w:r>
        <w:rPr>
          <w:b/>
          <w:bCs/>
          <w:color w:val="auto"/>
          <w:sz w:val="28"/>
          <w:szCs w:val="36"/>
        </w:rPr>
        <w:instrText xml:space="preserve"> HYPERLINK \l "_Toc27428" </w:instrText>
      </w:r>
      <w:r>
        <w:rPr>
          <w:b/>
          <w:bCs/>
          <w:color w:val="auto"/>
          <w:sz w:val="28"/>
          <w:szCs w:val="36"/>
        </w:rPr>
        <w:fldChar w:fldCharType="separate"/>
      </w:r>
      <w:r>
        <w:rPr>
          <w:rFonts w:hint="eastAsia"/>
          <w:b/>
          <w:bCs/>
          <w:color w:val="auto"/>
          <w:sz w:val="28"/>
          <w:szCs w:val="36"/>
        </w:rPr>
        <w:t>第三部分采购需求</w:t>
      </w:r>
      <w:r>
        <w:rPr>
          <w:b/>
          <w:bCs/>
          <w:color w:val="auto"/>
          <w:sz w:val="28"/>
          <w:szCs w:val="36"/>
        </w:rPr>
        <w:tab/>
      </w:r>
      <w:r>
        <w:rPr>
          <w:b/>
          <w:bCs/>
          <w:color w:val="auto"/>
          <w:sz w:val="28"/>
          <w:szCs w:val="36"/>
        </w:rPr>
        <w:fldChar w:fldCharType="begin"/>
      </w:r>
      <w:r>
        <w:rPr>
          <w:b/>
          <w:bCs/>
          <w:color w:val="auto"/>
          <w:sz w:val="28"/>
          <w:szCs w:val="36"/>
        </w:rPr>
        <w:instrText xml:space="preserve"> PAGEREF _Toc27428 \h </w:instrText>
      </w:r>
      <w:r>
        <w:rPr>
          <w:b/>
          <w:bCs/>
          <w:color w:val="auto"/>
          <w:sz w:val="28"/>
          <w:szCs w:val="36"/>
        </w:rPr>
        <w:fldChar w:fldCharType="separate"/>
      </w:r>
      <w:r>
        <w:rPr>
          <w:b/>
          <w:bCs/>
          <w:color w:val="auto"/>
          <w:sz w:val="28"/>
          <w:szCs w:val="36"/>
        </w:rPr>
        <w:t>23</w:t>
      </w:r>
      <w:r>
        <w:rPr>
          <w:b/>
          <w:bCs/>
          <w:color w:val="auto"/>
          <w:sz w:val="28"/>
          <w:szCs w:val="36"/>
        </w:rPr>
        <w:fldChar w:fldCharType="end"/>
      </w:r>
      <w:r>
        <w:rPr>
          <w:b/>
          <w:bCs/>
          <w:color w:val="auto"/>
          <w:sz w:val="28"/>
          <w:szCs w:val="36"/>
        </w:rPr>
        <w:fldChar w:fldCharType="end"/>
      </w:r>
    </w:p>
    <w:p>
      <w:pPr>
        <w:pStyle w:val="28"/>
        <w:tabs>
          <w:tab w:val="right" w:leader="dot" w:pos="9746"/>
        </w:tabs>
        <w:spacing w:line="600" w:lineRule="auto"/>
        <w:ind w:firstLine="0" w:firstLineChars="0"/>
        <w:rPr>
          <w:b/>
          <w:bCs/>
          <w:color w:val="auto"/>
          <w:sz w:val="28"/>
          <w:szCs w:val="36"/>
        </w:rPr>
      </w:pPr>
      <w:r>
        <w:rPr>
          <w:b/>
          <w:bCs/>
          <w:color w:val="auto"/>
          <w:sz w:val="28"/>
          <w:szCs w:val="36"/>
        </w:rPr>
        <w:fldChar w:fldCharType="begin"/>
      </w:r>
      <w:r>
        <w:rPr>
          <w:b/>
          <w:bCs/>
          <w:color w:val="auto"/>
          <w:sz w:val="28"/>
          <w:szCs w:val="36"/>
        </w:rPr>
        <w:instrText xml:space="preserve"> HYPERLINK \l "_Toc1129" </w:instrText>
      </w:r>
      <w:r>
        <w:rPr>
          <w:b/>
          <w:bCs/>
          <w:color w:val="auto"/>
          <w:sz w:val="28"/>
          <w:szCs w:val="36"/>
        </w:rPr>
        <w:fldChar w:fldCharType="separate"/>
      </w:r>
      <w:r>
        <w:rPr>
          <w:rFonts w:hint="eastAsia"/>
          <w:b/>
          <w:bCs/>
          <w:color w:val="auto"/>
          <w:sz w:val="28"/>
          <w:szCs w:val="36"/>
        </w:rPr>
        <w:t>第四部分评标办法</w:t>
      </w:r>
      <w:r>
        <w:rPr>
          <w:b/>
          <w:bCs/>
          <w:color w:val="auto"/>
          <w:sz w:val="28"/>
          <w:szCs w:val="36"/>
        </w:rPr>
        <w:tab/>
      </w:r>
      <w:r>
        <w:rPr>
          <w:b/>
          <w:bCs/>
          <w:color w:val="auto"/>
          <w:sz w:val="28"/>
          <w:szCs w:val="36"/>
        </w:rPr>
        <w:fldChar w:fldCharType="begin"/>
      </w:r>
      <w:r>
        <w:rPr>
          <w:b/>
          <w:bCs/>
          <w:color w:val="auto"/>
          <w:sz w:val="28"/>
          <w:szCs w:val="36"/>
        </w:rPr>
        <w:instrText xml:space="preserve"> PAGEREF _Toc1129 \h </w:instrText>
      </w:r>
      <w:r>
        <w:rPr>
          <w:b/>
          <w:bCs/>
          <w:color w:val="auto"/>
          <w:sz w:val="28"/>
          <w:szCs w:val="36"/>
        </w:rPr>
        <w:fldChar w:fldCharType="separate"/>
      </w:r>
      <w:r>
        <w:rPr>
          <w:b/>
          <w:bCs/>
          <w:color w:val="auto"/>
          <w:sz w:val="28"/>
          <w:szCs w:val="36"/>
        </w:rPr>
        <w:t>33</w:t>
      </w:r>
      <w:r>
        <w:rPr>
          <w:b/>
          <w:bCs/>
          <w:color w:val="auto"/>
          <w:sz w:val="28"/>
          <w:szCs w:val="36"/>
        </w:rPr>
        <w:fldChar w:fldCharType="end"/>
      </w:r>
      <w:r>
        <w:rPr>
          <w:b/>
          <w:bCs/>
          <w:color w:val="auto"/>
          <w:sz w:val="28"/>
          <w:szCs w:val="36"/>
        </w:rPr>
        <w:fldChar w:fldCharType="end"/>
      </w:r>
    </w:p>
    <w:p>
      <w:pPr>
        <w:pStyle w:val="28"/>
        <w:tabs>
          <w:tab w:val="right" w:leader="dot" w:pos="9746"/>
        </w:tabs>
        <w:spacing w:line="600" w:lineRule="auto"/>
        <w:ind w:firstLine="0" w:firstLineChars="0"/>
        <w:rPr>
          <w:b/>
          <w:bCs/>
          <w:color w:val="auto"/>
          <w:sz w:val="28"/>
          <w:szCs w:val="36"/>
        </w:rPr>
      </w:pPr>
      <w:r>
        <w:rPr>
          <w:b/>
          <w:bCs/>
          <w:color w:val="auto"/>
          <w:sz w:val="28"/>
          <w:szCs w:val="36"/>
        </w:rPr>
        <w:fldChar w:fldCharType="begin"/>
      </w:r>
      <w:r>
        <w:rPr>
          <w:b/>
          <w:bCs/>
          <w:color w:val="auto"/>
          <w:sz w:val="28"/>
          <w:szCs w:val="36"/>
        </w:rPr>
        <w:instrText xml:space="preserve"> HYPERLINK \l "_Toc8097" </w:instrText>
      </w:r>
      <w:r>
        <w:rPr>
          <w:b/>
          <w:bCs/>
          <w:color w:val="auto"/>
          <w:sz w:val="28"/>
          <w:szCs w:val="36"/>
        </w:rPr>
        <w:fldChar w:fldCharType="separate"/>
      </w:r>
      <w:r>
        <w:rPr>
          <w:rFonts w:hint="eastAsia" w:ascii="Arial" w:hAnsi="Arial"/>
          <w:b/>
          <w:bCs/>
          <w:color w:val="auto"/>
          <w:sz w:val="28"/>
          <w:szCs w:val="48"/>
        </w:rPr>
        <w:t>第五部分拟签订的合同文本</w:t>
      </w:r>
      <w:r>
        <w:rPr>
          <w:b/>
          <w:bCs/>
          <w:color w:val="auto"/>
          <w:sz w:val="28"/>
          <w:szCs w:val="36"/>
        </w:rPr>
        <w:tab/>
      </w:r>
      <w:r>
        <w:rPr>
          <w:b/>
          <w:bCs/>
          <w:color w:val="auto"/>
          <w:sz w:val="28"/>
          <w:szCs w:val="36"/>
        </w:rPr>
        <w:fldChar w:fldCharType="begin"/>
      </w:r>
      <w:r>
        <w:rPr>
          <w:b/>
          <w:bCs/>
          <w:color w:val="auto"/>
          <w:sz w:val="28"/>
          <w:szCs w:val="36"/>
        </w:rPr>
        <w:instrText xml:space="preserve"> PAGEREF _Toc8097 \h </w:instrText>
      </w:r>
      <w:r>
        <w:rPr>
          <w:b/>
          <w:bCs/>
          <w:color w:val="auto"/>
          <w:sz w:val="28"/>
          <w:szCs w:val="36"/>
        </w:rPr>
        <w:fldChar w:fldCharType="separate"/>
      </w:r>
      <w:r>
        <w:rPr>
          <w:b/>
          <w:bCs/>
          <w:color w:val="auto"/>
          <w:sz w:val="28"/>
          <w:szCs w:val="36"/>
        </w:rPr>
        <w:t>39</w:t>
      </w:r>
      <w:r>
        <w:rPr>
          <w:b/>
          <w:bCs/>
          <w:color w:val="auto"/>
          <w:sz w:val="28"/>
          <w:szCs w:val="36"/>
        </w:rPr>
        <w:fldChar w:fldCharType="end"/>
      </w:r>
      <w:r>
        <w:rPr>
          <w:b/>
          <w:bCs/>
          <w:color w:val="auto"/>
          <w:sz w:val="28"/>
          <w:szCs w:val="36"/>
        </w:rPr>
        <w:fldChar w:fldCharType="end"/>
      </w:r>
    </w:p>
    <w:p>
      <w:pPr>
        <w:pStyle w:val="28"/>
        <w:tabs>
          <w:tab w:val="right" w:leader="dot" w:pos="9746"/>
        </w:tabs>
        <w:spacing w:line="600" w:lineRule="auto"/>
        <w:ind w:firstLine="0" w:firstLineChars="0"/>
        <w:rPr>
          <w:b/>
          <w:bCs/>
          <w:color w:val="auto"/>
          <w:sz w:val="28"/>
          <w:szCs w:val="36"/>
        </w:rPr>
      </w:pPr>
      <w:r>
        <w:rPr>
          <w:b/>
          <w:bCs/>
          <w:color w:val="auto"/>
          <w:sz w:val="28"/>
          <w:szCs w:val="36"/>
        </w:rPr>
        <w:fldChar w:fldCharType="begin"/>
      </w:r>
      <w:r>
        <w:rPr>
          <w:b/>
          <w:bCs/>
          <w:color w:val="auto"/>
          <w:sz w:val="28"/>
          <w:szCs w:val="36"/>
        </w:rPr>
        <w:instrText xml:space="preserve"> HYPERLINK \l "_Toc17876" </w:instrText>
      </w:r>
      <w:r>
        <w:rPr>
          <w:b/>
          <w:bCs/>
          <w:color w:val="auto"/>
          <w:sz w:val="28"/>
          <w:szCs w:val="36"/>
        </w:rPr>
        <w:fldChar w:fldCharType="separate"/>
      </w:r>
      <w:r>
        <w:rPr>
          <w:rFonts w:hint="eastAsia"/>
          <w:b/>
          <w:bCs/>
          <w:color w:val="auto"/>
          <w:sz w:val="28"/>
          <w:szCs w:val="44"/>
        </w:rPr>
        <w:t>第六部分应提交的有关格式范例</w:t>
      </w:r>
      <w:r>
        <w:rPr>
          <w:b/>
          <w:bCs/>
          <w:color w:val="auto"/>
          <w:sz w:val="28"/>
          <w:szCs w:val="36"/>
        </w:rPr>
        <w:tab/>
      </w:r>
      <w:r>
        <w:rPr>
          <w:b/>
          <w:bCs/>
          <w:color w:val="auto"/>
          <w:sz w:val="28"/>
          <w:szCs w:val="36"/>
        </w:rPr>
        <w:fldChar w:fldCharType="begin"/>
      </w:r>
      <w:r>
        <w:rPr>
          <w:b/>
          <w:bCs/>
          <w:color w:val="auto"/>
          <w:sz w:val="28"/>
          <w:szCs w:val="36"/>
        </w:rPr>
        <w:instrText xml:space="preserve"> PAGEREF _Toc17876 \h </w:instrText>
      </w:r>
      <w:r>
        <w:rPr>
          <w:b/>
          <w:bCs/>
          <w:color w:val="auto"/>
          <w:sz w:val="28"/>
          <w:szCs w:val="36"/>
        </w:rPr>
        <w:fldChar w:fldCharType="separate"/>
      </w:r>
      <w:r>
        <w:rPr>
          <w:b/>
          <w:bCs/>
          <w:color w:val="auto"/>
          <w:sz w:val="28"/>
          <w:szCs w:val="36"/>
        </w:rPr>
        <w:t>49</w:t>
      </w:r>
      <w:r>
        <w:rPr>
          <w:b/>
          <w:bCs/>
          <w:color w:val="auto"/>
          <w:sz w:val="28"/>
          <w:szCs w:val="36"/>
        </w:rPr>
        <w:fldChar w:fldCharType="end"/>
      </w:r>
      <w:r>
        <w:rPr>
          <w:b/>
          <w:bCs/>
          <w:color w:val="auto"/>
          <w:sz w:val="28"/>
          <w:szCs w:val="36"/>
        </w:rPr>
        <w:fldChar w:fldCharType="end"/>
      </w:r>
    </w:p>
    <w:p>
      <w:pPr>
        <w:adjustRightInd/>
        <w:rPr>
          <w:color w:val="auto"/>
        </w:rPr>
      </w:pPr>
      <w:r>
        <w:rPr>
          <w:b/>
          <w:bCs/>
          <w:color w:val="auto"/>
          <w:sz w:val="28"/>
          <w:szCs w:val="40"/>
        </w:rPr>
        <w:fldChar w:fldCharType="end"/>
      </w:r>
    </w:p>
    <w:p>
      <w:pPr>
        <w:rPr>
          <w:color w:val="auto"/>
        </w:rPr>
      </w:pPr>
      <w:bookmarkStart w:id="1" w:name="_Toc91899869"/>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1"/>
    <w:p>
      <w:pPr>
        <w:ind w:firstLine="720"/>
        <w:jc w:val="center"/>
        <w:rPr>
          <w:rStyle w:val="47"/>
          <w:rFonts w:ascii="Arial" w:hAnsi="Arial"/>
          <w:color w:val="auto"/>
          <w:sz w:val="36"/>
          <w:szCs w:val="36"/>
        </w:rPr>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92" w:gutter="0"/>
          <w:cols w:space="0" w:num="1"/>
          <w:titlePg/>
          <w:docGrid w:linePitch="312" w:charSpace="0"/>
        </w:sectPr>
      </w:pPr>
      <w:bookmarkStart w:id="2" w:name="_Hlt74707423"/>
      <w:bookmarkEnd w:id="2"/>
      <w:bookmarkStart w:id="3" w:name="_Hlt74729822"/>
      <w:bookmarkEnd w:id="3"/>
      <w:bookmarkStart w:id="4" w:name="_Hlt74728647"/>
      <w:bookmarkEnd w:id="4"/>
      <w:bookmarkStart w:id="5" w:name="_Hlt74649545"/>
      <w:bookmarkEnd w:id="5"/>
      <w:bookmarkStart w:id="6" w:name="_Toc4079"/>
      <w:bookmarkStart w:id="7" w:name="第二部分"/>
      <w:bookmarkStart w:id="8" w:name="_Toc91899870"/>
      <w:bookmarkStart w:id="9" w:name="_Toc91899871"/>
    </w:p>
    <w:p>
      <w:pPr>
        <w:ind w:firstLine="0" w:firstLineChars="0"/>
        <w:jc w:val="center"/>
        <w:rPr>
          <w:rFonts w:cs="宋体"/>
          <w:color w:val="auto"/>
          <w:szCs w:val="20"/>
        </w:rPr>
      </w:pPr>
      <w:bookmarkStart w:id="10" w:name="_Toc1322"/>
      <w:r>
        <w:rPr>
          <w:rStyle w:val="47"/>
          <w:rFonts w:ascii="Arial" w:hAnsi="Arial"/>
          <w:color w:val="auto"/>
          <w:sz w:val="36"/>
          <w:szCs w:val="36"/>
        </w:rPr>
        <w:t>第一部分招标公告</w:t>
      </w:r>
      <w:bookmarkEnd w:id="6"/>
      <w:bookmarkEnd w:id="10"/>
    </w:p>
    <w:tbl>
      <w:tblPr>
        <w:tblStyle w:val="37"/>
        <w:tblW w:w="0" w:type="auto"/>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13" w:type="dxa"/>
          </w:tcPr>
          <w:p>
            <w:pPr>
              <w:pStyle w:val="5"/>
              <w:rPr>
                <w:color w:val="auto"/>
                <w:sz w:val="21"/>
                <w:lang w:val="en-US"/>
              </w:rPr>
            </w:pPr>
            <w:bookmarkStart w:id="11" w:name="_Toc2501"/>
            <w:r>
              <w:rPr>
                <w:rFonts w:hint="eastAsia"/>
                <w:color w:val="auto"/>
                <w:sz w:val="21"/>
              </w:rPr>
              <w:t>项目概况</w:t>
            </w:r>
            <w:r>
              <w:rPr>
                <w:rFonts w:hint="eastAsia"/>
                <w:color w:val="auto"/>
                <w:sz w:val="21"/>
                <w:lang w:val="en-US"/>
              </w:rPr>
              <w:t>：</w:t>
            </w:r>
          </w:p>
          <w:p>
            <w:pPr>
              <w:pStyle w:val="5"/>
              <w:rPr>
                <w:b/>
                <w:bCs/>
                <w:color w:val="auto"/>
                <w:szCs w:val="22"/>
                <w:lang w:val="en-US"/>
              </w:rPr>
            </w:pPr>
            <w:r>
              <w:rPr>
                <w:rFonts w:hint="eastAsia" w:cs="宋体"/>
                <w:color w:val="auto"/>
                <w:sz w:val="21"/>
                <w:lang w:eastAsia="zh-CN"/>
              </w:rPr>
              <w:t>象山县水务集团有限公司2024－2025年度漏损控制服务项目（重发）</w:t>
            </w:r>
            <w:r>
              <w:rPr>
                <w:rFonts w:hint="eastAsia" w:cs="宋体"/>
                <w:color w:val="auto"/>
                <w:sz w:val="21"/>
              </w:rPr>
              <w:t>招标项目</w:t>
            </w:r>
            <w:r>
              <w:rPr>
                <w:rFonts w:hint="eastAsia"/>
                <w:color w:val="auto"/>
                <w:sz w:val="21"/>
              </w:rPr>
              <w:t>的潜在供应商应在政采云平台</w:t>
            </w:r>
            <w:r>
              <w:rPr>
                <w:rFonts w:hint="eastAsia"/>
                <w:color w:val="auto"/>
                <w:sz w:val="21"/>
                <w:lang w:val="en-US"/>
              </w:rPr>
              <w:t>（</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Fonts w:hint="eastAsia" w:cs="宋体"/>
                <w:color w:val="auto"/>
                <w:sz w:val="21"/>
                <w:lang w:val="en-US"/>
              </w:rPr>
              <w:t>https://www.zcygov.cn/）获取采购文件，并于2024年</w:t>
            </w:r>
            <w:r>
              <w:rPr>
                <w:rFonts w:hint="eastAsia" w:cs="宋体"/>
                <w:color w:val="auto"/>
                <w:sz w:val="21"/>
                <w:lang w:val="en-US" w:eastAsia="zh-CN"/>
              </w:rPr>
              <w:t>05</w:t>
            </w:r>
            <w:r>
              <w:rPr>
                <w:rFonts w:hint="eastAsia" w:cs="宋体"/>
                <w:color w:val="auto"/>
                <w:sz w:val="21"/>
                <w:lang w:val="en-US"/>
              </w:rPr>
              <w:t>月</w:t>
            </w:r>
            <w:r>
              <w:rPr>
                <w:rFonts w:hint="eastAsia" w:cs="宋体"/>
                <w:color w:val="auto"/>
                <w:sz w:val="21"/>
                <w:lang w:val="en-US" w:eastAsia="zh-CN"/>
              </w:rPr>
              <w:t>15</w:t>
            </w:r>
            <w:r>
              <w:rPr>
                <w:rFonts w:hint="eastAsia" w:cs="宋体"/>
                <w:color w:val="auto"/>
                <w:sz w:val="21"/>
                <w:lang w:val="en-US"/>
              </w:rPr>
              <w:t>日</w:t>
            </w:r>
            <w:r>
              <w:rPr>
                <w:rFonts w:hint="eastAsia" w:cs="宋体"/>
                <w:color w:val="auto"/>
                <w:sz w:val="21"/>
                <w:lang w:val="en-US" w:eastAsia="zh-CN"/>
              </w:rPr>
              <w:t>14</w:t>
            </w:r>
            <w:r>
              <w:rPr>
                <w:rFonts w:hint="eastAsia" w:cs="宋体"/>
                <w:color w:val="auto"/>
                <w:sz w:val="21"/>
                <w:lang w:val="en-US"/>
              </w:rPr>
              <w:t>时</w:t>
            </w:r>
            <w:r>
              <w:rPr>
                <w:rFonts w:hint="eastAsia" w:cs="宋体"/>
                <w:color w:val="auto"/>
                <w:sz w:val="21"/>
                <w:lang w:val="en-US" w:eastAsia="zh-CN"/>
              </w:rPr>
              <w:t>3</w:t>
            </w:r>
            <w:r>
              <w:rPr>
                <w:rFonts w:hint="eastAsia" w:cs="宋体"/>
                <w:color w:val="auto"/>
                <w:sz w:val="21"/>
                <w:lang w:val="en-US"/>
              </w:rPr>
              <w:t>0分</w:t>
            </w:r>
            <w:r>
              <w:rPr>
                <w:rFonts w:hint="eastAsia" w:cs="宋体"/>
                <w:color w:val="auto"/>
                <w:sz w:val="21"/>
                <w:lang w:val="en-US"/>
              </w:rPr>
              <w:fldChar w:fldCharType="end"/>
            </w:r>
            <w:r>
              <w:rPr>
                <w:rFonts w:hint="eastAsia" w:cs="宋体"/>
                <w:color w:val="auto"/>
                <w:sz w:val="21"/>
                <w:lang w:val="en-US"/>
              </w:rPr>
              <w:t>（</w:t>
            </w:r>
            <w:r>
              <w:rPr>
                <w:rFonts w:hint="eastAsia"/>
                <w:bCs/>
                <w:color w:val="auto"/>
                <w:sz w:val="21"/>
              </w:rPr>
              <w:t>北京时间</w:t>
            </w:r>
            <w:r>
              <w:rPr>
                <w:rFonts w:hint="eastAsia"/>
                <w:bCs/>
                <w:color w:val="auto"/>
                <w:sz w:val="21"/>
                <w:lang w:val="en-US"/>
              </w:rPr>
              <w:t>）</w:t>
            </w:r>
            <w:r>
              <w:rPr>
                <w:rFonts w:hint="eastAsia"/>
                <w:bCs/>
                <w:color w:val="auto"/>
                <w:sz w:val="21"/>
              </w:rPr>
              <w:t>前</w:t>
            </w:r>
            <w:r>
              <w:rPr>
                <w:rFonts w:hint="eastAsia"/>
                <w:color w:val="auto"/>
                <w:sz w:val="21"/>
              </w:rPr>
              <w:t>递交投标文件。</w:t>
            </w:r>
          </w:p>
        </w:tc>
      </w:tr>
    </w:tbl>
    <w:p>
      <w:pPr>
        <w:pStyle w:val="95"/>
        <w:numPr>
          <w:ilvl w:val="0"/>
          <w:numId w:val="0"/>
        </w:numPr>
        <w:ind w:firstLine="420" w:firstLineChars="200"/>
        <w:jc w:val="left"/>
        <w:rPr>
          <w:rFonts w:hint="eastAsia"/>
          <w:color w:val="auto"/>
          <w:sz w:val="21"/>
          <w:szCs w:val="21"/>
        </w:rPr>
      </w:pPr>
      <w:r>
        <w:rPr>
          <w:rFonts w:hint="eastAsia"/>
          <w:color w:val="auto"/>
          <w:sz w:val="21"/>
          <w:szCs w:val="21"/>
          <w:lang w:val="en-US" w:eastAsia="zh-CN"/>
        </w:rPr>
        <w:t>一、</w:t>
      </w:r>
      <w:r>
        <w:rPr>
          <w:rFonts w:hint="eastAsia"/>
          <w:color w:val="auto"/>
          <w:sz w:val="21"/>
          <w:szCs w:val="21"/>
        </w:rPr>
        <w:t>项目基本情况</w:t>
      </w:r>
    </w:p>
    <w:p>
      <w:pPr>
        <w:rPr>
          <w:rFonts w:hint="eastAsia" w:eastAsia="宋体"/>
          <w:color w:val="auto"/>
          <w:szCs w:val="22"/>
          <w:lang w:eastAsia="zh-CN"/>
        </w:rPr>
      </w:pPr>
      <w:r>
        <w:rPr>
          <w:rFonts w:hint="eastAsia"/>
          <w:color w:val="auto"/>
          <w:szCs w:val="22"/>
        </w:rPr>
        <w:t>项目编号：</w:t>
      </w:r>
      <w:r>
        <w:rPr>
          <w:rFonts w:hint="eastAsia"/>
          <w:color w:val="auto"/>
          <w:lang w:eastAsia="zh-CN"/>
        </w:rPr>
        <w:t>CBZJ-20243006G（重发）</w:t>
      </w:r>
    </w:p>
    <w:p>
      <w:pPr>
        <w:rPr>
          <w:rFonts w:hint="eastAsia" w:eastAsia="宋体"/>
          <w:color w:val="auto"/>
          <w:lang w:eastAsia="zh-CN"/>
        </w:rPr>
      </w:pPr>
      <w:r>
        <w:rPr>
          <w:rFonts w:hint="eastAsia"/>
          <w:color w:val="auto"/>
        </w:rPr>
        <w:t>项目名称：</w:t>
      </w:r>
      <w:r>
        <w:rPr>
          <w:rFonts w:hint="eastAsia"/>
          <w:color w:val="auto"/>
          <w:lang w:eastAsia="zh-CN"/>
        </w:rPr>
        <w:t>象山县水务集团有限公司2024－2025年度漏损控制服务项目（重发）</w:t>
      </w:r>
    </w:p>
    <w:p>
      <w:pPr>
        <w:rPr>
          <w:color w:val="auto"/>
        </w:rPr>
      </w:pPr>
      <w:r>
        <w:rPr>
          <w:rFonts w:hint="eastAsia"/>
          <w:color w:val="auto"/>
        </w:rPr>
        <w:t>预算金额（元）：14313420</w:t>
      </w:r>
    </w:p>
    <w:p>
      <w:pPr>
        <w:rPr>
          <w:color w:val="auto"/>
        </w:rPr>
      </w:pPr>
      <w:r>
        <w:rPr>
          <w:rFonts w:hint="eastAsia"/>
          <w:color w:val="auto"/>
        </w:rPr>
        <w:t>最高限价（元）：13012000</w:t>
      </w:r>
    </w:p>
    <w:p>
      <w:pPr>
        <w:rPr>
          <w:color w:val="auto"/>
        </w:rPr>
      </w:pPr>
      <w:r>
        <w:rPr>
          <w:rFonts w:hint="eastAsia"/>
          <w:color w:val="auto"/>
        </w:rPr>
        <w:t>采购需求：</w:t>
      </w:r>
    </w:p>
    <w:p>
      <w:pPr>
        <w:rPr>
          <w:color w:val="auto"/>
        </w:rPr>
      </w:pPr>
      <w:r>
        <w:rPr>
          <w:rFonts w:hint="eastAsia"/>
          <w:color w:val="auto"/>
        </w:rPr>
        <w:t>标项名称：2024－2025年度漏损控制服务</w:t>
      </w:r>
    </w:p>
    <w:p>
      <w:pPr>
        <w:rPr>
          <w:color w:val="auto"/>
        </w:rPr>
      </w:pPr>
      <w:r>
        <w:rPr>
          <w:rFonts w:hint="eastAsia"/>
          <w:color w:val="auto"/>
        </w:rPr>
        <w:t>数量：1</w:t>
      </w:r>
    </w:p>
    <w:p>
      <w:pPr>
        <w:rPr>
          <w:color w:val="auto"/>
        </w:rPr>
      </w:pPr>
      <w:r>
        <w:rPr>
          <w:rFonts w:hint="eastAsia"/>
          <w:color w:val="auto"/>
        </w:rPr>
        <w:t>预算金额（元）：14313420</w:t>
      </w:r>
    </w:p>
    <w:p>
      <w:pPr>
        <w:rPr>
          <w:rFonts w:ascii="Arial" w:hAnsi="Arial"/>
          <w:color w:val="auto"/>
          <w:szCs w:val="22"/>
        </w:rPr>
      </w:pPr>
      <w:r>
        <w:rPr>
          <w:rFonts w:hint="eastAsia" w:ascii="Arial" w:hAnsi="Arial"/>
          <w:color w:val="auto"/>
          <w:szCs w:val="22"/>
        </w:rPr>
        <w:t>简要规格描述或项目基本概况介绍、用途：标项1，</w:t>
      </w:r>
      <w:r>
        <w:rPr>
          <w:color w:val="auto"/>
        </w:rPr>
        <w:t>象山县水务集团有限公司</w:t>
      </w:r>
      <w:r>
        <w:rPr>
          <w:rFonts w:hint="eastAsia"/>
          <w:color w:val="auto"/>
        </w:rPr>
        <w:t>下属</w:t>
      </w:r>
      <w:r>
        <w:rPr>
          <w:color w:val="auto"/>
        </w:rPr>
        <w:t>象山县第一</w:t>
      </w:r>
      <w:r>
        <w:rPr>
          <w:rFonts w:hint="eastAsia"/>
          <w:color w:val="auto"/>
        </w:rPr>
        <w:t>、</w:t>
      </w:r>
      <w:r>
        <w:rPr>
          <w:color w:val="auto"/>
        </w:rPr>
        <w:t>第二</w:t>
      </w:r>
      <w:r>
        <w:rPr>
          <w:rFonts w:hint="eastAsia"/>
          <w:color w:val="auto"/>
        </w:rPr>
        <w:t>、</w:t>
      </w:r>
      <w:r>
        <w:rPr>
          <w:color w:val="auto"/>
        </w:rPr>
        <w:t>第三自来水有限公司负责</w:t>
      </w:r>
      <w:r>
        <w:rPr>
          <w:rFonts w:hint="eastAsia"/>
          <w:color w:val="auto"/>
        </w:rPr>
        <w:t>象山县的</w:t>
      </w:r>
      <w:r>
        <w:rPr>
          <w:color w:val="auto"/>
        </w:rPr>
        <w:t>城乡制水</w:t>
      </w:r>
      <w:r>
        <w:rPr>
          <w:rFonts w:hint="eastAsia"/>
          <w:color w:val="auto"/>
        </w:rPr>
        <w:t>与</w:t>
      </w:r>
      <w:r>
        <w:rPr>
          <w:color w:val="auto"/>
        </w:rPr>
        <w:t>供水。</w:t>
      </w:r>
      <w:r>
        <w:rPr>
          <w:rFonts w:hint="eastAsia" w:ascii="宋体" w:hAnsi="宋体"/>
          <w:color w:val="auto"/>
        </w:rPr>
        <w:t>集团目前产销差率控制在12%，拟在2024年起启动为期两年的漏损控制服务项目建设，</w:t>
      </w:r>
      <w:r>
        <w:rPr>
          <w:rFonts w:hint="eastAsia"/>
          <w:color w:val="auto"/>
        </w:rPr>
        <w:t>目标在保持产销差率不反弹基础上，两年内把</w:t>
      </w:r>
      <w:r>
        <w:rPr>
          <w:rFonts w:hint="eastAsia" w:ascii="宋体" w:hAnsi="宋体"/>
          <w:color w:val="auto"/>
        </w:rPr>
        <w:t>产销差率进一步</w:t>
      </w:r>
      <w:r>
        <w:rPr>
          <w:rFonts w:hint="eastAsia"/>
          <w:color w:val="auto"/>
        </w:rPr>
        <w:t>下降至9.5%以内</w:t>
      </w:r>
      <w:r>
        <w:rPr>
          <w:rFonts w:hint="eastAsia" w:ascii="Arial" w:hAnsi="Arial"/>
          <w:color w:val="auto"/>
        </w:rPr>
        <w:t>。具体以采购文件第三部分采购需求为准，供应商可点击本公告下方“浏览采购文件”查看采购需求</w:t>
      </w:r>
      <w:r>
        <w:rPr>
          <w:rFonts w:hint="eastAsia" w:ascii="Arial" w:hAnsi="Arial"/>
          <w:color w:val="auto"/>
          <w:szCs w:val="22"/>
        </w:rPr>
        <w:t>。</w:t>
      </w:r>
    </w:p>
    <w:p>
      <w:pPr>
        <w:rPr>
          <w:rFonts w:hint="default" w:eastAsia="宋体"/>
          <w:color w:val="auto"/>
          <w:lang w:val="en-US" w:eastAsia="zh-CN"/>
        </w:rPr>
      </w:pPr>
      <w:r>
        <w:rPr>
          <w:rFonts w:hint="eastAsia"/>
          <w:color w:val="auto"/>
        </w:rPr>
        <w:t>备注：预算金额</w:t>
      </w:r>
      <w:r>
        <w:rPr>
          <w:rFonts w:hint="eastAsia"/>
          <w:color w:val="auto"/>
          <w:lang w:val="en-US" w:eastAsia="zh-CN"/>
        </w:rPr>
        <w:t>为两年金额。</w:t>
      </w:r>
    </w:p>
    <w:p>
      <w:pPr>
        <w:jc w:val="left"/>
        <w:rPr>
          <w:color w:val="auto"/>
          <w:szCs w:val="22"/>
        </w:rPr>
      </w:pPr>
      <w:r>
        <w:rPr>
          <w:rFonts w:hint="eastAsia"/>
          <w:color w:val="auto"/>
          <w:szCs w:val="22"/>
        </w:rPr>
        <w:t>合同履约期限：标项1，两年，</w:t>
      </w:r>
      <w:r>
        <w:rPr>
          <w:rFonts w:hint="eastAsia" w:cs="宋体"/>
          <w:bCs/>
          <w:color w:val="auto"/>
        </w:rPr>
        <w:t>合同</w:t>
      </w:r>
      <w:r>
        <w:rPr>
          <w:rFonts w:hint="eastAsia" w:cs="宋体"/>
          <w:b/>
          <w:color w:val="auto"/>
        </w:rPr>
        <w:t>一年一签</w:t>
      </w:r>
      <w:r>
        <w:rPr>
          <w:rFonts w:hint="eastAsia" w:cs="宋体"/>
          <w:bCs/>
          <w:color w:val="auto"/>
        </w:rPr>
        <w:t>。具体详见</w:t>
      </w:r>
      <w:r>
        <w:rPr>
          <w:rFonts w:hint="eastAsia"/>
          <w:color w:val="auto"/>
        </w:rPr>
        <w:t>采购文件第三部分采购需求</w:t>
      </w:r>
      <w:r>
        <w:rPr>
          <w:rFonts w:hint="eastAsia" w:cs="Arial"/>
          <w:bCs/>
          <w:color w:val="auto"/>
        </w:rPr>
        <w:t>。</w:t>
      </w:r>
    </w:p>
    <w:p>
      <w:pPr>
        <w:jc w:val="left"/>
        <w:rPr>
          <w:color w:val="auto"/>
        </w:rPr>
      </w:pPr>
      <w:r>
        <w:rPr>
          <w:rFonts w:hint="eastAsia"/>
          <w:color w:val="auto"/>
        </w:rPr>
        <w:t>本项目（否）接受联合体投标。</w:t>
      </w:r>
    </w:p>
    <w:p>
      <w:pPr>
        <w:pStyle w:val="95"/>
        <w:numPr>
          <w:numId w:val="0"/>
        </w:numPr>
        <w:ind w:firstLine="420" w:firstLineChars="200"/>
        <w:jc w:val="left"/>
        <w:rPr>
          <w:color w:val="auto"/>
          <w:sz w:val="21"/>
          <w:szCs w:val="21"/>
        </w:rPr>
      </w:pPr>
      <w:bookmarkStart w:id="12" w:name="_Hlk101132948"/>
      <w:r>
        <w:rPr>
          <w:rFonts w:ascii="Times New Roman" w:hAnsi="Times New Roman" w:eastAsia="宋体" w:cs="Times New Roman"/>
          <w:color w:val="auto"/>
          <w:kern w:val="2"/>
          <w:sz w:val="21"/>
          <w:szCs w:val="21"/>
          <w:lang w:val="en-US" w:eastAsia="zh-CN" w:bidi="ar-SA"/>
        </w:rPr>
        <w:t>二、</w:t>
      </w:r>
      <w:r>
        <w:rPr>
          <w:rFonts w:hint="eastAsia"/>
          <w:color w:val="auto"/>
          <w:sz w:val="21"/>
          <w:szCs w:val="21"/>
        </w:rPr>
        <w:t>申请人的资格要求</w:t>
      </w:r>
      <w:bookmarkEnd w:id="12"/>
      <w:r>
        <w:rPr>
          <w:rFonts w:hint="eastAsia"/>
          <w:color w:val="auto"/>
          <w:sz w:val="21"/>
          <w:szCs w:val="21"/>
        </w:rPr>
        <w:t>：</w:t>
      </w:r>
    </w:p>
    <w:p>
      <w:pPr>
        <w:pStyle w:val="100"/>
        <w:ind w:firstLine="420"/>
        <w:jc w:val="left"/>
        <w:rPr>
          <w:color w:val="auto"/>
          <w:sz w:val="21"/>
          <w:szCs w:val="21"/>
        </w:rPr>
      </w:pPr>
      <w:r>
        <w:rPr>
          <w:rFonts w:hint="eastAsia"/>
          <w:color w:val="auto"/>
          <w:sz w:val="21"/>
          <w:szCs w:val="21"/>
        </w:rPr>
        <w:t>满足《中华人民共和国政府采购法》第二十二条规定；未被“信用中国”（www.creditchina.gov.cn）、中国政府采购网（www.ccgp.gov.cn）列入失信被执行人、</w:t>
      </w:r>
      <w:r>
        <w:rPr>
          <w:rFonts w:hint="eastAsia"/>
          <w:color w:val="auto"/>
          <w:sz w:val="21"/>
          <w:szCs w:val="21"/>
          <w:lang w:eastAsia="zh-CN"/>
        </w:rPr>
        <w:t>重大税收违法案件当事人名单</w:t>
      </w:r>
      <w:r>
        <w:rPr>
          <w:rFonts w:hint="eastAsia"/>
          <w:color w:val="auto"/>
          <w:sz w:val="21"/>
          <w:szCs w:val="21"/>
        </w:rPr>
        <w:t>、政府采购严重违法失信行为记录名单。</w:t>
      </w:r>
    </w:p>
    <w:p>
      <w:pPr>
        <w:pStyle w:val="100"/>
        <w:ind w:firstLine="420"/>
        <w:jc w:val="left"/>
        <w:rPr>
          <w:color w:val="auto"/>
          <w:sz w:val="21"/>
          <w:szCs w:val="21"/>
        </w:rPr>
      </w:pPr>
      <w:r>
        <w:rPr>
          <w:rFonts w:hint="eastAsia"/>
          <w:color w:val="auto"/>
          <w:sz w:val="21"/>
          <w:szCs w:val="21"/>
        </w:rPr>
        <w:t>落实政府采购政策需满足的资格要求：标项1：本项目专门面向中小企业采购，供应商应为符合《政府采购促进中小企业发展管理办法》（财库﹝2020﹞46号）规定的中小企业（其中，小微企业包括视同为小型、微型企业的监狱企业、残疾人福利性单位。）。</w:t>
      </w:r>
    </w:p>
    <w:p>
      <w:pPr>
        <w:pStyle w:val="100"/>
        <w:ind w:firstLine="420"/>
        <w:jc w:val="left"/>
        <w:rPr>
          <w:color w:val="auto"/>
          <w:sz w:val="21"/>
          <w:szCs w:val="21"/>
        </w:rPr>
      </w:pPr>
      <w:r>
        <w:rPr>
          <w:rFonts w:hint="eastAsia"/>
          <w:color w:val="auto"/>
          <w:sz w:val="21"/>
          <w:szCs w:val="21"/>
        </w:rPr>
        <w:t>本项目的特定资格要求：标项1：无</w:t>
      </w:r>
    </w:p>
    <w:p>
      <w:pPr>
        <w:pStyle w:val="95"/>
        <w:numPr>
          <w:numId w:val="0"/>
        </w:numPr>
        <w:ind w:firstLine="420" w:firstLineChars="200"/>
        <w:jc w:val="left"/>
        <w:rPr>
          <w:color w:val="auto"/>
          <w:sz w:val="21"/>
          <w:szCs w:val="21"/>
        </w:rPr>
      </w:pPr>
      <w:r>
        <w:rPr>
          <w:rFonts w:ascii="Times New Roman" w:hAnsi="Times New Roman" w:eastAsia="宋体" w:cs="Times New Roman"/>
          <w:color w:val="auto"/>
          <w:kern w:val="2"/>
          <w:sz w:val="21"/>
          <w:szCs w:val="21"/>
          <w:lang w:val="en-US" w:eastAsia="zh-CN" w:bidi="ar-SA"/>
        </w:rPr>
        <w:t>三、</w:t>
      </w:r>
      <w:r>
        <w:rPr>
          <w:rFonts w:hint="eastAsia"/>
          <w:color w:val="auto"/>
          <w:sz w:val="21"/>
          <w:szCs w:val="21"/>
        </w:rPr>
        <w:t>获取（下载）采购文件</w:t>
      </w:r>
    </w:p>
    <w:p>
      <w:pPr>
        <w:jc w:val="left"/>
        <w:rPr>
          <w:color w:val="auto"/>
          <w:szCs w:val="21"/>
        </w:rPr>
      </w:pPr>
      <w:r>
        <w:rPr>
          <w:rFonts w:hint="eastAsia"/>
          <w:color w:val="auto"/>
          <w:szCs w:val="21"/>
        </w:rPr>
        <w:t>时间：2024年</w:t>
      </w:r>
      <w:r>
        <w:rPr>
          <w:rFonts w:hint="eastAsia"/>
          <w:color w:val="auto"/>
          <w:szCs w:val="21"/>
          <w:lang w:val="en-US" w:eastAsia="zh-CN"/>
        </w:rPr>
        <w:t>04</w:t>
      </w:r>
      <w:r>
        <w:rPr>
          <w:rFonts w:hint="eastAsia"/>
          <w:color w:val="auto"/>
          <w:szCs w:val="21"/>
        </w:rPr>
        <w:t>月</w:t>
      </w:r>
      <w:r>
        <w:rPr>
          <w:rFonts w:hint="eastAsia"/>
          <w:color w:val="auto"/>
          <w:szCs w:val="21"/>
          <w:lang w:val="en-US" w:eastAsia="zh-CN"/>
        </w:rPr>
        <w:t>24</w:t>
      </w:r>
      <w:r>
        <w:rPr>
          <w:rFonts w:hint="eastAsia"/>
          <w:color w:val="auto"/>
          <w:szCs w:val="21"/>
        </w:rPr>
        <w:t>日至2024年</w:t>
      </w:r>
      <w:r>
        <w:rPr>
          <w:rFonts w:hint="eastAsia"/>
          <w:color w:val="auto"/>
          <w:szCs w:val="21"/>
          <w:lang w:val="en-US" w:eastAsia="zh-CN"/>
        </w:rPr>
        <w:t>04</w:t>
      </w:r>
      <w:r>
        <w:rPr>
          <w:rFonts w:hint="eastAsia"/>
          <w:color w:val="auto"/>
          <w:szCs w:val="21"/>
        </w:rPr>
        <w:t>月</w:t>
      </w:r>
      <w:r>
        <w:rPr>
          <w:rFonts w:hint="eastAsia"/>
          <w:color w:val="auto"/>
          <w:szCs w:val="21"/>
          <w:lang w:val="en-US" w:eastAsia="zh-CN"/>
        </w:rPr>
        <w:t>30</w:t>
      </w:r>
      <w:r>
        <w:rPr>
          <w:rFonts w:hint="eastAsia"/>
          <w:color w:val="auto"/>
          <w:szCs w:val="21"/>
        </w:rPr>
        <w:t>日，每天上午00:00至12:00 ，下午12:00至23:59（北京时间，线上获取法定节假日均可，线下获取文件法定节假日除外）。</w:t>
      </w:r>
    </w:p>
    <w:p>
      <w:pPr>
        <w:jc w:val="left"/>
        <w:rPr>
          <w:color w:val="auto"/>
          <w:szCs w:val="21"/>
        </w:rPr>
      </w:pPr>
      <w:r>
        <w:rPr>
          <w:rFonts w:hint="eastAsia"/>
          <w:color w:val="auto"/>
          <w:szCs w:val="21"/>
        </w:rPr>
        <w:t>地点（网址）：政府采购云平台（www.zcygov.cn）</w:t>
      </w:r>
    </w:p>
    <w:p>
      <w:pPr>
        <w:jc w:val="left"/>
        <w:rPr>
          <w:color w:val="auto"/>
          <w:szCs w:val="21"/>
        </w:rPr>
      </w:pPr>
      <w:r>
        <w:rPr>
          <w:rFonts w:hint="eastAsia"/>
          <w:color w:val="auto"/>
          <w:szCs w:val="21"/>
        </w:rPr>
        <w:t>方式：（1）供应商登录政采云平台https://www.zcygov.cn/在线申请获取采购文件（进入“项目采购”应用，在获取采购文件菜单中选择项目，申请获取采购文件）。（2）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pPr>
        <w:jc w:val="left"/>
        <w:rPr>
          <w:color w:val="auto"/>
        </w:rPr>
      </w:pPr>
      <w:r>
        <w:rPr>
          <w:rFonts w:hint="eastAsia"/>
          <w:color w:val="auto"/>
        </w:rPr>
        <w:t>售价（元）：0</w:t>
      </w:r>
    </w:p>
    <w:p>
      <w:pPr>
        <w:pStyle w:val="95"/>
        <w:numPr>
          <w:numId w:val="0"/>
        </w:numPr>
        <w:ind w:firstLine="420" w:firstLineChars="200"/>
        <w:jc w:val="left"/>
        <w:rPr>
          <w:color w:val="auto"/>
          <w:sz w:val="21"/>
          <w:szCs w:val="21"/>
        </w:rPr>
      </w:pPr>
      <w:r>
        <w:rPr>
          <w:rFonts w:ascii="Times New Roman" w:hAnsi="Times New Roman" w:eastAsia="宋体" w:cs="Times New Roman"/>
          <w:color w:val="auto"/>
          <w:kern w:val="2"/>
          <w:sz w:val="21"/>
          <w:szCs w:val="21"/>
          <w:lang w:val="en-US" w:eastAsia="zh-CN" w:bidi="ar-SA"/>
        </w:rPr>
        <w:t>四、</w:t>
      </w:r>
      <w:r>
        <w:rPr>
          <w:rFonts w:hint="eastAsia"/>
          <w:color w:val="auto"/>
          <w:sz w:val="21"/>
          <w:szCs w:val="21"/>
        </w:rPr>
        <w:t>提交投标文件截止时间、开标时间和地点</w:t>
      </w:r>
    </w:p>
    <w:p>
      <w:pPr>
        <w:jc w:val="left"/>
        <w:rPr>
          <w:color w:val="auto"/>
          <w:szCs w:val="21"/>
        </w:rPr>
      </w:pPr>
      <w:r>
        <w:rPr>
          <w:rFonts w:hint="eastAsia"/>
          <w:color w:val="auto"/>
          <w:szCs w:val="21"/>
        </w:rPr>
        <w:t>提交投标文件截止时间：</w:t>
      </w:r>
      <w:r>
        <w:rPr>
          <w:rFonts w:hint="eastAsia" w:cs="宋体"/>
          <w:color w:val="auto"/>
          <w:sz w:val="21"/>
          <w:lang w:val="en-US"/>
        </w:rPr>
        <w:t>2024年</w:t>
      </w:r>
      <w:r>
        <w:rPr>
          <w:rFonts w:hint="eastAsia" w:cs="宋体"/>
          <w:color w:val="auto"/>
          <w:sz w:val="21"/>
          <w:lang w:val="en-US" w:eastAsia="zh-CN"/>
        </w:rPr>
        <w:t>05</w:t>
      </w:r>
      <w:r>
        <w:rPr>
          <w:rFonts w:hint="eastAsia" w:cs="宋体"/>
          <w:color w:val="auto"/>
          <w:sz w:val="21"/>
          <w:lang w:val="en-US"/>
        </w:rPr>
        <w:t>月</w:t>
      </w:r>
      <w:r>
        <w:rPr>
          <w:rFonts w:hint="eastAsia" w:cs="宋体"/>
          <w:color w:val="auto"/>
          <w:sz w:val="21"/>
          <w:lang w:val="en-US" w:eastAsia="zh-CN"/>
        </w:rPr>
        <w:t>15</w:t>
      </w:r>
      <w:r>
        <w:rPr>
          <w:rFonts w:hint="eastAsia" w:cs="宋体"/>
          <w:color w:val="auto"/>
          <w:sz w:val="21"/>
          <w:lang w:val="en-US"/>
        </w:rPr>
        <w:t>日</w:t>
      </w:r>
      <w:r>
        <w:rPr>
          <w:rFonts w:hint="eastAsia" w:cs="宋体"/>
          <w:color w:val="auto"/>
          <w:sz w:val="21"/>
          <w:lang w:val="en-US" w:eastAsia="zh-CN"/>
        </w:rPr>
        <w:t>14</w:t>
      </w:r>
      <w:r>
        <w:rPr>
          <w:rFonts w:hint="eastAsia" w:cs="宋体"/>
          <w:color w:val="auto"/>
          <w:sz w:val="21"/>
          <w:lang w:val="en-US"/>
        </w:rPr>
        <w:t>时</w:t>
      </w:r>
      <w:r>
        <w:rPr>
          <w:rFonts w:hint="eastAsia" w:cs="宋体"/>
          <w:color w:val="auto"/>
          <w:sz w:val="21"/>
          <w:lang w:val="en-US" w:eastAsia="zh-CN"/>
        </w:rPr>
        <w:t>3</w:t>
      </w:r>
      <w:r>
        <w:rPr>
          <w:rFonts w:hint="eastAsia" w:cs="宋体"/>
          <w:color w:val="auto"/>
          <w:sz w:val="21"/>
          <w:lang w:val="en-US"/>
        </w:rPr>
        <w:t>0分</w:t>
      </w:r>
      <w:r>
        <w:rPr>
          <w:rFonts w:hint="eastAsia"/>
          <w:color w:val="auto"/>
          <w:szCs w:val="21"/>
        </w:rPr>
        <w:t>（北京时间）</w:t>
      </w:r>
    </w:p>
    <w:p>
      <w:pPr>
        <w:jc w:val="left"/>
        <w:rPr>
          <w:color w:val="auto"/>
          <w:szCs w:val="21"/>
        </w:rPr>
      </w:pPr>
      <w:r>
        <w:rPr>
          <w:rFonts w:hint="eastAsia"/>
          <w:color w:val="auto"/>
          <w:szCs w:val="21"/>
        </w:rPr>
        <w:t>投标地点（网址）：政采云平台（https://www.zcygov.cn/）；</w:t>
      </w:r>
      <w:r>
        <w:rPr>
          <w:rFonts w:hint="eastAsia"/>
          <w:snapToGrid w:val="0"/>
          <w:color w:val="auto"/>
          <w:kern w:val="0"/>
          <w:szCs w:val="21"/>
        </w:rPr>
        <w:t>象山县公共资源交易中心四楼开标室【象山县象山港路300号】</w:t>
      </w:r>
      <w:r>
        <w:rPr>
          <w:rFonts w:hint="eastAsia"/>
          <w:color w:val="auto"/>
          <w:szCs w:val="21"/>
        </w:rPr>
        <w:t>。</w:t>
      </w:r>
    </w:p>
    <w:p>
      <w:pPr>
        <w:jc w:val="left"/>
        <w:rPr>
          <w:rFonts w:hint="eastAsia" w:cs="宋体"/>
          <w:color w:val="auto"/>
          <w:sz w:val="21"/>
          <w:lang w:val="en-US"/>
        </w:rPr>
      </w:pPr>
      <w:r>
        <w:rPr>
          <w:rFonts w:hint="eastAsia"/>
          <w:color w:val="auto"/>
          <w:szCs w:val="21"/>
        </w:rPr>
        <w:t>开标时间：</w:t>
      </w:r>
      <w:r>
        <w:rPr>
          <w:rFonts w:hint="eastAsia" w:cs="宋体"/>
          <w:color w:val="auto"/>
          <w:sz w:val="21"/>
          <w:lang w:val="en-US"/>
        </w:rPr>
        <w:t>2024年</w:t>
      </w:r>
      <w:r>
        <w:rPr>
          <w:rFonts w:hint="eastAsia" w:cs="宋体"/>
          <w:color w:val="auto"/>
          <w:sz w:val="21"/>
          <w:lang w:val="en-US" w:eastAsia="zh-CN"/>
        </w:rPr>
        <w:t>05</w:t>
      </w:r>
      <w:r>
        <w:rPr>
          <w:rFonts w:hint="eastAsia" w:cs="宋体"/>
          <w:color w:val="auto"/>
          <w:sz w:val="21"/>
          <w:lang w:val="en-US"/>
        </w:rPr>
        <w:t>月</w:t>
      </w:r>
      <w:r>
        <w:rPr>
          <w:rFonts w:hint="eastAsia" w:cs="宋体"/>
          <w:color w:val="auto"/>
          <w:sz w:val="21"/>
          <w:lang w:val="en-US" w:eastAsia="zh-CN"/>
        </w:rPr>
        <w:t>15</w:t>
      </w:r>
      <w:r>
        <w:rPr>
          <w:rFonts w:hint="eastAsia" w:cs="宋体"/>
          <w:color w:val="auto"/>
          <w:sz w:val="21"/>
          <w:lang w:val="en-US"/>
        </w:rPr>
        <w:t>日</w:t>
      </w:r>
      <w:r>
        <w:rPr>
          <w:rFonts w:hint="eastAsia" w:cs="宋体"/>
          <w:color w:val="auto"/>
          <w:sz w:val="21"/>
          <w:lang w:val="en-US" w:eastAsia="zh-CN"/>
        </w:rPr>
        <w:t>14</w:t>
      </w:r>
      <w:r>
        <w:rPr>
          <w:rFonts w:hint="eastAsia" w:cs="宋体"/>
          <w:color w:val="auto"/>
          <w:sz w:val="21"/>
          <w:lang w:val="en-US"/>
        </w:rPr>
        <w:t>时</w:t>
      </w:r>
      <w:r>
        <w:rPr>
          <w:rFonts w:hint="eastAsia" w:cs="宋体"/>
          <w:color w:val="auto"/>
          <w:sz w:val="21"/>
          <w:lang w:val="en-US" w:eastAsia="zh-CN"/>
        </w:rPr>
        <w:t>3</w:t>
      </w:r>
      <w:r>
        <w:rPr>
          <w:rFonts w:hint="eastAsia" w:cs="宋体"/>
          <w:color w:val="auto"/>
          <w:sz w:val="21"/>
          <w:lang w:val="en-US"/>
        </w:rPr>
        <w:t>0分</w:t>
      </w:r>
    </w:p>
    <w:p>
      <w:pPr>
        <w:jc w:val="left"/>
        <w:rPr>
          <w:color w:val="auto"/>
          <w:szCs w:val="21"/>
        </w:rPr>
      </w:pPr>
      <w:r>
        <w:rPr>
          <w:rFonts w:hint="eastAsia"/>
          <w:color w:val="auto"/>
          <w:szCs w:val="21"/>
        </w:rPr>
        <w:t>开标地点（网址）：政采云平台（https://www.zcygov.cn/）；</w:t>
      </w:r>
      <w:r>
        <w:rPr>
          <w:rFonts w:hint="eastAsia"/>
          <w:snapToGrid w:val="0"/>
          <w:color w:val="auto"/>
          <w:kern w:val="0"/>
          <w:szCs w:val="21"/>
        </w:rPr>
        <w:t>象山县公共资源交易中心四楼开标室【象山县象山港路300号】</w:t>
      </w:r>
      <w:r>
        <w:rPr>
          <w:rFonts w:hint="eastAsia"/>
          <w:color w:val="auto"/>
          <w:szCs w:val="21"/>
        </w:rPr>
        <w:t>。</w:t>
      </w:r>
    </w:p>
    <w:p>
      <w:pPr>
        <w:pStyle w:val="95"/>
        <w:numPr>
          <w:numId w:val="0"/>
        </w:numPr>
        <w:ind w:firstLine="420" w:firstLineChars="200"/>
        <w:jc w:val="left"/>
        <w:rPr>
          <w:color w:val="auto"/>
          <w:sz w:val="21"/>
          <w:szCs w:val="21"/>
        </w:rPr>
      </w:pPr>
      <w:r>
        <w:rPr>
          <w:rFonts w:ascii="Times New Roman" w:hAnsi="Times New Roman" w:eastAsia="宋体" w:cs="Times New Roman"/>
          <w:color w:val="auto"/>
          <w:kern w:val="2"/>
          <w:sz w:val="21"/>
          <w:szCs w:val="21"/>
          <w:lang w:val="en-US" w:eastAsia="zh-CN" w:bidi="ar-SA"/>
        </w:rPr>
        <w:t>五、</w:t>
      </w:r>
      <w:r>
        <w:rPr>
          <w:rFonts w:hint="eastAsia"/>
          <w:color w:val="auto"/>
          <w:sz w:val="21"/>
          <w:szCs w:val="21"/>
        </w:rPr>
        <w:t>公告期限</w:t>
      </w:r>
    </w:p>
    <w:p>
      <w:pPr>
        <w:jc w:val="left"/>
        <w:rPr>
          <w:color w:val="auto"/>
          <w:szCs w:val="21"/>
        </w:rPr>
      </w:pPr>
      <w:r>
        <w:rPr>
          <w:rFonts w:hint="eastAsia"/>
          <w:color w:val="auto"/>
          <w:szCs w:val="21"/>
        </w:rPr>
        <w:t>自本公告发布之日起5个工作日。</w:t>
      </w:r>
    </w:p>
    <w:p>
      <w:pPr>
        <w:pStyle w:val="95"/>
        <w:numPr>
          <w:numId w:val="0"/>
        </w:numPr>
        <w:ind w:firstLine="420" w:firstLineChars="200"/>
        <w:jc w:val="left"/>
        <w:rPr>
          <w:color w:val="auto"/>
          <w:sz w:val="21"/>
          <w:szCs w:val="21"/>
        </w:rPr>
      </w:pPr>
      <w:r>
        <w:rPr>
          <w:rFonts w:ascii="Times New Roman" w:hAnsi="Times New Roman" w:eastAsia="宋体" w:cs="Times New Roman"/>
          <w:color w:val="auto"/>
          <w:kern w:val="2"/>
          <w:sz w:val="21"/>
          <w:szCs w:val="21"/>
          <w:lang w:val="en-US" w:eastAsia="zh-CN" w:bidi="ar-SA"/>
        </w:rPr>
        <w:t>六、</w:t>
      </w:r>
      <w:r>
        <w:rPr>
          <w:rFonts w:hint="eastAsia"/>
          <w:color w:val="auto"/>
          <w:sz w:val="21"/>
          <w:szCs w:val="21"/>
        </w:rPr>
        <w:t>其他补充事宜</w:t>
      </w:r>
    </w:p>
    <w:p>
      <w:pPr>
        <w:pStyle w:val="235"/>
        <w:numPr>
          <w:ilvl w:val="0"/>
          <w:numId w:val="4"/>
        </w:numPr>
        <w:ind w:firstLineChars="0"/>
        <w:jc w:val="left"/>
        <w:rPr>
          <w:color w:val="auto"/>
          <w:szCs w:val="21"/>
        </w:rPr>
      </w:pPr>
      <w:r>
        <w:rPr>
          <w:rFonts w:hint="eastAsia"/>
          <w:color w:val="auto"/>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35"/>
        <w:numPr>
          <w:ilvl w:val="0"/>
          <w:numId w:val="4"/>
        </w:numPr>
        <w:ind w:firstLineChars="0"/>
        <w:jc w:val="left"/>
        <w:rPr>
          <w:color w:val="auto"/>
          <w:szCs w:val="21"/>
        </w:rPr>
      </w:pPr>
      <w:r>
        <w:rPr>
          <w:rFonts w:hint="eastAsia"/>
          <w:color w:val="auto"/>
          <w:szCs w:val="21"/>
        </w:rPr>
        <w:t>其他事项：</w:t>
      </w:r>
      <w:r>
        <w:rPr>
          <w:color w:val="auto"/>
          <w:szCs w:val="21"/>
        </w:rPr>
        <w:t>（</w:t>
      </w:r>
      <w:r>
        <w:rPr>
          <w:rFonts w:hint="eastAsia"/>
          <w:color w:val="auto"/>
          <w:szCs w:val="21"/>
        </w:rPr>
        <w:t>1</w:t>
      </w:r>
      <w:r>
        <w:rPr>
          <w:color w:val="auto"/>
          <w:szCs w:val="21"/>
        </w:rPr>
        <w:t>）本项目执行促进中小企业发展（监狱企业、残疾人福利性单位视同小型、微型企业）政策。</w:t>
      </w:r>
      <w:r>
        <w:rPr>
          <w:b/>
          <w:bCs/>
          <w:color w:val="auto"/>
          <w:szCs w:val="21"/>
        </w:rPr>
        <w:t>（2）单位负责人为同一人或者存在直接控股、管理关系的不同供应商，不得同时参加同一合同项下的投标。为项目提供整体设计、规范编制或者项目管理、监理、检测等服务的供应商，不得再参加该采购项目的其他采购活动。</w:t>
      </w:r>
      <w:r>
        <w:rPr>
          <w:rFonts w:hint="eastAsia"/>
          <w:color w:val="auto"/>
          <w:szCs w:val="21"/>
        </w:rPr>
        <w:t>（3）</w:t>
      </w:r>
      <w:r>
        <w:rPr>
          <w:color w:val="auto"/>
          <w:szCs w:val="21"/>
        </w:rPr>
        <w:t>本次政府采购活动有关信息在浙江政府采购网公布，视同送达所有潜在</w:t>
      </w:r>
      <w:r>
        <w:rPr>
          <w:rFonts w:hint="eastAsia"/>
          <w:color w:val="auto"/>
          <w:szCs w:val="21"/>
        </w:rPr>
        <w:t>供应商</w:t>
      </w:r>
      <w:r>
        <w:rPr>
          <w:color w:val="auto"/>
          <w:szCs w:val="21"/>
        </w:rPr>
        <w:t>。（4）电子招投标有关事项说明：</w:t>
      </w:r>
      <w:r>
        <w:rPr>
          <w:rFonts w:hint="eastAsia"/>
          <w:color w:val="auto"/>
          <w:szCs w:val="21"/>
        </w:rPr>
        <w:t>①</w:t>
      </w:r>
      <w:r>
        <w:rPr>
          <w:color w:val="auto"/>
          <w:szCs w:val="21"/>
        </w:rPr>
        <w:t>本项目通过“浙江政府采购网-政府采购云平台（http://zfcg.czt.zj.gov.cn）”实行电子投标，供应商须安装客户端软件，并按照采购文件和电子交易平台的要求制作投标文件。客户端软件下载方式：供应商可通过“浙江政府采购网-下载专区-电子交易客户端”进行下载。</w:t>
      </w:r>
      <w:r>
        <w:rPr>
          <w:rFonts w:hint="eastAsia"/>
          <w:color w:val="auto"/>
          <w:szCs w:val="21"/>
        </w:rPr>
        <w:t>②</w:t>
      </w:r>
      <w:r>
        <w:rPr>
          <w:color w:val="auto"/>
          <w:szCs w:val="21"/>
        </w:rPr>
        <w:t>供应商须申领CA，CA申领及相关操作可参考“浙江政府采购网-下载专区-电子交易客户端-CA驱动和申领流程”。供应商在进行上述操作时，如遇技术问题可致电</w:t>
      </w:r>
      <w:r>
        <w:rPr>
          <w:rFonts w:hint="eastAsia"/>
          <w:color w:val="auto"/>
          <w:szCs w:val="21"/>
        </w:rPr>
        <w:t>95763</w:t>
      </w:r>
      <w:r>
        <w:rPr>
          <w:color w:val="auto"/>
          <w:szCs w:val="21"/>
        </w:rPr>
        <w:t>进行咨询。</w:t>
      </w:r>
      <w:r>
        <w:rPr>
          <w:rFonts w:hint="eastAsia"/>
          <w:color w:val="auto"/>
          <w:szCs w:val="21"/>
        </w:rPr>
        <w:t>③</w:t>
      </w:r>
      <w:r>
        <w:rPr>
          <w:color w:val="auto"/>
          <w:szCs w:val="21"/>
        </w:rPr>
        <w:t>供应商应于提交投标文件截止时间前将电子加密投标文件上传到浙江政府采购网-政府采购云平台，未上传电子加密投标文件，视为供应商放弃投标。</w:t>
      </w:r>
      <w:r>
        <w:rPr>
          <w:rFonts w:hint="eastAsia"/>
          <w:color w:val="auto"/>
          <w:szCs w:val="21"/>
        </w:rPr>
        <w:t>④</w:t>
      </w:r>
      <w:r>
        <w:rPr>
          <w:color w:val="auto"/>
          <w:szCs w:val="21"/>
        </w:rPr>
        <w:t>供应商在“浙江政府采购网-政府采购云平台”完成“电子加密投标文件”的上传递交之外，还可以（邮寄形式或派人现场</w:t>
      </w:r>
      <w:r>
        <w:rPr>
          <w:rFonts w:hint="eastAsia"/>
          <w:color w:val="auto"/>
          <w:szCs w:val="21"/>
        </w:rPr>
        <w:t>递</w:t>
      </w:r>
      <w:r>
        <w:rPr>
          <w:color w:val="auto"/>
          <w:szCs w:val="21"/>
        </w:rPr>
        <w:t>交，以</w:t>
      </w:r>
      <w:r>
        <w:rPr>
          <w:rFonts w:hint="eastAsia"/>
          <w:color w:val="auto"/>
          <w:szCs w:val="21"/>
        </w:rPr>
        <w:t>采购代理机构</w:t>
      </w:r>
      <w:r>
        <w:rPr>
          <w:color w:val="auto"/>
          <w:szCs w:val="21"/>
        </w:rPr>
        <w:t>联系人签收时间为准）在投标截止时间前提交以介质（U盘）存储的数据电文形式的“电子备份投标文件”。</w:t>
      </w:r>
      <w:r>
        <w:rPr>
          <w:rFonts w:hint="eastAsia"/>
          <w:color w:val="auto"/>
          <w:szCs w:val="21"/>
        </w:rPr>
        <w:t>⑤采购代理机构将在采购文件规定的时间通过政府采购云平台组织开标、开启投标文件，所有供应商均应准时在线参加。开标时间后30分钟内，供应商可以登录政府采购云平台（www.zcygov.cn），用“项目采购-开标评标”功能进行解密投标文件。⑥如因系统或部分供应商的电子投标文件无法解密，满足3家及以上的，则正常开标，无法解密电子投标文件的供应商视为放弃投标；不足3家的，则重新组织招标。如因系统原因导致供应商的电子投标文件均无法解密的，则开标时间延期。（5）因信用中国网站中“重大税收违法案件当事人名单”已调整为“重大税收违法失信主体”，但政采云系统自动生成的仍为“重大税收违法案件当事人名单”，故查询的内容以“重大税收违法失信主体”为准。</w:t>
      </w:r>
    </w:p>
    <w:p>
      <w:pPr>
        <w:pStyle w:val="95"/>
        <w:numPr>
          <w:numId w:val="0"/>
        </w:numPr>
        <w:ind w:firstLine="420" w:firstLineChars="200"/>
        <w:jc w:val="left"/>
        <w:rPr>
          <w:color w:val="auto"/>
          <w:sz w:val="21"/>
          <w:szCs w:val="21"/>
        </w:rPr>
      </w:pPr>
      <w:r>
        <w:rPr>
          <w:rFonts w:ascii="Times New Roman" w:hAnsi="Times New Roman" w:eastAsia="宋体" w:cs="Times New Roman"/>
          <w:color w:val="auto"/>
          <w:kern w:val="2"/>
          <w:sz w:val="21"/>
          <w:szCs w:val="21"/>
          <w:lang w:val="en-US" w:eastAsia="zh-CN" w:bidi="ar-SA"/>
        </w:rPr>
        <w:t>七、</w:t>
      </w:r>
      <w:r>
        <w:rPr>
          <w:rFonts w:hint="eastAsia"/>
          <w:color w:val="auto"/>
          <w:sz w:val="21"/>
          <w:szCs w:val="21"/>
        </w:rPr>
        <w:t>对本次采购提出询问、质疑、投诉，请按以下方式联系</w:t>
      </w:r>
    </w:p>
    <w:p>
      <w:pPr>
        <w:pStyle w:val="235"/>
        <w:numPr>
          <w:ilvl w:val="0"/>
          <w:numId w:val="5"/>
        </w:numPr>
        <w:ind w:firstLineChars="0"/>
        <w:jc w:val="left"/>
        <w:rPr>
          <w:color w:val="auto"/>
          <w:szCs w:val="21"/>
        </w:rPr>
      </w:pPr>
      <w:r>
        <w:rPr>
          <w:rFonts w:hint="eastAsia"/>
          <w:color w:val="auto"/>
          <w:szCs w:val="21"/>
        </w:rPr>
        <w:t>采购人信息</w:t>
      </w:r>
    </w:p>
    <w:p>
      <w:pPr>
        <w:jc w:val="left"/>
        <w:rPr>
          <w:color w:val="auto"/>
          <w:szCs w:val="21"/>
        </w:rPr>
      </w:pPr>
      <w:r>
        <w:rPr>
          <w:rFonts w:hint="eastAsia"/>
          <w:color w:val="auto"/>
          <w:szCs w:val="21"/>
        </w:rPr>
        <w:t>名称：象山县水务集团有限公司</w:t>
      </w:r>
    </w:p>
    <w:p>
      <w:pPr>
        <w:jc w:val="left"/>
        <w:rPr>
          <w:color w:val="auto"/>
          <w:szCs w:val="21"/>
        </w:rPr>
      </w:pPr>
      <w:r>
        <w:rPr>
          <w:rFonts w:hint="eastAsia"/>
          <w:color w:val="auto"/>
          <w:szCs w:val="21"/>
        </w:rPr>
        <w:t>地址：</w:t>
      </w:r>
      <w:r>
        <w:rPr>
          <w:rFonts w:hint="eastAsia"/>
          <w:snapToGrid w:val="0"/>
          <w:color w:val="auto"/>
          <w:szCs w:val="21"/>
        </w:rPr>
        <w:t>象山县丹东街道育才路176号</w:t>
      </w:r>
    </w:p>
    <w:p>
      <w:pPr>
        <w:jc w:val="left"/>
        <w:rPr>
          <w:color w:val="auto"/>
          <w:szCs w:val="21"/>
        </w:rPr>
      </w:pPr>
      <w:r>
        <w:rPr>
          <w:rFonts w:hint="eastAsia"/>
          <w:color w:val="auto"/>
          <w:szCs w:val="21"/>
        </w:rPr>
        <w:t>传真：/</w:t>
      </w:r>
    </w:p>
    <w:p>
      <w:pPr>
        <w:jc w:val="left"/>
        <w:rPr>
          <w:color w:val="auto"/>
          <w:szCs w:val="21"/>
        </w:rPr>
      </w:pPr>
      <w:r>
        <w:rPr>
          <w:rFonts w:hint="eastAsia"/>
          <w:color w:val="auto"/>
          <w:szCs w:val="21"/>
        </w:rPr>
        <w:t>项目联系人（询问）：</w:t>
      </w:r>
      <w:r>
        <w:rPr>
          <w:rFonts w:hint="eastAsia"/>
          <w:snapToGrid w:val="0"/>
          <w:color w:val="auto"/>
          <w:kern w:val="0"/>
          <w:szCs w:val="21"/>
        </w:rPr>
        <w:t>毛老师</w:t>
      </w:r>
    </w:p>
    <w:p>
      <w:pPr>
        <w:jc w:val="left"/>
        <w:rPr>
          <w:color w:val="auto"/>
          <w:szCs w:val="21"/>
        </w:rPr>
      </w:pPr>
      <w:r>
        <w:rPr>
          <w:rFonts w:hint="eastAsia"/>
          <w:color w:val="auto"/>
          <w:szCs w:val="21"/>
        </w:rPr>
        <w:t>项目联系方式（询问）：0574-89526885</w:t>
      </w:r>
    </w:p>
    <w:p>
      <w:pPr>
        <w:jc w:val="left"/>
        <w:rPr>
          <w:color w:val="auto"/>
          <w:szCs w:val="21"/>
        </w:rPr>
      </w:pPr>
      <w:r>
        <w:rPr>
          <w:rFonts w:hint="eastAsia"/>
          <w:color w:val="auto"/>
          <w:szCs w:val="21"/>
        </w:rPr>
        <w:t>质疑联系人：</w:t>
      </w:r>
      <w:r>
        <w:rPr>
          <w:rFonts w:hint="eastAsia"/>
          <w:snapToGrid w:val="0"/>
          <w:color w:val="auto"/>
          <w:kern w:val="0"/>
          <w:szCs w:val="21"/>
        </w:rPr>
        <w:t>罗部长</w:t>
      </w:r>
    </w:p>
    <w:p>
      <w:pPr>
        <w:jc w:val="left"/>
        <w:rPr>
          <w:color w:val="auto"/>
          <w:szCs w:val="21"/>
        </w:rPr>
      </w:pPr>
      <w:r>
        <w:rPr>
          <w:rFonts w:hint="eastAsia"/>
          <w:color w:val="auto"/>
          <w:szCs w:val="21"/>
        </w:rPr>
        <w:t>质疑联系方式：0574-89526886</w:t>
      </w:r>
    </w:p>
    <w:p>
      <w:pPr>
        <w:pStyle w:val="235"/>
        <w:numPr>
          <w:ilvl w:val="0"/>
          <w:numId w:val="5"/>
        </w:numPr>
        <w:ind w:firstLineChars="0"/>
        <w:jc w:val="left"/>
        <w:rPr>
          <w:color w:val="auto"/>
          <w:szCs w:val="21"/>
        </w:rPr>
      </w:pPr>
      <w:r>
        <w:rPr>
          <w:rFonts w:hint="eastAsia"/>
          <w:color w:val="auto"/>
          <w:szCs w:val="21"/>
        </w:rPr>
        <w:t>采购代理机构信息</w:t>
      </w:r>
    </w:p>
    <w:p>
      <w:pPr>
        <w:jc w:val="left"/>
        <w:rPr>
          <w:color w:val="auto"/>
          <w:szCs w:val="21"/>
        </w:rPr>
      </w:pPr>
      <w:r>
        <w:rPr>
          <w:rFonts w:hint="eastAsia"/>
          <w:color w:val="auto"/>
          <w:szCs w:val="21"/>
        </w:rPr>
        <w:t>名称：浙江中基正采管理咨询有限公司</w:t>
      </w:r>
    </w:p>
    <w:p>
      <w:pPr>
        <w:jc w:val="left"/>
        <w:rPr>
          <w:color w:val="auto"/>
          <w:szCs w:val="21"/>
        </w:rPr>
      </w:pPr>
      <w:r>
        <w:rPr>
          <w:rFonts w:hint="eastAsia"/>
          <w:color w:val="auto"/>
          <w:szCs w:val="21"/>
        </w:rPr>
        <w:t>地址：宁波市鄞州区天童南路 666 号中基大厦19楼</w:t>
      </w:r>
    </w:p>
    <w:p>
      <w:pPr>
        <w:jc w:val="left"/>
        <w:rPr>
          <w:color w:val="auto"/>
          <w:szCs w:val="21"/>
        </w:rPr>
      </w:pPr>
      <w:r>
        <w:rPr>
          <w:rFonts w:hint="eastAsia"/>
          <w:color w:val="auto"/>
          <w:szCs w:val="21"/>
        </w:rPr>
        <w:t>传真：/</w:t>
      </w:r>
    </w:p>
    <w:p>
      <w:pPr>
        <w:jc w:val="left"/>
        <w:rPr>
          <w:color w:val="auto"/>
          <w:szCs w:val="21"/>
        </w:rPr>
      </w:pPr>
      <w:r>
        <w:rPr>
          <w:rFonts w:hint="eastAsia"/>
          <w:color w:val="auto"/>
          <w:szCs w:val="21"/>
        </w:rPr>
        <w:t>项目联系人（询问）：陈露、徐军、张龙锋、叶旭锴</w:t>
      </w:r>
    </w:p>
    <w:p>
      <w:pPr>
        <w:jc w:val="left"/>
        <w:rPr>
          <w:color w:val="auto"/>
          <w:szCs w:val="21"/>
        </w:rPr>
      </w:pPr>
      <w:r>
        <w:rPr>
          <w:rFonts w:hint="eastAsia"/>
          <w:color w:val="auto"/>
          <w:szCs w:val="21"/>
        </w:rPr>
        <w:t>项目联系方式（询问）：0574-87425370、88090336</w:t>
      </w:r>
    </w:p>
    <w:p>
      <w:pPr>
        <w:jc w:val="left"/>
        <w:rPr>
          <w:color w:val="auto"/>
          <w:szCs w:val="21"/>
        </w:rPr>
      </w:pPr>
      <w:r>
        <w:rPr>
          <w:rFonts w:hint="eastAsia"/>
          <w:color w:val="auto"/>
          <w:szCs w:val="21"/>
        </w:rPr>
        <w:t>质疑联系人：</w:t>
      </w:r>
      <w:r>
        <w:rPr>
          <w:rFonts w:hint="eastAsia"/>
          <w:snapToGrid w:val="0"/>
          <w:color w:val="auto"/>
          <w:kern w:val="0"/>
          <w:szCs w:val="21"/>
        </w:rPr>
        <w:t>王燕</w:t>
      </w:r>
      <w:bookmarkStart w:id="466" w:name="_GoBack"/>
      <w:bookmarkEnd w:id="466"/>
    </w:p>
    <w:p>
      <w:pPr>
        <w:jc w:val="left"/>
        <w:rPr>
          <w:color w:val="auto"/>
          <w:szCs w:val="21"/>
        </w:rPr>
      </w:pPr>
      <w:r>
        <w:rPr>
          <w:rFonts w:hint="eastAsia"/>
          <w:color w:val="auto"/>
          <w:szCs w:val="21"/>
        </w:rPr>
        <w:t>质疑联系方式：</w:t>
      </w:r>
      <w:r>
        <w:rPr>
          <w:rFonts w:hint="eastAsia"/>
          <w:snapToGrid w:val="0"/>
          <w:color w:val="auto"/>
          <w:szCs w:val="21"/>
        </w:rPr>
        <w:t>0574-8</w:t>
      </w:r>
      <w:r>
        <w:rPr>
          <w:snapToGrid w:val="0"/>
          <w:color w:val="auto"/>
          <w:szCs w:val="21"/>
        </w:rPr>
        <w:t>7425370</w:t>
      </w:r>
    </w:p>
    <w:p>
      <w:pPr>
        <w:jc w:val="left"/>
        <w:rPr>
          <w:rFonts w:hint="eastAsia"/>
          <w:color w:val="auto"/>
          <w:szCs w:val="21"/>
        </w:rPr>
      </w:pPr>
      <w:r>
        <w:rPr>
          <w:rFonts w:hint="eastAsia"/>
          <w:color w:val="auto"/>
          <w:szCs w:val="21"/>
        </w:rPr>
        <w:t>3.同级政府采购监督管理部门</w:t>
      </w:r>
    </w:p>
    <w:p>
      <w:pPr>
        <w:jc w:val="left"/>
        <w:rPr>
          <w:rFonts w:hint="eastAsia"/>
          <w:color w:val="auto"/>
          <w:szCs w:val="21"/>
        </w:rPr>
      </w:pPr>
      <w:r>
        <w:rPr>
          <w:rFonts w:hint="eastAsia"/>
          <w:color w:val="auto"/>
          <w:szCs w:val="21"/>
        </w:rPr>
        <w:t>名称：象山县政府采购管理办公室</w:t>
      </w:r>
    </w:p>
    <w:p>
      <w:pPr>
        <w:jc w:val="left"/>
        <w:rPr>
          <w:rFonts w:hint="eastAsia"/>
          <w:color w:val="auto"/>
          <w:szCs w:val="21"/>
        </w:rPr>
      </w:pPr>
      <w:r>
        <w:rPr>
          <w:rFonts w:hint="eastAsia"/>
          <w:color w:val="auto"/>
          <w:szCs w:val="21"/>
        </w:rPr>
        <w:t>地址：象山县丹西街道丹峰西路163号</w:t>
      </w:r>
    </w:p>
    <w:p>
      <w:pPr>
        <w:jc w:val="left"/>
        <w:rPr>
          <w:rFonts w:hint="eastAsia"/>
          <w:color w:val="auto"/>
          <w:szCs w:val="21"/>
        </w:rPr>
      </w:pPr>
      <w:r>
        <w:rPr>
          <w:rFonts w:hint="eastAsia"/>
          <w:color w:val="auto"/>
          <w:szCs w:val="21"/>
        </w:rPr>
        <w:t>传真：/</w:t>
      </w:r>
    </w:p>
    <w:p>
      <w:pPr>
        <w:jc w:val="left"/>
        <w:rPr>
          <w:rFonts w:hint="eastAsia"/>
          <w:color w:val="auto"/>
          <w:szCs w:val="21"/>
        </w:rPr>
      </w:pPr>
      <w:r>
        <w:rPr>
          <w:rFonts w:hint="eastAsia"/>
          <w:color w:val="auto"/>
          <w:szCs w:val="21"/>
        </w:rPr>
        <w:t>联系人：林老师</w:t>
      </w:r>
    </w:p>
    <w:p>
      <w:pPr>
        <w:jc w:val="left"/>
        <w:rPr>
          <w:rFonts w:hint="eastAsia"/>
          <w:color w:val="auto"/>
          <w:szCs w:val="21"/>
        </w:rPr>
      </w:pPr>
      <w:r>
        <w:rPr>
          <w:rFonts w:hint="eastAsia"/>
          <w:color w:val="auto"/>
          <w:szCs w:val="21"/>
        </w:rPr>
        <w:t>监督投诉电话：0574-65753557</w:t>
      </w:r>
    </w:p>
    <w:p>
      <w:pPr>
        <w:jc w:val="left"/>
        <w:rPr>
          <w:rFonts w:hint="eastAsia"/>
          <w:color w:val="auto"/>
          <w:szCs w:val="21"/>
        </w:rPr>
      </w:pPr>
      <w:r>
        <w:rPr>
          <w:rFonts w:hint="eastAsia"/>
          <w:color w:val="auto"/>
          <w:szCs w:val="21"/>
        </w:rPr>
        <w:t>若对项目采购电子交易系统操作有疑问，可登录政采云（https://www.zcygov.cn/），点击右侧咨询小采，获取采小蜜智能服务管家帮助，或拨打政采云服务热线95763获取热线服务帮助。</w:t>
      </w:r>
    </w:p>
    <w:p>
      <w:pPr>
        <w:jc w:val="left"/>
        <w:rPr>
          <w:color w:val="auto"/>
          <w:szCs w:val="21"/>
        </w:rPr>
      </w:pPr>
      <w:r>
        <w:rPr>
          <w:rFonts w:hint="eastAsia"/>
          <w:color w:val="auto"/>
          <w:szCs w:val="21"/>
        </w:rPr>
        <w:t>CA问题联系电话（人工）：汇信CA 400-888-4636；天谷CA 400-087-8198。</w:t>
      </w:r>
    </w:p>
    <w:p>
      <w:pPr>
        <w:jc w:val="center"/>
        <w:rPr>
          <w:color w:val="auto"/>
        </w:rPr>
      </w:pPr>
      <w:r>
        <w:rPr>
          <w:rFonts w:hint="eastAsia"/>
          <w:color w:val="auto"/>
        </w:rPr>
        <w:br w:type="page"/>
      </w:r>
      <w:bookmarkStart w:id="13" w:name="_Toc26266"/>
      <w:r>
        <w:rPr>
          <w:rStyle w:val="47"/>
          <w:rFonts w:hint="eastAsia" w:ascii="Arial" w:hAnsi="Arial"/>
          <w:color w:val="auto"/>
          <w:sz w:val="36"/>
          <w:szCs w:val="36"/>
        </w:rPr>
        <w:t>第二部分</w:t>
      </w:r>
      <w:bookmarkEnd w:id="7"/>
      <w:r>
        <w:rPr>
          <w:rStyle w:val="47"/>
          <w:rFonts w:hint="eastAsia" w:ascii="Arial" w:hAnsi="Arial"/>
          <w:color w:val="auto"/>
          <w:sz w:val="36"/>
          <w:szCs w:val="36"/>
        </w:rPr>
        <w:t>供应商须知</w:t>
      </w:r>
      <w:bookmarkEnd w:id="8"/>
      <w:bookmarkEnd w:id="11"/>
      <w:bookmarkEnd w:id="13"/>
    </w:p>
    <w:p>
      <w:pPr>
        <w:rPr>
          <w:color w:val="auto"/>
        </w:rPr>
      </w:pPr>
      <w:bookmarkStart w:id="14" w:name="_Toc5988"/>
      <w:bookmarkStart w:id="15" w:name="_Toc374"/>
      <w:bookmarkStart w:id="16" w:name="_Toc12762"/>
      <w:r>
        <w:rPr>
          <w:rFonts w:hint="eastAsia"/>
          <w:color w:val="auto"/>
        </w:rPr>
        <w:t>前附表</w:t>
      </w:r>
      <w:bookmarkEnd w:id="14"/>
      <w:bookmarkEnd w:id="15"/>
      <w:bookmarkEnd w:id="16"/>
    </w:p>
    <w:tbl>
      <w:tblPr>
        <w:tblStyle w:val="37"/>
        <w:tblW w:w="102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180"/>
        <w:gridCol w:w="7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1" w:type="dxa"/>
            <w:vAlign w:val="center"/>
          </w:tcPr>
          <w:p>
            <w:pPr>
              <w:spacing w:line="240" w:lineRule="auto"/>
              <w:ind w:firstLine="0" w:firstLineChars="0"/>
              <w:jc w:val="center"/>
              <w:rPr>
                <w:color w:val="auto"/>
              </w:rPr>
            </w:pPr>
            <w:r>
              <w:rPr>
                <w:rFonts w:hint="eastAsia"/>
                <w:color w:val="auto"/>
              </w:rPr>
              <w:t>序号</w:t>
            </w:r>
          </w:p>
        </w:tc>
        <w:tc>
          <w:tcPr>
            <w:tcW w:w="2180" w:type="dxa"/>
            <w:vAlign w:val="center"/>
          </w:tcPr>
          <w:p>
            <w:pPr>
              <w:spacing w:line="240" w:lineRule="auto"/>
              <w:ind w:firstLine="0" w:firstLineChars="0"/>
              <w:jc w:val="center"/>
              <w:rPr>
                <w:color w:val="auto"/>
              </w:rPr>
            </w:pPr>
            <w:r>
              <w:rPr>
                <w:rFonts w:hint="eastAsia"/>
                <w:color w:val="auto"/>
              </w:rPr>
              <w:t>事项</w:t>
            </w:r>
          </w:p>
        </w:tc>
        <w:tc>
          <w:tcPr>
            <w:tcW w:w="7349" w:type="dxa"/>
            <w:vAlign w:val="center"/>
          </w:tcPr>
          <w:p>
            <w:pPr>
              <w:spacing w:line="240" w:lineRule="auto"/>
              <w:ind w:firstLine="0" w:firstLineChars="0"/>
              <w:jc w:val="center"/>
              <w:rPr>
                <w:color w:val="auto"/>
              </w:rPr>
            </w:pPr>
            <w:r>
              <w:rPr>
                <w:rFonts w:hint="eastAsia"/>
                <w:color w:val="auto"/>
              </w:rPr>
              <w:t>本项目的特别规定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Align w:val="center"/>
          </w:tcPr>
          <w:p>
            <w:pPr>
              <w:spacing w:line="240" w:lineRule="auto"/>
              <w:ind w:firstLine="0" w:firstLineChars="0"/>
              <w:jc w:val="center"/>
              <w:rPr>
                <w:color w:val="auto"/>
              </w:rPr>
            </w:pPr>
            <w:r>
              <w:rPr>
                <w:rFonts w:hint="eastAsia"/>
                <w:color w:val="auto"/>
              </w:rPr>
              <w:t>1</w:t>
            </w:r>
          </w:p>
        </w:tc>
        <w:tc>
          <w:tcPr>
            <w:tcW w:w="2180" w:type="dxa"/>
            <w:vAlign w:val="center"/>
          </w:tcPr>
          <w:p>
            <w:pPr>
              <w:spacing w:line="240" w:lineRule="auto"/>
              <w:ind w:firstLine="0" w:firstLineChars="0"/>
              <w:jc w:val="center"/>
              <w:rPr>
                <w:color w:val="auto"/>
              </w:rPr>
            </w:pPr>
            <w:r>
              <w:rPr>
                <w:rFonts w:hint="eastAsia"/>
                <w:color w:val="auto"/>
              </w:rPr>
              <w:t>项目属性</w:t>
            </w:r>
          </w:p>
        </w:tc>
        <w:tc>
          <w:tcPr>
            <w:tcW w:w="7349" w:type="dxa"/>
            <w:vAlign w:val="center"/>
          </w:tcPr>
          <w:p>
            <w:pPr>
              <w:spacing w:line="240" w:lineRule="auto"/>
              <w:ind w:firstLine="0" w:firstLineChars="0"/>
              <w:jc w:val="left"/>
              <w:rPr>
                <w:color w:val="auto"/>
              </w:rPr>
            </w:pPr>
            <w:r>
              <w:rPr>
                <w:rFonts w:hint="eastAsia"/>
                <w:color w:val="auto"/>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2</w:t>
            </w:r>
          </w:p>
        </w:tc>
        <w:tc>
          <w:tcPr>
            <w:tcW w:w="2180" w:type="dxa"/>
            <w:vAlign w:val="center"/>
          </w:tcPr>
          <w:p>
            <w:pPr>
              <w:spacing w:line="400" w:lineRule="exact"/>
              <w:ind w:firstLine="0" w:firstLineChars="0"/>
              <w:jc w:val="center"/>
              <w:rPr>
                <w:color w:val="auto"/>
              </w:rPr>
            </w:pPr>
            <w:r>
              <w:rPr>
                <w:rFonts w:hint="eastAsia"/>
                <w:color w:val="auto"/>
              </w:rPr>
              <w:t>采购标的及其对应的中小企业划分标准所属行业</w:t>
            </w:r>
          </w:p>
        </w:tc>
        <w:tc>
          <w:tcPr>
            <w:tcW w:w="7349" w:type="dxa"/>
            <w:vAlign w:val="center"/>
          </w:tcPr>
          <w:p>
            <w:pPr>
              <w:spacing w:line="400" w:lineRule="exact"/>
              <w:ind w:firstLine="0" w:firstLineChars="0"/>
              <w:jc w:val="left"/>
              <w:rPr>
                <w:color w:val="auto"/>
              </w:rPr>
            </w:pPr>
            <w:r>
              <w:rPr>
                <w:rFonts w:hint="eastAsia"/>
                <w:color w:val="auto"/>
              </w:rPr>
              <w:t>（1）标的：</w:t>
            </w:r>
            <w:r>
              <w:rPr>
                <w:rFonts w:hint="eastAsia"/>
                <w:color w:val="auto"/>
                <w:u w:val="single"/>
              </w:rPr>
              <w:t>2024－2025年度漏损控制服务</w:t>
            </w:r>
            <w:r>
              <w:rPr>
                <w:rFonts w:hint="eastAsia"/>
                <w:color w:val="auto"/>
              </w:rPr>
              <w:t>，属于</w:t>
            </w:r>
            <w:r>
              <w:rPr>
                <w:rFonts w:hint="eastAsia"/>
                <w:color w:val="auto"/>
                <w:u w:val="single"/>
              </w:rPr>
              <w:t>其他未列明</w:t>
            </w:r>
            <w:r>
              <w:rPr>
                <w:rFonts w:hint="eastAsia"/>
                <w:color w:val="auto"/>
              </w:rPr>
              <w:t>行业；注：其他未列明行业规模：从业人员300人以下为中小微型企业。其中，从业人员100人及以上的为中型企业；从业人员10人及以上的为小型企业；从业人员10人以下的为微型企业。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3</w:t>
            </w:r>
          </w:p>
        </w:tc>
        <w:tc>
          <w:tcPr>
            <w:tcW w:w="2180" w:type="dxa"/>
            <w:vAlign w:val="center"/>
          </w:tcPr>
          <w:p>
            <w:pPr>
              <w:spacing w:line="400" w:lineRule="exact"/>
              <w:ind w:firstLine="0" w:firstLineChars="0"/>
              <w:jc w:val="center"/>
              <w:rPr>
                <w:color w:val="auto"/>
              </w:rPr>
            </w:pPr>
            <w:r>
              <w:rPr>
                <w:rFonts w:hint="eastAsia"/>
                <w:color w:val="auto"/>
              </w:rPr>
              <w:t>是否允许采购进口产品</w:t>
            </w:r>
          </w:p>
        </w:tc>
        <w:tc>
          <w:tcPr>
            <w:tcW w:w="7349" w:type="dxa"/>
            <w:vAlign w:val="center"/>
          </w:tcPr>
          <w:p>
            <w:pPr>
              <w:spacing w:line="400" w:lineRule="exact"/>
              <w:ind w:firstLine="0" w:firstLineChars="0"/>
              <w:jc w:val="left"/>
              <w:rPr>
                <w:color w:val="auto"/>
              </w:rPr>
            </w:pPr>
            <w:r>
              <w:rPr>
                <w:rFonts w:hint="eastAsia"/>
                <w:color w:val="auto"/>
              </w:rPr>
              <w:t>■本项目不允许采购进口产品。</w:t>
            </w:r>
          </w:p>
          <w:p>
            <w:pPr>
              <w:spacing w:line="400" w:lineRule="exact"/>
              <w:ind w:firstLine="0" w:firstLineChars="0"/>
              <w:jc w:val="left"/>
              <w:rPr>
                <w:color w:val="auto"/>
              </w:rPr>
            </w:pPr>
            <w:r>
              <w:rPr>
                <w:rFonts w:hint="eastAsia"/>
                <w:color w:val="auto"/>
              </w:rPr>
              <w:t>□可以就采购进口产品。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4</w:t>
            </w:r>
          </w:p>
        </w:tc>
        <w:tc>
          <w:tcPr>
            <w:tcW w:w="2180" w:type="dxa"/>
            <w:vAlign w:val="center"/>
          </w:tcPr>
          <w:p>
            <w:pPr>
              <w:spacing w:line="400" w:lineRule="exact"/>
              <w:ind w:firstLine="0" w:firstLineChars="0"/>
              <w:jc w:val="center"/>
              <w:rPr>
                <w:color w:val="auto"/>
              </w:rPr>
            </w:pPr>
            <w:r>
              <w:rPr>
                <w:rFonts w:hint="eastAsia"/>
                <w:color w:val="auto"/>
              </w:rPr>
              <w:t>分包</w:t>
            </w:r>
          </w:p>
        </w:tc>
        <w:tc>
          <w:tcPr>
            <w:tcW w:w="7349" w:type="dxa"/>
            <w:vAlign w:val="center"/>
          </w:tcPr>
          <w:p>
            <w:pPr>
              <w:spacing w:line="400" w:lineRule="exact"/>
              <w:ind w:firstLine="0" w:firstLineChars="0"/>
              <w:jc w:val="left"/>
              <w:rPr>
                <w:color w:val="auto"/>
              </w:rPr>
            </w:pPr>
            <w:r>
              <w:rPr>
                <w:rFonts w:hint="eastAsia"/>
                <w:color w:val="auto"/>
              </w:rPr>
              <w:t>□同意将非主体、非关键性的工作分包。</w:t>
            </w:r>
          </w:p>
          <w:p>
            <w:pPr>
              <w:spacing w:line="400" w:lineRule="exact"/>
              <w:ind w:firstLine="0" w:firstLineChars="0"/>
              <w:jc w:val="left"/>
              <w:rPr>
                <w:color w:val="auto"/>
              </w:rPr>
            </w:pPr>
            <w:r>
              <w:rPr>
                <w:rFonts w:hint="eastAsia"/>
                <w:color w:val="auto"/>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5</w:t>
            </w:r>
          </w:p>
        </w:tc>
        <w:tc>
          <w:tcPr>
            <w:tcW w:w="2180" w:type="dxa"/>
            <w:vAlign w:val="center"/>
          </w:tcPr>
          <w:p>
            <w:pPr>
              <w:spacing w:line="400" w:lineRule="exact"/>
              <w:ind w:firstLine="0" w:firstLineChars="0"/>
              <w:jc w:val="center"/>
              <w:rPr>
                <w:color w:val="auto"/>
              </w:rPr>
            </w:pPr>
            <w:r>
              <w:rPr>
                <w:rFonts w:hint="eastAsia"/>
                <w:color w:val="auto"/>
              </w:rPr>
              <w:t>开标前答疑会或现场考察</w:t>
            </w:r>
          </w:p>
        </w:tc>
        <w:tc>
          <w:tcPr>
            <w:tcW w:w="7349" w:type="dxa"/>
            <w:vAlign w:val="center"/>
          </w:tcPr>
          <w:p>
            <w:pPr>
              <w:spacing w:line="400" w:lineRule="exact"/>
              <w:ind w:firstLine="0" w:firstLineChars="0"/>
              <w:jc w:val="left"/>
              <w:rPr>
                <w:color w:val="auto"/>
              </w:rPr>
            </w:pPr>
            <w:r>
              <w:rPr>
                <w:rFonts w:hint="eastAsia"/>
                <w:color w:val="auto"/>
              </w:rPr>
              <w:t>■不组织。</w:t>
            </w:r>
          </w:p>
          <w:p>
            <w:pPr>
              <w:spacing w:line="400" w:lineRule="exact"/>
              <w:ind w:firstLine="0" w:firstLineChars="0"/>
              <w:jc w:val="left"/>
              <w:rPr>
                <w:color w:val="auto"/>
              </w:rPr>
            </w:pPr>
            <w:r>
              <w:rPr>
                <w:rFonts w:hint="eastAsia"/>
                <w:color w:val="auto"/>
              </w:rPr>
              <w:t>□组织，时间：,地点：，联系人：，联系方式：。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6</w:t>
            </w:r>
          </w:p>
        </w:tc>
        <w:tc>
          <w:tcPr>
            <w:tcW w:w="2180" w:type="dxa"/>
            <w:vAlign w:val="center"/>
          </w:tcPr>
          <w:p>
            <w:pPr>
              <w:spacing w:line="400" w:lineRule="exact"/>
              <w:ind w:firstLine="0" w:firstLineChars="0"/>
              <w:jc w:val="center"/>
              <w:rPr>
                <w:color w:val="auto"/>
              </w:rPr>
            </w:pPr>
            <w:r>
              <w:rPr>
                <w:rFonts w:hint="eastAsia"/>
                <w:color w:val="auto"/>
              </w:rPr>
              <w:t>样品提供</w:t>
            </w:r>
          </w:p>
        </w:tc>
        <w:tc>
          <w:tcPr>
            <w:tcW w:w="7349" w:type="dxa"/>
            <w:vAlign w:val="center"/>
          </w:tcPr>
          <w:p>
            <w:pPr>
              <w:spacing w:line="400" w:lineRule="exact"/>
              <w:ind w:firstLine="0" w:firstLineChars="0"/>
              <w:jc w:val="left"/>
              <w:rPr>
                <w:color w:val="auto"/>
              </w:rPr>
            </w:pPr>
            <w:r>
              <w:rPr>
                <w:rFonts w:hint="eastAsia"/>
                <w:color w:val="auto"/>
              </w:rPr>
              <w:t>■不要求提供。</w:t>
            </w:r>
          </w:p>
          <w:p>
            <w:pPr>
              <w:spacing w:line="400" w:lineRule="exact"/>
              <w:ind w:firstLine="0" w:firstLineChars="0"/>
              <w:jc w:val="left"/>
              <w:rPr>
                <w:color w:val="auto"/>
              </w:rPr>
            </w:pPr>
            <w:r>
              <w:rPr>
                <w:rFonts w:hint="eastAsia"/>
                <w:color w:val="auto"/>
              </w:rPr>
              <w:t>□要求提供，</w:t>
            </w:r>
          </w:p>
          <w:p>
            <w:pPr>
              <w:spacing w:line="400" w:lineRule="exact"/>
              <w:ind w:firstLine="0" w:firstLineChars="0"/>
              <w:jc w:val="left"/>
              <w:rPr>
                <w:color w:val="auto"/>
              </w:rPr>
            </w:pPr>
            <w:r>
              <w:rPr>
                <w:rFonts w:hint="eastAsia"/>
                <w:color w:val="auto"/>
              </w:rPr>
              <w:t>（1）样品：；</w:t>
            </w:r>
          </w:p>
          <w:p>
            <w:pPr>
              <w:spacing w:line="400" w:lineRule="exact"/>
              <w:ind w:firstLine="0" w:firstLineChars="0"/>
              <w:jc w:val="left"/>
              <w:rPr>
                <w:color w:val="auto"/>
              </w:rPr>
            </w:pPr>
            <w:r>
              <w:rPr>
                <w:rFonts w:hint="eastAsia"/>
                <w:color w:val="auto"/>
              </w:rPr>
              <w:t>（2）样品制作的标准和要求：；</w:t>
            </w:r>
          </w:p>
          <w:p>
            <w:pPr>
              <w:spacing w:line="400" w:lineRule="exact"/>
              <w:ind w:firstLine="0" w:firstLineChars="0"/>
              <w:jc w:val="left"/>
              <w:rPr>
                <w:color w:val="auto"/>
              </w:rPr>
            </w:pPr>
            <w:r>
              <w:rPr>
                <w:rFonts w:hint="eastAsia"/>
                <w:color w:val="auto"/>
              </w:rPr>
              <w:t>（3）样品的评审方法以及评审标准：详见评标办法；</w:t>
            </w:r>
          </w:p>
          <w:p>
            <w:pPr>
              <w:spacing w:line="400" w:lineRule="exact"/>
              <w:ind w:firstLine="0" w:firstLineChars="0"/>
              <w:jc w:val="left"/>
              <w:rPr>
                <w:color w:val="auto"/>
              </w:rPr>
            </w:pPr>
            <w:r>
              <w:rPr>
                <w:rFonts w:hint="eastAsia"/>
                <w:color w:val="auto"/>
              </w:rPr>
              <w:t>（4）是否需要随样品提交检测报告：☐否；☐是，检测机构的要求：；检测内容：。</w:t>
            </w:r>
          </w:p>
          <w:p>
            <w:pPr>
              <w:spacing w:line="400" w:lineRule="exact"/>
              <w:ind w:firstLine="0" w:firstLineChars="0"/>
              <w:jc w:val="left"/>
              <w:rPr>
                <w:color w:val="auto"/>
              </w:rPr>
            </w:pPr>
            <w:r>
              <w:rPr>
                <w:rFonts w:hint="eastAsia"/>
                <w:color w:val="auto"/>
              </w:rPr>
              <w:t>（5）提供样品的时间：；地点：；联系人：，联系电话：。请供应商在上述时间内提供样品并按规定位置安装完毕。超过截止时间的，采购人或采购代理机构将不予接收，并将清场并封闭样品现场。</w:t>
            </w:r>
          </w:p>
          <w:p>
            <w:pPr>
              <w:spacing w:line="400" w:lineRule="exact"/>
              <w:ind w:firstLine="0" w:firstLineChars="0"/>
              <w:jc w:val="left"/>
              <w:rPr>
                <w:color w:val="auto"/>
              </w:rPr>
            </w:pPr>
            <w:r>
              <w:rPr>
                <w:rFonts w:hint="eastAsia"/>
                <w:color w:val="auto"/>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400" w:lineRule="exact"/>
              <w:ind w:firstLine="0" w:firstLineChars="0"/>
              <w:jc w:val="left"/>
              <w:rPr>
                <w:color w:val="auto"/>
              </w:rPr>
            </w:pPr>
            <w:r>
              <w:rPr>
                <w:rFonts w:hint="eastAsia"/>
                <w:color w:val="auto"/>
              </w:rPr>
              <w:t>（7）制作、运输、安装和保管样品所发生的一切费用由供应商自理。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7</w:t>
            </w:r>
          </w:p>
        </w:tc>
        <w:tc>
          <w:tcPr>
            <w:tcW w:w="2180" w:type="dxa"/>
            <w:vAlign w:val="center"/>
          </w:tcPr>
          <w:p>
            <w:pPr>
              <w:spacing w:line="400" w:lineRule="exact"/>
              <w:ind w:firstLine="0" w:firstLineChars="0"/>
              <w:jc w:val="center"/>
              <w:rPr>
                <w:color w:val="auto"/>
              </w:rPr>
            </w:pPr>
            <w:r>
              <w:rPr>
                <w:rFonts w:hint="eastAsia"/>
                <w:color w:val="auto"/>
              </w:rPr>
              <w:t>方案讲解演示</w:t>
            </w:r>
          </w:p>
        </w:tc>
        <w:tc>
          <w:tcPr>
            <w:tcW w:w="7349" w:type="dxa"/>
            <w:vAlign w:val="center"/>
          </w:tcPr>
          <w:p>
            <w:pPr>
              <w:spacing w:line="400" w:lineRule="exact"/>
              <w:ind w:firstLine="0" w:firstLineChars="0"/>
              <w:jc w:val="left"/>
              <w:rPr>
                <w:color w:val="auto"/>
              </w:rPr>
            </w:pPr>
            <w:r>
              <w:rPr>
                <w:rFonts w:hint="eastAsia"/>
                <w:color w:val="auto"/>
              </w:rPr>
              <w:t>■不组织。</w:t>
            </w:r>
          </w:p>
          <w:p>
            <w:pPr>
              <w:spacing w:line="400" w:lineRule="exact"/>
              <w:ind w:firstLine="0" w:firstLineChars="0"/>
              <w:jc w:val="left"/>
              <w:rPr>
                <w:color w:val="auto"/>
              </w:rPr>
            </w:pPr>
            <w:r>
              <w:rPr>
                <w:rFonts w:hint="eastAsia"/>
                <w:color w:val="auto"/>
              </w:rPr>
              <w:t>□组织。</w:t>
            </w:r>
          </w:p>
          <w:p>
            <w:pPr>
              <w:spacing w:line="400" w:lineRule="exact"/>
              <w:ind w:firstLine="0" w:firstLineChars="0"/>
              <w:jc w:val="left"/>
              <w:rPr>
                <w:color w:val="auto"/>
              </w:rPr>
            </w:pPr>
            <w:r>
              <w:rPr>
                <w:rFonts w:hint="eastAsia"/>
                <w:color w:val="auto"/>
              </w:rPr>
              <w:t>（1）在评标时安排每个供应商进行方案讲解演示。每个供应商时间不超过/分钟，讲解次序以投标文件解密时间先后次序为准。讲解演示结束后按要求解答评标委员会提问。</w:t>
            </w:r>
          </w:p>
          <w:p>
            <w:pPr>
              <w:spacing w:line="400" w:lineRule="exact"/>
              <w:ind w:firstLine="0" w:firstLineChars="0"/>
              <w:jc w:val="left"/>
              <w:rPr>
                <w:color w:val="auto"/>
              </w:rPr>
            </w:pPr>
            <w:r>
              <w:rPr>
                <w:rFonts w:hint="eastAsia"/>
                <w:color w:val="auto"/>
              </w:rPr>
              <w:t>（2）方案讲解演示可选择以下其中一种方式：</w:t>
            </w:r>
          </w:p>
          <w:p>
            <w:pPr>
              <w:spacing w:line="400" w:lineRule="exact"/>
              <w:ind w:firstLine="0" w:firstLineChars="0"/>
              <w:jc w:val="left"/>
              <w:rPr>
                <w:color w:val="auto"/>
              </w:rPr>
            </w:pPr>
            <w:r>
              <w:rPr>
                <w:rFonts w:hint="eastAsia"/>
                <w:color w:val="auto"/>
              </w:rPr>
              <w:t>方式一：政采云平台在线讲解演示。政采云平台在线讲解需供应商根据政采云平台操作要求做好准备工作，提前完善软硬件配置环境。</w:t>
            </w:r>
          </w:p>
          <w:p>
            <w:pPr>
              <w:spacing w:line="400" w:lineRule="exact"/>
              <w:ind w:firstLine="0" w:firstLineChars="0"/>
              <w:jc w:val="left"/>
              <w:rPr>
                <w:color w:val="auto"/>
              </w:rPr>
            </w:pPr>
            <w:r>
              <w:rPr>
                <w:rFonts w:hint="eastAsia"/>
                <w:color w:val="auto"/>
              </w:rPr>
              <w:t>方式二：评标现场讲解演示。现场讲解地点为/，讲解演示所用电脑等设备由供应商自备。现场讲解演示人员进场时提供讲解人员名单（加盖公章或授权代表签名）及身份证明，否则不得讲解演示。</w:t>
            </w:r>
          </w:p>
          <w:p>
            <w:pPr>
              <w:spacing w:line="400" w:lineRule="exact"/>
              <w:ind w:firstLine="0" w:firstLineChars="0"/>
              <w:jc w:val="left"/>
              <w:rPr>
                <w:color w:val="auto"/>
                <w:lang w:val="zh-CN"/>
              </w:rPr>
            </w:pPr>
            <w:r>
              <w:rPr>
                <w:rFonts w:hint="eastAsia"/>
                <w:color w:val="auto"/>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spacing w:line="400" w:lineRule="exact"/>
              <w:ind w:firstLine="0" w:firstLineChars="0"/>
              <w:jc w:val="center"/>
              <w:rPr>
                <w:color w:val="auto"/>
              </w:rPr>
            </w:pPr>
            <w:r>
              <w:rPr>
                <w:rFonts w:hint="eastAsia"/>
                <w:color w:val="auto"/>
              </w:rPr>
              <w:t>8</w:t>
            </w:r>
          </w:p>
        </w:tc>
        <w:tc>
          <w:tcPr>
            <w:tcW w:w="2180" w:type="dxa"/>
            <w:vAlign w:val="center"/>
          </w:tcPr>
          <w:p>
            <w:pPr>
              <w:spacing w:line="400" w:lineRule="exact"/>
              <w:ind w:firstLine="0" w:firstLineChars="0"/>
              <w:jc w:val="center"/>
              <w:rPr>
                <w:color w:val="auto"/>
              </w:rPr>
            </w:pPr>
            <w:r>
              <w:rPr>
                <w:rFonts w:hint="eastAsia"/>
                <w:color w:val="auto"/>
              </w:rPr>
              <w:t>供应商应当提供的资格证明文件</w:t>
            </w:r>
          </w:p>
        </w:tc>
        <w:tc>
          <w:tcPr>
            <w:tcW w:w="7349" w:type="dxa"/>
            <w:vAlign w:val="center"/>
          </w:tcPr>
          <w:p>
            <w:pPr>
              <w:spacing w:line="400" w:lineRule="exact"/>
              <w:ind w:firstLine="0" w:firstLineChars="0"/>
              <w:jc w:val="left"/>
              <w:rPr>
                <w:color w:val="auto"/>
              </w:rPr>
            </w:pPr>
            <w:r>
              <w:rPr>
                <w:rFonts w:hint="eastAsia"/>
                <w:color w:val="auto"/>
              </w:rPr>
              <w:t>（1）资格证明文件：详见采购文件第二部分供应商须知第11款。</w:t>
            </w:r>
          </w:p>
          <w:p>
            <w:pPr>
              <w:spacing w:line="400" w:lineRule="exact"/>
              <w:ind w:firstLine="0" w:firstLineChars="0"/>
              <w:jc w:val="left"/>
              <w:rPr>
                <w:color w:val="auto"/>
              </w:rPr>
            </w:pPr>
            <w:r>
              <w:rPr>
                <w:rFonts w:hint="eastAsia"/>
                <w:color w:val="auto"/>
                <w:lang w:val="zh-CN"/>
              </w:rPr>
              <w:t>供应商未提供有效的资格证明文件的，视为供应商不具备采购文件中规定的资格要求，投标无效。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vAlign w:val="center"/>
          </w:tcPr>
          <w:p>
            <w:pPr>
              <w:spacing w:line="400" w:lineRule="exact"/>
              <w:ind w:firstLine="0" w:firstLineChars="0"/>
              <w:jc w:val="center"/>
              <w:rPr>
                <w:color w:val="auto"/>
              </w:rPr>
            </w:pPr>
          </w:p>
        </w:tc>
        <w:tc>
          <w:tcPr>
            <w:tcW w:w="2180" w:type="dxa"/>
            <w:vAlign w:val="center"/>
          </w:tcPr>
          <w:p>
            <w:pPr>
              <w:spacing w:line="240" w:lineRule="auto"/>
              <w:ind w:firstLine="0" w:firstLineChars="0"/>
              <w:jc w:val="center"/>
              <w:rPr>
                <w:color w:val="auto"/>
              </w:rPr>
            </w:pPr>
            <w:r>
              <w:rPr>
                <w:rFonts w:hint="eastAsia"/>
                <w:color w:val="auto"/>
              </w:rPr>
              <w:t>资信证明文件</w:t>
            </w:r>
          </w:p>
        </w:tc>
        <w:tc>
          <w:tcPr>
            <w:tcW w:w="7349" w:type="dxa"/>
            <w:vAlign w:val="center"/>
          </w:tcPr>
          <w:p>
            <w:pPr>
              <w:spacing w:line="240" w:lineRule="auto"/>
              <w:ind w:firstLine="0" w:firstLineChars="0"/>
              <w:jc w:val="left"/>
              <w:rPr>
                <w:color w:val="auto"/>
              </w:rPr>
            </w:pPr>
            <w:r>
              <w:rPr>
                <w:rFonts w:hint="eastAsia"/>
                <w:color w:val="auto"/>
              </w:rPr>
              <w:t>（2）资信证明文件：根据采购文件第四部分评标办法提供。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9</w:t>
            </w:r>
          </w:p>
        </w:tc>
        <w:tc>
          <w:tcPr>
            <w:tcW w:w="2180" w:type="dxa"/>
            <w:vAlign w:val="center"/>
          </w:tcPr>
          <w:p>
            <w:pPr>
              <w:spacing w:line="400" w:lineRule="exact"/>
              <w:ind w:firstLine="0" w:firstLineChars="0"/>
              <w:jc w:val="center"/>
              <w:rPr>
                <w:color w:val="auto"/>
              </w:rPr>
            </w:pPr>
            <w:r>
              <w:rPr>
                <w:rFonts w:hint="eastAsia"/>
                <w:color w:val="auto"/>
              </w:rPr>
              <w:t>节能产品、环境标志产品</w:t>
            </w:r>
          </w:p>
        </w:tc>
        <w:tc>
          <w:tcPr>
            <w:tcW w:w="7349" w:type="dxa"/>
            <w:vAlign w:val="center"/>
          </w:tcPr>
          <w:p>
            <w:pPr>
              <w:spacing w:line="400" w:lineRule="exact"/>
              <w:ind w:firstLine="0" w:firstLineChars="0"/>
              <w:jc w:val="left"/>
              <w:rPr>
                <w:color w:val="auto"/>
              </w:rPr>
            </w:pPr>
            <w:r>
              <w:rPr>
                <w:rFonts w:hint="eastAsia"/>
                <w:color w:val="auto"/>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10</w:t>
            </w:r>
          </w:p>
        </w:tc>
        <w:tc>
          <w:tcPr>
            <w:tcW w:w="2180" w:type="dxa"/>
            <w:vAlign w:val="center"/>
          </w:tcPr>
          <w:p>
            <w:pPr>
              <w:spacing w:line="400" w:lineRule="exact"/>
              <w:ind w:firstLine="0" w:firstLineChars="0"/>
              <w:jc w:val="center"/>
              <w:rPr>
                <w:color w:val="auto"/>
              </w:rPr>
            </w:pPr>
            <w:r>
              <w:rPr>
                <w:rFonts w:hint="eastAsia"/>
                <w:color w:val="auto"/>
              </w:rPr>
              <w:t>报价要求</w:t>
            </w:r>
          </w:p>
        </w:tc>
        <w:tc>
          <w:tcPr>
            <w:tcW w:w="7349" w:type="dxa"/>
            <w:vAlign w:val="center"/>
          </w:tcPr>
          <w:p>
            <w:pPr>
              <w:spacing w:line="400" w:lineRule="exact"/>
              <w:ind w:firstLine="0" w:firstLineChars="0"/>
              <w:jc w:val="left"/>
              <w:rPr>
                <w:color w:val="auto"/>
                <w:lang w:val="zh-CN"/>
              </w:rPr>
            </w:pPr>
            <w:r>
              <w:rPr>
                <w:rFonts w:hint="eastAsia"/>
                <w:color w:val="auto"/>
              </w:rPr>
              <w:t>1、</w:t>
            </w:r>
            <w:r>
              <w:rPr>
                <w:rFonts w:hint="eastAsia"/>
                <w:color w:val="auto"/>
                <w:lang w:val="zh-CN"/>
              </w:rPr>
              <w:t>有关本项目实施所需的所有费用（含税费）均计入报价：</w:t>
            </w:r>
          </w:p>
          <w:p>
            <w:pPr>
              <w:spacing w:line="400" w:lineRule="exact"/>
              <w:ind w:firstLine="0" w:firstLineChars="0"/>
              <w:jc w:val="left"/>
              <w:rPr>
                <w:color w:val="auto"/>
                <w:lang w:val="zh-CN"/>
              </w:rPr>
            </w:pPr>
            <w:r>
              <w:rPr>
                <w:rFonts w:hint="eastAsia"/>
                <w:color w:val="auto"/>
                <w:lang w:val="zh-CN"/>
              </w:rPr>
              <w:t>（</w:t>
            </w:r>
            <w:r>
              <w:rPr>
                <w:rFonts w:hint="eastAsia"/>
                <w:color w:val="auto"/>
              </w:rPr>
              <w:t>1</w:t>
            </w:r>
            <w:r>
              <w:rPr>
                <w:rFonts w:hint="eastAsia"/>
                <w:color w:val="auto"/>
                <w:lang w:val="zh-CN"/>
              </w:rPr>
              <w:t>）本项目投标报价应以人民币报价。</w:t>
            </w:r>
          </w:p>
          <w:p>
            <w:pPr>
              <w:spacing w:line="400" w:lineRule="exact"/>
              <w:ind w:firstLine="0" w:firstLineChars="0"/>
              <w:jc w:val="left"/>
              <w:rPr>
                <w:color w:val="auto"/>
                <w:lang w:val="zh-CN"/>
              </w:rPr>
            </w:pPr>
            <w:r>
              <w:rPr>
                <w:rFonts w:hint="eastAsia"/>
                <w:color w:val="auto"/>
                <w:lang w:val="zh-CN"/>
              </w:rPr>
              <w:t>（</w:t>
            </w:r>
            <w:r>
              <w:rPr>
                <w:rFonts w:hint="eastAsia"/>
                <w:color w:val="auto"/>
              </w:rPr>
              <w:t>2</w:t>
            </w:r>
            <w:r>
              <w:rPr>
                <w:rFonts w:hint="eastAsia"/>
                <w:color w:val="auto"/>
                <w:lang w:val="zh-CN"/>
              </w:rPr>
              <w:t>）投标报价为</w:t>
            </w:r>
            <w:r>
              <w:rPr>
                <w:rFonts w:hint="eastAsia"/>
                <w:color w:val="auto"/>
              </w:rPr>
              <w:t>供应商的收益，包含但不限于完成采购文件及合同条款所规定的工作内容的各项费用，应包括人工、设备选型采购、管理、维护、远传设备的安装、其它设备的指导安装、调试、税金、包干预备费、政策性文件规定及采购文件、合同包含的所有风险（包括施工期间物价上涨、政策性调整等因素）、责任等各项应有的费用。</w:t>
            </w:r>
          </w:p>
          <w:p>
            <w:pPr>
              <w:spacing w:line="400" w:lineRule="exact"/>
              <w:ind w:firstLine="0" w:firstLineChars="0"/>
              <w:jc w:val="left"/>
              <w:rPr>
                <w:color w:val="auto"/>
                <w:lang w:val="zh-CN"/>
              </w:rPr>
            </w:pPr>
            <w:r>
              <w:rPr>
                <w:rFonts w:hint="eastAsia"/>
                <w:color w:val="auto"/>
              </w:rPr>
              <w:t>2、</w:t>
            </w:r>
            <w:r>
              <w:rPr>
                <w:rFonts w:hint="eastAsia"/>
                <w:color w:val="auto"/>
                <w:lang w:val="zh-CN"/>
              </w:rPr>
              <w:t>投标文件</w:t>
            </w:r>
            <w:r>
              <w:rPr>
                <w:rFonts w:hint="eastAsia"/>
                <w:color w:val="auto"/>
              </w:rPr>
              <w:t>开标一览表（报价表）是报价的唯一载体，如供应商在政府采购云平台填写的投标报价与投标文件报价文件中开标一览表（报价表）不一致的，以报价文件中开标一览表（报价表）为准。</w:t>
            </w:r>
            <w:r>
              <w:rPr>
                <w:rFonts w:hint="eastAsia"/>
                <w:color w:val="auto"/>
                <w:lang w:val="zh-CN"/>
              </w:rPr>
              <w:t>投标文件中价格全部采用人民币报价。采购文件未列明，而供应商认为必需的费用也需列入报价。提醒：验收时检测费用由采购人承担，不包含在投标</w:t>
            </w:r>
            <w:r>
              <w:rPr>
                <w:rFonts w:hint="eastAsia"/>
                <w:color w:val="auto"/>
              </w:rPr>
              <w:t>报</w:t>
            </w:r>
            <w:r>
              <w:rPr>
                <w:rFonts w:hint="eastAsia"/>
                <w:color w:val="auto"/>
                <w:lang w:val="zh-CN"/>
              </w:rPr>
              <w:t>价中。</w:t>
            </w:r>
          </w:p>
          <w:p>
            <w:pPr>
              <w:spacing w:line="400" w:lineRule="exact"/>
              <w:ind w:firstLine="0" w:firstLineChars="0"/>
              <w:jc w:val="left"/>
              <w:rPr>
                <w:color w:val="auto"/>
                <w:lang w:val="zh-CN"/>
              </w:rPr>
            </w:pPr>
            <w:r>
              <w:rPr>
                <w:rFonts w:hint="eastAsia"/>
                <w:color w:val="auto"/>
              </w:rPr>
              <w:t>3、</w:t>
            </w:r>
            <w:r>
              <w:rPr>
                <w:rFonts w:hint="eastAsia"/>
                <w:color w:val="auto"/>
                <w:lang w:val="zh-CN"/>
              </w:rPr>
              <w:t>投标报价出现下列情形的，投标无效：</w:t>
            </w:r>
          </w:p>
          <w:p>
            <w:pPr>
              <w:spacing w:line="400" w:lineRule="exact"/>
              <w:ind w:firstLine="0" w:firstLineChars="0"/>
              <w:jc w:val="left"/>
              <w:rPr>
                <w:color w:val="auto"/>
                <w:lang w:val="zh-CN"/>
              </w:rPr>
            </w:pPr>
            <w:r>
              <w:rPr>
                <w:rFonts w:hint="eastAsia"/>
                <w:color w:val="auto"/>
                <w:lang w:val="zh-CN"/>
              </w:rPr>
              <w:t>投标文件出现不是唯一的、有选择性投标报价的；</w:t>
            </w:r>
          </w:p>
          <w:p>
            <w:pPr>
              <w:spacing w:line="400" w:lineRule="exact"/>
              <w:ind w:firstLine="0" w:firstLineChars="0"/>
              <w:jc w:val="left"/>
              <w:rPr>
                <w:color w:val="auto"/>
                <w:lang w:val="zh-CN"/>
              </w:rPr>
            </w:pPr>
            <w:r>
              <w:rPr>
                <w:rFonts w:hint="eastAsia"/>
                <w:color w:val="auto"/>
                <w:lang w:val="zh-CN"/>
              </w:rPr>
              <w:t>投标报价超过采购文件中规定的预算金额或者最高限价的；</w:t>
            </w:r>
          </w:p>
          <w:p>
            <w:pPr>
              <w:spacing w:line="400" w:lineRule="exact"/>
              <w:ind w:firstLine="0" w:firstLineChars="0"/>
              <w:jc w:val="left"/>
              <w:rPr>
                <w:color w:val="auto"/>
              </w:rPr>
            </w:pPr>
            <w:r>
              <w:rPr>
                <w:rFonts w:hint="eastAsia"/>
                <w:color w:val="auto"/>
              </w:rPr>
              <w:t>报价明显低于其他通过符合性审查供应商的报价，有可能影响产品质量或者不能诚信履约的，未能按要求提供书面说明或者提交相关证明材料证明其报价合理性的；</w:t>
            </w:r>
          </w:p>
          <w:p>
            <w:pPr>
              <w:spacing w:line="400" w:lineRule="exact"/>
              <w:ind w:firstLine="0" w:firstLineChars="0"/>
              <w:jc w:val="left"/>
              <w:rPr>
                <w:color w:val="auto"/>
              </w:rPr>
            </w:pPr>
            <w:r>
              <w:rPr>
                <w:rFonts w:hint="eastAsia"/>
                <w:color w:val="auto"/>
              </w:rPr>
              <w:t>供应商对根据修正原则修正后的报价不确认的。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11</w:t>
            </w:r>
          </w:p>
        </w:tc>
        <w:tc>
          <w:tcPr>
            <w:tcW w:w="2180" w:type="dxa"/>
            <w:vAlign w:val="center"/>
          </w:tcPr>
          <w:p>
            <w:pPr>
              <w:spacing w:line="400" w:lineRule="exact"/>
              <w:ind w:firstLine="0" w:firstLineChars="0"/>
              <w:jc w:val="center"/>
              <w:rPr>
                <w:color w:val="auto"/>
              </w:rPr>
            </w:pPr>
            <w:r>
              <w:rPr>
                <w:rFonts w:hint="eastAsia"/>
                <w:color w:val="auto"/>
              </w:rPr>
              <w:t>中小企业信用融资</w:t>
            </w:r>
          </w:p>
        </w:tc>
        <w:tc>
          <w:tcPr>
            <w:tcW w:w="7349" w:type="dxa"/>
            <w:vAlign w:val="center"/>
          </w:tcPr>
          <w:p>
            <w:pPr>
              <w:spacing w:line="400" w:lineRule="exact"/>
              <w:ind w:firstLine="0" w:firstLineChars="0"/>
              <w:jc w:val="left"/>
              <w:rPr>
                <w:color w:val="auto"/>
              </w:rPr>
            </w:pPr>
            <w:r>
              <w:rPr>
                <w:rFonts w:hint="eastAsia"/>
                <w:color w:val="auto"/>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12</w:t>
            </w:r>
          </w:p>
        </w:tc>
        <w:tc>
          <w:tcPr>
            <w:tcW w:w="2180" w:type="dxa"/>
            <w:vAlign w:val="center"/>
          </w:tcPr>
          <w:p>
            <w:pPr>
              <w:spacing w:line="400" w:lineRule="exact"/>
              <w:ind w:firstLine="0" w:firstLineChars="0"/>
              <w:jc w:val="center"/>
              <w:rPr>
                <w:color w:val="auto"/>
              </w:rPr>
            </w:pPr>
            <w:r>
              <w:rPr>
                <w:rFonts w:hint="eastAsia"/>
                <w:color w:val="auto"/>
              </w:rPr>
              <w:t>备份投标文件送达地点和签收人员（不适用）</w:t>
            </w:r>
          </w:p>
        </w:tc>
        <w:tc>
          <w:tcPr>
            <w:tcW w:w="7349" w:type="dxa"/>
            <w:vAlign w:val="center"/>
          </w:tcPr>
          <w:p>
            <w:pPr>
              <w:spacing w:line="400" w:lineRule="exact"/>
              <w:ind w:firstLine="0" w:firstLineChars="0"/>
              <w:jc w:val="left"/>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spacing w:line="400" w:lineRule="exact"/>
              <w:ind w:firstLine="0" w:firstLineChars="0"/>
              <w:jc w:val="center"/>
              <w:rPr>
                <w:color w:val="auto"/>
              </w:rPr>
            </w:pPr>
            <w:r>
              <w:rPr>
                <w:rFonts w:hint="eastAsia"/>
                <w:color w:val="auto"/>
              </w:rPr>
              <w:t>13</w:t>
            </w:r>
          </w:p>
        </w:tc>
        <w:tc>
          <w:tcPr>
            <w:tcW w:w="2180" w:type="dxa"/>
            <w:vMerge w:val="restart"/>
            <w:vAlign w:val="center"/>
          </w:tcPr>
          <w:p>
            <w:pPr>
              <w:spacing w:line="400" w:lineRule="exact"/>
              <w:ind w:firstLine="0" w:firstLineChars="0"/>
              <w:jc w:val="center"/>
              <w:rPr>
                <w:color w:val="auto"/>
              </w:rPr>
            </w:pPr>
            <w:r>
              <w:rPr>
                <w:rFonts w:hint="eastAsia"/>
                <w:color w:val="auto"/>
              </w:rPr>
              <w:t>特别说明</w:t>
            </w:r>
          </w:p>
        </w:tc>
        <w:tc>
          <w:tcPr>
            <w:tcW w:w="7349" w:type="dxa"/>
            <w:vAlign w:val="center"/>
          </w:tcPr>
          <w:p>
            <w:pPr>
              <w:spacing w:line="400" w:lineRule="exact"/>
              <w:ind w:firstLine="0" w:firstLineChars="0"/>
              <w:jc w:val="left"/>
              <w:rPr>
                <w:color w:val="auto"/>
              </w:rPr>
            </w:pPr>
            <w:r>
              <w:rPr>
                <w:rFonts w:hint="eastAsia"/>
                <w:color w:val="auto"/>
              </w:rPr>
              <w:t>联合体投标的，联合体各方分别提供与联合体协议中规定的分工内容相应的业绩证明材料，业绩数量以提供材料较少的一方为准。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spacing w:line="400" w:lineRule="exact"/>
              <w:ind w:firstLine="0" w:firstLineChars="0"/>
              <w:jc w:val="center"/>
              <w:rPr>
                <w:color w:val="auto"/>
              </w:rPr>
            </w:pPr>
          </w:p>
        </w:tc>
        <w:tc>
          <w:tcPr>
            <w:tcW w:w="2180" w:type="dxa"/>
            <w:vMerge w:val="continue"/>
            <w:vAlign w:val="center"/>
          </w:tcPr>
          <w:p>
            <w:pPr>
              <w:spacing w:line="400" w:lineRule="exact"/>
              <w:ind w:firstLine="0" w:firstLineChars="0"/>
              <w:jc w:val="center"/>
              <w:rPr>
                <w:color w:val="auto"/>
              </w:rPr>
            </w:pPr>
          </w:p>
        </w:tc>
        <w:tc>
          <w:tcPr>
            <w:tcW w:w="7349" w:type="dxa"/>
            <w:vAlign w:val="center"/>
          </w:tcPr>
          <w:p>
            <w:pPr>
              <w:spacing w:line="400" w:lineRule="exact"/>
              <w:ind w:firstLine="0" w:firstLineChars="0"/>
              <w:jc w:val="left"/>
              <w:rPr>
                <w:color w:val="auto"/>
              </w:rPr>
            </w:pPr>
            <w:r>
              <w:rPr>
                <w:rFonts w:hint="eastAsia"/>
                <w:color w:val="auto"/>
              </w:rPr>
              <w:t>□联合体投标的，联合体各方均需按采购文件第四部分评标办法要求提供资信证明文件，否则视为不符合相关要求。</w:t>
            </w:r>
          </w:p>
          <w:p>
            <w:pPr>
              <w:spacing w:line="400" w:lineRule="exact"/>
              <w:ind w:firstLine="0" w:firstLineChars="0"/>
              <w:jc w:val="left"/>
              <w:rPr>
                <w:color w:val="auto"/>
              </w:rPr>
            </w:pPr>
            <w:r>
              <w:rPr>
                <w:rFonts w:hint="eastAsia"/>
                <w:color w:val="auto"/>
              </w:rPr>
              <w:t>□联合体投标的，联合体中有一方或者联合体成员根据分工按采购文件第四部分评标办法要求提供资信证明文件的，视为符合了相关要求。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spacing w:line="400" w:lineRule="exact"/>
              <w:ind w:firstLine="0" w:firstLineChars="0"/>
              <w:jc w:val="center"/>
              <w:rPr>
                <w:color w:val="auto"/>
              </w:rPr>
            </w:pPr>
            <w:r>
              <w:rPr>
                <w:rFonts w:hint="eastAsia"/>
                <w:color w:val="auto"/>
              </w:rPr>
              <w:t>14</w:t>
            </w:r>
          </w:p>
        </w:tc>
        <w:tc>
          <w:tcPr>
            <w:tcW w:w="2180" w:type="dxa"/>
            <w:vAlign w:val="center"/>
          </w:tcPr>
          <w:p>
            <w:pPr>
              <w:spacing w:line="400" w:lineRule="exact"/>
              <w:ind w:firstLine="0" w:firstLineChars="0"/>
              <w:jc w:val="center"/>
              <w:rPr>
                <w:color w:val="auto"/>
              </w:rPr>
            </w:pPr>
            <w:r>
              <w:rPr>
                <w:rFonts w:hint="eastAsia"/>
                <w:color w:val="auto"/>
              </w:rPr>
              <w:t>★履约保证金</w:t>
            </w:r>
          </w:p>
        </w:tc>
        <w:tc>
          <w:tcPr>
            <w:tcW w:w="7349" w:type="dxa"/>
            <w:vAlign w:val="center"/>
          </w:tcPr>
          <w:p>
            <w:pPr>
              <w:spacing w:line="400" w:lineRule="exact"/>
              <w:ind w:firstLine="0" w:firstLineChars="0"/>
              <w:jc w:val="left"/>
              <w:rPr>
                <w:color w:val="auto"/>
              </w:rPr>
            </w:pPr>
            <w:r>
              <w:rPr>
                <w:rFonts w:hint="eastAsia"/>
                <w:color w:val="auto"/>
              </w:rPr>
              <w:t>履约保证金金额：合同金额的1%。</w:t>
            </w:r>
          </w:p>
          <w:p>
            <w:pPr>
              <w:spacing w:line="400" w:lineRule="exact"/>
              <w:ind w:firstLine="0" w:firstLineChars="0"/>
              <w:jc w:val="left"/>
              <w:rPr>
                <w:color w:val="auto"/>
              </w:rPr>
            </w:pPr>
            <w:r>
              <w:rPr>
                <w:rFonts w:hint="eastAsia"/>
                <w:color w:val="auto"/>
              </w:rPr>
              <w:t>履约保证金形式：转账或银行、保险公司出具的保函形式。</w:t>
            </w:r>
          </w:p>
          <w:p>
            <w:pPr>
              <w:spacing w:line="400" w:lineRule="exact"/>
              <w:ind w:firstLine="0" w:firstLineChars="0"/>
              <w:jc w:val="left"/>
              <w:rPr>
                <w:color w:val="auto"/>
              </w:rPr>
            </w:pPr>
            <w:r>
              <w:rPr>
                <w:rFonts w:hint="eastAsia"/>
                <w:color w:val="auto"/>
              </w:rPr>
              <w:t>履约保证金递交时间：中标通知书发出后30天内缴纳。</w:t>
            </w:r>
          </w:p>
          <w:p>
            <w:pPr>
              <w:spacing w:line="400" w:lineRule="exact"/>
              <w:ind w:firstLine="0" w:firstLineChars="0"/>
              <w:jc w:val="left"/>
              <w:rPr>
                <w:color w:val="auto"/>
              </w:rPr>
            </w:pPr>
            <w:r>
              <w:rPr>
                <w:rFonts w:hint="eastAsia"/>
                <w:color w:val="auto"/>
              </w:rPr>
              <w:t>履约保证金退还时间：项目验收合格结束后无息退还。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1" w:type="dxa"/>
            <w:vAlign w:val="center"/>
          </w:tcPr>
          <w:p>
            <w:pPr>
              <w:spacing w:line="400" w:lineRule="exact"/>
              <w:ind w:firstLine="0" w:firstLineChars="0"/>
              <w:jc w:val="center"/>
              <w:rPr>
                <w:color w:val="auto"/>
              </w:rPr>
            </w:pPr>
            <w:r>
              <w:rPr>
                <w:rFonts w:hint="eastAsia"/>
                <w:color w:val="auto"/>
              </w:rPr>
              <w:t>15</w:t>
            </w:r>
          </w:p>
        </w:tc>
        <w:tc>
          <w:tcPr>
            <w:tcW w:w="2180" w:type="dxa"/>
            <w:vAlign w:val="center"/>
          </w:tcPr>
          <w:p>
            <w:pPr>
              <w:spacing w:line="400" w:lineRule="exact"/>
              <w:ind w:firstLine="0" w:firstLineChars="0"/>
              <w:jc w:val="center"/>
              <w:rPr>
                <w:color w:val="auto"/>
              </w:rPr>
            </w:pPr>
            <w:r>
              <w:rPr>
                <w:rFonts w:hint="eastAsia"/>
                <w:color w:val="auto"/>
              </w:rPr>
              <w:t>★付款方式</w:t>
            </w:r>
          </w:p>
        </w:tc>
        <w:tc>
          <w:tcPr>
            <w:tcW w:w="7349" w:type="dxa"/>
            <w:vAlign w:val="center"/>
          </w:tcPr>
          <w:p>
            <w:pPr>
              <w:spacing w:line="400" w:lineRule="exact"/>
              <w:ind w:firstLine="0" w:firstLineChars="0"/>
              <w:jc w:val="left"/>
              <w:rPr>
                <w:color w:val="auto"/>
              </w:rPr>
            </w:pPr>
            <w:r>
              <w:rPr>
                <w:rFonts w:hint="eastAsia"/>
                <w:color w:val="auto"/>
              </w:rPr>
              <w:t>1、在合同生效以及具备实施条件后7个工作日内，由采购人向中标人支付合同金额的30%作为预付款，同时中标人向采购人提交同等金额的预付款保函；</w:t>
            </w:r>
          </w:p>
          <w:p>
            <w:pPr>
              <w:spacing w:line="400" w:lineRule="exact"/>
              <w:ind w:firstLine="0" w:firstLineChars="0"/>
              <w:jc w:val="left"/>
              <w:rPr>
                <w:color w:val="auto"/>
              </w:rPr>
            </w:pPr>
            <w:r>
              <w:rPr>
                <w:rFonts w:hint="eastAsia"/>
                <w:color w:val="auto"/>
              </w:rPr>
              <w:t>2、经采购人最终验收完成后，支付至</w:t>
            </w:r>
            <w:r>
              <w:rPr>
                <w:rFonts w:hint="eastAsia"/>
                <w:color w:val="auto"/>
                <w:szCs w:val="21"/>
              </w:rPr>
              <w:t>当年服务费</w:t>
            </w:r>
            <w:r>
              <w:rPr>
                <w:rFonts w:hint="eastAsia"/>
                <w:color w:val="auto"/>
              </w:rPr>
              <w:t>的100%，同时退还预付款保函，每笔付款前，中标人需全额提供基本税率的增值税专用发票。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Align w:val="center"/>
          </w:tcPr>
          <w:p>
            <w:pPr>
              <w:spacing w:line="400" w:lineRule="exact"/>
              <w:ind w:firstLine="0" w:firstLineChars="0"/>
              <w:jc w:val="center"/>
              <w:rPr>
                <w:color w:val="auto"/>
              </w:rPr>
            </w:pPr>
            <w:r>
              <w:rPr>
                <w:rFonts w:hint="eastAsia"/>
                <w:color w:val="auto"/>
              </w:rPr>
              <w:t>16</w:t>
            </w:r>
          </w:p>
        </w:tc>
        <w:tc>
          <w:tcPr>
            <w:tcW w:w="2180" w:type="dxa"/>
            <w:vAlign w:val="center"/>
          </w:tcPr>
          <w:p>
            <w:pPr>
              <w:spacing w:line="400" w:lineRule="exact"/>
              <w:ind w:firstLine="0" w:firstLineChars="0"/>
              <w:jc w:val="center"/>
              <w:rPr>
                <w:color w:val="auto"/>
              </w:rPr>
            </w:pPr>
            <w:r>
              <w:rPr>
                <w:rFonts w:hint="eastAsia"/>
                <w:color w:val="auto"/>
              </w:rPr>
              <w:t>中标服务费的</w:t>
            </w:r>
          </w:p>
          <w:p>
            <w:pPr>
              <w:spacing w:line="400" w:lineRule="exact"/>
              <w:ind w:firstLine="0" w:firstLineChars="0"/>
              <w:jc w:val="center"/>
              <w:rPr>
                <w:color w:val="auto"/>
              </w:rPr>
            </w:pPr>
            <w:r>
              <w:rPr>
                <w:rFonts w:hint="eastAsia"/>
                <w:color w:val="auto"/>
              </w:rPr>
              <w:t>收取标准</w:t>
            </w:r>
          </w:p>
        </w:tc>
        <w:tc>
          <w:tcPr>
            <w:tcW w:w="7349" w:type="dxa"/>
            <w:vAlign w:val="center"/>
          </w:tcPr>
          <w:p>
            <w:pPr>
              <w:spacing w:line="400" w:lineRule="exact"/>
              <w:ind w:firstLine="0" w:firstLineChars="0"/>
              <w:jc w:val="left"/>
              <w:rPr>
                <w:color w:val="auto"/>
              </w:rPr>
            </w:pPr>
            <w:r>
              <w:rPr>
                <w:rFonts w:hint="eastAsia"/>
                <w:color w:val="auto"/>
              </w:rPr>
              <w:t>（1）招标代理机构按照中标金额，根据以下表格差额累进制服务招标标准得出的金额</w:t>
            </w:r>
            <w:r>
              <w:rPr>
                <w:rFonts w:hint="eastAsia" w:ascii="MS Mincho" w:hAnsi="MS Mincho" w:eastAsia="MS Mincho" w:cs="MS Mincho"/>
                <w:color w:val="auto"/>
                <w:szCs w:val="21"/>
              </w:rPr>
              <w:t>乘以</w:t>
            </w:r>
            <w:r>
              <w:rPr>
                <w:rFonts w:hint="eastAsia"/>
                <w:color w:val="auto"/>
              </w:rPr>
              <w:t>60%向中标人收取中标服务费。</w:t>
            </w:r>
          </w:p>
          <w:p>
            <w:pPr>
              <w:spacing w:line="400" w:lineRule="exact"/>
              <w:ind w:firstLine="0" w:firstLineChars="0"/>
              <w:jc w:val="left"/>
              <w:rPr>
                <w:color w:val="auto"/>
              </w:rPr>
            </w:pPr>
            <w:r>
              <w:rPr>
                <w:rFonts w:hint="eastAsia"/>
                <w:color w:val="auto"/>
              </w:rPr>
              <w:t>中标人接到本机构通知后5个工作日内向本机构支付中标服务费，并领取中标通知书。逾期未交纳中标服务费的，本机构有权从其投标保证金中收取，并对不足部分进行追索。</w:t>
            </w:r>
          </w:p>
          <w:tbl>
            <w:tblPr>
              <w:tblStyle w:val="37"/>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7"/>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807" w:type="dxa"/>
                  <w:tcBorders>
                    <w:tl2br w:val="single" w:color="auto" w:sz="4" w:space="0"/>
                  </w:tcBorders>
                  <w:vAlign w:val="center"/>
                </w:tcPr>
                <w:p>
                  <w:pPr>
                    <w:spacing w:line="400" w:lineRule="exact"/>
                    <w:ind w:firstLine="0" w:firstLineChars="0"/>
                    <w:jc w:val="right"/>
                    <w:rPr>
                      <w:color w:val="auto"/>
                    </w:rPr>
                  </w:pPr>
                  <w:r>
                    <w:rPr>
                      <w:rFonts w:hint="eastAsia"/>
                      <w:color w:val="auto"/>
                    </w:rPr>
                    <w:t>费率</w:t>
                  </w:r>
                </w:p>
                <w:p>
                  <w:pPr>
                    <w:spacing w:line="400" w:lineRule="exact"/>
                    <w:ind w:firstLine="0" w:firstLineChars="0"/>
                    <w:jc w:val="left"/>
                    <w:rPr>
                      <w:color w:val="auto"/>
                    </w:rPr>
                  </w:pPr>
                  <w:r>
                    <w:rPr>
                      <w:rFonts w:hint="eastAsia"/>
                      <w:color w:val="auto"/>
                    </w:rPr>
                    <w:t>中标金额</w:t>
                  </w:r>
                </w:p>
              </w:tc>
              <w:tc>
                <w:tcPr>
                  <w:tcW w:w="2512" w:type="dxa"/>
                  <w:vAlign w:val="center"/>
                </w:tcPr>
                <w:p>
                  <w:pPr>
                    <w:spacing w:line="400" w:lineRule="exact"/>
                    <w:ind w:firstLine="0" w:firstLineChars="0"/>
                    <w:jc w:val="left"/>
                    <w:rPr>
                      <w:color w:val="auto"/>
                    </w:rPr>
                  </w:pPr>
                  <w:r>
                    <w:rPr>
                      <w:rFonts w:hint="eastAsia"/>
                      <w:color w:val="auto"/>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807" w:type="dxa"/>
                  <w:vAlign w:val="center"/>
                </w:tcPr>
                <w:p>
                  <w:pPr>
                    <w:spacing w:line="400" w:lineRule="exact"/>
                    <w:ind w:firstLine="0" w:firstLineChars="0"/>
                    <w:jc w:val="left"/>
                    <w:rPr>
                      <w:color w:val="auto"/>
                    </w:rPr>
                  </w:pPr>
                  <w:r>
                    <w:rPr>
                      <w:rFonts w:hint="eastAsia"/>
                      <w:color w:val="auto"/>
                    </w:rPr>
                    <w:t>100万以下</w:t>
                  </w:r>
                </w:p>
              </w:tc>
              <w:tc>
                <w:tcPr>
                  <w:tcW w:w="2512" w:type="dxa"/>
                  <w:vAlign w:val="center"/>
                </w:tcPr>
                <w:p>
                  <w:pPr>
                    <w:spacing w:line="400" w:lineRule="exact"/>
                    <w:ind w:firstLine="0" w:firstLineChars="0"/>
                    <w:jc w:val="left"/>
                    <w:rPr>
                      <w:color w:val="auto"/>
                    </w:rPr>
                  </w:pPr>
                  <w:r>
                    <w:rPr>
                      <w:rFonts w:hint="eastAsia"/>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807" w:type="dxa"/>
                  <w:vAlign w:val="center"/>
                </w:tcPr>
                <w:p>
                  <w:pPr>
                    <w:spacing w:line="400" w:lineRule="exact"/>
                    <w:ind w:firstLine="0" w:firstLineChars="0"/>
                    <w:jc w:val="left"/>
                    <w:rPr>
                      <w:color w:val="auto"/>
                    </w:rPr>
                  </w:pPr>
                  <w:r>
                    <w:rPr>
                      <w:rFonts w:hint="eastAsia"/>
                      <w:color w:val="auto"/>
                    </w:rPr>
                    <w:t>100～500万</w:t>
                  </w:r>
                </w:p>
              </w:tc>
              <w:tc>
                <w:tcPr>
                  <w:tcW w:w="2512" w:type="dxa"/>
                  <w:vAlign w:val="center"/>
                </w:tcPr>
                <w:p>
                  <w:pPr>
                    <w:spacing w:line="400" w:lineRule="exact"/>
                    <w:ind w:firstLine="0" w:firstLineChars="0"/>
                    <w:jc w:val="left"/>
                    <w:rPr>
                      <w:color w:val="auto"/>
                    </w:rPr>
                  </w:pPr>
                  <w:r>
                    <w:rPr>
                      <w:rFonts w:hint="eastAsia"/>
                      <w:color w:val="auto"/>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807" w:type="dxa"/>
                  <w:vAlign w:val="center"/>
                </w:tcPr>
                <w:p>
                  <w:pPr>
                    <w:spacing w:line="400" w:lineRule="exact"/>
                    <w:ind w:firstLine="0" w:firstLineChars="0"/>
                    <w:jc w:val="left"/>
                    <w:rPr>
                      <w:color w:val="auto"/>
                    </w:rPr>
                  </w:pPr>
                  <w:r>
                    <w:rPr>
                      <w:rFonts w:hint="eastAsia"/>
                      <w:color w:val="auto"/>
                    </w:rPr>
                    <w:t>500～1000万</w:t>
                  </w:r>
                </w:p>
              </w:tc>
              <w:tc>
                <w:tcPr>
                  <w:tcW w:w="2512" w:type="dxa"/>
                  <w:vAlign w:val="center"/>
                </w:tcPr>
                <w:p>
                  <w:pPr>
                    <w:spacing w:line="400" w:lineRule="exact"/>
                    <w:ind w:firstLine="0" w:firstLineChars="0"/>
                    <w:jc w:val="left"/>
                    <w:rPr>
                      <w:color w:val="auto"/>
                    </w:rPr>
                  </w:pPr>
                  <w:r>
                    <w:rPr>
                      <w:rFonts w:hint="eastAsia"/>
                      <w:color w:val="auto"/>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807" w:type="dxa"/>
                  <w:vAlign w:val="center"/>
                </w:tcPr>
                <w:p>
                  <w:pPr>
                    <w:spacing w:line="400" w:lineRule="exact"/>
                    <w:ind w:firstLine="0" w:firstLineChars="0"/>
                    <w:jc w:val="left"/>
                    <w:rPr>
                      <w:color w:val="auto"/>
                    </w:rPr>
                  </w:pPr>
                  <w:r>
                    <w:rPr>
                      <w:rFonts w:hint="eastAsia"/>
                      <w:color w:val="auto"/>
                    </w:rPr>
                    <w:t>1000～5000万</w:t>
                  </w:r>
                </w:p>
              </w:tc>
              <w:tc>
                <w:tcPr>
                  <w:tcW w:w="2512" w:type="dxa"/>
                  <w:vAlign w:val="center"/>
                </w:tcPr>
                <w:p>
                  <w:pPr>
                    <w:spacing w:line="400" w:lineRule="exact"/>
                    <w:ind w:firstLine="0" w:firstLineChars="0"/>
                    <w:jc w:val="left"/>
                    <w:rPr>
                      <w:color w:val="auto"/>
                    </w:rPr>
                  </w:pPr>
                  <w:r>
                    <w:rPr>
                      <w:rFonts w:hint="eastAsia"/>
                      <w:color w:val="auto"/>
                    </w:rPr>
                    <w:t>0.25％</w:t>
                  </w:r>
                </w:p>
              </w:tc>
            </w:tr>
          </w:tbl>
          <w:p>
            <w:pPr>
              <w:spacing w:line="400" w:lineRule="exact"/>
              <w:ind w:firstLine="0" w:firstLineChars="0"/>
              <w:jc w:val="left"/>
              <w:rPr>
                <w:color w:val="auto"/>
              </w:rPr>
            </w:pPr>
            <w:r>
              <w:rPr>
                <w:rFonts w:hint="eastAsia"/>
                <w:color w:val="auto"/>
              </w:rPr>
              <w:t>（2）中标服务费只收现金、银行票汇款、电汇款。</w:t>
            </w:r>
          </w:p>
          <w:p>
            <w:pPr>
              <w:spacing w:line="400" w:lineRule="exact"/>
              <w:ind w:firstLine="0" w:firstLineChars="0"/>
              <w:jc w:val="left"/>
              <w:rPr>
                <w:color w:val="auto"/>
              </w:rPr>
            </w:pPr>
            <w:r>
              <w:rPr>
                <w:rFonts w:hint="eastAsia"/>
                <w:color w:val="auto"/>
              </w:rPr>
              <w:t>其它：</w:t>
            </w:r>
          </w:p>
          <w:p>
            <w:pPr>
              <w:spacing w:line="400" w:lineRule="exact"/>
              <w:ind w:firstLine="0" w:firstLineChars="0"/>
              <w:jc w:val="left"/>
              <w:rPr>
                <w:color w:val="auto"/>
              </w:rPr>
            </w:pPr>
            <w:r>
              <w:rPr>
                <w:rFonts w:hint="eastAsia"/>
                <w:color w:val="auto"/>
              </w:rPr>
              <w:t>收款单位（户名）：浙江中基正采管理咨询有限公司</w:t>
            </w:r>
          </w:p>
          <w:p>
            <w:pPr>
              <w:spacing w:line="400" w:lineRule="exact"/>
              <w:ind w:firstLine="0" w:firstLineChars="0"/>
              <w:jc w:val="left"/>
              <w:rPr>
                <w:color w:val="auto"/>
              </w:rPr>
            </w:pPr>
            <w:r>
              <w:rPr>
                <w:rFonts w:hint="eastAsia"/>
                <w:color w:val="auto"/>
              </w:rPr>
              <w:t>开户银行：宁波银行股份有限公司鄞州中心区支行</w:t>
            </w:r>
          </w:p>
          <w:p>
            <w:pPr>
              <w:spacing w:line="400" w:lineRule="exact"/>
              <w:ind w:firstLine="0" w:firstLineChars="0"/>
              <w:jc w:val="left"/>
              <w:rPr>
                <w:color w:val="auto"/>
              </w:rPr>
            </w:pPr>
            <w:r>
              <w:rPr>
                <w:rFonts w:hint="eastAsia"/>
                <w:color w:val="auto"/>
              </w:rPr>
              <w:t>银行账号：3001 0122 0012 29488</w:t>
            </w:r>
          </w:p>
        </w:tc>
      </w:tr>
      <w:bookmarkEnd w:id="9"/>
    </w:tbl>
    <w:p>
      <w:pPr>
        <w:adjustRightInd/>
        <w:rPr>
          <w:rFonts w:ascii="宋体" w:hAnsi="宋体" w:cs="宋体"/>
          <w:color w:val="auto"/>
          <w:szCs w:val="21"/>
        </w:rPr>
      </w:pPr>
      <w:bookmarkStart w:id="17" w:name="_Toc24020"/>
      <w:bookmarkStart w:id="18" w:name="_Toc164416483"/>
      <w:bookmarkStart w:id="19" w:name="第三部分"/>
      <w:r>
        <w:rPr>
          <w:rFonts w:hint="eastAsia"/>
          <w:color w:val="auto"/>
        </w:rPr>
        <w:br w:type="page"/>
      </w:r>
      <w:bookmarkStart w:id="20" w:name="_Toc19047"/>
      <w:bookmarkStart w:id="21" w:name="_Toc5772"/>
      <w:r>
        <w:rPr>
          <w:rFonts w:hint="eastAsia" w:ascii="宋体" w:hAnsi="宋体" w:cs="宋体"/>
          <w:color w:val="auto"/>
          <w:szCs w:val="21"/>
        </w:rPr>
        <w:t>一、总则</w:t>
      </w:r>
      <w:bookmarkEnd w:id="17"/>
      <w:bookmarkEnd w:id="20"/>
      <w:bookmarkEnd w:id="21"/>
    </w:p>
    <w:p>
      <w:pPr>
        <w:pStyle w:val="235"/>
        <w:numPr>
          <w:ilvl w:val="0"/>
          <w:numId w:val="6"/>
        </w:numPr>
        <w:adjustRightInd/>
        <w:ind w:firstLineChars="0"/>
        <w:rPr>
          <w:rFonts w:ascii="宋体" w:hAnsi="宋体" w:cs="宋体"/>
          <w:color w:val="auto"/>
          <w:szCs w:val="21"/>
        </w:rPr>
      </w:pPr>
      <w:r>
        <w:rPr>
          <w:rFonts w:hint="eastAsia" w:ascii="宋体" w:hAnsi="宋体" w:cs="宋体"/>
          <w:color w:val="auto"/>
          <w:szCs w:val="21"/>
        </w:rPr>
        <w:t>适用范围</w:t>
      </w:r>
    </w:p>
    <w:p>
      <w:pPr>
        <w:adjustRightInd/>
        <w:rPr>
          <w:rFonts w:ascii="宋体" w:hAnsi="宋体" w:cs="宋体"/>
          <w:color w:val="auto"/>
          <w:szCs w:val="21"/>
        </w:rPr>
      </w:pPr>
      <w:r>
        <w:rPr>
          <w:rFonts w:hint="eastAsia" w:ascii="宋体" w:hAnsi="宋体" w:cs="宋体"/>
          <w:color w:val="auto"/>
          <w:szCs w:val="21"/>
        </w:rPr>
        <w:t>本采购文件适用于该项目的招标、投标、开标、资格审查及信用信息查询、评标、定标、合同、验收等行为（法律、法规另有规定的，从其规定）。</w:t>
      </w:r>
    </w:p>
    <w:p>
      <w:pPr>
        <w:pStyle w:val="235"/>
        <w:numPr>
          <w:ilvl w:val="0"/>
          <w:numId w:val="6"/>
        </w:numPr>
        <w:adjustRightInd/>
        <w:ind w:firstLineChars="0"/>
        <w:rPr>
          <w:rFonts w:ascii="宋体" w:hAnsi="宋体" w:cs="宋体"/>
          <w:color w:val="auto"/>
          <w:szCs w:val="21"/>
        </w:rPr>
      </w:pPr>
      <w:bookmarkStart w:id="22" w:name="_Toc14711"/>
      <w:bookmarkStart w:id="23" w:name="_Toc22792"/>
      <w:bookmarkStart w:id="24" w:name="_Toc23177"/>
      <w:r>
        <w:rPr>
          <w:rFonts w:hint="eastAsia" w:ascii="宋体" w:hAnsi="宋体" w:cs="宋体"/>
          <w:color w:val="auto"/>
          <w:szCs w:val="21"/>
        </w:rPr>
        <w:t>定义</w:t>
      </w:r>
      <w:bookmarkEnd w:id="22"/>
      <w:bookmarkEnd w:id="23"/>
      <w:bookmarkEnd w:id="24"/>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“采购人”系指招标公告中载明的本项目的采购人。</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“采购代理机构”系指招标公告中载明的本项目的采购代理机构。</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“供应商”系指是指响应招标、参加投标竞争的法人、其他组织或者自然人。</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“负责人”系指法人企业的法定负责人，或其他组织为法律、行政法规规定代表单位行使职权的主要负责人，或自然人本人。</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“电子交易平台”系指本项目政府采购活动所依托的政府采购云平台（https://www.zcygov.cn/）。</w:t>
      </w:r>
    </w:p>
    <w:p>
      <w:pPr>
        <w:pStyle w:val="235"/>
        <w:numPr>
          <w:ilvl w:val="0"/>
          <w:numId w:val="7"/>
        </w:numPr>
        <w:adjustRightInd/>
        <w:ind w:firstLineChars="0"/>
        <w:rPr>
          <w:rFonts w:ascii="宋体" w:hAnsi="宋体" w:cs="宋体"/>
          <w:color w:val="auto"/>
          <w:szCs w:val="21"/>
        </w:rPr>
      </w:pPr>
      <w:r>
        <w:rPr>
          <w:rFonts w:hint="eastAsia" w:ascii="宋体" w:hAnsi="宋体" w:cs="宋体"/>
          <w:color w:val="auto"/>
          <w:szCs w:val="21"/>
        </w:rPr>
        <w:t>“★”系指实质性要求条款，“</w:t>
      </w:r>
      <w:r>
        <w:rPr>
          <w:rFonts w:hint="eastAsia" w:ascii="宋体" w:hAnsi="宋体" w:cs="宋体"/>
          <w:color w:val="auto"/>
          <w:kern w:val="0"/>
          <w:szCs w:val="21"/>
        </w:rPr>
        <w:t>■</w:t>
      </w:r>
      <w:r>
        <w:rPr>
          <w:rFonts w:hint="eastAsia" w:ascii="宋体" w:hAnsi="宋体" w:cs="宋体"/>
          <w:color w:val="auto"/>
          <w:szCs w:val="21"/>
        </w:rPr>
        <w:t>”系指适用本项目的要求，“</w:t>
      </w:r>
      <w:r>
        <w:rPr>
          <w:rFonts w:hint="eastAsia" w:ascii="宋体" w:hAnsi="宋体" w:cs="宋体"/>
          <w:color w:val="auto"/>
          <w:kern w:val="0"/>
          <w:szCs w:val="21"/>
        </w:rPr>
        <w:t>□</w:t>
      </w:r>
      <w:r>
        <w:rPr>
          <w:rFonts w:hint="eastAsia" w:ascii="宋体" w:hAnsi="宋体" w:cs="宋体"/>
          <w:color w:val="auto"/>
          <w:szCs w:val="21"/>
        </w:rPr>
        <w:t>”系指不适用本项目的要求。</w:t>
      </w:r>
    </w:p>
    <w:p>
      <w:pPr>
        <w:pStyle w:val="235"/>
        <w:numPr>
          <w:ilvl w:val="0"/>
          <w:numId w:val="6"/>
        </w:numPr>
        <w:adjustRightInd/>
        <w:ind w:firstLineChars="0"/>
        <w:rPr>
          <w:rFonts w:ascii="宋体" w:hAnsi="宋体" w:cs="宋体"/>
          <w:color w:val="auto"/>
          <w:szCs w:val="21"/>
        </w:rPr>
      </w:pPr>
      <w:r>
        <w:rPr>
          <w:rFonts w:hint="eastAsia" w:ascii="宋体" w:hAnsi="宋体" w:cs="宋体"/>
          <w:color w:val="auto"/>
          <w:szCs w:val="21"/>
        </w:rPr>
        <w:t>采购项目需要落实的政府采购政策</w:t>
      </w:r>
    </w:p>
    <w:p>
      <w:pPr>
        <w:pStyle w:val="235"/>
        <w:numPr>
          <w:ilvl w:val="0"/>
          <w:numId w:val="8"/>
        </w:numPr>
        <w:adjustRightInd/>
        <w:ind w:firstLineChars="0"/>
        <w:rPr>
          <w:rFonts w:ascii="宋体" w:hAnsi="宋体" w:cs="宋体"/>
          <w:color w:val="auto"/>
          <w:szCs w:val="21"/>
        </w:rPr>
      </w:pPr>
      <w:r>
        <w:rPr>
          <w:rFonts w:hint="eastAsia" w:ascii="宋体" w:hAnsi="宋体" w:cs="宋体"/>
          <w:color w:val="auto"/>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pStyle w:val="235"/>
        <w:numPr>
          <w:ilvl w:val="0"/>
          <w:numId w:val="8"/>
        </w:numPr>
        <w:adjustRightInd/>
        <w:ind w:firstLineChars="0"/>
        <w:rPr>
          <w:rFonts w:ascii="宋体" w:hAnsi="宋体" w:cs="宋体"/>
          <w:color w:val="auto"/>
          <w:szCs w:val="21"/>
        </w:rPr>
      </w:pPr>
      <w:r>
        <w:rPr>
          <w:rFonts w:hint="eastAsia" w:ascii="宋体" w:hAnsi="宋体" w:cs="宋体"/>
          <w:color w:val="auto"/>
          <w:szCs w:val="21"/>
        </w:rPr>
        <w:t>支持绿色发展</w:t>
      </w:r>
    </w:p>
    <w:p>
      <w:pPr>
        <w:pStyle w:val="235"/>
        <w:numPr>
          <w:ilvl w:val="0"/>
          <w:numId w:val="9"/>
        </w:numPr>
        <w:adjustRightInd/>
        <w:ind w:firstLineChars="0"/>
        <w:rPr>
          <w:rFonts w:ascii="宋体" w:hAnsi="宋体" w:cs="宋体"/>
          <w:color w:val="auto"/>
          <w:szCs w:val="21"/>
        </w:rPr>
      </w:pPr>
      <w:r>
        <w:rPr>
          <w:rFonts w:hint="eastAsia" w:ascii="宋体" w:hAnsi="宋体" w:cs="宋体"/>
          <w:color w:val="auto"/>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bCs/>
          <w:color w:val="auto"/>
          <w:szCs w:val="21"/>
        </w:rPr>
        <w:t>★采购人拟采购的产品属于政府强制采购的节能产品品目清单范围的，供应商相应的投标产品未获得国家确定的认证机构出具的、处于有效期之内的节能产品认证证书的，投标无效。</w:t>
      </w:r>
    </w:p>
    <w:p>
      <w:pPr>
        <w:pStyle w:val="235"/>
        <w:numPr>
          <w:ilvl w:val="0"/>
          <w:numId w:val="9"/>
        </w:numPr>
        <w:adjustRightInd/>
        <w:ind w:firstLineChars="0"/>
        <w:rPr>
          <w:rFonts w:ascii="宋体" w:hAnsi="宋体" w:cs="宋体"/>
          <w:color w:val="auto"/>
          <w:szCs w:val="21"/>
        </w:rPr>
      </w:pPr>
      <w:r>
        <w:rPr>
          <w:rFonts w:hint="eastAsia" w:ascii="宋体" w:hAnsi="宋体" w:cs="宋体"/>
          <w:color w:val="auto"/>
          <w:szCs w:val="21"/>
        </w:rPr>
        <w:t>纳入政府采购管理的修缮、装修类项目采购建材的，鼓励采购人将绿色建材性能、指标等作为实质性条件纳入采购文件和合同，具体性能指标要求参考相关绿色建材政府采购需求标准。</w:t>
      </w:r>
    </w:p>
    <w:p>
      <w:pPr>
        <w:pStyle w:val="235"/>
        <w:numPr>
          <w:ilvl w:val="0"/>
          <w:numId w:val="9"/>
        </w:numPr>
        <w:adjustRightInd/>
        <w:ind w:firstLineChars="0"/>
        <w:rPr>
          <w:rFonts w:ascii="宋体" w:hAnsi="宋体" w:cs="宋体"/>
          <w:color w:val="auto"/>
          <w:szCs w:val="21"/>
        </w:rPr>
      </w:pPr>
      <w:r>
        <w:rPr>
          <w:rFonts w:hint="eastAsia" w:ascii="宋体" w:hAnsi="宋体" w:cs="宋体"/>
          <w:color w:val="auto"/>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25" w:name="_Hlk107568539"/>
      <w:r>
        <w:rPr>
          <w:rFonts w:hint="eastAsia" w:ascii="宋体" w:hAnsi="宋体" w:cs="宋体"/>
          <w:color w:val="auto"/>
          <w:szCs w:val="21"/>
        </w:rPr>
        <w:t>鼓励采购人优先采购秸秆环保板材等资源综合利用产品。鼓励采购人优先采购绿色物流配送服务、提供新能源交通工具的租赁服务。</w:t>
      </w:r>
    </w:p>
    <w:p>
      <w:pPr>
        <w:pStyle w:val="235"/>
        <w:numPr>
          <w:ilvl w:val="0"/>
          <w:numId w:val="9"/>
        </w:numPr>
        <w:adjustRightInd/>
        <w:ind w:firstLineChars="0"/>
        <w:rPr>
          <w:rFonts w:ascii="宋体" w:hAnsi="宋体" w:cs="宋体"/>
          <w:color w:val="auto"/>
          <w:szCs w:val="21"/>
        </w:rPr>
      </w:pPr>
      <w:r>
        <w:rPr>
          <w:rFonts w:hint="eastAsia" w:ascii="宋体" w:hAnsi="宋体" w:cs="宋体"/>
          <w:color w:val="auto"/>
          <w:szCs w:val="21"/>
        </w:rPr>
        <w:t>鼓励供应商在参加政府采购过程中开展绿色设计、选择绿色材料、打造绿色制造工艺、开展绿色运输、做好废弃产品回收处理，实现产品全周期的绿色环保。鼓励采购人对其提高预付款比例、免收履约保证金。</w:t>
      </w:r>
      <w:bookmarkEnd w:id="25"/>
    </w:p>
    <w:p>
      <w:pPr>
        <w:pStyle w:val="235"/>
        <w:numPr>
          <w:ilvl w:val="0"/>
          <w:numId w:val="8"/>
        </w:numPr>
        <w:adjustRightInd/>
        <w:ind w:firstLineChars="0"/>
        <w:rPr>
          <w:rFonts w:ascii="宋体" w:hAnsi="宋体" w:cs="宋体"/>
          <w:color w:val="auto"/>
          <w:szCs w:val="21"/>
        </w:rPr>
      </w:pPr>
      <w:r>
        <w:rPr>
          <w:rFonts w:hint="eastAsia" w:ascii="宋体" w:hAnsi="宋体" w:cs="宋体"/>
          <w:color w:val="auto"/>
          <w:szCs w:val="21"/>
        </w:rPr>
        <w:t>支持中小企业发展</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rPr>
          <w:rFonts w:ascii="宋体" w:hAnsi="宋体" w:cs="宋体"/>
          <w:color w:val="auto"/>
          <w:szCs w:val="21"/>
        </w:rPr>
      </w:pPr>
      <w:r>
        <w:rPr>
          <w:rFonts w:hint="eastAsia" w:ascii="宋体" w:hAnsi="宋体" w:cs="宋体"/>
          <w:color w:val="auto"/>
          <w:szCs w:val="21"/>
        </w:rPr>
        <w:t>符合中小企业划分标准的个体工商户，在政府采购活动中视同中小企业。</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在政府采购活动中，供应商提供的货物、工程或者服务符合下列情形的，享受中小企业扶持政策：在服务采购项目中，服务由中小企业承接，即提供服务的人员为中小企业依照《中华人民共和国劳动合同法》订立劳动合同的从业人员。</w:t>
      </w:r>
    </w:p>
    <w:p>
      <w:pPr>
        <w:adjustRightInd/>
        <w:rPr>
          <w:rFonts w:ascii="宋体" w:hAnsi="宋体" w:cs="宋体"/>
          <w:color w:val="auto"/>
          <w:szCs w:val="21"/>
        </w:rPr>
      </w:pPr>
      <w:r>
        <w:rPr>
          <w:rFonts w:hint="eastAsia" w:ascii="宋体" w:hAnsi="宋体" w:cs="宋体"/>
          <w:color w:val="auto"/>
          <w:szCs w:val="21"/>
        </w:rPr>
        <w:t>以联合体形式参加政府采购活动，联合体各方均为中小企业的，联合体视同中小企业。其中，联合体各方均为小微企业的，联合体视同小微企业。</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符合《关于促进残疾人就业政府采购政策的通知》（财库〔2017〕141号）规定的条件并提供《残疾人福利性单位声明函》（附件1）的残疾人福利性单位视同小型、微型企业；</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pStyle w:val="235"/>
        <w:numPr>
          <w:ilvl w:val="0"/>
          <w:numId w:val="10"/>
        </w:numPr>
        <w:adjustRightInd/>
        <w:ind w:firstLineChars="0"/>
        <w:rPr>
          <w:rFonts w:ascii="宋体" w:hAnsi="宋体" w:cs="宋体"/>
          <w:color w:val="auto"/>
          <w:szCs w:val="21"/>
        </w:rPr>
      </w:pPr>
      <w:r>
        <w:rPr>
          <w:rFonts w:hint="eastAsia" w:ascii="宋体" w:hAnsi="宋体" w:cs="宋体"/>
          <w:color w:val="auto"/>
          <w:szCs w:val="21"/>
        </w:rPr>
        <w:t>中小企业享受扶持政策获得政府采购合同的，小微企业不得将合同分包给大中型企业，中型企业不得将合同分包给大型企业。</w:t>
      </w:r>
    </w:p>
    <w:p>
      <w:pPr>
        <w:pStyle w:val="235"/>
        <w:numPr>
          <w:ilvl w:val="0"/>
          <w:numId w:val="8"/>
        </w:numPr>
        <w:adjustRightInd/>
        <w:ind w:firstLineChars="0"/>
        <w:rPr>
          <w:rFonts w:ascii="宋体" w:hAnsi="宋体" w:cs="宋体"/>
          <w:color w:val="auto"/>
          <w:szCs w:val="21"/>
        </w:rPr>
      </w:pPr>
      <w:r>
        <w:rPr>
          <w:rFonts w:hint="eastAsia" w:ascii="宋体" w:hAnsi="宋体" w:cs="宋体"/>
          <w:color w:val="auto"/>
          <w:szCs w:val="21"/>
        </w:rPr>
        <w:t>支持创新发展</w:t>
      </w:r>
    </w:p>
    <w:p>
      <w:pPr>
        <w:pStyle w:val="235"/>
        <w:numPr>
          <w:ilvl w:val="0"/>
          <w:numId w:val="11"/>
        </w:numPr>
        <w:adjustRightInd/>
        <w:ind w:firstLineChars="0"/>
        <w:rPr>
          <w:rFonts w:ascii="宋体" w:hAnsi="宋体" w:cs="宋体"/>
          <w:color w:val="auto"/>
          <w:szCs w:val="21"/>
        </w:rPr>
      </w:pPr>
      <w:r>
        <w:rPr>
          <w:rFonts w:hint="eastAsia" w:ascii="宋体" w:hAnsi="宋体" w:cs="宋体"/>
          <w:color w:val="auto"/>
          <w:szCs w:val="21"/>
        </w:rPr>
        <w:t>采购人优先采购被认定为首台套产品和“制造精品”的自主创新产品。</w:t>
      </w:r>
    </w:p>
    <w:p>
      <w:pPr>
        <w:pStyle w:val="235"/>
        <w:numPr>
          <w:ilvl w:val="0"/>
          <w:numId w:val="11"/>
        </w:numPr>
        <w:adjustRightInd/>
        <w:ind w:firstLineChars="0"/>
        <w:rPr>
          <w:rFonts w:ascii="宋体" w:hAnsi="宋体" w:cs="宋体"/>
          <w:color w:val="auto"/>
          <w:szCs w:val="21"/>
        </w:rPr>
      </w:pPr>
      <w:r>
        <w:rPr>
          <w:rFonts w:hint="eastAsia" w:ascii="宋体" w:hAnsi="宋体" w:cs="宋体"/>
          <w:color w:val="auto"/>
          <w:szCs w:val="21"/>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235"/>
        <w:numPr>
          <w:ilvl w:val="0"/>
          <w:numId w:val="8"/>
        </w:numPr>
        <w:adjustRightInd/>
        <w:ind w:firstLineChars="0"/>
        <w:rPr>
          <w:rFonts w:ascii="宋体" w:hAnsi="宋体" w:cs="宋体"/>
          <w:color w:val="auto"/>
          <w:szCs w:val="21"/>
        </w:rPr>
      </w:pPr>
      <w:r>
        <w:rPr>
          <w:rFonts w:hint="eastAsia" w:ascii="宋体" w:hAnsi="宋体" w:cs="宋体"/>
          <w:color w:val="auto"/>
          <w:szCs w:val="21"/>
        </w:rPr>
        <w:t>平等对待内外资企业和符合条件的破产重整企业</w:t>
      </w:r>
    </w:p>
    <w:p>
      <w:pPr>
        <w:adjustRightInd/>
        <w:rPr>
          <w:rFonts w:ascii="宋体" w:hAnsi="宋体" w:cs="宋体"/>
          <w:color w:val="auto"/>
          <w:szCs w:val="21"/>
        </w:rPr>
      </w:pPr>
      <w:r>
        <w:rPr>
          <w:rFonts w:hint="eastAsia" w:ascii="宋体" w:hAnsi="宋体" w:cs="宋体"/>
          <w:color w:val="auto"/>
          <w:szCs w:val="21"/>
        </w:rPr>
        <w:t>平等对待内外资企业和符合条件的破产重整企业，切实保障企业公平竞争，平等维护企业的合法利益。</w:t>
      </w:r>
    </w:p>
    <w:p>
      <w:pPr>
        <w:pStyle w:val="235"/>
        <w:numPr>
          <w:ilvl w:val="0"/>
          <w:numId w:val="6"/>
        </w:numPr>
        <w:adjustRightInd/>
        <w:ind w:firstLineChars="0"/>
        <w:rPr>
          <w:rFonts w:ascii="宋体" w:hAnsi="宋体" w:cs="宋体"/>
          <w:color w:val="auto"/>
          <w:szCs w:val="21"/>
        </w:rPr>
      </w:pPr>
      <w:r>
        <w:rPr>
          <w:rFonts w:hint="eastAsia" w:ascii="宋体" w:hAnsi="宋体" w:cs="宋体"/>
          <w:color w:val="auto"/>
          <w:szCs w:val="21"/>
        </w:rPr>
        <w:t>询问、质疑、投诉</w:t>
      </w:r>
    </w:p>
    <w:p>
      <w:pPr>
        <w:pStyle w:val="71"/>
        <w:numPr>
          <w:ilvl w:val="0"/>
          <w:numId w:val="12"/>
        </w:numPr>
        <w:spacing w:before="0" w:beforeAutospacing="0" w:after="0" w:afterAutospacing="0"/>
        <w:ind w:firstLineChars="0"/>
        <w:rPr>
          <w:color w:val="auto"/>
          <w:sz w:val="21"/>
          <w:szCs w:val="21"/>
          <w:lang w:val="zh-CN"/>
        </w:rPr>
      </w:pPr>
      <w:r>
        <w:rPr>
          <w:rFonts w:hint="eastAsia"/>
          <w:color w:val="auto"/>
          <w:sz w:val="21"/>
          <w:szCs w:val="21"/>
          <w:lang w:val="zh-CN"/>
        </w:rPr>
        <w:t>在线询问、质疑、投诉</w:t>
      </w:r>
    </w:p>
    <w:p>
      <w:pPr>
        <w:pStyle w:val="71"/>
        <w:spacing w:before="0" w:beforeAutospacing="0" w:after="0" w:afterAutospacing="0"/>
        <w:rPr>
          <w:color w:val="auto"/>
          <w:sz w:val="21"/>
          <w:szCs w:val="21"/>
          <w:lang w:val="zh-CN"/>
        </w:rPr>
      </w:pPr>
      <w:r>
        <w:rPr>
          <w:rFonts w:hint="eastAsia"/>
          <w:color w:val="auto"/>
          <w:sz w:val="21"/>
          <w:szCs w:val="21"/>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71"/>
        <w:numPr>
          <w:ilvl w:val="0"/>
          <w:numId w:val="12"/>
        </w:numPr>
        <w:spacing w:before="0" w:beforeAutospacing="0" w:after="0" w:afterAutospacing="0"/>
        <w:ind w:firstLineChars="0"/>
        <w:rPr>
          <w:color w:val="auto"/>
          <w:sz w:val="21"/>
          <w:szCs w:val="21"/>
          <w:lang w:val="zh-CN"/>
        </w:rPr>
      </w:pPr>
      <w:r>
        <w:rPr>
          <w:rFonts w:hint="eastAsia"/>
          <w:color w:val="auto"/>
          <w:sz w:val="21"/>
          <w:szCs w:val="21"/>
          <w:lang w:val="zh-CN"/>
        </w:rPr>
        <w:t>供应商询问</w:t>
      </w:r>
    </w:p>
    <w:p>
      <w:pPr>
        <w:pStyle w:val="71"/>
        <w:spacing w:before="0" w:beforeAutospacing="0" w:after="0" w:afterAutospacing="0"/>
        <w:rPr>
          <w:color w:val="auto"/>
          <w:sz w:val="21"/>
          <w:szCs w:val="21"/>
          <w:lang w:val="zh-CN"/>
        </w:rPr>
      </w:pPr>
      <w:r>
        <w:rPr>
          <w:rFonts w:hint="eastAsia"/>
          <w:color w:val="auto"/>
          <w:sz w:val="21"/>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71"/>
        <w:numPr>
          <w:ilvl w:val="0"/>
          <w:numId w:val="12"/>
        </w:numPr>
        <w:spacing w:before="0" w:beforeAutospacing="0" w:after="0" w:afterAutospacing="0"/>
        <w:ind w:firstLineChars="0"/>
        <w:rPr>
          <w:color w:val="auto"/>
          <w:sz w:val="21"/>
          <w:szCs w:val="21"/>
          <w:lang w:val="zh-CN"/>
        </w:rPr>
      </w:pPr>
      <w:r>
        <w:rPr>
          <w:rFonts w:hint="eastAsia"/>
          <w:color w:val="auto"/>
          <w:sz w:val="21"/>
          <w:szCs w:val="21"/>
          <w:lang w:val="zh-CN"/>
        </w:rPr>
        <w:t>供应商质疑</w:t>
      </w:r>
    </w:p>
    <w:p>
      <w:pPr>
        <w:pStyle w:val="71"/>
        <w:numPr>
          <w:ilvl w:val="0"/>
          <w:numId w:val="13"/>
        </w:numPr>
        <w:spacing w:before="0" w:beforeAutospacing="0" w:after="0" w:afterAutospacing="0"/>
        <w:ind w:firstLineChars="0"/>
        <w:rPr>
          <w:color w:val="auto"/>
          <w:sz w:val="21"/>
          <w:szCs w:val="21"/>
          <w:lang w:val="zh-CN"/>
        </w:rPr>
      </w:pPr>
      <w:r>
        <w:rPr>
          <w:rFonts w:hint="eastAsia"/>
          <w:color w:val="auto"/>
          <w:sz w:val="21"/>
          <w:szCs w:val="21"/>
          <w:lang w:val="zh-CN"/>
        </w:rPr>
        <w:t>提出质疑的供应商应当是参与所质疑项目采购活动的供应商。潜在供应商已依法获取其可质疑的采购文件的，可以对该文件提出质疑。</w:t>
      </w:r>
    </w:p>
    <w:p>
      <w:pPr>
        <w:pStyle w:val="71"/>
        <w:numPr>
          <w:ilvl w:val="0"/>
          <w:numId w:val="13"/>
        </w:numPr>
        <w:spacing w:before="0" w:beforeAutospacing="0" w:after="0" w:afterAutospacing="0"/>
        <w:ind w:firstLineChars="0"/>
        <w:rPr>
          <w:color w:val="auto"/>
          <w:sz w:val="21"/>
          <w:szCs w:val="21"/>
          <w:lang w:val="zh-CN"/>
        </w:rPr>
      </w:pPr>
      <w:r>
        <w:rPr>
          <w:rFonts w:hint="eastAsia"/>
          <w:color w:val="auto"/>
          <w:sz w:val="21"/>
          <w:szCs w:val="21"/>
          <w:lang w:val="zh-CN"/>
        </w:rPr>
        <w:t>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1"/>
        <w:numPr>
          <w:ilvl w:val="0"/>
          <w:numId w:val="14"/>
        </w:numPr>
        <w:spacing w:before="0" w:beforeAutospacing="0" w:after="0" w:afterAutospacing="0"/>
        <w:ind w:firstLineChars="0"/>
        <w:rPr>
          <w:color w:val="auto"/>
          <w:sz w:val="21"/>
          <w:szCs w:val="21"/>
          <w:lang w:val="zh-CN"/>
        </w:rPr>
      </w:pPr>
      <w:r>
        <w:rPr>
          <w:rFonts w:hint="eastAsia"/>
          <w:color w:val="auto"/>
          <w:sz w:val="21"/>
          <w:szCs w:val="21"/>
          <w:lang w:val="zh-CN"/>
        </w:rPr>
        <w:t>对采购文件提出质疑的，质疑期限为供应商获得采购文件之日或者采购文件公告期限届满之日起计算。</w:t>
      </w:r>
    </w:p>
    <w:p>
      <w:pPr>
        <w:pStyle w:val="71"/>
        <w:numPr>
          <w:ilvl w:val="0"/>
          <w:numId w:val="14"/>
        </w:numPr>
        <w:spacing w:before="0" w:beforeAutospacing="0" w:after="0" w:afterAutospacing="0"/>
        <w:ind w:firstLineChars="0"/>
        <w:rPr>
          <w:color w:val="auto"/>
          <w:sz w:val="21"/>
          <w:szCs w:val="21"/>
          <w:lang w:val="zh-CN"/>
        </w:rPr>
      </w:pPr>
      <w:r>
        <w:rPr>
          <w:rFonts w:hint="eastAsia"/>
          <w:color w:val="auto"/>
          <w:sz w:val="21"/>
          <w:szCs w:val="21"/>
          <w:lang w:val="zh-CN"/>
        </w:rPr>
        <w:t>对采购过程提出质疑的，质疑期限为各采购程序环节结束之日起计算。</w:t>
      </w:r>
    </w:p>
    <w:p>
      <w:pPr>
        <w:pStyle w:val="71"/>
        <w:numPr>
          <w:ilvl w:val="0"/>
          <w:numId w:val="14"/>
        </w:numPr>
        <w:spacing w:before="0" w:beforeAutospacing="0" w:after="0" w:afterAutospacing="0"/>
        <w:ind w:firstLineChars="0"/>
        <w:rPr>
          <w:color w:val="auto"/>
          <w:sz w:val="21"/>
          <w:szCs w:val="21"/>
          <w:lang w:val="zh-CN"/>
        </w:rPr>
      </w:pPr>
      <w:r>
        <w:rPr>
          <w:rFonts w:hint="eastAsia"/>
          <w:color w:val="auto"/>
          <w:sz w:val="21"/>
          <w:szCs w:val="21"/>
          <w:lang w:val="zh-CN"/>
        </w:rPr>
        <w:t>对采购结果提出质疑的，质疑期限自采购结果公告期限届满之日起计算。</w:t>
      </w:r>
    </w:p>
    <w:p>
      <w:pPr>
        <w:pStyle w:val="71"/>
        <w:numPr>
          <w:ilvl w:val="0"/>
          <w:numId w:val="14"/>
        </w:numPr>
        <w:spacing w:before="0" w:beforeAutospacing="0" w:after="0" w:afterAutospacing="0"/>
        <w:ind w:firstLineChars="0"/>
        <w:rPr>
          <w:color w:val="auto"/>
          <w:sz w:val="21"/>
          <w:szCs w:val="21"/>
          <w:lang w:val="zh-CN"/>
        </w:rPr>
      </w:pPr>
      <w:r>
        <w:rPr>
          <w:rFonts w:hint="eastAsia"/>
          <w:color w:val="auto"/>
          <w:sz w:val="21"/>
          <w:szCs w:val="21"/>
          <w:lang w:val="zh-CN"/>
        </w:rPr>
        <w:t>供应商提出质疑应当提交质疑函和必要的证明材料。质疑函应当包括下列内容：</w:t>
      </w:r>
    </w:p>
    <w:p>
      <w:pPr>
        <w:pStyle w:val="23"/>
        <w:numPr>
          <w:ilvl w:val="0"/>
          <w:numId w:val="15"/>
        </w:numPr>
        <w:adjustRightInd/>
        <w:ind w:firstLineChars="0"/>
        <w:rPr>
          <w:rFonts w:hAnsi="宋体" w:cs="宋体"/>
          <w:color w:val="auto"/>
          <w:lang w:val="zh-CN"/>
        </w:rPr>
      </w:pPr>
      <w:r>
        <w:rPr>
          <w:rFonts w:hint="eastAsia" w:hAnsi="宋体" w:cs="宋体"/>
          <w:color w:val="auto"/>
          <w:lang w:val="zh-CN"/>
        </w:rPr>
        <w:t>供应商的姓名或者名称、地址、邮编、联系人及联系电话；</w:t>
      </w:r>
    </w:p>
    <w:p>
      <w:pPr>
        <w:pStyle w:val="23"/>
        <w:numPr>
          <w:ilvl w:val="0"/>
          <w:numId w:val="15"/>
        </w:numPr>
        <w:adjustRightInd/>
        <w:ind w:firstLineChars="0"/>
        <w:rPr>
          <w:rFonts w:hAnsi="宋体" w:cs="宋体"/>
          <w:color w:val="auto"/>
          <w:lang w:val="zh-CN"/>
        </w:rPr>
      </w:pPr>
      <w:r>
        <w:rPr>
          <w:rFonts w:hint="eastAsia" w:hAnsi="宋体" w:cs="宋体"/>
          <w:color w:val="auto"/>
          <w:lang w:val="zh-CN"/>
        </w:rPr>
        <w:t>质疑项目的名称、编号；</w:t>
      </w:r>
    </w:p>
    <w:p>
      <w:pPr>
        <w:pStyle w:val="23"/>
        <w:numPr>
          <w:ilvl w:val="0"/>
          <w:numId w:val="15"/>
        </w:numPr>
        <w:adjustRightInd/>
        <w:ind w:firstLineChars="0"/>
        <w:rPr>
          <w:rFonts w:hAnsi="宋体" w:cs="宋体"/>
          <w:color w:val="auto"/>
          <w:lang w:val="zh-CN"/>
        </w:rPr>
      </w:pPr>
      <w:r>
        <w:rPr>
          <w:rFonts w:hint="eastAsia" w:hAnsi="宋体" w:cs="宋体"/>
          <w:color w:val="auto"/>
          <w:lang w:val="zh-CN"/>
        </w:rPr>
        <w:t>具体、明确的质疑事项和与质疑事项相关的请求；</w:t>
      </w:r>
    </w:p>
    <w:p>
      <w:pPr>
        <w:pStyle w:val="23"/>
        <w:numPr>
          <w:ilvl w:val="0"/>
          <w:numId w:val="15"/>
        </w:numPr>
        <w:adjustRightInd/>
        <w:ind w:firstLineChars="0"/>
        <w:rPr>
          <w:rFonts w:hAnsi="宋体" w:cs="宋体"/>
          <w:color w:val="auto"/>
          <w:lang w:val="zh-CN"/>
        </w:rPr>
      </w:pPr>
      <w:r>
        <w:rPr>
          <w:rFonts w:hint="eastAsia" w:hAnsi="宋体" w:cs="宋体"/>
          <w:color w:val="auto"/>
          <w:lang w:val="zh-CN"/>
        </w:rPr>
        <w:t>事实依据；</w:t>
      </w:r>
    </w:p>
    <w:p>
      <w:pPr>
        <w:pStyle w:val="23"/>
        <w:numPr>
          <w:ilvl w:val="0"/>
          <w:numId w:val="15"/>
        </w:numPr>
        <w:adjustRightInd/>
        <w:ind w:firstLineChars="0"/>
        <w:rPr>
          <w:rFonts w:hAnsi="宋体" w:cs="宋体"/>
          <w:color w:val="auto"/>
          <w:lang w:val="zh-CN"/>
        </w:rPr>
      </w:pPr>
      <w:r>
        <w:rPr>
          <w:rFonts w:hint="eastAsia" w:hAnsi="宋体" w:cs="宋体"/>
          <w:color w:val="auto"/>
          <w:lang w:val="zh-CN"/>
        </w:rPr>
        <w:t>必要的法律依据；</w:t>
      </w:r>
    </w:p>
    <w:p>
      <w:pPr>
        <w:pStyle w:val="23"/>
        <w:numPr>
          <w:ilvl w:val="0"/>
          <w:numId w:val="15"/>
        </w:numPr>
        <w:adjustRightInd/>
        <w:ind w:firstLineChars="0"/>
        <w:rPr>
          <w:rFonts w:hAnsi="宋体" w:cs="宋体"/>
          <w:color w:val="auto"/>
          <w:lang w:val="zh-CN"/>
        </w:rPr>
      </w:pPr>
      <w:r>
        <w:rPr>
          <w:rFonts w:hint="eastAsia" w:hAnsi="宋体" w:cs="宋体"/>
          <w:color w:val="auto"/>
          <w:lang w:val="zh-CN"/>
        </w:rPr>
        <w:t>提出质疑的日期。</w:t>
      </w:r>
    </w:p>
    <w:p>
      <w:pPr>
        <w:pStyle w:val="71"/>
        <w:spacing w:before="0" w:beforeAutospacing="0" w:after="0" w:afterAutospacing="0"/>
        <w:rPr>
          <w:color w:val="auto"/>
          <w:sz w:val="21"/>
          <w:szCs w:val="21"/>
        </w:rPr>
      </w:pPr>
      <w:r>
        <w:rPr>
          <w:rFonts w:hint="eastAsia"/>
          <w:color w:val="auto"/>
          <w:sz w:val="21"/>
          <w:szCs w:val="21"/>
        </w:rPr>
        <w:t>供应商提交的质疑函需一式三份。供应商为自然人的，应当由本人签字；供应商为法人或者其他组织的，应当由法定代表人、主要负责人，或者其授权代表签字或者盖章，并加盖公章。</w:t>
      </w:r>
    </w:p>
    <w:p>
      <w:pPr>
        <w:pStyle w:val="71"/>
        <w:spacing w:before="0" w:beforeAutospacing="0" w:after="0" w:afterAutospacing="0"/>
        <w:rPr>
          <w:color w:val="auto"/>
          <w:sz w:val="21"/>
          <w:szCs w:val="21"/>
        </w:rPr>
      </w:pPr>
      <w:r>
        <w:rPr>
          <w:rFonts w:hint="eastAsia"/>
          <w:color w:val="auto"/>
          <w:sz w:val="21"/>
          <w:szCs w:val="21"/>
        </w:rPr>
        <w:t>质疑函范本及制作说明详见附件2。</w:t>
      </w:r>
    </w:p>
    <w:p>
      <w:pPr>
        <w:pStyle w:val="71"/>
        <w:numPr>
          <w:ilvl w:val="0"/>
          <w:numId w:val="13"/>
        </w:numPr>
        <w:spacing w:before="0" w:beforeAutospacing="0" w:after="0" w:afterAutospacing="0"/>
        <w:ind w:firstLineChars="0"/>
        <w:rPr>
          <w:color w:val="auto"/>
          <w:sz w:val="21"/>
          <w:szCs w:val="21"/>
        </w:rPr>
      </w:pPr>
      <w:r>
        <w:rPr>
          <w:rFonts w:hint="eastAsia"/>
          <w:color w:val="auto"/>
          <w:sz w:val="21"/>
          <w:szCs w:val="21"/>
          <w:lang w:val="zh-CN"/>
        </w:rPr>
        <w:t>对同一采购程序环节的质疑，供应商须在法定质疑期内一次性提出。</w:t>
      </w:r>
    </w:p>
    <w:p>
      <w:pPr>
        <w:pStyle w:val="71"/>
        <w:numPr>
          <w:ilvl w:val="0"/>
          <w:numId w:val="13"/>
        </w:numPr>
        <w:spacing w:before="0" w:beforeAutospacing="0" w:after="0" w:afterAutospacing="0"/>
        <w:ind w:firstLineChars="0"/>
        <w:rPr>
          <w:color w:val="auto"/>
          <w:sz w:val="21"/>
          <w:szCs w:val="21"/>
        </w:rPr>
      </w:pPr>
      <w:r>
        <w:rPr>
          <w:rFonts w:hint="eastAsia"/>
          <w:color w:val="auto"/>
          <w:sz w:val="21"/>
          <w:szCs w:val="21"/>
        </w:rPr>
        <w:t>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加强政府采购公平竞争打造最优营商环境的通知》（浙财采监〔2021〕22号）的规定执行。</w:t>
      </w:r>
    </w:p>
    <w:p>
      <w:pPr>
        <w:pStyle w:val="71"/>
        <w:numPr>
          <w:ilvl w:val="0"/>
          <w:numId w:val="13"/>
        </w:numPr>
        <w:spacing w:before="0" w:beforeAutospacing="0" w:after="0" w:afterAutospacing="0"/>
        <w:ind w:firstLineChars="0"/>
        <w:rPr>
          <w:color w:val="auto"/>
          <w:sz w:val="21"/>
          <w:szCs w:val="21"/>
        </w:rPr>
      </w:pPr>
      <w:r>
        <w:rPr>
          <w:rFonts w:hint="eastAsia"/>
          <w:color w:val="auto"/>
          <w:sz w:val="21"/>
          <w:szCs w:val="21"/>
        </w:rPr>
        <w:t>询问或者质疑事项可能影响采购结果的，采购人应当暂停签订合同，已经签订合同的，应当中止履行合同。</w:t>
      </w:r>
    </w:p>
    <w:p>
      <w:pPr>
        <w:pStyle w:val="71"/>
        <w:numPr>
          <w:ilvl w:val="0"/>
          <w:numId w:val="12"/>
        </w:numPr>
        <w:spacing w:before="0" w:beforeAutospacing="0" w:after="0" w:afterAutospacing="0"/>
        <w:ind w:firstLineChars="0"/>
        <w:rPr>
          <w:color w:val="auto"/>
          <w:sz w:val="21"/>
          <w:szCs w:val="21"/>
          <w:lang w:val="zh-CN"/>
        </w:rPr>
      </w:pPr>
      <w:r>
        <w:rPr>
          <w:rFonts w:hint="eastAsia"/>
          <w:color w:val="auto"/>
          <w:sz w:val="21"/>
          <w:szCs w:val="21"/>
          <w:lang w:val="zh-CN"/>
        </w:rPr>
        <w:t>供应商投诉</w:t>
      </w:r>
    </w:p>
    <w:p>
      <w:pPr>
        <w:pStyle w:val="71"/>
        <w:numPr>
          <w:ilvl w:val="0"/>
          <w:numId w:val="16"/>
        </w:numPr>
        <w:spacing w:before="0" w:beforeAutospacing="0" w:after="0" w:afterAutospacing="0"/>
        <w:ind w:firstLineChars="0"/>
        <w:rPr>
          <w:color w:val="auto"/>
          <w:sz w:val="21"/>
          <w:szCs w:val="21"/>
        </w:rPr>
      </w:pPr>
      <w:r>
        <w:rPr>
          <w:rFonts w:hint="eastAsia"/>
          <w:color w:val="auto"/>
          <w:sz w:val="21"/>
          <w:szCs w:val="21"/>
        </w:rPr>
        <w:t>质疑供应商对采购人、采购代理机构的答复不满意或者采购人、采购代理机构未在规定的时间内作出答复的，可以在答复期满后十五个工作日内向同级政府采购监督管理部门提出投诉。</w:t>
      </w:r>
    </w:p>
    <w:p>
      <w:pPr>
        <w:pStyle w:val="71"/>
        <w:numPr>
          <w:ilvl w:val="0"/>
          <w:numId w:val="16"/>
        </w:numPr>
        <w:spacing w:before="0" w:beforeAutospacing="0" w:after="0" w:afterAutospacing="0"/>
        <w:ind w:firstLineChars="0"/>
        <w:rPr>
          <w:color w:val="auto"/>
          <w:sz w:val="21"/>
          <w:szCs w:val="21"/>
        </w:rPr>
      </w:pPr>
      <w:r>
        <w:rPr>
          <w:rFonts w:hint="eastAsia"/>
          <w:color w:val="auto"/>
          <w:sz w:val="21"/>
          <w:szCs w:val="21"/>
        </w:rPr>
        <w:t>供应商投诉的事项不得超出已质疑事项的范围，基于质疑答复内容提出的投诉事项除外。</w:t>
      </w:r>
    </w:p>
    <w:p>
      <w:pPr>
        <w:pStyle w:val="71"/>
        <w:numPr>
          <w:ilvl w:val="0"/>
          <w:numId w:val="16"/>
        </w:numPr>
        <w:spacing w:before="0" w:beforeAutospacing="0" w:after="0" w:afterAutospacing="0"/>
        <w:ind w:firstLineChars="0"/>
        <w:rPr>
          <w:color w:val="auto"/>
          <w:sz w:val="21"/>
          <w:szCs w:val="21"/>
        </w:rPr>
      </w:pPr>
      <w:r>
        <w:rPr>
          <w:rFonts w:hint="eastAsia"/>
          <w:color w:val="auto"/>
          <w:sz w:val="21"/>
          <w:szCs w:val="21"/>
        </w:rPr>
        <w:t>供应商投诉应当有明确的请求和必要的证明材料。</w:t>
      </w:r>
    </w:p>
    <w:p>
      <w:pPr>
        <w:pStyle w:val="71"/>
        <w:numPr>
          <w:ilvl w:val="0"/>
          <w:numId w:val="16"/>
        </w:numPr>
        <w:spacing w:before="0" w:beforeAutospacing="0" w:after="0" w:afterAutospacing="0"/>
        <w:ind w:firstLineChars="0"/>
        <w:rPr>
          <w:color w:val="auto"/>
          <w:sz w:val="21"/>
          <w:szCs w:val="21"/>
        </w:rPr>
      </w:pPr>
      <w:r>
        <w:rPr>
          <w:rFonts w:hint="eastAsia"/>
          <w:color w:val="auto"/>
          <w:sz w:val="21"/>
          <w:szCs w:val="21"/>
        </w:rPr>
        <w:t>以联合体形式参加政府采购活动的，其投诉应当由组成联合体的所有供应商共同提出。</w:t>
      </w:r>
    </w:p>
    <w:p>
      <w:pPr>
        <w:pStyle w:val="71"/>
        <w:numPr>
          <w:ilvl w:val="0"/>
          <w:numId w:val="16"/>
        </w:numPr>
        <w:spacing w:before="0" w:beforeAutospacing="0" w:after="0" w:afterAutospacing="0"/>
        <w:ind w:firstLineChars="0"/>
        <w:rPr>
          <w:color w:val="auto"/>
          <w:sz w:val="21"/>
          <w:szCs w:val="21"/>
        </w:rPr>
      </w:pPr>
      <w:r>
        <w:rPr>
          <w:rFonts w:hint="eastAsia"/>
          <w:color w:val="auto"/>
          <w:sz w:val="21"/>
          <w:szCs w:val="21"/>
        </w:rPr>
        <w:t>投诉材料可寄送至：象山县财政局政府采购管理办公室（象山县丹西街道丹峰西路163号）收件人：</w:t>
      </w:r>
      <w:r>
        <w:rPr>
          <w:rFonts w:hint="eastAsia"/>
          <w:color w:val="auto"/>
          <w:sz w:val="21"/>
          <w:szCs w:val="21"/>
          <w:u w:val="single"/>
        </w:rPr>
        <w:t>林老师</w:t>
      </w:r>
      <w:r>
        <w:rPr>
          <w:rFonts w:hint="eastAsia"/>
          <w:color w:val="auto"/>
          <w:sz w:val="21"/>
          <w:szCs w:val="21"/>
        </w:rPr>
        <w:t>，电话：</w:t>
      </w:r>
      <w:r>
        <w:rPr>
          <w:rFonts w:hint="eastAsia"/>
          <w:color w:val="auto"/>
          <w:sz w:val="21"/>
          <w:szCs w:val="21"/>
          <w:u w:val="single"/>
        </w:rPr>
        <w:t>0574-65753557</w:t>
      </w:r>
      <w:r>
        <w:rPr>
          <w:rFonts w:hint="eastAsia"/>
          <w:color w:val="auto"/>
          <w:sz w:val="21"/>
          <w:szCs w:val="21"/>
        </w:rPr>
        <w:t>。</w:t>
      </w:r>
    </w:p>
    <w:p>
      <w:pPr>
        <w:pStyle w:val="71"/>
        <w:spacing w:before="0" w:beforeAutospacing="0" w:after="0" w:afterAutospacing="0"/>
        <w:rPr>
          <w:color w:val="auto"/>
          <w:sz w:val="21"/>
          <w:szCs w:val="21"/>
        </w:rPr>
      </w:pPr>
      <w:r>
        <w:rPr>
          <w:rFonts w:hint="eastAsia"/>
          <w:color w:val="auto"/>
          <w:sz w:val="21"/>
          <w:szCs w:val="21"/>
        </w:rPr>
        <w:t>投诉书范本及制作说明详见附件3。</w:t>
      </w:r>
    </w:p>
    <w:p>
      <w:pPr>
        <w:pStyle w:val="75"/>
        <w:adjustRightInd/>
        <w:spacing w:before="0"/>
        <w:ind w:firstLine="420"/>
        <w:rPr>
          <w:rFonts w:ascii="宋体" w:hAnsi="宋体" w:cs="宋体"/>
          <w:color w:val="auto"/>
          <w:sz w:val="21"/>
          <w:szCs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26" w:name="_Toc1208"/>
      <w:bookmarkStart w:id="27" w:name="_Toc15971"/>
      <w:bookmarkStart w:id="28" w:name="_Toc23183"/>
      <w:r>
        <w:rPr>
          <w:rFonts w:hint="eastAsia" w:ascii="宋体" w:hAnsi="宋体" w:cs="宋体"/>
          <w:color w:val="auto"/>
          <w:szCs w:val="21"/>
        </w:rPr>
        <w:t>采购文件的构成、澄清、修改</w:t>
      </w:r>
      <w:bookmarkEnd w:id="26"/>
      <w:bookmarkEnd w:id="27"/>
      <w:bookmarkEnd w:id="28"/>
    </w:p>
    <w:p>
      <w:pPr>
        <w:pStyle w:val="23"/>
        <w:numPr>
          <w:ilvl w:val="0"/>
          <w:numId w:val="6"/>
        </w:numPr>
        <w:adjustRightInd/>
        <w:ind w:firstLineChars="0"/>
        <w:rPr>
          <w:rFonts w:hAnsi="宋体" w:cs="宋体"/>
          <w:color w:val="auto"/>
        </w:rPr>
      </w:pPr>
      <w:r>
        <w:rPr>
          <w:rFonts w:hint="eastAsia" w:hAnsi="宋体" w:cs="宋体"/>
          <w:color w:val="auto"/>
        </w:rPr>
        <w:t>采购文件的构成</w:t>
      </w:r>
    </w:p>
    <w:p>
      <w:pPr>
        <w:pStyle w:val="23"/>
        <w:numPr>
          <w:ilvl w:val="0"/>
          <w:numId w:val="18"/>
        </w:numPr>
        <w:adjustRightInd/>
        <w:ind w:firstLineChars="0"/>
        <w:rPr>
          <w:rFonts w:hAnsi="宋体" w:cs="宋体"/>
          <w:color w:val="auto"/>
        </w:rPr>
      </w:pPr>
      <w:r>
        <w:rPr>
          <w:rFonts w:hint="eastAsia" w:hAnsi="宋体" w:cs="宋体"/>
          <w:color w:val="auto"/>
        </w:rPr>
        <w:t>采购文件包括下列文件及附件：</w:t>
      </w:r>
    </w:p>
    <w:p>
      <w:pPr>
        <w:pStyle w:val="23"/>
        <w:numPr>
          <w:ilvl w:val="0"/>
          <w:numId w:val="19"/>
        </w:numPr>
        <w:adjustRightInd/>
        <w:ind w:firstLineChars="0"/>
        <w:rPr>
          <w:rFonts w:hAnsi="宋体" w:cs="宋体"/>
          <w:color w:val="auto"/>
        </w:rPr>
      </w:pPr>
      <w:r>
        <w:rPr>
          <w:rFonts w:hint="eastAsia" w:hAnsi="宋体" w:cs="宋体"/>
          <w:color w:val="auto"/>
        </w:rPr>
        <w:t>招标公告；</w:t>
      </w:r>
    </w:p>
    <w:p>
      <w:pPr>
        <w:pStyle w:val="23"/>
        <w:numPr>
          <w:ilvl w:val="0"/>
          <w:numId w:val="19"/>
        </w:numPr>
        <w:adjustRightInd/>
        <w:ind w:firstLineChars="0"/>
        <w:rPr>
          <w:rFonts w:hAnsi="宋体" w:cs="宋体"/>
          <w:color w:val="auto"/>
        </w:rPr>
      </w:pPr>
      <w:r>
        <w:rPr>
          <w:rFonts w:hint="eastAsia" w:hAnsi="宋体" w:cs="宋体"/>
          <w:color w:val="auto"/>
        </w:rPr>
        <w:t>供应商须知；</w:t>
      </w:r>
    </w:p>
    <w:p>
      <w:pPr>
        <w:pStyle w:val="23"/>
        <w:numPr>
          <w:ilvl w:val="0"/>
          <w:numId w:val="19"/>
        </w:numPr>
        <w:adjustRightInd/>
        <w:ind w:firstLineChars="0"/>
        <w:rPr>
          <w:rFonts w:hAnsi="宋体" w:cs="宋体"/>
          <w:color w:val="auto"/>
        </w:rPr>
      </w:pPr>
      <w:r>
        <w:rPr>
          <w:rFonts w:hint="eastAsia" w:hAnsi="宋体" w:cs="宋体"/>
          <w:color w:val="auto"/>
        </w:rPr>
        <w:t>采购需求；</w:t>
      </w:r>
    </w:p>
    <w:p>
      <w:pPr>
        <w:pStyle w:val="23"/>
        <w:numPr>
          <w:ilvl w:val="0"/>
          <w:numId w:val="19"/>
        </w:numPr>
        <w:adjustRightInd/>
        <w:ind w:firstLineChars="0"/>
        <w:rPr>
          <w:rFonts w:hAnsi="宋体" w:cs="宋体"/>
          <w:color w:val="auto"/>
        </w:rPr>
      </w:pPr>
      <w:r>
        <w:rPr>
          <w:rFonts w:hint="eastAsia" w:hAnsi="宋体" w:cs="宋体"/>
          <w:color w:val="auto"/>
        </w:rPr>
        <w:t>评标办法；</w:t>
      </w:r>
    </w:p>
    <w:p>
      <w:pPr>
        <w:pStyle w:val="23"/>
        <w:numPr>
          <w:ilvl w:val="0"/>
          <w:numId w:val="19"/>
        </w:numPr>
        <w:adjustRightInd/>
        <w:ind w:firstLineChars="0"/>
        <w:rPr>
          <w:rFonts w:hAnsi="宋体" w:cs="宋体"/>
          <w:color w:val="auto"/>
        </w:rPr>
      </w:pPr>
      <w:r>
        <w:rPr>
          <w:rFonts w:hint="eastAsia" w:hAnsi="宋体" w:cs="宋体"/>
          <w:color w:val="auto"/>
        </w:rPr>
        <w:t>拟签订的合同文本；</w:t>
      </w:r>
    </w:p>
    <w:p>
      <w:pPr>
        <w:pStyle w:val="23"/>
        <w:numPr>
          <w:ilvl w:val="0"/>
          <w:numId w:val="19"/>
        </w:numPr>
        <w:adjustRightInd/>
        <w:ind w:firstLineChars="0"/>
        <w:rPr>
          <w:rFonts w:hAnsi="宋体" w:cs="宋体"/>
          <w:color w:val="auto"/>
        </w:rPr>
      </w:pPr>
      <w:r>
        <w:rPr>
          <w:rFonts w:hint="eastAsia" w:hAnsi="宋体" w:cs="宋体"/>
          <w:color w:val="auto"/>
        </w:rPr>
        <w:t>应提交的有关格式范例。</w:t>
      </w:r>
    </w:p>
    <w:p>
      <w:pPr>
        <w:pStyle w:val="23"/>
        <w:numPr>
          <w:ilvl w:val="0"/>
          <w:numId w:val="18"/>
        </w:numPr>
        <w:adjustRightInd/>
        <w:ind w:firstLineChars="0"/>
        <w:rPr>
          <w:rFonts w:hAnsi="宋体" w:cs="宋体"/>
          <w:color w:val="auto"/>
        </w:rPr>
      </w:pPr>
      <w:r>
        <w:rPr>
          <w:rFonts w:hint="eastAsia" w:hAnsi="宋体" w:cs="宋体"/>
          <w:color w:val="auto"/>
        </w:rPr>
        <w:t>与本项目有关的澄清或者修改的内容为采购文件的组成部分。</w:t>
      </w:r>
    </w:p>
    <w:p>
      <w:pPr>
        <w:pStyle w:val="23"/>
        <w:numPr>
          <w:ilvl w:val="0"/>
          <w:numId w:val="6"/>
        </w:numPr>
        <w:adjustRightInd/>
        <w:ind w:firstLineChars="0"/>
        <w:rPr>
          <w:rFonts w:hAnsi="宋体" w:cs="宋体"/>
          <w:color w:val="auto"/>
        </w:rPr>
      </w:pPr>
      <w:r>
        <w:rPr>
          <w:rFonts w:hint="eastAsia" w:hAnsi="宋体" w:cs="宋体"/>
          <w:color w:val="auto"/>
        </w:rPr>
        <w:t>采购文件的澄清、修改</w:t>
      </w:r>
    </w:p>
    <w:p>
      <w:pPr>
        <w:pStyle w:val="75"/>
        <w:numPr>
          <w:ilvl w:val="0"/>
          <w:numId w:val="20"/>
        </w:numPr>
        <w:adjustRightInd/>
        <w:spacing w:before="0"/>
        <w:ind w:firstLineChars="0"/>
        <w:rPr>
          <w:rFonts w:ascii="宋体" w:hAnsi="宋体" w:cs="宋体"/>
          <w:color w:val="auto"/>
          <w:sz w:val="21"/>
          <w:szCs w:val="21"/>
        </w:rPr>
      </w:pPr>
      <w:r>
        <w:rPr>
          <w:rFonts w:hint="eastAsia" w:ascii="宋体" w:hAnsi="宋体" w:cs="宋体"/>
          <w:color w:val="auto"/>
          <w:sz w:val="21"/>
          <w:szCs w:val="21"/>
        </w:rPr>
        <w:t>已获取采购文件的潜在供应商，若有问题需要澄清，应于投标截止时间前，以书面形式向采购代理机构提出。</w:t>
      </w:r>
    </w:p>
    <w:p>
      <w:pPr>
        <w:pStyle w:val="75"/>
        <w:numPr>
          <w:ilvl w:val="0"/>
          <w:numId w:val="20"/>
        </w:numPr>
        <w:adjustRightInd/>
        <w:spacing w:before="0"/>
        <w:ind w:firstLineChars="0"/>
        <w:rPr>
          <w:rFonts w:ascii="宋体" w:hAnsi="宋体" w:cs="宋体"/>
          <w:color w:val="auto"/>
          <w:sz w:val="21"/>
          <w:szCs w:val="21"/>
        </w:rPr>
      </w:pPr>
      <w:r>
        <w:rPr>
          <w:rFonts w:hint="eastAsia" w:ascii="宋体" w:hAnsi="宋体" w:cs="宋体"/>
          <w:color w:val="auto"/>
          <w:sz w:val="21"/>
          <w:szCs w:val="21"/>
        </w:rPr>
        <w:t>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pStyle w:val="5"/>
        <w:adjustRightInd/>
        <w:rPr>
          <w:rFonts w:hAnsi="宋体" w:cs="宋体"/>
          <w:color w:val="auto"/>
          <w:sz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29" w:name="_Toc32544"/>
      <w:bookmarkStart w:id="30" w:name="_Toc1156"/>
      <w:bookmarkStart w:id="31" w:name="_Toc1406"/>
      <w:r>
        <w:rPr>
          <w:rFonts w:hint="eastAsia" w:ascii="宋体" w:hAnsi="宋体" w:cs="宋体"/>
          <w:color w:val="auto"/>
          <w:szCs w:val="21"/>
        </w:rPr>
        <w:t>投标</w:t>
      </w:r>
      <w:bookmarkEnd w:id="29"/>
      <w:bookmarkEnd w:id="30"/>
      <w:bookmarkEnd w:id="31"/>
    </w:p>
    <w:p>
      <w:pPr>
        <w:pStyle w:val="23"/>
        <w:numPr>
          <w:ilvl w:val="0"/>
          <w:numId w:val="6"/>
        </w:numPr>
        <w:adjustRightInd/>
        <w:ind w:firstLineChars="0"/>
        <w:rPr>
          <w:rFonts w:hAnsi="宋体" w:cs="宋体"/>
          <w:color w:val="auto"/>
        </w:rPr>
      </w:pPr>
      <w:r>
        <w:rPr>
          <w:rFonts w:hint="eastAsia" w:hAnsi="宋体" w:cs="宋体"/>
          <w:color w:val="auto"/>
        </w:rPr>
        <w:t>采购文件的获取</w:t>
      </w:r>
    </w:p>
    <w:p>
      <w:pPr>
        <w:adjustRightInd/>
        <w:rPr>
          <w:rFonts w:ascii="宋体" w:hAnsi="宋体" w:cs="宋体"/>
          <w:snapToGrid w:val="0"/>
          <w:color w:val="auto"/>
          <w:szCs w:val="21"/>
        </w:rPr>
      </w:pPr>
      <w:r>
        <w:rPr>
          <w:rFonts w:hint="eastAsia" w:ascii="宋体" w:hAnsi="宋体" w:cs="宋体"/>
          <w:snapToGrid w:val="0"/>
          <w:color w:val="auto"/>
          <w:szCs w:val="21"/>
        </w:rPr>
        <w:t>详见招标公告中获取采购文件的时间期限、地点、方式及采购文件售价。</w:t>
      </w:r>
    </w:p>
    <w:p>
      <w:pPr>
        <w:pStyle w:val="23"/>
        <w:numPr>
          <w:ilvl w:val="0"/>
          <w:numId w:val="6"/>
        </w:numPr>
        <w:adjustRightInd/>
        <w:ind w:firstLineChars="0"/>
        <w:rPr>
          <w:rFonts w:hAnsi="宋体" w:cs="宋体"/>
          <w:color w:val="auto"/>
        </w:rPr>
      </w:pPr>
      <w:r>
        <w:rPr>
          <w:rFonts w:hint="eastAsia" w:hAnsi="宋体" w:cs="宋体"/>
          <w:color w:val="auto"/>
        </w:rPr>
        <w:t>开标前答疑会或现场考察</w:t>
      </w:r>
    </w:p>
    <w:p>
      <w:pPr>
        <w:pStyle w:val="23"/>
        <w:adjustRightInd/>
        <w:rPr>
          <w:rFonts w:hAnsi="宋体" w:cs="宋体"/>
          <w:color w:val="auto"/>
        </w:rPr>
      </w:pPr>
      <w:r>
        <w:rPr>
          <w:rFonts w:hint="eastAsia" w:hAnsi="宋体" w:cs="宋体"/>
          <w:color w:val="auto"/>
        </w:rPr>
        <w:t>采购人组织潜在供应商现场考察或者召开开标前答疑会的，潜在供应商按第二部分供应商须知前附表的规定参加现场考察或者开标前答疑会。</w:t>
      </w:r>
    </w:p>
    <w:p>
      <w:pPr>
        <w:pStyle w:val="23"/>
        <w:numPr>
          <w:ilvl w:val="0"/>
          <w:numId w:val="6"/>
        </w:numPr>
        <w:adjustRightInd/>
        <w:ind w:firstLineChars="0"/>
        <w:rPr>
          <w:rFonts w:hAnsi="宋体" w:cs="宋体"/>
          <w:color w:val="auto"/>
        </w:rPr>
      </w:pPr>
      <w:r>
        <w:rPr>
          <w:rFonts w:hint="eastAsia" w:hAnsi="宋体" w:cs="宋体"/>
          <w:color w:val="auto"/>
        </w:rPr>
        <w:t>投标保证金</w:t>
      </w:r>
    </w:p>
    <w:p>
      <w:pPr>
        <w:pStyle w:val="17"/>
        <w:adjustRightInd/>
        <w:snapToGrid/>
        <w:spacing w:line="360" w:lineRule="auto"/>
        <w:ind w:firstLine="420"/>
        <w:rPr>
          <w:rFonts w:hAnsi="宋体" w:cs="宋体"/>
          <w:color w:val="auto"/>
          <w:sz w:val="21"/>
          <w:szCs w:val="21"/>
        </w:rPr>
      </w:pPr>
      <w:r>
        <w:rPr>
          <w:rFonts w:hint="eastAsia" w:hAnsi="宋体" w:cs="宋体"/>
          <w:color w:val="auto"/>
          <w:sz w:val="21"/>
          <w:szCs w:val="21"/>
        </w:rPr>
        <w:t>本项目不需缴纳投标保证金。</w:t>
      </w:r>
    </w:p>
    <w:p>
      <w:pPr>
        <w:pStyle w:val="23"/>
        <w:numPr>
          <w:ilvl w:val="0"/>
          <w:numId w:val="6"/>
        </w:numPr>
        <w:adjustRightInd/>
        <w:ind w:firstLineChars="0"/>
        <w:rPr>
          <w:rFonts w:hAnsi="宋体" w:cs="宋体"/>
          <w:color w:val="auto"/>
        </w:rPr>
      </w:pPr>
      <w:r>
        <w:rPr>
          <w:rFonts w:hint="eastAsia" w:hAnsi="宋体" w:cs="宋体"/>
          <w:color w:val="auto"/>
        </w:rPr>
        <w:t>投标文件的语言</w:t>
      </w:r>
    </w:p>
    <w:p>
      <w:pPr>
        <w:adjustRightInd/>
        <w:rPr>
          <w:rFonts w:ascii="宋体" w:hAnsi="宋体" w:cs="宋体"/>
          <w:color w:val="auto"/>
          <w:szCs w:val="21"/>
          <w:lang w:val="zh-CN"/>
        </w:rPr>
      </w:pPr>
      <w:r>
        <w:rPr>
          <w:rFonts w:hint="eastAsia" w:ascii="宋体" w:hAnsi="宋体" w:cs="宋体"/>
          <w:color w:val="auto"/>
          <w:szCs w:val="21"/>
        </w:rPr>
        <w:t>投标文件及供应商与采购有关的来往通知、函件和文件均应使用中文。</w:t>
      </w:r>
    </w:p>
    <w:p>
      <w:pPr>
        <w:pStyle w:val="23"/>
        <w:numPr>
          <w:ilvl w:val="0"/>
          <w:numId w:val="6"/>
        </w:numPr>
        <w:adjustRightInd/>
        <w:ind w:firstLineChars="0"/>
        <w:rPr>
          <w:rFonts w:hAnsi="宋体" w:cs="宋体"/>
          <w:color w:val="auto"/>
        </w:rPr>
      </w:pPr>
      <w:r>
        <w:rPr>
          <w:rFonts w:hint="eastAsia" w:hAnsi="宋体" w:cs="宋体"/>
          <w:color w:val="auto"/>
        </w:rPr>
        <w:t>投标文件的组成</w:t>
      </w:r>
    </w:p>
    <w:p>
      <w:pPr>
        <w:pStyle w:val="235"/>
        <w:numPr>
          <w:ilvl w:val="0"/>
          <w:numId w:val="21"/>
        </w:numPr>
        <w:adjustRightInd/>
        <w:ind w:firstLineChars="0"/>
        <w:rPr>
          <w:rFonts w:ascii="宋体" w:hAnsi="宋体" w:cs="宋体"/>
          <w:color w:val="auto"/>
          <w:szCs w:val="21"/>
        </w:rPr>
      </w:pPr>
      <w:r>
        <w:rPr>
          <w:rFonts w:hint="eastAsia" w:ascii="宋体" w:hAnsi="宋体" w:cs="宋体"/>
          <w:color w:val="auto"/>
          <w:szCs w:val="21"/>
        </w:rPr>
        <w:t>资格证明文件：</w:t>
      </w:r>
    </w:p>
    <w:p>
      <w:pPr>
        <w:pStyle w:val="235"/>
        <w:numPr>
          <w:ilvl w:val="0"/>
          <w:numId w:val="22"/>
        </w:numPr>
        <w:adjustRightInd/>
        <w:ind w:firstLineChars="0"/>
        <w:rPr>
          <w:rFonts w:ascii="宋体" w:hAnsi="宋体" w:cs="宋体"/>
          <w:color w:val="auto"/>
          <w:szCs w:val="21"/>
        </w:rPr>
      </w:pPr>
      <w:r>
        <w:rPr>
          <w:rFonts w:hint="eastAsia" w:ascii="宋体" w:hAnsi="宋体" w:cs="宋体"/>
          <w:color w:val="auto"/>
          <w:szCs w:val="21"/>
        </w:rPr>
        <w:t>符合参加政府采购活动应当具备的一般条件的承诺函；</w:t>
      </w:r>
      <w:bookmarkStart w:id="32" w:name="_Hlk101259339"/>
    </w:p>
    <w:p>
      <w:pPr>
        <w:pStyle w:val="235"/>
        <w:numPr>
          <w:ilvl w:val="0"/>
          <w:numId w:val="22"/>
        </w:numPr>
        <w:adjustRightInd/>
        <w:ind w:firstLineChars="0"/>
        <w:rPr>
          <w:rFonts w:ascii="宋体" w:hAnsi="宋体" w:cs="宋体"/>
          <w:color w:val="auto"/>
          <w:szCs w:val="21"/>
        </w:rPr>
      </w:pPr>
      <w:r>
        <w:rPr>
          <w:rFonts w:hint="eastAsia" w:ascii="宋体" w:hAnsi="宋体" w:cs="宋体"/>
          <w:snapToGrid w:val="0"/>
          <w:color w:val="auto"/>
          <w:szCs w:val="21"/>
        </w:rPr>
        <w:t>联合协议</w:t>
      </w:r>
      <w:bookmarkEnd w:id="32"/>
      <w:r>
        <w:rPr>
          <w:rFonts w:hint="eastAsia" w:ascii="宋体" w:hAnsi="宋体" w:cs="宋体"/>
          <w:snapToGrid w:val="0"/>
          <w:color w:val="auto"/>
          <w:szCs w:val="21"/>
        </w:rPr>
        <w:t>（如有）；</w:t>
      </w:r>
    </w:p>
    <w:p>
      <w:pPr>
        <w:pStyle w:val="235"/>
        <w:numPr>
          <w:ilvl w:val="0"/>
          <w:numId w:val="22"/>
        </w:numPr>
        <w:adjustRightInd/>
        <w:ind w:firstLineChars="0"/>
        <w:rPr>
          <w:rFonts w:ascii="宋体" w:hAnsi="宋体" w:cs="宋体"/>
          <w:color w:val="auto"/>
          <w:szCs w:val="21"/>
        </w:rPr>
      </w:pPr>
      <w:r>
        <w:rPr>
          <w:rFonts w:hint="eastAsia" w:ascii="宋体" w:hAnsi="宋体" w:cs="宋体"/>
          <w:color w:val="auto"/>
          <w:szCs w:val="21"/>
        </w:rPr>
        <w:t>中小企业声明函；</w:t>
      </w:r>
    </w:p>
    <w:p>
      <w:pPr>
        <w:pStyle w:val="235"/>
        <w:numPr>
          <w:ilvl w:val="0"/>
          <w:numId w:val="22"/>
        </w:numPr>
        <w:adjustRightInd/>
        <w:ind w:firstLineChars="0"/>
        <w:rPr>
          <w:rFonts w:ascii="宋体" w:hAnsi="宋体" w:cs="宋体"/>
          <w:color w:val="auto"/>
          <w:szCs w:val="21"/>
        </w:rPr>
      </w:pPr>
      <w:r>
        <w:rPr>
          <w:rFonts w:hint="eastAsia" w:ascii="宋体" w:hAnsi="宋体" w:cs="宋体"/>
          <w:color w:val="auto"/>
          <w:szCs w:val="21"/>
        </w:rPr>
        <w:t>本项目的特定资格要求</w:t>
      </w:r>
      <w:r>
        <w:rPr>
          <w:rFonts w:hint="eastAsia" w:ascii="宋体" w:hAnsi="宋体" w:cs="宋体"/>
          <w:snapToGrid w:val="0"/>
          <w:color w:val="auto"/>
          <w:kern w:val="28"/>
          <w:szCs w:val="21"/>
        </w:rPr>
        <w:t>（如有）</w:t>
      </w:r>
      <w:r>
        <w:rPr>
          <w:rFonts w:hint="eastAsia" w:ascii="宋体" w:hAnsi="宋体" w:cs="宋体"/>
          <w:color w:val="auto"/>
          <w:szCs w:val="21"/>
        </w:rPr>
        <w:t>。</w:t>
      </w:r>
    </w:p>
    <w:p>
      <w:pPr>
        <w:pStyle w:val="235"/>
        <w:numPr>
          <w:ilvl w:val="0"/>
          <w:numId w:val="21"/>
        </w:numPr>
        <w:adjustRightInd/>
        <w:ind w:firstLineChars="0"/>
        <w:rPr>
          <w:rFonts w:ascii="宋体" w:hAnsi="宋体" w:cs="宋体"/>
          <w:color w:val="auto"/>
          <w:szCs w:val="21"/>
          <w:lang w:val="zh-CN"/>
        </w:rPr>
      </w:pPr>
      <w:r>
        <w:rPr>
          <w:rFonts w:hint="eastAsia" w:ascii="宋体" w:hAnsi="宋体" w:cs="宋体"/>
          <w:color w:val="auto"/>
          <w:szCs w:val="21"/>
        </w:rPr>
        <w:t>商务技术</w:t>
      </w:r>
      <w:r>
        <w:rPr>
          <w:rFonts w:hint="eastAsia" w:ascii="宋体" w:hAnsi="宋体" w:cs="宋体"/>
          <w:color w:val="auto"/>
          <w:szCs w:val="21"/>
          <w:lang w:val="zh-CN"/>
        </w:rPr>
        <w:t>文件：</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投标函；</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授权委托书或法定代表人（单位负责人、自然人本人）身份证明；</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分包意向协议</w:t>
      </w:r>
      <w:r>
        <w:rPr>
          <w:rFonts w:hint="eastAsia" w:ascii="宋体" w:hAnsi="宋体" w:cs="宋体"/>
          <w:snapToGrid w:val="0"/>
          <w:color w:val="auto"/>
          <w:kern w:val="28"/>
          <w:szCs w:val="21"/>
        </w:rPr>
        <w:t>（如有）</w:t>
      </w:r>
      <w:r>
        <w:rPr>
          <w:rFonts w:hint="eastAsia" w:ascii="宋体" w:hAnsi="宋体" w:cs="宋体"/>
          <w:color w:val="auto"/>
          <w:szCs w:val="21"/>
        </w:rPr>
        <w:t>；</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符合性审查资料；</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评标标准相应的商务技术资料；</w:t>
      </w:r>
    </w:p>
    <w:p>
      <w:pPr>
        <w:pStyle w:val="235"/>
        <w:numPr>
          <w:ilvl w:val="0"/>
          <w:numId w:val="23"/>
        </w:numPr>
        <w:adjustRightInd/>
        <w:ind w:firstLineChars="0"/>
        <w:rPr>
          <w:rFonts w:ascii="宋体" w:hAnsi="宋体" w:cs="宋体"/>
          <w:color w:val="auto"/>
          <w:szCs w:val="21"/>
        </w:rPr>
      </w:pPr>
      <w:r>
        <w:rPr>
          <w:rFonts w:hint="eastAsia" w:ascii="宋体" w:hAnsi="宋体" w:cs="宋体"/>
          <w:color w:val="auto"/>
          <w:szCs w:val="21"/>
        </w:rPr>
        <w:t>投标标的清单；</w:t>
      </w:r>
    </w:p>
    <w:p>
      <w:pPr>
        <w:pStyle w:val="235"/>
        <w:numPr>
          <w:ilvl w:val="0"/>
          <w:numId w:val="23"/>
        </w:numPr>
        <w:adjustRightInd/>
        <w:ind w:firstLineChars="0"/>
        <w:rPr>
          <w:rFonts w:ascii="宋体" w:hAnsi="宋体" w:cs="宋体"/>
          <w:color w:val="auto"/>
          <w:szCs w:val="21"/>
          <w:lang w:val="zh-CN"/>
        </w:rPr>
      </w:pPr>
      <w:r>
        <w:rPr>
          <w:rFonts w:hint="eastAsia" w:ascii="宋体" w:hAnsi="宋体" w:cs="宋体"/>
          <w:color w:val="auto"/>
          <w:szCs w:val="21"/>
        </w:rPr>
        <w:t>商务技术偏离表；</w:t>
      </w:r>
    </w:p>
    <w:p>
      <w:pPr>
        <w:pStyle w:val="235"/>
        <w:numPr>
          <w:ilvl w:val="0"/>
          <w:numId w:val="23"/>
        </w:numPr>
        <w:adjustRightInd/>
        <w:ind w:firstLineChars="0"/>
        <w:rPr>
          <w:rFonts w:ascii="宋体" w:hAnsi="宋体" w:cs="宋体"/>
          <w:color w:val="auto"/>
          <w:szCs w:val="21"/>
          <w:lang w:val="zh-CN"/>
        </w:rPr>
      </w:pPr>
      <w:r>
        <w:rPr>
          <w:rFonts w:hint="eastAsia" w:ascii="宋体" w:hAnsi="宋体" w:cs="宋体"/>
          <w:color w:val="auto"/>
          <w:szCs w:val="21"/>
          <w:lang w:val="zh-CN"/>
        </w:rPr>
        <w:t>政府采购供应商廉洁自律承诺书。</w:t>
      </w:r>
    </w:p>
    <w:p>
      <w:pPr>
        <w:pStyle w:val="235"/>
        <w:numPr>
          <w:ilvl w:val="0"/>
          <w:numId w:val="21"/>
        </w:numPr>
        <w:adjustRightInd/>
        <w:ind w:firstLineChars="0"/>
        <w:rPr>
          <w:rFonts w:ascii="宋体" w:hAnsi="宋体" w:cs="宋体"/>
          <w:color w:val="auto"/>
          <w:szCs w:val="21"/>
          <w:lang w:val="zh-CN"/>
        </w:rPr>
      </w:pPr>
      <w:r>
        <w:rPr>
          <w:rFonts w:hint="eastAsia" w:ascii="宋体" w:hAnsi="宋体" w:cs="宋体"/>
          <w:color w:val="auto"/>
          <w:szCs w:val="21"/>
        </w:rPr>
        <w:t>报价文件：</w:t>
      </w:r>
    </w:p>
    <w:p>
      <w:pPr>
        <w:pStyle w:val="235"/>
        <w:numPr>
          <w:ilvl w:val="0"/>
          <w:numId w:val="24"/>
        </w:numPr>
        <w:adjustRightInd/>
        <w:ind w:firstLineChars="0"/>
        <w:rPr>
          <w:rFonts w:ascii="宋体" w:hAnsi="宋体" w:cs="宋体"/>
          <w:color w:val="auto"/>
          <w:szCs w:val="21"/>
        </w:rPr>
      </w:pPr>
      <w:r>
        <w:rPr>
          <w:rFonts w:hint="eastAsia" w:ascii="宋体" w:hAnsi="宋体" w:cs="宋体"/>
          <w:color w:val="auto"/>
          <w:szCs w:val="21"/>
        </w:rPr>
        <w:t>开标一览表（报价表）；</w:t>
      </w:r>
    </w:p>
    <w:p>
      <w:pPr>
        <w:pStyle w:val="235"/>
        <w:numPr>
          <w:ilvl w:val="0"/>
          <w:numId w:val="24"/>
        </w:numPr>
        <w:adjustRightInd/>
        <w:ind w:firstLineChars="0"/>
        <w:rPr>
          <w:rFonts w:ascii="宋体" w:hAnsi="宋体" w:cs="宋体"/>
          <w:color w:val="auto"/>
          <w:szCs w:val="21"/>
        </w:rPr>
      </w:pPr>
      <w:r>
        <w:rPr>
          <w:rFonts w:hint="eastAsia" w:ascii="宋体" w:hAnsi="宋体" w:cs="宋体"/>
          <w:color w:val="auto"/>
          <w:szCs w:val="21"/>
        </w:rPr>
        <w:t>中小企业声明函</w:t>
      </w:r>
      <w:r>
        <w:rPr>
          <w:rFonts w:hint="eastAsia" w:ascii="宋体" w:hAnsi="宋体" w:cs="宋体"/>
          <w:color w:val="auto"/>
          <w:szCs w:val="21"/>
          <w:lang w:eastAsia="zh-CN"/>
        </w:rPr>
        <w:t>。</w:t>
      </w:r>
    </w:p>
    <w:p>
      <w:pPr>
        <w:adjustRightInd/>
        <w:rPr>
          <w:rFonts w:ascii="宋体" w:hAnsi="宋体" w:cs="宋体"/>
          <w:color w:val="auto"/>
          <w:szCs w:val="21"/>
        </w:rPr>
      </w:pPr>
      <w:r>
        <w:rPr>
          <w:rFonts w:hint="eastAsia" w:ascii="宋体" w:hAnsi="宋体" w:cs="宋体"/>
          <w:color w:val="auto"/>
          <w:szCs w:val="21"/>
        </w:rPr>
        <w:t>投标文件含有采购人不能接受的附加条件的，投标无效；供应商提供虚假材料投标的，投标无效。</w:t>
      </w:r>
    </w:p>
    <w:p>
      <w:pPr>
        <w:pStyle w:val="75"/>
        <w:numPr>
          <w:ilvl w:val="0"/>
          <w:numId w:val="6"/>
        </w:numPr>
        <w:adjustRightInd/>
        <w:spacing w:before="0"/>
        <w:ind w:firstLineChars="0"/>
        <w:rPr>
          <w:rFonts w:ascii="宋体" w:hAnsi="宋体" w:cs="宋体"/>
          <w:color w:val="auto"/>
          <w:sz w:val="21"/>
          <w:szCs w:val="21"/>
        </w:rPr>
      </w:pPr>
      <w:bookmarkStart w:id="33" w:name="_Toc6564"/>
      <w:bookmarkStart w:id="34" w:name="_Toc7004"/>
      <w:bookmarkStart w:id="35" w:name="_Toc19189"/>
      <w:r>
        <w:rPr>
          <w:rFonts w:hint="eastAsia" w:ascii="宋体" w:hAnsi="宋体" w:cs="宋体"/>
          <w:color w:val="auto"/>
          <w:sz w:val="21"/>
          <w:szCs w:val="21"/>
        </w:rPr>
        <w:t>投标文件的编制</w:t>
      </w:r>
      <w:bookmarkEnd w:id="33"/>
      <w:bookmarkEnd w:id="34"/>
      <w:bookmarkEnd w:id="35"/>
    </w:p>
    <w:p>
      <w:pPr>
        <w:pStyle w:val="235"/>
        <w:numPr>
          <w:ilvl w:val="0"/>
          <w:numId w:val="25"/>
        </w:numPr>
        <w:adjustRightInd/>
        <w:ind w:firstLineChars="0"/>
        <w:rPr>
          <w:rFonts w:ascii="宋体" w:hAnsi="宋体" w:cs="宋体"/>
          <w:color w:val="auto"/>
          <w:szCs w:val="21"/>
          <w:lang w:val="zh-CN"/>
        </w:rPr>
      </w:pPr>
      <w:r>
        <w:rPr>
          <w:rFonts w:hint="eastAsia" w:ascii="宋体" w:hAnsi="宋体" w:cs="宋体"/>
          <w:color w:val="auto"/>
          <w:szCs w:val="21"/>
          <w:lang w:val="zh-CN"/>
        </w:rPr>
        <w:t>投标文件分为资格</w:t>
      </w:r>
      <w:r>
        <w:rPr>
          <w:rFonts w:hint="eastAsia" w:ascii="宋体" w:hAnsi="宋体" w:cs="宋体"/>
          <w:color w:val="auto"/>
          <w:szCs w:val="21"/>
        </w:rPr>
        <w:t>证明</w:t>
      </w:r>
      <w:r>
        <w:rPr>
          <w:rFonts w:hint="eastAsia" w:ascii="宋体" w:hAnsi="宋体" w:cs="宋体"/>
          <w:color w:val="auto"/>
          <w:szCs w:val="21"/>
          <w:lang w:val="zh-CN"/>
        </w:rPr>
        <w:t>文件、商务技术文件、报价文件三部分。各供应商在编制投标文件时请按照采购文件第六部分规定的格式进行，混乱的编排导致投标文件被误读或评标委员会查找不到有效文件是供应商的风险。</w:t>
      </w:r>
    </w:p>
    <w:p>
      <w:pPr>
        <w:pStyle w:val="235"/>
        <w:numPr>
          <w:ilvl w:val="0"/>
          <w:numId w:val="25"/>
        </w:numPr>
        <w:adjustRightInd/>
        <w:ind w:firstLineChars="0"/>
        <w:rPr>
          <w:rFonts w:ascii="宋体" w:hAnsi="宋体" w:cs="宋体"/>
          <w:color w:val="auto"/>
          <w:szCs w:val="21"/>
          <w:lang w:val="zh-CN"/>
        </w:rPr>
      </w:pPr>
      <w:r>
        <w:rPr>
          <w:rFonts w:hint="eastAsia" w:ascii="宋体" w:hAnsi="宋体" w:cs="宋体"/>
          <w:color w:val="auto"/>
          <w:szCs w:val="21"/>
          <w:lang w:val="zh-CN"/>
        </w:rPr>
        <w:t>供应商进行电子投标应安装客户端软件—“政采云电子交易客户端”，并按照采购文件和电子交易平台的要求编制并加密投标文件。供应商未按规定加密的投标文件，电子交易平台将拒收并提示。</w:t>
      </w:r>
    </w:p>
    <w:p>
      <w:pPr>
        <w:pStyle w:val="235"/>
        <w:numPr>
          <w:ilvl w:val="0"/>
          <w:numId w:val="25"/>
        </w:numPr>
        <w:adjustRightInd/>
        <w:ind w:firstLineChars="0"/>
        <w:rPr>
          <w:rFonts w:ascii="宋体" w:hAnsi="宋体" w:cs="宋体"/>
          <w:color w:val="auto"/>
          <w:szCs w:val="21"/>
          <w:lang w:val="zh-CN"/>
        </w:rPr>
      </w:pPr>
      <w:r>
        <w:rPr>
          <w:rFonts w:hint="eastAsia" w:ascii="宋体" w:hAnsi="宋体" w:cs="宋体"/>
          <w:color w:val="auto"/>
          <w:szCs w:val="21"/>
          <w:lang w:val="zh-CN"/>
        </w:rPr>
        <w:t>使用“政采云电子交易客户端”需要提前申领CA数字证书，申领流程请自行前往“浙江政府采购网-下载专区-电子交易客户端-CA驱动和申领流程”进行查阅。</w:t>
      </w:r>
    </w:p>
    <w:p>
      <w:pPr>
        <w:pStyle w:val="235"/>
        <w:numPr>
          <w:ilvl w:val="0"/>
          <w:numId w:val="6"/>
        </w:numPr>
        <w:adjustRightInd/>
        <w:ind w:firstLineChars="0"/>
        <w:rPr>
          <w:rFonts w:ascii="宋体" w:hAnsi="宋体" w:cs="宋体"/>
          <w:color w:val="auto"/>
          <w:szCs w:val="21"/>
        </w:rPr>
      </w:pPr>
      <w:r>
        <w:rPr>
          <w:rFonts w:hint="eastAsia" w:ascii="宋体" w:hAnsi="宋体" w:cs="宋体"/>
          <w:color w:val="auto"/>
          <w:szCs w:val="21"/>
        </w:rPr>
        <w:t>投标文件的签署、盖章</w:t>
      </w:r>
    </w:p>
    <w:p>
      <w:pPr>
        <w:pStyle w:val="75"/>
        <w:numPr>
          <w:ilvl w:val="0"/>
          <w:numId w:val="26"/>
        </w:numPr>
        <w:adjustRightInd/>
        <w:spacing w:before="0"/>
        <w:ind w:firstLineChars="0"/>
        <w:rPr>
          <w:rFonts w:ascii="宋体" w:hAnsi="宋体" w:cs="宋体"/>
          <w:color w:val="auto"/>
          <w:sz w:val="21"/>
          <w:szCs w:val="21"/>
        </w:rPr>
      </w:pPr>
      <w:r>
        <w:rPr>
          <w:rFonts w:hint="eastAsia" w:ascii="宋体" w:hAnsi="宋体" w:cs="宋体"/>
          <w:color w:val="auto"/>
          <w:sz w:val="21"/>
          <w:szCs w:val="21"/>
        </w:rPr>
        <w:t>投标文件按照采购文件第六部分格式要求进行签署、盖章。★供应商的投标文件未按照采购文件要求签署、盖章的，其投标无效。</w:t>
      </w:r>
    </w:p>
    <w:p>
      <w:pPr>
        <w:pStyle w:val="75"/>
        <w:numPr>
          <w:ilvl w:val="0"/>
          <w:numId w:val="26"/>
        </w:numPr>
        <w:adjustRightInd/>
        <w:spacing w:before="0"/>
        <w:ind w:firstLineChars="0"/>
        <w:rPr>
          <w:rFonts w:ascii="宋体" w:hAnsi="宋体" w:cs="宋体"/>
          <w:color w:val="auto"/>
          <w:sz w:val="21"/>
          <w:szCs w:val="21"/>
        </w:rPr>
      </w:pPr>
      <w:r>
        <w:rPr>
          <w:rFonts w:hint="eastAsia" w:ascii="宋体" w:hAnsi="宋体" w:cs="宋体"/>
          <w:color w:val="auto"/>
          <w:sz w:val="21"/>
          <w:szCs w:val="21"/>
        </w:rPr>
        <w:t>为确保网上操作合法、有效和安全，供应商应当在投标截止时间前完成在“政府采购云平台”的身份认证，确保在电子投标过程中能够对相关数据电文进行加密和使用电子签名。</w:t>
      </w:r>
    </w:p>
    <w:p>
      <w:pPr>
        <w:pStyle w:val="75"/>
        <w:numPr>
          <w:ilvl w:val="0"/>
          <w:numId w:val="26"/>
        </w:numPr>
        <w:adjustRightInd/>
        <w:spacing w:before="0"/>
        <w:ind w:firstLineChars="0"/>
        <w:rPr>
          <w:rFonts w:ascii="宋体" w:hAnsi="宋体" w:cs="宋体"/>
          <w:color w:val="auto"/>
          <w:sz w:val="21"/>
          <w:szCs w:val="21"/>
        </w:rPr>
      </w:pPr>
      <w:r>
        <w:rPr>
          <w:rFonts w:hint="eastAsia" w:ascii="宋体" w:hAnsi="宋体" w:cs="宋体"/>
          <w:color w:val="auto"/>
          <w:sz w:val="21"/>
          <w:szCs w:val="21"/>
        </w:rPr>
        <w:t>采购文件对投标文件签署、盖章的要求适用于电子签名。</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投标文件的提交、补充、修改、撤回</w:t>
      </w:r>
    </w:p>
    <w:p>
      <w:pPr>
        <w:pStyle w:val="75"/>
        <w:numPr>
          <w:ilvl w:val="0"/>
          <w:numId w:val="27"/>
        </w:numPr>
        <w:adjustRightInd/>
        <w:spacing w:before="0"/>
        <w:ind w:firstLineChars="0"/>
        <w:rPr>
          <w:rFonts w:ascii="宋体" w:hAnsi="宋体" w:cs="宋体"/>
          <w:color w:val="auto"/>
          <w:sz w:val="21"/>
          <w:szCs w:val="21"/>
        </w:rPr>
      </w:pPr>
      <w:r>
        <w:rPr>
          <w:rFonts w:hint="eastAsia" w:ascii="宋体" w:hAnsi="宋体" w:cs="宋体"/>
          <w:color w:val="auto"/>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75"/>
        <w:numPr>
          <w:ilvl w:val="0"/>
          <w:numId w:val="27"/>
        </w:numPr>
        <w:adjustRightInd/>
        <w:spacing w:before="0"/>
        <w:ind w:firstLineChars="0"/>
        <w:rPr>
          <w:rFonts w:ascii="宋体" w:hAnsi="宋体" w:cs="宋体"/>
          <w:color w:val="auto"/>
          <w:sz w:val="21"/>
          <w:szCs w:val="21"/>
        </w:rPr>
      </w:pPr>
      <w:r>
        <w:rPr>
          <w:rFonts w:hint="eastAsia" w:ascii="宋体" w:hAnsi="宋体" w:cs="宋体"/>
          <w:color w:val="auto"/>
          <w:sz w:val="21"/>
          <w:szCs w:val="21"/>
        </w:rPr>
        <w:t>电子交易平台收到投标文件，将妥善保存并即时向供应商发出确认回执通知。在投标截止时间前，除供应商补充、修改或者撤回投标文件外，任何单位和个人不得解密或提取投标文件。</w:t>
      </w:r>
    </w:p>
    <w:p>
      <w:pPr>
        <w:pStyle w:val="75"/>
        <w:numPr>
          <w:ilvl w:val="0"/>
          <w:numId w:val="27"/>
        </w:numPr>
        <w:adjustRightInd/>
        <w:spacing w:before="0"/>
        <w:ind w:firstLineChars="0"/>
        <w:rPr>
          <w:rFonts w:ascii="宋体" w:hAnsi="宋体" w:cs="宋体"/>
          <w:color w:val="auto"/>
          <w:sz w:val="21"/>
          <w:szCs w:val="21"/>
        </w:rPr>
      </w:pPr>
      <w:r>
        <w:rPr>
          <w:rFonts w:hint="eastAsia" w:ascii="宋体" w:hAnsi="宋体" w:cs="宋体"/>
          <w:color w:val="auto"/>
          <w:sz w:val="21"/>
          <w:szCs w:val="21"/>
        </w:rPr>
        <w:t>采购人、采购代理机构可以视情况延长投标文件提交的截止时间。在上述情况下，采购代理机构与供应商以前在投标截止期方面的全部权利、责任和义务，将适用于延长至新的投标截止期。</w:t>
      </w:r>
    </w:p>
    <w:p>
      <w:pPr>
        <w:pStyle w:val="23"/>
        <w:numPr>
          <w:ilvl w:val="0"/>
          <w:numId w:val="6"/>
        </w:numPr>
        <w:adjustRightInd/>
        <w:ind w:firstLineChars="0"/>
        <w:rPr>
          <w:rFonts w:hAnsi="宋体" w:cs="宋体"/>
          <w:color w:val="auto"/>
        </w:rPr>
      </w:pPr>
      <w:r>
        <w:rPr>
          <w:rFonts w:hint="eastAsia" w:hAnsi="宋体" w:cs="宋体"/>
          <w:color w:val="auto"/>
        </w:rPr>
        <w:t>备份投标文件（不适用）</w:t>
      </w:r>
    </w:p>
    <w:p>
      <w:pPr>
        <w:pStyle w:val="23"/>
        <w:numPr>
          <w:ilvl w:val="0"/>
          <w:numId w:val="28"/>
        </w:numPr>
        <w:adjustRightInd/>
        <w:ind w:firstLineChars="0"/>
        <w:rPr>
          <w:rFonts w:hAnsi="宋体" w:cs="宋体"/>
          <w:color w:val="auto"/>
        </w:rPr>
      </w:pPr>
      <w:r>
        <w:rPr>
          <w:rFonts w:hint="eastAsia" w:hAnsi="宋体" w:cs="宋体"/>
          <w:color w:val="auto"/>
        </w:rPr>
        <w:t>供应商在电子交易平台传输递交投标文件后，还可以在投标截止时间前直接提交或者以邮政快递方式递交备份投标文件1份，但采购人、采购代理机构不强制或变相强制供应商提交备份投标文件。</w:t>
      </w:r>
    </w:p>
    <w:p>
      <w:pPr>
        <w:pStyle w:val="23"/>
        <w:numPr>
          <w:ilvl w:val="0"/>
          <w:numId w:val="28"/>
        </w:numPr>
        <w:adjustRightInd/>
        <w:ind w:firstLineChars="0"/>
        <w:rPr>
          <w:rFonts w:hAnsi="宋体" w:cs="宋体"/>
          <w:color w:val="auto"/>
        </w:rPr>
      </w:pPr>
      <w:r>
        <w:rPr>
          <w:rFonts w:hint="eastAsia" w:hAnsi="宋体" w:cs="宋体"/>
          <w:color w:val="auto"/>
        </w:rPr>
        <w:t>备份投标文件须在“政采云投标客户端”制作生成，并储存在DVD光盘等存储介质中。备份投标文件应当密封包装并在包装上加盖公章并注明项目名称，供应商名称（联合体投标的，包装物封面需注明联合体投标，并注明联合体成员各方的名称和联合协议中约定的牵头人的名称）。不符合上述制作、存储、密封规定的备份投标文件将被视为无效或者被拒绝接收。</w:t>
      </w:r>
    </w:p>
    <w:p>
      <w:pPr>
        <w:pStyle w:val="23"/>
        <w:numPr>
          <w:ilvl w:val="0"/>
          <w:numId w:val="28"/>
        </w:numPr>
        <w:adjustRightInd/>
        <w:ind w:firstLineChars="0"/>
        <w:rPr>
          <w:rFonts w:hAnsi="宋体" w:cs="宋体"/>
          <w:color w:val="auto"/>
        </w:rPr>
      </w:pPr>
      <w:r>
        <w:rPr>
          <w:rFonts w:hint="eastAsia" w:hAnsi="宋体" w:cs="宋体"/>
          <w:color w:val="auto"/>
        </w:rPr>
        <w:t>直接提交备份投标文件的，供应商应于投标截止时间前在招标公告中载明的开标地点将备份投标文件提交给采购代理机构，采购代理机构将拒绝接受逾期送达的备份投标文件。</w:t>
      </w:r>
    </w:p>
    <w:p>
      <w:pPr>
        <w:pStyle w:val="23"/>
        <w:numPr>
          <w:ilvl w:val="0"/>
          <w:numId w:val="28"/>
        </w:numPr>
        <w:adjustRightInd/>
        <w:ind w:firstLineChars="0"/>
        <w:rPr>
          <w:rFonts w:hAnsi="宋体" w:cs="宋体"/>
          <w:color w:val="auto"/>
        </w:rPr>
      </w:pPr>
      <w:r>
        <w:rPr>
          <w:rFonts w:hint="eastAsia" w:hAnsi="宋体" w:cs="宋体"/>
          <w:color w:val="auto"/>
        </w:rPr>
        <w:t>以邮政快递方式递交备份投标文件的，供应商应先将备份投标文件按要求密封和标记，再进行邮政快递包装后邮寄。备份投标文件须在投标截止时间之前送达</w:t>
      </w:r>
      <w:r>
        <w:rPr>
          <w:rFonts w:hint="eastAsia" w:hAnsi="宋体" w:cs="宋体"/>
          <w:snapToGrid/>
          <w:color w:val="auto"/>
        </w:rPr>
        <w:t>采购文件第二部分供应商须知前附表规定的备份投标文件送达地点；</w:t>
      </w:r>
      <w:r>
        <w:rPr>
          <w:rFonts w:hint="eastAsia" w:hAnsi="宋体" w:cs="宋体"/>
          <w:color w:val="auto"/>
        </w:rPr>
        <w:t>送达时间以签收人签收时间为准。采购代理机构将拒绝接受逾期送达的备份投标文件。邮寄过程中，电子备份投标文件发生泄露、遗失、损坏或延期送达等情况的，由供应商自行负责。</w:t>
      </w:r>
    </w:p>
    <w:p>
      <w:pPr>
        <w:pStyle w:val="23"/>
        <w:numPr>
          <w:ilvl w:val="0"/>
          <w:numId w:val="28"/>
        </w:numPr>
        <w:adjustRightInd/>
        <w:ind w:firstLineChars="0"/>
        <w:rPr>
          <w:rFonts w:hAnsi="宋体" w:cs="宋体"/>
          <w:color w:val="auto"/>
        </w:rPr>
      </w:pPr>
      <w:r>
        <w:rPr>
          <w:rFonts w:hint="eastAsia" w:hAnsi="宋体" w:cs="宋体"/>
          <w:color w:val="auto"/>
        </w:rPr>
        <w:t>供应商仅提交备份投标文件，未在电子交易平台传输递交投标文件的，投标无效。</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投标文件的无效处理</w:t>
      </w:r>
    </w:p>
    <w:p>
      <w:pPr>
        <w:pStyle w:val="3"/>
        <w:adjustRightInd/>
        <w:spacing w:line="360" w:lineRule="auto"/>
        <w:ind w:firstLine="420"/>
        <w:rPr>
          <w:rFonts w:cs="宋体"/>
          <w:color w:val="auto"/>
          <w:sz w:val="21"/>
          <w:szCs w:val="21"/>
        </w:rPr>
      </w:pPr>
      <w:r>
        <w:rPr>
          <w:rFonts w:hint="eastAsia" w:cs="宋体"/>
          <w:color w:val="auto"/>
          <w:sz w:val="21"/>
          <w:szCs w:val="21"/>
        </w:rPr>
        <w:t>有采购文件第四部分评标办法第4.2款规定的情形之一的，投标无效。</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投标有效期</w:t>
      </w:r>
    </w:p>
    <w:p>
      <w:pPr>
        <w:pStyle w:val="235"/>
        <w:numPr>
          <w:ilvl w:val="0"/>
          <w:numId w:val="29"/>
        </w:numPr>
        <w:adjustRightInd/>
        <w:ind w:firstLineChars="0"/>
        <w:rPr>
          <w:rFonts w:ascii="宋体" w:hAnsi="宋体" w:cs="宋体"/>
          <w:color w:val="auto"/>
          <w:szCs w:val="21"/>
        </w:rPr>
      </w:pPr>
      <w:r>
        <w:rPr>
          <w:rFonts w:hint="eastAsia" w:ascii="宋体" w:hAnsi="宋体" w:cs="宋体"/>
          <w:color w:val="auto"/>
          <w:szCs w:val="21"/>
        </w:rPr>
        <w:t>投标有效期为从提交投标文件的截止之日起90天。★供应商的投标文件中承诺的投标有效期少于采购文件中载明的投标有效期的，投标无效。</w:t>
      </w:r>
    </w:p>
    <w:p>
      <w:pPr>
        <w:pStyle w:val="235"/>
        <w:numPr>
          <w:ilvl w:val="0"/>
          <w:numId w:val="29"/>
        </w:numPr>
        <w:adjustRightInd/>
        <w:ind w:firstLineChars="0"/>
        <w:rPr>
          <w:rFonts w:ascii="宋体" w:hAnsi="宋体" w:cs="宋体"/>
          <w:color w:val="auto"/>
          <w:szCs w:val="21"/>
        </w:rPr>
      </w:pPr>
      <w:r>
        <w:rPr>
          <w:rFonts w:hint="eastAsia" w:ascii="宋体" w:hAnsi="宋体" w:cs="宋体"/>
          <w:color w:val="auto"/>
          <w:szCs w:val="21"/>
        </w:rPr>
        <w:t>投标文件合格投递后，自投标截止日期起，在投标有效期内有效。</w:t>
      </w:r>
    </w:p>
    <w:p>
      <w:pPr>
        <w:pStyle w:val="235"/>
        <w:numPr>
          <w:ilvl w:val="0"/>
          <w:numId w:val="29"/>
        </w:numPr>
        <w:adjustRightInd/>
        <w:ind w:firstLineChars="0"/>
        <w:rPr>
          <w:rFonts w:ascii="宋体" w:hAnsi="宋体" w:cs="宋体"/>
          <w:color w:val="auto"/>
          <w:szCs w:val="21"/>
        </w:rPr>
      </w:pPr>
      <w:r>
        <w:rPr>
          <w:rFonts w:hint="eastAsia" w:ascii="宋体" w:hAnsi="宋体" w:cs="宋体"/>
          <w:color w:val="auto"/>
          <w:szCs w:val="21"/>
        </w:rPr>
        <w:t>在原定投标有效期满之前，如果出现特殊情况，采购代理机构可以以书面形式通知供应商延长投标有效期。供应商同意延长的，不得要求或被允许修改其投标文件，供应商拒绝延长的，其投标无效。</w:t>
      </w: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36" w:name="_Toc23548"/>
      <w:bookmarkStart w:id="37" w:name="_Toc12582"/>
      <w:r>
        <w:rPr>
          <w:rFonts w:hint="eastAsia" w:ascii="宋体" w:hAnsi="宋体" w:cs="宋体"/>
          <w:color w:val="auto"/>
          <w:szCs w:val="21"/>
        </w:rPr>
        <w:t>开标、资格审查与信用信息查询</w:t>
      </w:r>
      <w:bookmarkEnd w:id="36"/>
      <w:bookmarkEnd w:id="37"/>
    </w:p>
    <w:p>
      <w:pPr>
        <w:pStyle w:val="70"/>
        <w:numPr>
          <w:ilvl w:val="0"/>
          <w:numId w:val="6"/>
        </w:numPr>
        <w:adjustRightInd/>
        <w:spacing w:before="0" w:line="360" w:lineRule="auto"/>
        <w:ind w:left="0" w:firstLine="0"/>
        <w:rPr>
          <w:rFonts w:ascii="宋体" w:hAnsi="宋体" w:cs="宋体"/>
          <w:b/>
          <w:color w:val="auto"/>
          <w:sz w:val="21"/>
          <w:szCs w:val="21"/>
        </w:rPr>
      </w:pPr>
      <w:r>
        <w:rPr>
          <w:rFonts w:hint="eastAsia" w:ascii="宋体" w:hAnsi="宋体" w:cs="宋体"/>
          <w:b/>
          <w:color w:val="auto"/>
          <w:sz w:val="21"/>
          <w:szCs w:val="21"/>
        </w:rPr>
        <w:t>开标</w:t>
      </w:r>
    </w:p>
    <w:p>
      <w:pPr>
        <w:pStyle w:val="70"/>
        <w:numPr>
          <w:ilvl w:val="0"/>
          <w:numId w:val="30"/>
        </w:numPr>
        <w:adjustRightInd/>
        <w:spacing w:before="0" w:line="360" w:lineRule="auto"/>
        <w:rPr>
          <w:rFonts w:ascii="宋体" w:hAnsi="宋体" w:cs="宋体"/>
          <w:color w:val="auto"/>
          <w:sz w:val="21"/>
          <w:szCs w:val="21"/>
        </w:rPr>
      </w:pPr>
      <w:r>
        <w:rPr>
          <w:rFonts w:hint="eastAsia" w:ascii="宋体" w:hAnsi="宋体" w:cs="宋体"/>
          <w:color w:val="auto"/>
          <w:sz w:val="21"/>
          <w:szCs w:val="21"/>
        </w:rPr>
        <w:t>采购代理机构按照采购文件规定的时间通过电子交易平台组织开标，所有供应商均应当准时在线参加。供应商不足3家的，不得开标。</w:t>
      </w:r>
    </w:p>
    <w:p>
      <w:pPr>
        <w:pStyle w:val="70"/>
        <w:numPr>
          <w:ilvl w:val="0"/>
          <w:numId w:val="30"/>
        </w:numPr>
        <w:adjustRightInd/>
        <w:spacing w:before="0" w:line="360" w:lineRule="auto"/>
        <w:rPr>
          <w:rFonts w:ascii="宋体" w:hAnsi="宋体" w:cs="宋体"/>
          <w:bCs/>
          <w:color w:val="auto"/>
          <w:sz w:val="21"/>
          <w:szCs w:val="21"/>
        </w:rPr>
      </w:pPr>
      <w:r>
        <w:rPr>
          <w:rFonts w:hint="eastAsia" w:ascii="宋体" w:hAnsi="宋体" w:cs="宋体"/>
          <w:color w:val="auto"/>
          <w:sz w:val="21"/>
          <w:szCs w:val="21"/>
        </w:rPr>
        <w:t>开标时，电子交易平台按开标时间，</w:t>
      </w:r>
      <w:r>
        <w:rPr>
          <w:rFonts w:hint="eastAsia" w:ascii="宋体" w:hAnsi="宋体" w:cs="宋体"/>
          <w:bCs/>
          <w:color w:val="auto"/>
          <w:sz w:val="21"/>
          <w:szCs w:val="21"/>
        </w:rPr>
        <w:t>首先开启各投标人的商务技术文件和资格证明文件，</w:t>
      </w:r>
      <w:r>
        <w:rPr>
          <w:rFonts w:hint="eastAsia" w:ascii="宋体" w:hAnsi="宋体" w:cs="宋体"/>
          <w:color w:val="auto"/>
          <w:sz w:val="21"/>
          <w:szCs w:val="21"/>
        </w:rPr>
        <w:t>采购代理机构依托电子交易平台发起开始解密指令，供应商按照平台提示和采购文件的规定在半小时内完成在线解密。</w:t>
      </w:r>
    </w:p>
    <w:p>
      <w:pPr>
        <w:pStyle w:val="70"/>
        <w:numPr>
          <w:ilvl w:val="0"/>
          <w:numId w:val="30"/>
        </w:numPr>
        <w:adjustRightInd/>
        <w:spacing w:before="0" w:line="360" w:lineRule="auto"/>
        <w:rPr>
          <w:rFonts w:ascii="宋体" w:hAnsi="宋体" w:cs="宋体"/>
          <w:bCs/>
          <w:color w:val="auto"/>
          <w:sz w:val="21"/>
          <w:szCs w:val="21"/>
        </w:rPr>
      </w:pPr>
      <w:r>
        <w:rPr>
          <w:rFonts w:hint="eastAsia" w:ascii="宋体" w:hAnsi="宋体" w:cs="宋体"/>
          <w:bCs/>
          <w:color w:val="auto"/>
          <w:sz w:val="21"/>
          <w:szCs w:val="21"/>
        </w:rPr>
        <w:t>商务技术文件和资格证明文件开标结束后，采购人或者采购代理机构对投标人的资格进行审查，评审小组根据《采购文件》规定对投标人的商务技术文件进行符合商务性审查和详细评审。对投标人表述不清的内容，评审小组将向投标人进行询标，请其澄清其商务技术内容，评标委员再根据各投标人的商务技术文件进行综合评分，并进行技术分的汇总。</w:t>
      </w:r>
    </w:p>
    <w:p>
      <w:pPr>
        <w:pStyle w:val="70"/>
        <w:numPr>
          <w:ilvl w:val="0"/>
          <w:numId w:val="30"/>
        </w:numPr>
        <w:adjustRightInd/>
        <w:spacing w:before="0" w:line="360" w:lineRule="auto"/>
        <w:rPr>
          <w:rFonts w:ascii="宋体" w:hAnsi="宋体" w:cs="宋体"/>
          <w:bCs/>
          <w:color w:val="auto"/>
          <w:sz w:val="21"/>
          <w:szCs w:val="21"/>
        </w:rPr>
      </w:pPr>
      <w:r>
        <w:rPr>
          <w:rFonts w:hint="eastAsia" w:ascii="宋体" w:hAnsi="宋体" w:cs="宋体"/>
          <w:bCs/>
          <w:color w:val="auto"/>
          <w:sz w:val="21"/>
          <w:szCs w:val="21"/>
        </w:rPr>
        <w:t>商务技术文件评审结束后，采购代理机构宣布无效投标人名称及原因（如有）、各有效投标人的商务技术得分；再由采购代理机构开启报价文件，公布投标人名称、投标内容、投标价格等以及代理机构认为合适的其他内容，</w:t>
      </w:r>
      <w:r>
        <w:rPr>
          <w:rFonts w:hint="eastAsia" w:ascii="宋体" w:hAnsi="宋体" w:cs="宋体"/>
          <w:color w:val="auto"/>
          <w:sz w:val="21"/>
          <w:szCs w:val="21"/>
        </w:rPr>
        <w:t>供应商须在政府采购云平台的“开标记录”模块中进行在线签字确认</w:t>
      </w:r>
      <w:r>
        <w:rPr>
          <w:rFonts w:hint="eastAsia" w:ascii="宋体" w:hAnsi="宋体" w:cs="宋体"/>
          <w:bCs/>
          <w:color w:val="auto"/>
          <w:sz w:val="21"/>
          <w:szCs w:val="21"/>
        </w:rPr>
        <w:t>。评审小组对报价文件进行评审，计算价格分得分（报价文件得分保留小数点后二位）。</w:t>
      </w:r>
    </w:p>
    <w:p>
      <w:pPr>
        <w:pStyle w:val="70"/>
        <w:numPr>
          <w:ilvl w:val="0"/>
          <w:numId w:val="30"/>
        </w:numPr>
        <w:adjustRightInd/>
        <w:spacing w:before="0" w:line="360" w:lineRule="auto"/>
        <w:rPr>
          <w:rFonts w:ascii="宋体" w:hAnsi="宋体" w:cs="宋体"/>
          <w:bCs/>
          <w:color w:val="auto"/>
          <w:sz w:val="21"/>
          <w:szCs w:val="21"/>
        </w:rPr>
      </w:pPr>
      <w:r>
        <w:rPr>
          <w:rFonts w:hint="eastAsia" w:ascii="宋体" w:hAnsi="宋体" w:cs="宋体"/>
          <w:bCs/>
          <w:color w:val="auto"/>
          <w:sz w:val="21"/>
          <w:szCs w:val="21"/>
        </w:rPr>
        <w:t>按照投标人的综合得分排名，评审小组推荐中标候选人，并由采购代理机构宣布中标候选人推荐情况。</w:t>
      </w:r>
    </w:p>
    <w:p>
      <w:pPr>
        <w:pStyle w:val="235"/>
        <w:numPr>
          <w:ilvl w:val="0"/>
          <w:numId w:val="6"/>
        </w:numPr>
        <w:adjustRightInd/>
        <w:ind w:firstLineChars="0"/>
        <w:rPr>
          <w:rFonts w:ascii="宋体" w:hAnsi="宋体" w:cs="宋体"/>
          <w:color w:val="auto"/>
          <w:szCs w:val="21"/>
        </w:rPr>
      </w:pPr>
      <w:r>
        <w:rPr>
          <w:rFonts w:hint="eastAsia" w:ascii="宋体" w:hAnsi="宋体" w:cs="宋体"/>
          <w:color w:val="auto"/>
          <w:szCs w:val="21"/>
        </w:rPr>
        <w:t>资格审查</w:t>
      </w:r>
    </w:p>
    <w:p>
      <w:pPr>
        <w:pStyle w:val="235"/>
        <w:numPr>
          <w:ilvl w:val="0"/>
          <w:numId w:val="31"/>
        </w:numPr>
        <w:adjustRightInd/>
        <w:ind w:firstLineChars="0"/>
        <w:rPr>
          <w:rFonts w:ascii="宋体" w:hAnsi="宋体" w:cs="宋体"/>
          <w:color w:val="auto"/>
          <w:szCs w:val="21"/>
        </w:rPr>
      </w:pPr>
      <w:r>
        <w:rPr>
          <w:rFonts w:hint="eastAsia" w:ascii="宋体" w:hAnsi="宋体" w:cs="宋体"/>
          <w:color w:val="auto"/>
          <w:szCs w:val="21"/>
        </w:rPr>
        <w:t>采购人或采购代理机构依据法律法规和采购文件的规定，对供应商的资格进行审查。</w:t>
      </w:r>
    </w:p>
    <w:p>
      <w:pPr>
        <w:pStyle w:val="235"/>
        <w:numPr>
          <w:ilvl w:val="0"/>
          <w:numId w:val="31"/>
        </w:numPr>
        <w:adjustRightInd/>
        <w:ind w:firstLineChars="0"/>
        <w:rPr>
          <w:rFonts w:ascii="宋体" w:hAnsi="宋体" w:cs="宋体"/>
          <w:color w:val="auto"/>
          <w:szCs w:val="21"/>
        </w:rPr>
      </w:pPr>
      <w:r>
        <w:rPr>
          <w:rFonts w:hint="eastAsia" w:ascii="宋体" w:hAnsi="宋体" w:cs="宋体"/>
          <w:color w:val="auto"/>
          <w:kern w:val="0"/>
          <w:szCs w:val="21"/>
        </w:rPr>
        <w:t>供应商未按照采购文件要求提供与</w:t>
      </w:r>
      <w:r>
        <w:rPr>
          <w:rFonts w:hint="eastAsia" w:ascii="宋体" w:hAnsi="宋体" w:cs="宋体"/>
          <w:color w:val="auto"/>
          <w:szCs w:val="21"/>
        </w:rPr>
        <w:t>资格条件相应的</w:t>
      </w:r>
      <w:r>
        <w:rPr>
          <w:rFonts w:hint="eastAsia" w:ascii="宋体" w:hAnsi="宋体" w:cs="宋体"/>
          <w:color w:val="auto"/>
          <w:kern w:val="0"/>
          <w:szCs w:val="21"/>
        </w:rPr>
        <w:t>有效资格证明材料的，视为</w:t>
      </w:r>
      <w:r>
        <w:rPr>
          <w:rFonts w:hint="eastAsia" w:ascii="宋体" w:hAnsi="宋体" w:cs="宋体"/>
          <w:color w:val="auto"/>
          <w:szCs w:val="21"/>
        </w:rPr>
        <w:t>供应商不具备采购文件中规定的资格要求，其投标无效。</w:t>
      </w:r>
    </w:p>
    <w:p>
      <w:pPr>
        <w:pStyle w:val="235"/>
        <w:numPr>
          <w:ilvl w:val="0"/>
          <w:numId w:val="31"/>
        </w:numPr>
        <w:adjustRightInd/>
        <w:ind w:firstLineChars="0"/>
        <w:rPr>
          <w:rFonts w:ascii="宋体" w:hAnsi="宋体" w:cs="宋体"/>
          <w:color w:val="auto"/>
          <w:szCs w:val="21"/>
        </w:rPr>
      </w:pPr>
      <w:r>
        <w:rPr>
          <w:rFonts w:hint="eastAsia" w:ascii="宋体" w:hAnsi="宋体" w:cs="宋体"/>
          <w:color w:val="auto"/>
          <w:szCs w:val="21"/>
        </w:rPr>
        <w:t>对未通过资格审查的供应商，采购人或采购代理机构告知其未通过的原因。</w:t>
      </w:r>
    </w:p>
    <w:p>
      <w:pPr>
        <w:pStyle w:val="235"/>
        <w:numPr>
          <w:ilvl w:val="0"/>
          <w:numId w:val="31"/>
        </w:numPr>
        <w:adjustRightInd/>
        <w:ind w:firstLineChars="0"/>
        <w:rPr>
          <w:rFonts w:ascii="宋体" w:hAnsi="宋体" w:cs="宋体"/>
          <w:color w:val="auto"/>
          <w:szCs w:val="21"/>
        </w:rPr>
      </w:pPr>
      <w:r>
        <w:rPr>
          <w:rFonts w:hint="eastAsia" w:ascii="宋体" w:hAnsi="宋体" w:cs="宋体"/>
          <w:color w:val="auto"/>
          <w:szCs w:val="21"/>
        </w:rPr>
        <w:t>合格供应商不足3家的，不再评标。</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信用信息查询</w:t>
      </w:r>
    </w:p>
    <w:p>
      <w:pPr>
        <w:pStyle w:val="75"/>
        <w:numPr>
          <w:ilvl w:val="0"/>
          <w:numId w:val="32"/>
        </w:numPr>
        <w:adjustRightInd/>
        <w:spacing w:before="0"/>
        <w:ind w:firstLineChars="0"/>
        <w:rPr>
          <w:rFonts w:ascii="宋体" w:hAnsi="宋体" w:cs="宋体"/>
          <w:color w:val="auto"/>
          <w:sz w:val="21"/>
          <w:szCs w:val="21"/>
        </w:rPr>
      </w:pPr>
      <w:r>
        <w:rPr>
          <w:rFonts w:hint="eastAsia" w:ascii="宋体" w:hAnsi="宋体" w:cs="宋体"/>
          <w:color w:val="auto"/>
          <w:sz w:val="21"/>
          <w:szCs w:val="21"/>
        </w:rPr>
        <w:t>信用信息查询渠道及截止时间：采购代理机构将在资格审查时通过“信用中国”网站（www.creditchina.gov.cn）、中国政府采购网（www.ccgp.gov.cn）渠道查询供应商接受资格审查时的信用记录。</w:t>
      </w:r>
    </w:p>
    <w:p>
      <w:pPr>
        <w:pStyle w:val="75"/>
        <w:numPr>
          <w:ilvl w:val="0"/>
          <w:numId w:val="32"/>
        </w:numPr>
        <w:adjustRightInd/>
        <w:spacing w:before="0"/>
        <w:ind w:firstLineChars="0"/>
        <w:rPr>
          <w:rFonts w:ascii="宋体" w:hAnsi="宋体" w:cs="宋体"/>
          <w:color w:val="auto"/>
          <w:sz w:val="21"/>
          <w:szCs w:val="21"/>
        </w:rPr>
      </w:pPr>
      <w:r>
        <w:rPr>
          <w:rFonts w:hint="eastAsia" w:ascii="宋体" w:hAnsi="宋体" w:cs="宋体"/>
          <w:color w:val="auto"/>
          <w:sz w:val="21"/>
          <w:szCs w:val="21"/>
        </w:rPr>
        <w:t>信用信息查询记录和证据留存的具体方式：现场查询供应商的信用记录、查询结果经确认后将与采购文件一起存档。</w:t>
      </w:r>
    </w:p>
    <w:p>
      <w:pPr>
        <w:pStyle w:val="75"/>
        <w:numPr>
          <w:ilvl w:val="0"/>
          <w:numId w:val="32"/>
        </w:numPr>
        <w:adjustRightInd/>
        <w:spacing w:before="0"/>
        <w:ind w:firstLineChars="0"/>
        <w:rPr>
          <w:rFonts w:ascii="宋体" w:hAnsi="宋体" w:cs="宋体"/>
          <w:color w:val="auto"/>
          <w:sz w:val="21"/>
          <w:szCs w:val="21"/>
        </w:rPr>
      </w:pPr>
      <w:r>
        <w:rPr>
          <w:rFonts w:hint="eastAsia" w:ascii="宋体" w:hAnsi="宋体" w:cs="宋体"/>
          <w:color w:val="auto"/>
          <w:sz w:val="21"/>
          <w:szCs w:val="21"/>
        </w:rPr>
        <w:t>信用信息的使用规则：经查询列入失信被执行人名单、</w:t>
      </w:r>
      <w:r>
        <w:rPr>
          <w:rFonts w:hint="eastAsia" w:ascii="宋体" w:hAnsi="宋体" w:cs="宋体"/>
          <w:color w:val="auto"/>
          <w:sz w:val="21"/>
          <w:szCs w:val="21"/>
          <w:lang w:eastAsia="zh-CN"/>
        </w:rPr>
        <w:t>重大税收违法案件当事人名单</w:t>
      </w:r>
      <w:r>
        <w:rPr>
          <w:rFonts w:hint="eastAsia" w:ascii="宋体" w:hAnsi="宋体" w:cs="宋体"/>
          <w:color w:val="auto"/>
          <w:sz w:val="21"/>
          <w:szCs w:val="21"/>
        </w:rPr>
        <w:t>、政府采购严重违法失信行为记录名单的供应商将被拒绝参与政府采购活动。</w:t>
      </w:r>
    </w:p>
    <w:p>
      <w:pPr>
        <w:pStyle w:val="75"/>
        <w:numPr>
          <w:ilvl w:val="0"/>
          <w:numId w:val="32"/>
        </w:numPr>
        <w:adjustRightInd/>
        <w:spacing w:before="0"/>
        <w:ind w:firstLineChars="0"/>
        <w:rPr>
          <w:rFonts w:ascii="宋体" w:hAnsi="宋体" w:cs="宋体"/>
          <w:color w:val="auto"/>
          <w:sz w:val="21"/>
          <w:szCs w:val="21"/>
        </w:rPr>
      </w:pPr>
      <w:r>
        <w:rPr>
          <w:rFonts w:hint="eastAsia" w:ascii="宋体" w:hAnsi="宋体" w:cs="宋体"/>
          <w:color w:val="auto"/>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75"/>
        <w:adjustRightInd/>
        <w:spacing w:before="0"/>
        <w:ind w:firstLine="420"/>
        <w:rPr>
          <w:rFonts w:ascii="宋体" w:hAnsi="宋体" w:cs="宋体"/>
          <w:color w:val="auto"/>
          <w:sz w:val="21"/>
          <w:szCs w:val="21"/>
        </w:rPr>
      </w:pPr>
    </w:p>
    <w:p>
      <w:pPr>
        <w:pStyle w:val="235"/>
        <w:numPr>
          <w:ilvl w:val="0"/>
          <w:numId w:val="17"/>
        </w:numPr>
        <w:adjustRightInd/>
        <w:ind w:firstLineChars="0"/>
        <w:rPr>
          <w:rFonts w:ascii="宋体" w:hAnsi="宋体" w:cs="宋体"/>
          <w:color w:val="auto"/>
          <w:szCs w:val="21"/>
        </w:rPr>
      </w:pPr>
      <w:bookmarkStart w:id="38" w:name="_Toc3764"/>
      <w:bookmarkStart w:id="39" w:name="_Toc32170"/>
      <w:bookmarkStart w:id="40" w:name="_Toc6721"/>
      <w:r>
        <w:rPr>
          <w:rFonts w:hint="eastAsia" w:ascii="宋体" w:hAnsi="宋体" w:cs="宋体"/>
          <w:color w:val="auto"/>
          <w:szCs w:val="21"/>
        </w:rPr>
        <w:t>评标</w:t>
      </w:r>
      <w:bookmarkEnd w:id="38"/>
      <w:bookmarkEnd w:id="39"/>
      <w:bookmarkEnd w:id="40"/>
    </w:p>
    <w:p>
      <w:pPr>
        <w:pStyle w:val="235"/>
        <w:numPr>
          <w:ilvl w:val="0"/>
          <w:numId w:val="6"/>
        </w:numPr>
        <w:adjustRightInd/>
        <w:ind w:firstLineChars="0"/>
        <w:rPr>
          <w:rFonts w:ascii="宋体" w:hAnsi="宋体" w:cs="宋体"/>
          <w:color w:val="auto"/>
          <w:szCs w:val="21"/>
        </w:rPr>
      </w:pPr>
      <w:bookmarkStart w:id="41" w:name="_Toc91899903"/>
      <w:r>
        <w:rPr>
          <w:rFonts w:hint="eastAsia" w:ascii="宋体" w:hAnsi="宋体" w:cs="宋体"/>
          <w:color w:val="auto"/>
          <w:szCs w:val="21"/>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详见采购文件第四部分评标办法。</w:t>
      </w:r>
    </w:p>
    <w:p>
      <w:pPr>
        <w:adjustRightInd/>
        <w:rPr>
          <w:rFonts w:ascii="宋体" w:hAnsi="宋体" w:cs="宋体"/>
          <w:color w:val="auto"/>
          <w:szCs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42" w:name="_Toc24211"/>
      <w:bookmarkStart w:id="43" w:name="_Toc22514"/>
      <w:bookmarkStart w:id="44" w:name="_Toc27395"/>
      <w:r>
        <w:rPr>
          <w:rFonts w:hint="eastAsia" w:ascii="宋体" w:hAnsi="宋体" w:cs="宋体"/>
          <w:color w:val="auto"/>
          <w:szCs w:val="21"/>
        </w:rPr>
        <w:t>定标</w:t>
      </w:r>
      <w:bookmarkEnd w:id="42"/>
      <w:bookmarkEnd w:id="43"/>
      <w:bookmarkEnd w:id="44"/>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确定中标供应商</w:t>
      </w:r>
    </w:p>
    <w:p>
      <w:pPr>
        <w:pStyle w:val="75"/>
        <w:adjustRightInd/>
        <w:spacing w:before="0"/>
        <w:ind w:firstLine="420"/>
        <w:rPr>
          <w:rFonts w:ascii="宋体" w:hAnsi="宋体" w:cs="宋体"/>
          <w:b/>
          <w:color w:val="auto"/>
          <w:sz w:val="21"/>
          <w:szCs w:val="21"/>
        </w:rPr>
      </w:pPr>
      <w:r>
        <w:rPr>
          <w:rFonts w:hint="eastAsia" w:ascii="宋体" w:hAnsi="宋体" w:cs="宋体"/>
          <w:color w:val="auto"/>
          <w:sz w:val="21"/>
          <w:szCs w:val="21"/>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中标通知与中标结果公告</w:t>
      </w:r>
    </w:p>
    <w:p>
      <w:pPr>
        <w:pStyle w:val="235"/>
        <w:numPr>
          <w:ilvl w:val="0"/>
          <w:numId w:val="33"/>
        </w:numPr>
        <w:adjustRightInd/>
        <w:ind w:firstLineChars="0"/>
        <w:rPr>
          <w:rFonts w:ascii="宋体" w:hAnsi="宋体" w:cs="宋体"/>
          <w:color w:val="auto"/>
          <w:szCs w:val="21"/>
        </w:rPr>
      </w:pPr>
      <w:r>
        <w:rPr>
          <w:rFonts w:hint="eastAsia" w:ascii="宋体" w:hAnsi="宋体" w:cs="宋体"/>
          <w:color w:val="auto"/>
          <w:szCs w:val="21"/>
        </w:rPr>
        <w:t>自中标人确定之日起2个工作日内，采购代理机构通过电子交易平台向中标人发出中标通知书，同时编制发布采购结果公告。采购代理机构也可以以纸质形式进行中标通知。</w:t>
      </w:r>
    </w:p>
    <w:p>
      <w:pPr>
        <w:pStyle w:val="235"/>
        <w:numPr>
          <w:ilvl w:val="0"/>
          <w:numId w:val="33"/>
        </w:numPr>
        <w:adjustRightInd/>
        <w:ind w:firstLineChars="0"/>
        <w:rPr>
          <w:rFonts w:ascii="宋体" w:hAnsi="宋体" w:cs="宋体"/>
          <w:color w:val="auto"/>
          <w:szCs w:val="21"/>
        </w:rPr>
      </w:pPr>
      <w:r>
        <w:rPr>
          <w:rFonts w:hint="eastAsia" w:ascii="宋体" w:hAnsi="宋体" w:cs="宋体"/>
          <w:color w:val="auto"/>
          <w:szCs w:val="21"/>
        </w:rPr>
        <w:t>中标结果公告内容包括采购人及其委托的采购代理机构的名称、地址、联系方式，项目名称和项目编号，中标供应商名称、地址和中标金额，主要中标标的的名称、规格型号、数量、单价、服务要求，开标情况、资格审查情况、评标专家抽取规则、符合性审查情况、中标公告期限以及评审专家名单等信息。</w:t>
      </w:r>
    </w:p>
    <w:p>
      <w:pPr>
        <w:pStyle w:val="235"/>
        <w:numPr>
          <w:ilvl w:val="0"/>
          <w:numId w:val="33"/>
        </w:numPr>
        <w:adjustRightInd/>
        <w:ind w:firstLineChars="0"/>
        <w:rPr>
          <w:rFonts w:ascii="宋体" w:hAnsi="宋体" w:cs="宋体"/>
          <w:color w:val="auto"/>
          <w:szCs w:val="21"/>
        </w:rPr>
      </w:pPr>
      <w:r>
        <w:rPr>
          <w:rFonts w:hint="eastAsia" w:ascii="宋体" w:hAnsi="宋体" w:cs="宋体"/>
          <w:color w:val="auto"/>
          <w:szCs w:val="21"/>
        </w:rPr>
        <w:t>公告期限为1个工作日。</w:t>
      </w:r>
    </w:p>
    <w:p>
      <w:pPr>
        <w:adjustRightInd/>
        <w:rPr>
          <w:rFonts w:ascii="宋体" w:hAnsi="宋体" w:cs="宋体"/>
          <w:color w:val="auto"/>
          <w:szCs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45" w:name="_Toc23215"/>
      <w:bookmarkStart w:id="46" w:name="_Toc24272"/>
      <w:r>
        <w:rPr>
          <w:rFonts w:hint="eastAsia" w:ascii="宋体" w:hAnsi="宋体" w:cs="宋体"/>
          <w:color w:val="auto"/>
          <w:szCs w:val="21"/>
        </w:rPr>
        <w:t>合同授予</w:t>
      </w:r>
      <w:bookmarkEnd w:id="45"/>
      <w:bookmarkEnd w:id="46"/>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合同主要条款详见第五部分拟签订的合同文本。</w:t>
      </w:r>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合同的签订</w:t>
      </w:r>
    </w:p>
    <w:p>
      <w:pPr>
        <w:pStyle w:val="235"/>
        <w:numPr>
          <w:ilvl w:val="0"/>
          <w:numId w:val="34"/>
        </w:numPr>
        <w:adjustRightInd/>
        <w:ind w:firstLineChars="0"/>
        <w:rPr>
          <w:rFonts w:ascii="宋体" w:hAnsi="宋体" w:cs="宋体"/>
          <w:color w:val="auto"/>
          <w:szCs w:val="21"/>
        </w:rPr>
      </w:pPr>
      <w:r>
        <w:rPr>
          <w:rFonts w:hint="eastAsia" w:ascii="宋体" w:hAnsi="宋体" w:cs="宋体"/>
          <w:color w:val="auto"/>
          <w:szCs w:val="21"/>
        </w:rPr>
        <w:t>采购人与中标人应当通过电子交易平台在中标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35"/>
        <w:numPr>
          <w:ilvl w:val="0"/>
          <w:numId w:val="34"/>
        </w:numPr>
        <w:adjustRightInd/>
        <w:ind w:firstLineChars="0"/>
        <w:rPr>
          <w:rFonts w:ascii="宋体" w:hAnsi="宋体" w:cs="宋体"/>
          <w:color w:val="auto"/>
          <w:szCs w:val="21"/>
        </w:rPr>
      </w:pPr>
      <w:r>
        <w:rPr>
          <w:rFonts w:hint="eastAsia" w:ascii="宋体" w:hAnsi="宋体" w:cs="宋体"/>
          <w:color w:val="auto"/>
          <w:szCs w:val="21"/>
          <w:lang w:val="zh-CN"/>
        </w:rPr>
        <w:t>中标人按规定的日期、时间、地点，由法定代表人或其授权代表与采购人代表签订合同。如中标人为联合体的，由联合体成员各方法定代表人或其授权代表与采购人代表签订合同。</w:t>
      </w:r>
    </w:p>
    <w:p>
      <w:pPr>
        <w:pStyle w:val="235"/>
        <w:numPr>
          <w:ilvl w:val="0"/>
          <w:numId w:val="34"/>
        </w:numPr>
        <w:adjustRightInd/>
        <w:ind w:firstLineChars="0"/>
        <w:rPr>
          <w:rFonts w:ascii="宋体" w:hAnsi="宋体" w:cs="宋体"/>
          <w:color w:val="auto"/>
          <w:szCs w:val="21"/>
        </w:rPr>
      </w:pPr>
      <w:r>
        <w:rPr>
          <w:rFonts w:hint="eastAsia" w:ascii="宋体" w:hAnsi="宋体" w:cs="宋体"/>
          <w:color w:val="auto"/>
          <w:szCs w:val="21"/>
        </w:rPr>
        <w:t>如签订合同并生效后，供应商无故拒绝或延期，除按照合同条款处理外，列入不良行为记录一次，并给予通报。</w:t>
      </w:r>
    </w:p>
    <w:p>
      <w:pPr>
        <w:pStyle w:val="235"/>
        <w:numPr>
          <w:ilvl w:val="0"/>
          <w:numId w:val="34"/>
        </w:numPr>
        <w:adjustRightInd/>
        <w:ind w:firstLineChars="0"/>
        <w:rPr>
          <w:rFonts w:ascii="宋体" w:hAnsi="宋体" w:cs="宋体"/>
          <w:color w:val="auto"/>
          <w:szCs w:val="21"/>
        </w:rPr>
      </w:pPr>
      <w:r>
        <w:rPr>
          <w:rFonts w:hint="eastAsia" w:ascii="宋体" w:hAnsi="宋体" w:cs="宋体"/>
          <w:color w:val="auto"/>
          <w:szCs w:val="21"/>
        </w:rPr>
        <w:t>中标供应商拒绝与采购人签订合同的，采购人可以按照评审报告推荐的中标或者成交候选人名单排序，确定下一候选人为中标供应商，也可以重新开展政府采购活动。</w:t>
      </w:r>
    </w:p>
    <w:p>
      <w:pPr>
        <w:pStyle w:val="235"/>
        <w:numPr>
          <w:ilvl w:val="0"/>
          <w:numId w:val="34"/>
        </w:numPr>
        <w:adjustRightInd/>
        <w:ind w:firstLineChars="0"/>
        <w:rPr>
          <w:rFonts w:ascii="宋体" w:hAnsi="宋体" w:cs="宋体"/>
          <w:color w:val="auto"/>
          <w:szCs w:val="21"/>
        </w:rPr>
      </w:pPr>
      <w:r>
        <w:rPr>
          <w:rFonts w:hint="eastAsia" w:ascii="宋体" w:hAnsi="宋体" w:cs="宋体"/>
          <w:color w:val="auto"/>
          <w:szCs w:val="21"/>
        </w:rPr>
        <w:t>采购合同由采购人与中标供应商根据采购文件、投标文件等内容通过政府采购电子交易平台在线签订，自动备案。</w:t>
      </w:r>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履约保证金</w:t>
      </w:r>
    </w:p>
    <w:p>
      <w:pPr>
        <w:adjustRightInd/>
        <w:rPr>
          <w:rFonts w:ascii="宋体" w:hAnsi="宋体" w:cs="宋体"/>
          <w:color w:val="auto"/>
          <w:szCs w:val="21"/>
        </w:rPr>
      </w:pPr>
      <w:r>
        <w:rPr>
          <w:rFonts w:hint="eastAsia" w:ascii="宋体" w:hAnsi="宋体" w:cs="宋体"/>
          <w:color w:val="auto"/>
          <w:kern w:val="0"/>
          <w:szCs w:val="21"/>
        </w:rPr>
        <w:t>拟签订的合同文本要求中标供应商提交履约保证金的，供应商应当以支票、汇票、本票或者金融机构、担保机构出具的保函等非现金形式提交</w:t>
      </w:r>
      <w:r>
        <w:rPr>
          <w:rFonts w:hint="eastAsia" w:ascii="宋体" w:hAnsi="宋体" w:cs="宋体"/>
          <w:color w:val="auto"/>
          <w:szCs w:val="21"/>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adjustRightInd/>
        <w:rPr>
          <w:rFonts w:ascii="宋体" w:hAnsi="宋体" w:cs="宋体"/>
          <w:color w:val="auto"/>
          <w:kern w:val="0"/>
          <w:szCs w:val="21"/>
        </w:rPr>
      </w:pPr>
      <w:r>
        <w:rPr>
          <w:rFonts w:hint="eastAsia" w:ascii="宋体" w:hAnsi="宋体" w:cs="宋体"/>
          <w:color w:val="auto"/>
          <w:kern w:val="0"/>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预付款</w:t>
      </w:r>
    </w:p>
    <w:p>
      <w:pPr>
        <w:adjustRightInd/>
        <w:rPr>
          <w:rFonts w:ascii="宋体" w:hAnsi="宋体" w:cs="宋体"/>
          <w:color w:val="auto"/>
          <w:szCs w:val="21"/>
        </w:rPr>
      </w:pPr>
      <w:r>
        <w:rPr>
          <w:rFonts w:hint="eastAsia" w:ascii="宋体" w:hAnsi="宋体" w:cs="宋体"/>
          <w:color w:val="auto"/>
          <w:szCs w:val="21"/>
        </w:rPr>
        <w:t>采购人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adjustRightInd/>
        <w:rPr>
          <w:rFonts w:ascii="宋体" w:hAnsi="宋体" w:cs="宋体"/>
          <w:color w:val="auto"/>
          <w:szCs w:val="21"/>
        </w:rPr>
      </w:pPr>
    </w:p>
    <w:p>
      <w:pPr>
        <w:adjustRightInd/>
        <w:rPr>
          <w:rFonts w:ascii="宋体" w:hAnsi="宋体" w:cs="宋体"/>
          <w:color w:val="auto"/>
          <w:szCs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47" w:name="_Toc30673"/>
      <w:bookmarkStart w:id="48" w:name="_Toc18822"/>
      <w:r>
        <w:rPr>
          <w:rFonts w:hint="eastAsia" w:ascii="宋体" w:hAnsi="宋体" w:cs="宋体"/>
          <w:color w:val="auto"/>
          <w:szCs w:val="21"/>
        </w:rPr>
        <w:t>电子交易活动的中止</w:t>
      </w:r>
      <w:bookmarkEnd w:id="47"/>
      <w:bookmarkEnd w:id="48"/>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color w:val="auto"/>
          <w:sz w:val="21"/>
          <w:szCs w:val="21"/>
        </w:rPr>
        <w:t>电子交易活动的中止</w:t>
      </w:r>
    </w:p>
    <w:p>
      <w:pPr>
        <w:pStyle w:val="75"/>
        <w:adjustRightInd/>
        <w:spacing w:before="0"/>
        <w:ind w:firstLine="420"/>
        <w:rPr>
          <w:rFonts w:ascii="宋体" w:hAnsi="宋体" w:cs="宋体"/>
          <w:color w:val="auto"/>
          <w:sz w:val="21"/>
          <w:szCs w:val="21"/>
        </w:rPr>
      </w:pPr>
      <w:r>
        <w:rPr>
          <w:rFonts w:hint="eastAsia" w:ascii="宋体" w:hAnsi="宋体" w:cs="宋体"/>
          <w:color w:val="auto"/>
          <w:sz w:val="21"/>
          <w:szCs w:val="21"/>
        </w:rPr>
        <w:t>采购过程中出现以下情形，导致电子交易平台无法正常运行，或者无法保证电子交易的公平、公正和安全时，采购代理机构可中止电子交易活动：</w:t>
      </w:r>
    </w:p>
    <w:p>
      <w:pPr>
        <w:pStyle w:val="75"/>
        <w:numPr>
          <w:ilvl w:val="0"/>
          <w:numId w:val="35"/>
        </w:numPr>
        <w:adjustRightInd/>
        <w:spacing w:before="0"/>
        <w:ind w:firstLineChars="0"/>
        <w:rPr>
          <w:rFonts w:ascii="宋体" w:hAnsi="宋体" w:cs="宋体"/>
          <w:color w:val="auto"/>
          <w:sz w:val="21"/>
          <w:szCs w:val="21"/>
        </w:rPr>
      </w:pPr>
      <w:r>
        <w:rPr>
          <w:rFonts w:hint="eastAsia" w:ascii="宋体" w:hAnsi="宋体" w:cs="宋体"/>
          <w:color w:val="auto"/>
          <w:sz w:val="21"/>
          <w:szCs w:val="21"/>
        </w:rPr>
        <w:t>电子交易平台发生故障而无法登录访问的；</w:t>
      </w:r>
    </w:p>
    <w:p>
      <w:pPr>
        <w:pStyle w:val="75"/>
        <w:numPr>
          <w:ilvl w:val="0"/>
          <w:numId w:val="35"/>
        </w:numPr>
        <w:adjustRightInd/>
        <w:spacing w:before="0"/>
        <w:ind w:firstLineChars="0"/>
        <w:rPr>
          <w:rFonts w:ascii="宋体" w:hAnsi="宋体" w:cs="宋体"/>
          <w:color w:val="auto"/>
          <w:sz w:val="21"/>
          <w:szCs w:val="21"/>
        </w:rPr>
      </w:pPr>
      <w:r>
        <w:rPr>
          <w:rFonts w:hint="eastAsia" w:ascii="宋体" w:hAnsi="宋体" w:cs="宋体"/>
          <w:color w:val="auto"/>
          <w:sz w:val="21"/>
          <w:szCs w:val="21"/>
        </w:rPr>
        <w:t>电子交易平台应用或数据库出现错误，不能进行正常操作的；</w:t>
      </w:r>
    </w:p>
    <w:p>
      <w:pPr>
        <w:pStyle w:val="75"/>
        <w:numPr>
          <w:ilvl w:val="0"/>
          <w:numId w:val="35"/>
        </w:numPr>
        <w:adjustRightInd/>
        <w:spacing w:before="0"/>
        <w:ind w:firstLineChars="0"/>
        <w:rPr>
          <w:rFonts w:ascii="宋体" w:hAnsi="宋体" w:cs="宋体"/>
          <w:color w:val="auto"/>
          <w:sz w:val="21"/>
          <w:szCs w:val="21"/>
        </w:rPr>
      </w:pPr>
      <w:r>
        <w:rPr>
          <w:rFonts w:hint="eastAsia" w:ascii="宋体" w:hAnsi="宋体" w:cs="宋体"/>
          <w:color w:val="auto"/>
          <w:sz w:val="21"/>
          <w:szCs w:val="21"/>
        </w:rPr>
        <w:t>电子交易平台发现严重安全漏洞，有潜在泄密危险的；</w:t>
      </w:r>
    </w:p>
    <w:p>
      <w:pPr>
        <w:pStyle w:val="75"/>
        <w:numPr>
          <w:ilvl w:val="0"/>
          <w:numId w:val="35"/>
        </w:numPr>
        <w:adjustRightInd/>
        <w:spacing w:before="0"/>
        <w:ind w:firstLineChars="0"/>
        <w:rPr>
          <w:rFonts w:ascii="宋体" w:hAnsi="宋体" w:cs="宋体"/>
          <w:color w:val="auto"/>
          <w:sz w:val="21"/>
          <w:szCs w:val="21"/>
        </w:rPr>
      </w:pPr>
      <w:r>
        <w:rPr>
          <w:rFonts w:hint="eastAsia" w:ascii="宋体" w:hAnsi="宋体" w:cs="宋体"/>
          <w:color w:val="auto"/>
          <w:sz w:val="21"/>
          <w:szCs w:val="21"/>
        </w:rPr>
        <w:t>病毒发作导致不能进行正常操作的；</w:t>
      </w:r>
    </w:p>
    <w:p>
      <w:pPr>
        <w:pStyle w:val="75"/>
        <w:numPr>
          <w:ilvl w:val="0"/>
          <w:numId w:val="35"/>
        </w:numPr>
        <w:adjustRightInd/>
        <w:spacing w:before="0"/>
        <w:ind w:firstLineChars="0"/>
        <w:rPr>
          <w:rFonts w:ascii="宋体" w:hAnsi="宋体" w:cs="宋体"/>
          <w:color w:val="auto"/>
          <w:sz w:val="21"/>
          <w:szCs w:val="21"/>
        </w:rPr>
      </w:pPr>
      <w:r>
        <w:rPr>
          <w:rFonts w:hint="eastAsia" w:ascii="宋体" w:hAnsi="宋体" w:cs="宋体"/>
          <w:color w:val="auto"/>
          <w:sz w:val="21"/>
          <w:szCs w:val="21"/>
        </w:rPr>
        <w:t>其他无法保证电子交易的公平、公正和安全的情况。</w:t>
      </w:r>
    </w:p>
    <w:p>
      <w:pPr>
        <w:pStyle w:val="75"/>
        <w:numPr>
          <w:ilvl w:val="0"/>
          <w:numId w:val="6"/>
        </w:numPr>
        <w:adjustRightInd/>
        <w:spacing w:before="0"/>
        <w:ind w:firstLineChars="0"/>
        <w:rPr>
          <w:rFonts w:ascii="宋体" w:hAnsi="宋体" w:cs="宋体"/>
          <w:color w:val="auto"/>
          <w:sz w:val="21"/>
          <w:szCs w:val="21"/>
        </w:rPr>
      </w:pPr>
      <w:r>
        <w:rPr>
          <w:rFonts w:hint="eastAsia" w:ascii="宋体" w:hAnsi="宋体" w:cs="宋体"/>
          <w:bCs/>
          <w:color w:val="auto"/>
          <w:sz w:val="21"/>
          <w:szCs w:val="21"/>
        </w:rPr>
        <w:t>出现以上情形，不影响采购公平、公正性的，采购组织机构可以待上述情形消除后继续组织电</w:t>
      </w:r>
      <w:r>
        <w:rPr>
          <w:rFonts w:hint="eastAsia" w:ascii="宋体" w:hAnsi="宋体" w:cs="宋体"/>
          <w:color w:val="auto"/>
          <w:sz w:val="21"/>
          <w:szCs w:val="21"/>
        </w:rPr>
        <w:t>子交易活动，也可以决定某些环节以纸质形式进行；影响或可能影响采购公平、公正性的，应当重新采购。</w:t>
      </w:r>
    </w:p>
    <w:p>
      <w:pPr>
        <w:adjustRightInd/>
        <w:rPr>
          <w:rFonts w:ascii="宋体" w:hAnsi="宋体" w:cs="宋体"/>
          <w:color w:val="auto"/>
          <w:szCs w:val="21"/>
        </w:rPr>
      </w:pPr>
    </w:p>
    <w:p>
      <w:pPr>
        <w:pStyle w:val="235"/>
        <w:numPr>
          <w:ilvl w:val="0"/>
          <w:numId w:val="17"/>
        </w:numPr>
        <w:adjustRightInd/>
        <w:ind w:firstLineChars="0"/>
        <w:rPr>
          <w:rFonts w:ascii="宋体" w:hAnsi="宋体" w:cs="宋体"/>
          <w:color w:val="auto"/>
          <w:szCs w:val="21"/>
        </w:rPr>
      </w:pPr>
      <w:r>
        <w:rPr>
          <w:rFonts w:hint="eastAsia" w:ascii="宋体" w:hAnsi="宋体" w:cs="宋体"/>
          <w:color w:val="auto"/>
          <w:szCs w:val="21"/>
        </w:rPr>
        <w:br w:type="page"/>
      </w:r>
      <w:bookmarkStart w:id="49" w:name="_Toc2595"/>
      <w:bookmarkStart w:id="50" w:name="_Toc26107"/>
      <w:r>
        <w:rPr>
          <w:rFonts w:hint="eastAsia" w:ascii="宋体" w:hAnsi="宋体" w:cs="宋体"/>
          <w:color w:val="auto"/>
          <w:szCs w:val="21"/>
        </w:rPr>
        <w:t>验收</w:t>
      </w:r>
      <w:bookmarkEnd w:id="49"/>
      <w:bookmarkEnd w:id="50"/>
    </w:p>
    <w:p>
      <w:pPr>
        <w:pStyle w:val="3"/>
        <w:numPr>
          <w:ilvl w:val="0"/>
          <w:numId w:val="6"/>
        </w:numPr>
        <w:adjustRightInd/>
        <w:spacing w:line="360" w:lineRule="auto"/>
        <w:ind w:firstLineChars="0"/>
        <w:rPr>
          <w:rFonts w:cs="宋体"/>
          <w:color w:val="auto"/>
          <w:sz w:val="21"/>
          <w:szCs w:val="21"/>
        </w:rPr>
      </w:pPr>
      <w:r>
        <w:rPr>
          <w:rFonts w:hint="eastAsia" w:cs="宋体"/>
          <w:color w:val="auto"/>
          <w:sz w:val="21"/>
          <w:szCs w:val="21"/>
        </w:rPr>
        <w:t>验收</w:t>
      </w:r>
    </w:p>
    <w:p>
      <w:pPr>
        <w:pStyle w:val="235"/>
        <w:numPr>
          <w:ilvl w:val="0"/>
          <w:numId w:val="36"/>
        </w:numPr>
        <w:adjustRightInd/>
        <w:ind w:firstLineChars="0"/>
        <w:rPr>
          <w:rFonts w:ascii="宋体" w:hAnsi="宋体" w:cs="宋体"/>
          <w:color w:val="auto"/>
          <w:szCs w:val="21"/>
        </w:rPr>
      </w:pPr>
      <w:r>
        <w:rPr>
          <w:rFonts w:hint="eastAsia" w:ascii="宋体" w:hAnsi="宋体" w:cs="宋体"/>
          <w:color w:val="auto"/>
          <w:szCs w:val="21"/>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235"/>
        <w:numPr>
          <w:ilvl w:val="0"/>
          <w:numId w:val="36"/>
        </w:numPr>
        <w:adjustRightInd/>
        <w:ind w:firstLineChars="0"/>
        <w:rPr>
          <w:rFonts w:ascii="宋体" w:hAnsi="宋体" w:cs="宋体"/>
          <w:color w:val="auto"/>
          <w:szCs w:val="21"/>
        </w:rPr>
      </w:pPr>
      <w:r>
        <w:rPr>
          <w:rFonts w:hint="eastAsia" w:ascii="宋体" w:hAnsi="宋体" w:cs="宋体"/>
          <w:color w:val="auto"/>
          <w:szCs w:val="21"/>
        </w:rPr>
        <w:t>采购人可以邀请参加本项目的其他供应商或者第三方机构参与验收。参与验收的供应商或者第三方机构的意见作为验收书的参考资料一并存档。</w:t>
      </w:r>
    </w:p>
    <w:p>
      <w:pPr>
        <w:pStyle w:val="235"/>
        <w:numPr>
          <w:ilvl w:val="0"/>
          <w:numId w:val="36"/>
        </w:numPr>
        <w:adjustRightInd/>
        <w:ind w:firstLineChars="0"/>
        <w:rPr>
          <w:rFonts w:ascii="宋体" w:hAnsi="宋体" w:cs="宋体"/>
          <w:color w:val="auto"/>
          <w:szCs w:val="21"/>
        </w:rPr>
      </w:pPr>
      <w:r>
        <w:rPr>
          <w:rFonts w:hint="eastAsia" w:ascii="宋体" w:hAnsi="宋体" w:cs="宋体"/>
          <w:color w:val="auto"/>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235"/>
        <w:numPr>
          <w:ilvl w:val="0"/>
          <w:numId w:val="36"/>
        </w:numPr>
        <w:adjustRightInd/>
        <w:ind w:firstLineChars="0"/>
        <w:rPr>
          <w:rFonts w:ascii="宋体" w:hAnsi="宋体" w:cs="宋体"/>
          <w:color w:val="auto"/>
          <w:szCs w:val="21"/>
        </w:rPr>
      </w:pPr>
      <w:r>
        <w:rPr>
          <w:rFonts w:hint="eastAsia" w:ascii="宋体" w:hAnsi="宋体" w:cs="宋体"/>
          <w:color w:val="auto"/>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41"/>
    <w:p>
      <w:pPr>
        <w:rPr>
          <w:color w:val="auto"/>
        </w:rPr>
        <w:sectPr>
          <w:footerReference r:id="rId11" w:type="first"/>
          <w:footerReference r:id="rId10" w:type="default"/>
          <w:pgSz w:w="11906" w:h="16838"/>
          <w:pgMar w:top="1440" w:right="1080" w:bottom="1440" w:left="1080" w:header="851" w:footer="992" w:gutter="0"/>
          <w:pgNumType w:fmt="decimal" w:start="1"/>
          <w:cols w:space="0" w:num="1"/>
          <w:docGrid w:linePitch="312" w:charSpace="0"/>
        </w:sectPr>
      </w:pPr>
      <w:bookmarkStart w:id="51" w:name="_Hlt68403820"/>
      <w:bookmarkEnd w:id="51"/>
      <w:bookmarkStart w:id="52" w:name="_Hlt74714665"/>
      <w:bookmarkEnd w:id="52"/>
      <w:bookmarkStart w:id="53" w:name="_Hlt74707468"/>
      <w:bookmarkEnd w:id="53"/>
      <w:bookmarkStart w:id="54" w:name="_Hlt74730295"/>
      <w:bookmarkEnd w:id="54"/>
      <w:bookmarkStart w:id="55" w:name="_Hlt74729768"/>
      <w:bookmarkEnd w:id="55"/>
      <w:bookmarkStart w:id="56" w:name="_Hlt75236011"/>
      <w:bookmarkEnd w:id="56"/>
      <w:bookmarkStart w:id="57" w:name="_Hlt68072998"/>
      <w:bookmarkEnd w:id="57"/>
      <w:bookmarkStart w:id="58" w:name="_Hlt68057669"/>
      <w:bookmarkEnd w:id="58"/>
      <w:bookmarkStart w:id="59" w:name="_Hlt68072990"/>
      <w:bookmarkEnd w:id="59"/>
      <w:bookmarkStart w:id="60" w:name="_Hlt68073093"/>
      <w:bookmarkEnd w:id="60"/>
      <w:bookmarkStart w:id="61" w:name="_Hlt75236290"/>
      <w:bookmarkEnd w:id="61"/>
      <w:bookmarkStart w:id="62" w:name="_Hlt75236101"/>
      <w:bookmarkEnd w:id="62"/>
    </w:p>
    <w:bookmarkEnd w:id="18"/>
    <w:bookmarkEnd w:id="19"/>
    <w:p>
      <w:pPr>
        <w:pStyle w:val="6"/>
        <w:spacing w:line="360" w:lineRule="auto"/>
        <w:ind w:firstLine="880"/>
        <w:jc w:val="center"/>
        <w:rPr>
          <w:color w:val="auto"/>
        </w:rPr>
      </w:pPr>
      <w:bookmarkStart w:id="63" w:name="_Toc27428"/>
      <w:bookmarkStart w:id="64" w:name="_Toc29574"/>
      <w:bookmarkStart w:id="65" w:name="第四部分"/>
      <w:r>
        <w:rPr>
          <w:rFonts w:hint="eastAsia"/>
          <w:color w:val="auto"/>
        </w:rPr>
        <w:t>第三部分采购需求</w:t>
      </w:r>
      <w:bookmarkEnd w:id="63"/>
      <w:bookmarkEnd w:id="64"/>
    </w:p>
    <w:p>
      <w:pPr>
        <w:jc w:val="center"/>
        <w:rPr>
          <w:color w:val="auto"/>
        </w:rPr>
      </w:pPr>
      <w:r>
        <w:rPr>
          <w:rFonts w:hint="eastAsia"/>
          <w:color w:val="auto"/>
        </w:rPr>
        <w:t>前附表</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36"/>
        <w:gridCol w:w="40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5" w:type="dxa"/>
            <w:vAlign w:val="center"/>
          </w:tcPr>
          <w:p>
            <w:pPr>
              <w:spacing w:line="400" w:lineRule="exact"/>
              <w:ind w:firstLine="0" w:firstLineChars="0"/>
              <w:jc w:val="center"/>
              <w:rPr>
                <w:color w:val="auto"/>
              </w:rPr>
            </w:pPr>
            <w:r>
              <w:rPr>
                <w:rFonts w:hint="eastAsia"/>
                <w:color w:val="auto"/>
              </w:rPr>
              <w:t>序号</w:t>
            </w:r>
          </w:p>
        </w:tc>
        <w:tc>
          <w:tcPr>
            <w:tcW w:w="3536" w:type="dxa"/>
            <w:vAlign w:val="center"/>
          </w:tcPr>
          <w:p>
            <w:pPr>
              <w:spacing w:line="400" w:lineRule="exact"/>
              <w:ind w:firstLine="0" w:firstLineChars="0"/>
              <w:jc w:val="center"/>
              <w:rPr>
                <w:color w:val="auto"/>
              </w:rPr>
            </w:pPr>
            <w:r>
              <w:rPr>
                <w:rFonts w:hint="eastAsia"/>
                <w:color w:val="auto"/>
              </w:rPr>
              <w:t>子项</w:t>
            </w:r>
          </w:p>
        </w:tc>
        <w:tc>
          <w:tcPr>
            <w:tcW w:w="4057" w:type="dxa"/>
            <w:vAlign w:val="center"/>
          </w:tcPr>
          <w:p>
            <w:pPr>
              <w:spacing w:line="400" w:lineRule="exact"/>
              <w:ind w:firstLine="0" w:firstLineChars="0"/>
              <w:jc w:val="center"/>
              <w:rPr>
                <w:color w:val="auto"/>
              </w:rPr>
            </w:pPr>
            <w:r>
              <w:rPr>
                <w:rFonts w:hint="eastAsia"/>
                <w:color w:val="auto"/>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75" w:type="dxa"/>
            <w:vMerge w:val="restart"/>
            <w:vAlign w:val="center"/>
          </w:tcPr>
          <w:p>
            <w:pPr>
              <w:spacing w:line="400" w:lineRule="exact"/>
              <w:ind w:firstLine="0" w:firstLineChars="0"/>
              <w:jc w:val="center"/>
              <w:rPr>
                <w:color w:val="auto"/>
              </w:rPr>
            </w:pPr>
            <w:r>
              <w:rPr>
                <w:rFonts w:hint="eastAsia"/>
                <w:color w:val="auto"/>
              </w:rPr>
              <w:t>一</w:t>
            </w:r>
          </w:p>
        </w:tc>
        <w:tc>
          <w:tcPr>
            <w:tcW w:w="3536" w:type="dxa"/>
            <w:vAlign w:val="center"/>
          </w:tcPr>
          <w:p>
            <w:pPr>
              <w:spacing w:line="400" w:lineRule="exact"/>
              <w:ind w:firstLine="0" w:firstLineChars="0"/>
              <w:rPr>
                <w:color w:val="auto"/>
              </w:rPr>
            </w:pPr>
            <w:r>
              <w:rPr>
                <w:rFonts w:hint="eastAsia"/>
                <w:color w:val="auto"/>
              </w:rPr>
              <w:t>采购标的需实现的功能或者目标</w:t>
            </w:r>
          </w:p>
        </w:tc>
        <w:tc>
          <w:tcPr>
            <w:tcW w:w="4057" w:type="dxa"/>
            <w:vAlign w:val="center"/>
          </w:tcPr>
          <w:p>
            <w:pPr>
              <w:spacing w:line="400" w:lineRule="exact"/>
              <w:ind w:firstLine="0" w:firstLineChars="0"/>
              <w:rPr>
                <w:color w:val="auto"/>
              </w:rPr>
            </w:pPr>
            <w:r>
              <w:rPr>
                <w:rFonts w:hint="eastAsia"/>
                <w:color w:val="auto"/>
              </w:rPr>
              <w:t>详见第三部分采购需求第一条。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75" w:type="dxa"/>
            <w:vMerge w:val="continue"/>
            <w:vAlign w:val="center"/>
          </w:tcPr>
          <w:p>
            <w:pPr>
              <w:spacing w:line="400" w:lineRule="exact"/>
              <w:ind w:firstLine="0" w:firstLineChars="0"/>
              <w:jc w:val="center"/>
              <w:rPr>
                <w:color w:val="auto"/>
              </w:rPr>
            </w:pPr>
          </w:p>
        </w:tc>
        <w:tc>
          <w:tcPr>
            <w:tcW w:w="3536" w:type="dxa"/>
            <w:vAlign w:val="center"/>
          </w:tcPr>
          <w:p>
            <w:pPr>
              <w:spacing w:line="400" w:lineRule="exact"/>
              <w:ind w:firstLine="0" w:firstLineChars="0"/>
              <w:rPr>
                <w:color w:val="auto"/>
              </w:rPr>
            </w:pPr>
            <w:r>
              <w:rPr>
                <w:rFonts w:hint="eastAsia"/>
                <w:color w:val="auto"/>
              </w:rPr>
              <w:t>为落实政府采购需满足的要求</w:t>
            </w:r>
          </w:p>
        </w:tc>
        <w:tc>
          <w:tcPr>
            <w:tcW w:w="4057" w:type="dxa"/>
            <w:vAlign w:val="center"/>
          </w:tcPr>
          <w:p>
            <w:pPr>
              <w:spacing w:line="400" w:lineRule="exact"/>
              <w:ind w:firstLine="0" w:firstLineChars="0"/>
              <w:rPr>
                <w:color w:val="auto"/>
              </w:rPr>
            </w:pPr>
            <w:r>
              <w:rPr>
                <w:rFonts w:hint="eastAsia"/>
                <w:color w:val="auto"/>
              </w:rPr>
              <w:t>详见第一部分招标公告。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二</w:t>
            </w:r>
          </w:p>
        </w:tc>
        <w:tc>
          <w:tcPr>
            <w:tcW w:w="3536" w:type="dxa"/>
            <w:vAlign w:val="center"/>
          </w:tcPr>
          <w:p>
            <w:pPr>
              <w:spacing w:line="400" w:lineRule="exact"/>
              <w:ind w:firstLine="0" w:firstLineChars="0"/>
              <w:rPr>
                <w:color w:val="auto"/>
              </w:rPr>
            </w:pPr>
            <w:r>
              <w:rPr>
                <w:rFonts w:hint="eastAsia"/>
                <w:color w:val="auto"/>
              </w:rPr>
              <w:t>采购标的需执行的国家相关标准、行业标准、地方标准或者其他标准规范</w:t>
            </w:r>
          </w:p>
        </w:tc>
        <w:tc>
          <w:tcPr>
            <w:tcW w:w="4057" w:type="dxa"/>
            <w:vAlign w:val="center"/>
          </w:tcPr>
          <w:p>
            <w:pPr>
              <w:spacing w:line="400" w:lineRule="exact"/>
              <w:ind w:firstLine="0" w:firstLineChars="0"/>
              <w:rPr>
                <w:color w:val="auto"/>
              </w:rPr>
            </w:pPr>
            <w:r>
              <w:rPr>
                <w:rFonts w:hint="eastAsia"/>
                <w:color w:val="auto"/>
              </w:rPr>
              <w:t>采购人认可的国家相关标准、行业标准、地方标准或者其他标准规范。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三</w:t>
            </w:r>
          </w:p>
        </w:tc>
        <w:tc>
          <w:tcPr>
            <w:tcW w:w="3536" w:type="dxa"/>
            <w:vAlign w:val="center"/>
          </w:tcPr>
          <w:p>
            <w:pPr>
              <w:spacing w:line="400" w:lineRule="exact"/>
              <w:ind w:firstLine="0" w:firstLineChars="0"/>
              <w:rPr>
                <w:color w:val="auto"/>
              </w:rPr>
            </w:pPr>
            <w:r>
              <w:rPr>
                <w:rFonts w:hint="eastAsia"/>
                <w:color w:val="auto"/>
              </w:rPr>
              <w:t>采购标的需满足的质量、安全、技术规格、物理特性等要求</w:t>
            </w:r>
          </w:p>
        </w:tc>
        <w:tc>
          <w:tcPr>
            <w:tcW w:w="4057" w:type="dxa"/>
            <w:vAlign w:val="center"/>
          </w:tcPr>
          <w:p>
            <w:pPr>
              <w:spacing w:line="400" w:lineRule="exact"/>
              <w:ind w:firstLine="0" w:firstLineChars="0"/>
              <w:rPr>
                <w:color w:val="auto"/>
              </w:rPr>
            </w:pPr>
            <w:r>
              <w:rPr>
                <w:rFonts w:hint="eastAsia"/>
                <w:color w:val="auto"/>
              </w:rPr>
              <w:t>详见第三部分采购需求第二条。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四</w:t>
            </w:r>
          </w:p>
        </w:tc>
        <w:tc>
          <w:tcPr>
            <w:tcW w:w="3536" w:type="dxa"/>
            <w:vAlign w:val="center"/>
          </w:tcPr>
          <w:p>
            <w:pPr>
              <w:spacing w:line="400" w:lineRule="exact"/>
              <w:ind w:firstLine="0" w:firstLineChars="0"/>
              <w:rPr>
                <w:color w:val="auto"/>
              </w:rPr>
            </w:pPr>
            <w:r>
              <w:rPr>
                <w:rFonts w:hint="eastAsia"/>
                <w:color w:val="auto"/>
              </w:rPr>
              <w:t>采购标的数量、采购项目交付或者实施的时间和地点</w:t>
            </w:r>
          </w:p>
        </w:tc>
        <w:tc>
          <w:tcPr>
            <w:tcW w:w="4057" w:type="dxa"/>
            <w:vAlign w:val="center"/>
          </w:tcPr>
          <w:p>
            <w:pPr>
              <w:spacing w:line="400" w:lineRule="exact"/>
              <w:ind w:firstLine="0" w:firstLineChars="0"/>
              <w:rPr>
                <w:color w:val="auto"/>
              </w:rPr>
            </w:pPr>
            <w:r>
              <w:rPr>
                <w:rFonts w:hint="eastAsia"/>
                <w:color w:val="auto"/>
              </w:rPr>
              <w:t>采购标的数量、实施的时间（即合同履约期限）：详见第一部分招标公告。</w:t>
            </w:r>
          </w:p>
          <w:p>
            <w:pPr>
              <w:spacing w:line="400" w:lineRule="exact"/>
              <w:ind w:firstLine="0" w:firstLineChars="0"/>
              <w:rPr>
                <w:color w:val="auto"/>
              </w:rPr>
            </w:pPr>
            <w:r>
              <w:rPr>
                <w:rFonts w:hint="eastAsia"/>
                <w:color w:val="auto"/>
              </w:rPr>
              <w:t>实施地点：采购人指定地点。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五</w:t>
            </w:r>
          </w:p>
        </w:tc>
        <w:tc>
          <w:tcPr>
            <w:tcW w:w="3536" w:type="dxa"/>
            <w:vAlign w:val="center"/>
          </w:tcPr>
          <w:p>
            <w:pPr>
              <w:spacing w:line="400" w:lineRule="exact"/>
              <w:ind w:firstLine="0" w:firstLineChars="0"/>
              <w:rPr>
                <w:color w:val="auto"/>
              </w:rPr>
            </w:pPr>
            <w:r>
              <w:rPr>
                <w:rFonts w:hint="eastAsia"/>
                <w:color w:val="auto"/>
              </w:rPr>
              <w:t>采购标的需满足的服务标准、期限、效率等要求</w:t>
            </w:r>
          </w:p>
        </w:tc>
        <w:tc>
          <w:tcPr>
            <w:tcW w:w="4057" w:type="dxa"/>
            <w:vAlign w:val="center"/>
          </w:tcPr>
          <w:p>
            <w:pPr>
              <w:spacing w:line="400" w:lineRule="exact"/>
              <w:ind w:firstLine="0" w:firstLineChars="0"/>
              <w:rPr>
                <w:color w:val="auto"/>
              </w:rPr>
            </w:pPr>
            <w:r>
              <w:rPr>
                <w:rFonts w:hint="eastAsia"/>
                <w:color w:val="auto"/>
              </w:rPr>
              <w:t>详见第三部分采购需求第三条。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六</w:t>
            </w:r>
          </w:p>
        </w:tc>
        <w:tc>
          <w:tcPr>
            <w:tcW w:w="3536" w:type="dxa"/>
            <w:vAlign w:val="center"/>
          </w:tcPr>
          <w:p>
            <w:pPr>
              <w:spacing w:line="400" w:lineRule="exact"/>
              <w:ind w:firstLine="0" w:firstLineChars="0"/>
              <w:rPr>
                <w:color w:val="auto"/>
              </w:rPr>
            </w:pPr>
            <w:r>
              <w:rPr>
                <w:rFonts w:hint="eastAsia"/>
                <w:color w:val="auto"/>
              </w:rPr>
              <w:t>采购标的验收标准</w:t>
            </w:r>
          </w:p>
        </w:tc>
        <w:tc>
          <w:tcPr>
            <w:tcW w:w="4057" w:type="dxa"/>
            <w:vAlign w:val="center"/>
          </w:tcPr>
          <w:p>
            <w:pPr>
              <w:spacing w:line="400" w:lineRule="exact"/>
              <w:ind w:firstLine="0" w:firstLineChars="0"/>
              <w:rPr>
                <w:color w:val="auto"/>
              </w:rPr>
            </w:pPr>
            <w:r>
              <w:rPr>
                <w:rFonts w:hint="eastAsia"/>
                <w:color w:val="auto"/>
              </w:rPr>
              <w:t>按照中标人提供的投标文件、中标人和采购人签订的政府采购合同为标准进行验收。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75" w:type="dxa"/>
            <w:vAlign w:val="center"/>
          </w:tcPr>
          <w:p>
            <w:pPr>
              <w:spacing w:line="400" w:lineRule="exact"/>
              <w:ind w:firstLine="0" w:firstLineChars="0"/>
              <w:jc w:val="center"/>
              <w:rPr>
                <w:color w:val="auto"/>
              </w:rPr>
            </w:pPr>
            <w:r>
              <w:rPr>
                <w:rFonts w:hint="eastAsia"/>
                <w:color w:val="auto"/>
              </w:rPr>
              <w:t>七</w:t>
            </w:r>
          </w:p>
        </w:tc>
        <w:tc>
          <w:tcPr>
            <w:tcW w:w="3536" w:type="dxa"/>
            <w:vAlign w:val="center"/>
          </w:tcPr>
          <w:p>
            <w:pPr>
              <w:spacing w:line="400" w:lineRule="exact"/>
              <w:ind w:firstLine="0" w:firstLineChars="0"/>
              <w:rPr>
                <w:color w:val="auto"/>
              </w:rPr>
            </w:pPr>
            <w:r>
              <w:rPr>
                <w:rFonts w:hint="eastAsia"/>
                <w:color w:val="auto"/>
              </w:rPr>
              <w:t>采购标的其他技术、服务等要求</w:t>
            </w:r>
          </w:p>
        </w:tc>
        <w:tc>
          <w:tcPr>
            <w:tcW w:w="4057" w:type="dxa"/>
            <w:vAlign w:val="center"/>
          </w:tcPr>
          <w:p>
            <w:pPr>
              <w:spacing w:line="400" w:lineRule="exact"/>
              <w:ind w:firstLine="0" w:firstLineChars="0"/>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75" w:type="dxa"/>
            <w:vAlign w:val="center"/>
          </w:tcPr>
          <w:p>
            <w:pPr>
              <w:spacing w:line="400" w:lineRule="exact"/>
              <w:ind w:firstLine="0" w:firstLineChars="0"/>
              <w:jc w:val="center"/>
              <w:rPr>
                <w:color w:val="auto"/>
              </w:rPr>
            </w:pPr>
            <w:r>
              <w:rPr>
                <w:rFonts w:hint="eastAsia"/>
                <w:color w:val="auto"/>
              </w:rPr>
              <w:t>八</w:t>
            </w:r>
          </w:p>
        </w:tc>
        <w:tc>
          <w:tcPr>
            <w:tcW w:w="3536" w:type="dxa"/>
            <w:vAlign w:val="center"/>
          </w:tcPr>
          <w:p>
            <w:pPr>
              <w:spacing w:line="400" w:lineRule="exact"/>
              <w:ind w:firstLine="0" w:firstLineChars="0"/>
              <w:rPr>
                <w:color w:val="auto"/>
              </w:rPr>
            </w:pPr>
            <w:r>
              <w:rPr>
                <w:rFonts w:hint="eastAsia"/>
                <w:color w:val="auto"/>
              </w:rPr>
              <w:t>核心产品</w:t>
            </w:r>
          </w:p>
        </w:tc>
        <w:tc>
          <w:tcPr>
            <w:tcW w:w="4057" w:type="dxa"/>
            <w:vAlign w:val="center"/>
          </w:tcPr>
          <w:p>
            <w:pPr>
              <w:spacing w:line="400" w:lineRule="exact"/>
              <w:ind w:firstLine="0" w:firstLineChars="0"/>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Align w:val="center"/>
          </w:tcPr>
          <w:p>
            <w:pPr>
              <w:spacing w:line="400" w:lineRule="exact"/>
              <w:ind w:firstLine="0" w:firstLineChars="0"/>
              <w:jc w:val="center"/>
              <w:rPr>
                <w:color w:val="auto"/>
              </w:rPr>
            </w:pPr>
            <w:r>
              <w:rPr>
                <w:rFonts w:hint="eastAsia"/>
                <w:color w:val="auto"/>
              </w:rPr>
              <w:t>九</w:t>
            </w:r>
          </w:p>
        </w:tc>
        <w:tc>
          <w:tcPr>
            <w:tcW w:w="3536" w:type="dxa"/>
            <w:vAlign w:val="center"/>
          </w:tcPr>
          <w:p>
            <w:pPr>
              <w:spacing w:line="400" w:lineRule="exact"/>
              <w:ind w:firstLine="0" w:firstLineChars="0"/>
              <w:rPr>
                <w:color w:val="auto"/>
              </w:rPr>
            </w:pPr>
            <w:r>
              <w:rPr>
                <w:rFonts w:hint="eastAsia"/>
                <w:color w:val="auto"/>
              </w:rPr>
              <w:t>现场踏勘</w:t>
            </w:r>
          </w:p>
        </w:tc>
        <w:tc>
          <w:tcPr>
            <w:tcW w:w="4057" w:type="dxa"/>
            <w:vAlign w:val="center"/>
          </w:tcPr>
          <w:p>
            <w:pPr>
              <w:spacing w:line="400" w:lineRule="exact"/>
              <w:ind w:firstLine="0" w:firstLineChars="0"/>
              <w:rPr>
                <w:color w:val="auto"/>
              </w:rPr>
            </w:pPr>
            <w:r>
              <w:rPr>
                <w:rFonts w:hint="eastAsia"/>
                <w:color w:val="auto"/>
              </w:rPr>
              <w:t>本项目各潜在供应商宜至项目地点进行现场踏勘以充分了解项目位置、情况、道路、及任何其他足以影响本次报价的情况，任何因忽视或误解项目现场实际情况而导致的增加费用、索赔或期限延长申请将不获批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75" w:type="dxa"/>
            <w:vAlign w:val="center"/>
          </w:tcPr>
          <w:p>
            <w:pPr>
              <w:spacing w:line="400" w:lineRule="exact"/>
              <w:ind w:firstLine="0" w:firstLineChars="0"/>
              <w:jc w:val="center"/>
              <w:rPr>
                <w:color w:val="auto"/>
              </w:rPr>
            </w:pPr>
            <w:r>
              <w:rPr>
                <w:rFonts w:hint="eastAsia"/>
                <w:color w:val="auto"/>
              </w:rPr>
              <w:t>十</w:t>
            </w:r>
          </w:p>
        </w:tc>
        <w:tc>
          <w:tcPr>
            <w:tcW w:w="3536" w:type="dxa"/>
            <w:vAlign w:val="center"/>
          </w:tcPr>
          <w:p>
            <w:pPr>
              <w:spacing w:line="400" w:lineRule="exact"/>
              <w:ind w:firstLine="0" w:firstLineChars="0"/>
              <w:rPr>
                <w:color w:val="auto"/>
              </w:rPr>
            </w:pPr>
            <w:r>
              <w:rPr>
                <w:rFonts w:hint="eastAsia"/>
                <w:color w:val="auto"/>
              </w:rPr>
              <w:t>样品</w:t>
            </w:r>
          </w:p>
        </w:tc>
        <w:tc>
          <w:tcPr>
            <w:tcW w:w="4057" w:type="dxa"/>
            <w:vAlign w:val="center"/>
          </w:tcPr>
          <w:p>
            <w:pPr>
              <w:spacing w:line="400" w:lineRule="exact"/>
              <w:ind w:firstLine="0" w:firstLineChars="0"/>
              <w:rPr>
                <w:color w:val="auto"/>
              </w:rPr>
            </w:pPr>
            <w:r>
              <w:rPr>
                <w:rFonts w:hint="eastAsia"/>
                <w:color w:val="auto"/>
              </w:rPr>
              <w:t>详见第二部分供应商须知前附表。</w:t>
            </w:r>
          </w:p>
        </w:tc>
      </w:tr>
    </w:tbl>
    <w:p>
      <w:pPr>
        <w:rPr>
          <w:color w:val="auto"/>
        </w:rPr>
      </w:pPr>
    </w:p>
    <w:p>
      <w:pPr>
        <w:pStyle w:val="235"/>
        <w:numPr>
          <w:ilvl w:val="0"/>
          <w:numId w:val="37"/>
        </w:numPr>
        <w:ind w:firstLineChars="0"/>
        <w:rPr>
          <w:b/>
          <w:color w:val="auto"/>
        </w:rPr>
      </w:pPr>
      <w:r>
        <w:rPr>
          <w:rFonts w:hint="eastAsia"/>
          <w:color w:val="auto"/>
        </w:rPr>
        <w:br w:type="page"/>
      </w:r>
      <w:r>
        <w:rPr>
          <w:rFonts w:hint="eastAsia"/>
          <w:b/>
          <w:color w:val="auto"/>
        </w:rPr>
        <w:t>采购标的需实现的功能或者目标</w:t>
      </w:r>
    </w:p>
    <w:p>
      <w:pPr>
        <w:pStyle w:val="233"/>
        <w:rPr>
          <w:color w:val="auto"/>
        </w:rPr>
      </w:pPr>
      <w:r>
        <w:rPr>
          <w:rFonts w:hint="eastAsia"/>
          <w:color w:val="auto"/>
        </w:rPr>
        <w:t>1、</w:t>
      </w:r>
      <w:r>
        <w:rPr>
          <w:color w:val="auto"/>
        </w:rPr>
        <w:t>象山县水务集团有限公司</w:t>
      </w:r>
      <w:r>
        <w:rPr>
          <w:rFonts w:hint="eastAsia"/>
          <w:color w:val="auto"/>
        </w:rPr>
        <w:t>下属</w:t>
      </w:r>
      <w:r>
        <w:rPr>
          <w:color w:val="auto"/>
        </w:rPr>
        <w:t>象山县第一</w:t>
      </w:r>
      <w:r>
        <w:rPr>
          <w:rFonts w:hint="eastAsia"/>
          <w:color w:val="auto"/>
        </w:rPr>
        <w:t>、</w:t>
      </w:r>
      <w:r>
        <w:rPr>
          <w:color w:val="auto"/>
        </w:rPr>
        <w:t>第二</w:t>
      </w:r>
      <w:r>
        <w:rPr>
          <w:rFonts w:hint="eastAsia"/>
          <w:color w:val="auto"/>
        </w:rPr>
        <w:t>、</w:t>
      </w:r>
      <w:r>
        <w:rPr>
          <w:color w:val="auto"/>
        </w:rPr>
        <w:t>第三自来水有限公司负责</w:t>
      </w:r>
      <w:r>
        <w:rPr>
          <w:rFonts w:hint="eastAsia"/>
          <w:color w:val="auto"/>
        </w:rPr>
        <w:t>象山县的</w:t>
      </w:r>
      <w:r>
        <w:rPr>
          <w:color w:val="auto"/>
        </w:rPr>
        <w:t>城乡制水</w:t>
      </w:r>
      <w:r>
        <w:rPr>
          <w:rFonts w:hint="eastAsia"/>
          <w:color w:val="auto"/>
        </w:rPr>
        <w:t>与</w:t>
      </w:r>
      <w:r>
        <w:rPr>
          <w:color w:val="auto"/>
        </w:rPr>
        <w:t>供水。</w:t>
      </w:r>
      <w:r>
        <w:rPr>
          <w:rFonts w:hint="eastAsia" w:ascii="宋体" w:hAnsi="宋体"/>
          <w:color w:val="auto"/>
          <w:szCs w:val="21"/>
        </w:rPr>
        <w:t>集团目前产销差率控制在12%，拟在2024年起启动为期两年的漏损控制服务项目建设，</w:t>
      </w:r>
      <w:r>
        <w:rPr>
          <w:rFonts w:hint="eastAsia"/>
          <w:color w:val="auto"/>
        </w:rPr>
        <w:t>目标在保持产销差率不反弹基础上，两年内把</w:t>
      </w:r>
      <w:r>
        <w:rPr>
          <w:rFonts w:hint="eastAsia" w:ascii="宋体" w:hAnsi="宋体"/>
          <w:color w:val="auto"/>
          <w:szCs w:val="21"/>
        </w:rPr>
        <w:t>产销差率进一步</w:t>
      </w:r>
      <w:r>
        <w:rPr>
          <w:rFonts w:hint="eastAsia"/>
          <w:color w:val="auto"/>
        </w:rPr>
        <w:t>下降至9.5%以内。</w:t>
      </w:r>
    </w:p>
    <w:p>
      <w:pPr>
        <w:pStyle w:val="235"/>
        <w:numPr>
          <w:ilvl w:val="0"/>
          <w:numId w:val="38"/>
        </w:numPr>
        <w:ind w:firstLineChars="0"/>
        <w:rPr>
          <w:rFonts w:ascii="宋体" w:hAnsi="宋体"/>
          <w:color w:val="auto"/>
          <w:szCs w:val="21"/>
        </w:rPr>
      </w:pPr>
      <w:r>
        <w:rPr>
          <w:rFonts w:hint="eastAsia" w:ascii="宋体" w:hAnsi="宋体"/>
          <w:color w:val="auto"/>
          <w:szCs w:val="21"/>
        </w:rPr>
        <w:t>项目实施的具体覆盖范围包括</w:t>
      </w:r>
      <w:r>
        <w:rPr>
          <w:color w:val="auto"/>
        </w:rPr>
        <w:t>象山县第一</w:t>
      </w:r>
      <w:r>
        <w:rPr>
          <w:rFonts w:hint="eastAsia"/>
          <w:color w:val="auto"/>
        </w:rPr>
        <w:t>、</w:t>
      </w:r>
      <w:r>
        <w:rPr>
          <w:color w:val="auto"/>
        </w:rPr>
        <w:t>第二</w:t>
      </w:r>
      <w:r>
        <w:rPr>
          <w:rFonts w:hint="eastAsia"/>
          <w:color w:val="auto"/>
        </w:rPr>
        <w:t>、</w:t>
      </w:r>
      <w:r>
        <w:rPr>
          <w:color w:val="auto"/>
        </w:rPr>
        <w:t>第三自来水有限公司</w:t>
      </w:r>
      <w:r>
        <w:rPr>
          <w:rFonts w:hint="eastAsia"/>
          <w:color w:val="auto"/>
        </w:rPr>
        <w:t>的所有供水区域（</w:t>
      </w:r>
      <w:r>
        <w:rPr>
          <w:rFonts w:hint="eastAsia" w:ascii="宋体" w:hAnsi="宋体"/>
          <w:color w:val="auto"/>
          <w:szCs w:val="21"/>
        </w:rPr>
        <w:t>包含鹤浦、墙头</w:t>
      </w:r>
      <w:r>
        <w:rPr>
          <w:rFonts w:hint="eastAsia"/>
          <w:color w:val="auto"/>
        </w:rPr>
        <w:t>）</w:t>
      </w:r>
      <w:r>
        <w:rPr>
          <w:rFonts w:hint="eastAsia" w:ascii="宋体" w:hAnsi="宋体"/>
          <w:color w:val="auto"/>
          <w:szCs w:val="21"/>
        </w:rPr>
        <w:t>。其中一司供水范围为</w:t>
      </w:r>
      <w:r>
        <w:rPr>
          <w:color w:val="auto"/>
        </w:rPr>
        <w:t>中心城区及大徐、涂茨、贤庠、黄避岙、东陈、大目湾、产业C区等</w:t>
      </w:r>
      <w:r>
        <w:rPr>
          <w:rFonts w:hint="eastAsia"/>
          <w:color w:val="auto"/>
        </w:rPr>
        <w:t>，用户数约15.0万，</w:t>
      </w:r>
      <w:r>
        <w:rPr>
          <w:color w:val="auto"/>
        </w:rPr>
        <w:t>公司现有设计供水规模24万m</w:t>
      </w:r>
      <w:r>
        <w:rPr>
          <w:color w:val="auto"/>
          <w:vertAlign w:val="superscript"/>
        </w:rPr>
        <w:t>3</w:t>
      </w:r>
      <w:r>
        <w:rPr>
          <w:color w:val="auto"/>
        </w:rPr>
        <w:t>/d，（其中滨海水厂20万m</w:t>
      </w:r>
      <w:r>
        <w:rPr>
          <w:color w:val="auto"/>
          <w:vertAlign w:val="superscript"/>
        </w:rPr>
        <w:t>3</w:t>
      </w:r>
      <w:r>
        <w:rPr>
          <w:color w:val="auto"/>
        </w:rPr>
        <w:t>/d，靖南水厂3万m</w:t>
      </w:r>
      <w:r>
        <w:rPr>
          <w:color w:val="auto"/>
          <w:vertAlign w:val="superscript"/>
        </w:rPr>
        <w:t>3</w:t>
      </w:r>
      <w:r>
        <w:rPr>
          <w:color w:val="auto"/>
        </w:rPr>
        <w:t>/d，东陈水厂和贤庠水厂各为0.</w:t>
      </w:r>
      <w:r>
        <w:rPr>
          <w:rFonts w:hint="eastAsia"/>
          <w:color w:val="auto"/>
        </w:rPr>
        <w:t>6</w:t>
      </w:r>
      <w:r>
        <w:rPr>
          <w:color w:val="auto"/>
        </w:rPr>
        <w:t>万m</w:t>
      </w:r>
      <w:r>
        <w:rPr>
          <w:color w:val="auto"/>
          <w:vertAlign w:val="superscript"/>
        </w:rPr>
        <w:t>3</w:t>
      </w:r>
      <w:r>
        <w:rPr>
          <w:color w:val="auto"/>
        </w:rPr>
        <w:t>/d）</w:t>
      </w:r>
      <w:r>
        <w:rPr>
          <w:rFonts w:hint="eastAsia"/>
          <w:color w:val="auto"/>
        </w:rPr>
        <w:t>；二司供水范围为</w:t>
      </w:r>
      <w:r>
        <w:rPr>
          <w:color w:val="auto"/>
        </w:rPr>
        <w:t>石浦</w:t>
      </w:r>
      <w:r>
        <w:rPr>
          <w:rFonts w:hint="eastAsia"/>
          <w:color w:val="auto"/>
        </w:rPr>
        <w:t>镇区及定塘、晓塘、高塘岛、鹤浦等乡镇，用户数约8.1万，</w:t>
      </w:r>
      <w:r>
        <w:rPr>
          <w:color w:val="auto"/>
        </w:rPr>
        <w:t>公司现有</w:t>
      </w:r>
      <w:r>
        <w:rPr>
          <w:rFonts w:hint="eastAsia"/>
          <w:color w:val="auto"/>
        </w:rPr>
        <w:t>三个制水厂，制水能力约为9万</w:t>
      </w:r>
      <w:r>
        <w:rPr>
          <w:color w:val="auto"/>
        </w:rPr>
        <w:t>m</w:t>
      </w:r>
      <w:r>
        <w:rPr>
          <w:color w:val="auto"/>
          <w:vertAlign w:val="superscript"/>
        </w:rPr>
        <w:t>3</w:t>
      </w:r>
      <w:r>
        <w:rPr>
          <w:color w:val="auto"/>
        </w:rPr>
        <w:t>/d</w:t>
      </w:r>
      <w:r>
        <w:rPr>
          <w:rFonts w:hint="eastAsia"/>
          <w:color w:val="auto"/>
        </w:rPr>
        <w:t>；三司供水范围为中西部五个乡镇西周、茅洋、泗洲头、新桥、墙头，用户数约3.9万，</w:t>
      </w:r>
      <w:r>
        <w:rPr>
          <w:color w:val="auto"/>
        </w:rPr>
        <w:t>公司现有</w:t>
      </w:r>
      <w:r>
        <w:rPr>
          <w:rFonts w:hint="eastAsia"/>
          <w:color w:val="auto"/>
        </w:rPr>
        <w:t>四个乡镇水厂，制水能力约为4.5</w:t>
      </w:r>
      <w:r>
        <w:rPr>
          <w:color w:val="auto"/>
        </w:rPr>
        <w:t>万m</w:t>
      </w:r>
      <w:r>
        <w:rPr>
          <w:color w:val="auto"/>
          <w:vertAlign w:val="superscript"/>
        </w:rPr>
        <w:t>3</w:t>
      </w:r>
      <w:r>
        <w:rPr>
          <w:color w:val="auto"/>
        </w:rPr>
        <w:t>/d</w:t>
      </w:r>
      <w:r>
        <w:rPr>
          <w:rFonts w:hint="eastAsia"/>
          <w:color w:val="auto"/>
        </w:rPr>
        <w:t>。</w:t>
      </w:r>
    </w:p>
    <w:p>
      <w:pPr>
        <w:rPr>
          <w:color w:val="auto"/>
        </w:rPr>
      </w:pPr>
      <w:r>
        <w:rPr>
          <w:rFonts w:hint="eastAsia"/>
          <w:color w:val="auto"/>
        </w:rPr>
        <w:t>3、供水情况</w:t>
      </w:r>
    </w:p>
    <w:p>
      <w:pPr>
        <w:rPr>
          <w:color w:val="auto"/>
        </w:rPr>
      </w:pPr>
      <w:r>
        <w:rPr>
          <w:rFonts w:hint="eastAsia"/>
          <w:color w:val="auto"/>
        </w:rPr>
        <w:t>3.1、2</w:t>
      </w:r>
      <w:r>
        <w:rPr>
          <w:color w:val="auto"/>
        </w:rPr>
        <w:t>0</w:t>
      </w:r>
      <w:r>
        <w:rPr>
          <w:rFonts w:hint="eastAsia"/>
          <w:color w:val="auto"/>
        </w:rPr>
        <w:t>23年度集团供水量为6313万吨（包括含鹤浦、墙头），其中一司城区供水量为2667万吨，一司乡镇供水量为941万吨，二司供水量为1742万吨，三司供水量为964万吨；</w:t>
      </w:r>
    </w:p>
    <w:p>
      <w:pPr>
        <w:rPr>
          <w:color w:val="auto"/>
        </w:rPr>
      </w:pPr>
      <w:r>
        <w:rPr>
          <w:rFonts w:hint="eastAsia"/>
          <w:color w:val="auto"/>
        </w:rPr>
        <w:t>3.2、2</w:t>
      </w:r>
      <w:r>
        <w:rPr>
          <w:color w:val="auto"/>
        </w:rPr>
        <w:t>0</w:t>
      </w:r>
      <w:r>
        <w:rPr>
          <w:rFonts w:hint="eastAsia"/>
          <w:color w:val="auto"/>
        </w:rPr>
        <w:t>23年度集团售水量（含有计量的未收费水量）为5525万吨（包括含鹤浦、墙头），其中一司城区售水量（含有计量的未收费水量）为2440万吨，一司乡镇售水量（含有计量的未收费水量）为784万吨，二司售水量（含有计量的未收费水量）为1487万吨，三司售水量（含有计量的未收费水量）为814万吨；</w:t>
      </w:r>
      <w:r>
        <w:rPr>
          <w:color w:val="auto"/>
        </w:rPr>
        <w:t xml:space="preserve"> </w:t>
      </w:r>
    </w:p>
    <w:p>
      <w:pPr>
        <w:rPr>
          <w:color w:val="auto"/>
        </w:rPr>
      </w:pPr>
      <w:r>
        <w:rPr>
          <w:rFonts w:hint="eastAsia"/>
          <w:color w:val="auto"/>
        </w:rPr>
        <w:t>4、管道情况介绍（包括含鹤浦、墙头）：</w:t>
      </w:r>
      <w:r>
        <w:rPr>
          <w:color w:val="auto"/>
        </w:rPr>
        <w:br w:type="textWrapping"/>
      </w:r>
      <w:r>
        <w:rPr>
          <w:rFonts w:hint="eastAsia"/>
          <w:color w:val="auto"/>
        </w:rPr>
        <w:t xml:space="preserve">    4.1、</w:t>
      </w:r>
      <w:r>
        <w:rPr>
          <w:color w:val="auto"/>
        </w:rPr>
        <w:t>第一水司管道总长</w:t>
      </w:r>
      <w:r>
        <w:rPr>
          <w:rFonts w:hint="eastAsia"/>
          <w:color w:val="auto"/>
        </w:rPr>
        <w:t>约</w:t>
      </w:r>
      <w:r>
        <w:rPr>
          <w:color w:val="auto"/>
        </w:rPr>
        <w:t>1</w:t>
      </w:r>
      <w:r>
        <w:rPr>
          <w:rFonts w:hint="eastAsia"/>
          <w:color w:val="auto"/>
        </w:rPr>
        <w:t>039</w:t>
      </w:r>
      <w:r>
        <w:rPr>
          <w:color w:val="auto"/>
        </w:rPr>
        <w:t>公里，其中DN75以上</w:t>
      </w:r>
      <w:r>
        <w:rPr>
          <w:rFonts w:hint="eastAsia"/>
          <w:color w:val="auto"/>
        </w:rPr>
        <w:t>约</w:t>
      </w:r>
      <w:r>
        <w:rPr>
          <w:color w:val="auto"/>
        </w:rPr>
        <w:t>62</w:t>
      </w:r>
      <w:r>
        <w:rPr>
          <w:rFonts w:hint="eastAsia"/>
          <w:color w:val="auto"/>
        </w:rPr>
        <w:t>9</w:t>
      </w:r>
      <w:r>
        <w:rPr>
          <w:color w:val="auto"/>
        </w:rPr>
        <w:t>公里；球墨管</w:t>
      </w:r>
      <w:r>
        <w:rPr>
          <w:rFonts w:hint="eastAsia"/>
          <w:color w:val="auto"/>
        </w:rPr>
        <w:t>约</w:t>
      </w:r>
      <w:r>
        <w:rPr>
          <w:color w:val="auto"/>
        </w:rPr>
        <w:t>352公里，钢管</w:t>
      </w:r>
      <w:r>
        <w:rPr>
          <w:rFonts w:hint="eastAsia"/>
          <w:color w:val="auto"/>
        </w:rPr>
        <w:t>约</w:t>
      </w:r>
      <w:r>
        <w:rPr>
          <w:color w:val="auto"/>
        </w:rPr>
        <w:t>165公里，铸铁管</w:t>
      </w:r>
      <w:r>
        <w:rPr>
          <w:rFonts w:hint="eastAsia"/>
          <w:color w:val="auto"/>
        </w:rPr>
        <w:t>约</w:t>
      </w:r>
      <w:r>
        <w:rPr>
          <w:color w:val="auto"/>
        </w:rPr>
        <w:t>1</w:t>
      </w:r>
      <w:r>
        <w:rPr>
          <w:rFonts w:hint="eastAsia"/>
          <w:color w:val="auto"/>
        </w:rPr>
        <w:t>5</w:t>
      </w:r>
      <w:r>
        <w:rPr>
          <w:color w:val="auto"/>
        </w:rPr>
        <w:t>公里，预应力钢筋混凝土管</w:t>
      </w:r>
      <w:r>
        <w:rPr>
          <w:rFonts w:hint="eastAsia"/>
          <w:color w:val="auto"/>
        </w:rPr>
        <w:t>约30</w:t>
      </w:r>
      <w:r>
        <w:rPr>
          <w:color w:val="auto"/>
        </w:rPr>
        <w:t>公里，塑料管</w:t>
      </w:r>
      <w:r>
        <w:rPr>
          <w:rFonts w:hint="eastAsia"/>
          <w:color w:val="auto"/>
        </w:rPr>
        <w:t>约</w:t>
      </w:r>
      <w:r>
        <w:rPr>
          <w:color w:val="auto"/>
        </w:rPr>
        <w:t>113</w:t>
      </w:r>
      <w:r>
        <w:rPr>
          <w:rFonts w:hint="eastAsia"/>
          <w:color w:val="auto"/>
        </w:rPr>
        <w:t>公里</w:t>
      </w:r>
      <w:r>
        <w:rPr>
          <w:color w:val="auto"/>
        </w:rPr>
        <w:t>，其他管材</w:t>
      </w:r>
      <w:r>
        <w:rPr>
          <w:rFonts w:hint="eastAsia"/>
          <w:color w:val="auto"/>
        </w:rPr>
        <w:t>约</w:t>
      </w:r>
      <w:r>
        <w:rPr>
          <w:color w:val="auto"/>
        </w:rPr>
        <w:t>36</w:t>
      </w:r>
      <w:r>
        <w:rPr>
          <w:rFonts w:hint="eastAsia"/>
          <w:color w:val="auto"/>
        </w:rPr>
        <w:t>4</w:t>
      </w:r>
      <w:r>
        <w:rPr>
          <w:color w:val="auto"/>
        </w:rPr>
        <w:t>公里。水表总数</w:t>
      </w:r>
      <w:r>
        <w:rPr>
          <w:rFonts w:hint="eastAsia"/>
          <w:color w:val="auto"/>
        </w:rPr>
        <w:t>共150416</w:t>
      </w:r>
      <w:r>
        <w:rPr>
          <w:color w:val="auto"/>
        </w:rPr>
        <w:t>只。</w:t>
      </w:r>
    </w:p>
    <w:p>
      <w:pPr>
        <w:rPr>
          <w:color w:val="auto"/>
        </w:rPr>
      </w:pPr>
      <w:r>
        <w:rPr>
          <w:rFonts w:hint="eastAsia"/>
          <w:color w:val="auto"/>
        </w:rPr>
        <w:t>4.2、</w:t>
      </w:r>
      <w:r>
        <w:rPr>
          <w:color w:val="auto"/>
        </w:rPr>
        <w:t>第二水司管道总长</w:t>
      </w:r>
      <w:r>
        <w:rPr>
          <w:rFonts w:hint="eastAsia"/>
          <w:color w:val="auto"/>
        </w:rPr>
        <w:t>约</w:t>
      </w:r>
      <w:r>
        <w:rPr>
          <w:color w:val="auto"/>
        </w:rPr>
        <w:t>133</w:t>
      </w:r>
      <w:r>
        <w:rPr>
          <w:rFonts w:hint="eastAsia"/>
          <w:color w:val="auto"/>
        </w:rPr>
        <w:t>0</w:t>
      </w:r>
      <w:r>
        <w:rPr>
          <w:color w:val="auto"/>
        </w:rPr>
        <w:t>公里，其中DN75以上</w:t>
      </w:r>
      <w:r>
        <w:rPr>
          <w:rFonts w:hint="eastAsia"/>
          <w:color w:val="auto"/>
        </w:rPr>
        <w:t>约</w:t>
      </w:r>
      <w:r>
        <w:rPr>
          <w:color w:val="auto"/>
        </w:rPr>
        <w:t>73</w:t>
      </w:r>
      <w:r>
        <w:rPr>
          <w:rFonts w:hint="eastAsia"/>
          <w:color w:val="auto"/>
        </w:rPr>
        <w:t>8</w:t>
      </w:r>
      <w:r>
        <w:rPr>
          <w:color w:val="auto"/>
        </w:rPr>
        <w:t>公里；球墨管</w:t>
      </w:r>
      <w:r>
        <w:rPr>
          <w:rFonts w:hint="eastAsia"/>
          <w:color w:val="auto"/>
        </w:rPr>
        <w:t>约</w:t>
      </w:r>
      <w:r>
        <w:rPr>
          <w:color w:val="auto"/>
        </w:rPr>
        <w:t>192公里，钢管</w:t>
      </w:r>
      <w:r>
        <w:rPr>
          <w:rFonts w:hint="eastAsia"/>
          <w:color w:val="auto"/>
        </w:rPr>
        <w:t>约</w:t>
      </w:r>
      <w:r>
        <w:rPr>
          <w:color w:val="auto"/>
        </w:rPr>
        <w:t>329公里，铸铁管</w:t>
      </w:r>
      <w:r>
        <w:rPr>
          <w:rFonts w:hint="eastAsia"/>
          <w:color w:val="auto"/>
        </w:rPr>
        <w:t>约</w:t>
      </w:r>
      <w:r>
        <w:rPr>
          <w:color w:val="auto"/>
        </w:rPr>
        <w:t>24公里，预应力钢筋混凝土管</w:t>
      </w:r>
      <w:r>
        <w:rPr>
          <w:rFonts w:hint="eastAsia"/>
          <w:color w:val="auto"/>
        </w:rPr>
        <w:t>约</w:t>
      </w:r>
      <w:r>
        <w:rPr>
          <w:color w:val="auto"/>
        </w:rPr>
        <w:t>8公里，塑料管</w:t>
      </w:r>
      <w:r>
        <w:rPr>
          <w:rFonts w:hint="eastAsia"/>
          <w:color w:val="auto"/>
        </w:rPr>
        <w:t>约</w:t>
      </w:r>
      <w:r>
        <w:rPr>
          <w:color w:val="auto"/>
        </w:rPr>
        <w:t>700</w:t>
      </w:r>
      <w:r>
        <w:rPr>
          <w:rFonts w:hint="eastAsia"/>
          <w:color w:val="auto"/>
        </w:rPr>
        <w:t>公里</w:t>
      </w:r>
      <w:r>
        <w:rPr>
          <w:color w:val="auto"/>
        </w:rPr>
        <w:t>，其他管材</w:t>
      </w:r>
      <w:r>
        <w:rPr>
          <w:rFonts w:hint="eastAsia"/>
          <w:color w:val="auto"/>
        </w:rPr>
        <w:t>约</w:t>
      </w:r>
      <w:r>
        <w:rPr>
          <w:color w:val="auto"/>
        </w:rPr>
        <w:t>7</w:t>
      </w:r>
      <w:r>
        <w:rPr>
          <w:rFonts w:hint="eastAsia"/>
          <w:color w:val="auto"/>
        </w:rPr>
        <w:t>7</w:t>
      </w:r>
      <w:r>
        <w:rPr>
          <w:color w:val="auto"/>
        </w:rPr>
        <w:t>公里。水表总数</w:t>
      </w:r>
      <w:r>
        <w:rPr>
          <w:rFonts w:hint="eastAsia"/>
          <w:color w:val="auto"/>
        </w:rPr>
        <w:t>80574</w:t>
      </w:r>
      <w:r>
        <w:rPr>
          <w:color w:val="auto"/>
        </w:rPr>
        <w:t>只。</w:t>
      </w:r>
    </w:p>
    <w:p>
      <w:pPr>
        <w:rPr>
          <w:color w:val="auto"/>
        </w:rPr>
      </w:pPr>
      <w:r>
        <w:rPr>
          <w:rFonts w:hint="eastAsia"/>
          <w:color w:val="auto"/>
        </w:rPr>
        <w:t>4.3、</w:t>
      </w:r>
      <w:r>
        <w:rPr>
          <w:color w:val="auto"/>
        </w:rPr>
        <w:t>第三水司管道DN75以上</w:t>
      </w:r>
      <w:r>
        <w:rPr>
          <w:rFonts w:hint="eastAsia"/>
          <w:color w:val="auto"/>
        </w:rPr>
        <w:t>约</w:t>
      </w:r>
      <w:r>
        <w:rPr>
          <w:color w:val="auto"/>
        </w:rPr>
        <w:t>36</w:t>
      </w:r>
      <w:r>
        <w:rPr>
          <w:rFonts w:hint="eastAsia"/>
          <w:color w:val="auto"/>
        </w:rPr>
        <w:t>4</w:t>
      </w:r>
      <w:r>
        <w:rPr>
          <w:color w:val="auto"/>
        </w:rPr>
        <w:t>公里。水表总数</w:t>
      </w:r>
      <w:r>
        <w:rPr>
          <w:rFonts w:hint="eastAsia"/>
          <w:color w:val="auto"/>
        </w:rPr>
        <w:t>39097</w:t>
      </w:r>
      <w:r>
        <w:rPr>
          <w:color w:val="auto"/>
        </w:rPr>
        <w:t>只。</w:t>
      </w:r>
    </w:p>
    <w:p>
      <w:pPr>
        <w:rPr>
          <w:rFonts w:ascii="宋体" w:hAnsi="宋体"/>
          <w:b/>
          <w:color w:val="auto"/>
          <w:szCs w:val="21"/>
        </w:rPr>
      </w:pPr>
      <w:r>
        <w:rPr>
          <w:rFonts w:hint="eastAsia"/>
          <w:b/>
          <w:color w:val="auto"/>
        </w:rPr>
        <w:t>二、采购标的需满足的质量、安全、技术规格、物理特性等要求</w:t>
      </w:r>
    </w:p>
    <w:p>
      <w:pPr>
        <w:rPr>
          <w:color w:val="auto"/>
        </w:rPr>
      </w:pPr>
      <w:r>
        <w:rPr>
          <w:rFonts w:hint="eastAsia"/>
          <w:color w:val="auto"/>
        </w:rPr>
        <w:t>★1、项目建设内容包含漏损管控现状分析与指标确定、漏损管控服务方案设计与实施、分区计量优化方案设计与实施、管道检漏方案与实施、计量表具改造方案与实施、设备运维服务方案与实施、相关终端设备采购、安装、调试与运维等。</w:t>
      </w:r>
    </w:p>
    <w:p>
      <w:pPr>
        <w:rPr>
          <w:color w:val="auto"/>
        </w:rPr>
      </w:pPr>
      <w:r>
        <w:rPr>
          <w:rFonts w:hint="eastAsia"/>
          <w:color w:val="auto"/>
        </w:rPr>
        <w:t>★2、项目由</w:t>
      </w:r>
      <w:r>
        <w:rPr>
          <w:color w:val="auto"/>
        </w:rPr>
        <w:t>中标人</w:t>
      </w:r>
      <w:r>
        <w:rPr>
          <w:rFonts w:hint="eastAsia"/>
          <w:color w:val="auto"/>
        </w:rPr>
        <w:t>与</w:t>
      </w:r>
      <w:r>
        <w:rPr>
          <w:color w:val="auto"/>
        </w:rPr>
        <w:t>采购人</w:t>
      </w:r>
      <w:r>
        <w:rPr>
          <w:rFonts w:hint="eastAsia"/>
          <w:color w:val="auto"/>
        </w:rPr>
        <w:t>共同合作完成。</w:t>
      </w:r>
    </w:p>
    <w:p>
      <w:pPr>
        <w:rPr>
          <w:color w:val="auto"/>
        </w:rPr>
      </w:pPr>
      <w:r>
        <w:rPr>
          <w:rFonts w:hint="eastAsia"/>
          <w:color w:val="auto"/>
        </w:rPr>
        <w:t>★2.1</w:t>
      </w:r>
      <w:r>
        <w:rPr>
          <w:color w:val="auto"/>
        </w:rPr>
        <w:t>中标人</w:t>
      </w:r>
      <w:r>
        <w:rPr>
          <w:rFonts w:hint="eastAsia"/>
          <w:color w:val="auto"/>
        </w:rPr>
        <w:t>负责漏损管控现状分析与协助采购人确定漏损管控指标，漏损管控方案设计与管理措施落实追踪、管道检漏方案设计与实施（含检漏工作）、分区计量的优化方案设计与实施、计量表具改造方案设计与实施、远传设备运维服务方案与实施、控漏培训服务方案与实施，并提供上述方案所需的电磁流量计、压力变送器、</w:t>
      </w:r>
      <w:r>
        <w:rPr>
          <w:rFonts w:hint="eastAsia"/>
          <w:color w:val="auto"/>
          <w:kern w:val="0"/>
        </w:rPr>
        <w:t>流量计远传设备与控制柜（含安装）、</w:t>
      </w:r>
      <w:r>
        <w:rPr>
          <w:rFonts w:hint="eastAsia"/>
          <w:color w:val="auto"/>
        </w:rPr>
        <w:t>智能大口径水表、智能压力计、智能渗漏预警仪的选型采购、调试、运营与维护、人员培训等工作及所需人员、资金</w:t>
      </w:r>
      <w:r>
        <w:rPr>
          <w:rFonts w:hint="eastAsia"/>
          <w:color w:val="auto"/>
          <w:kern w:val="0"/>
        </w:rPr>
        <w:t>。</w:t>
      </w:r>
    </w:p>
    <w:p>
      <w:pPr>
        <w:rPr>
          <w:color w:val="auto"/>
        </w:rPr>
      </w:pPr>
      <w:r>
        <w:rPr>
          <w:rFonts w:hint="eastAsia"/>
          <w:color w:val="auto"/>
        </w:rPr>
        <w:t>★2.2采购人负责漏损控制方案中检漏管理、管道工程施工与验收、表务管理、违章查处、统计分析与考核奖惩等管理措施的落实执行，负责安装电磁流量计、压力变送器</w:t>
      </w:r>
      <w:r>
        <w:rPr>
          <w:rFonts w:hint="eastAsia"/>
          <w:color w:val="auto"/>
          <w:kern w:val="0"/>
        </w:rPr>
        <w:t>、</w:t>
      </w:r>
      <w:r>
        <w:rPr>
          <w:rFonts w:hint="eastAsia"/>
          <w:color w:val="auto"/>
        </w:rPr>
        <w:t>智能大口径水表、智能压力计、智能渗漏预警仪等设备并提供安装附属件，管道抢修与改造等工作及所需人员、资金。</w:t>
      </w:r>
    </w:p>
    <w:p>
      <w:pPr>
        <w:pStyle w:val="235"/>
        <w:numPr>
          <w:ilvl w:val="0"/>
          <w:numId w:val="39"/>
        </w:numPr>
        <w:ind w:firstLineChars="0"/>
        <w:rPr>
          <w:color w:val="auto"/>
        </w:rPr>
      </w:pPr>
      <w:r>
        <w:rPr>
          <w:rFonts w:hint="eastAsia"/>
          <w:color w:val="auto"/>
        </w:rPr>
        <w:t>★项目需求一览表</w:t>
      </w:r>
    </w:p>
    <w:tbl>
      <w:tblPr>
        <w:tblStyle w:val="37"/>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589"/>
        <w:gridCol w:w="1782"/>
        <w:gridCol w:w="775"/>
        <w:gridCol w:w="85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shd w:val="clear" w:color="000000" w:fill="FFFFFF"/>
            <w:vAlign w:val="center"/>
          </w:tcPr>
          <w:p>
            <w:pPr>
              <w:spacing w:line="240" w:lineRule="auto"/>
              <w:ind w:firstLine="0" w:firstLineChars="0"/>
              <w:jc w:val="center"/>
              <w:rPr>
                <w:color w:val="auto"/>
              </w:rPr>
            </w:pPr>
            <w:r>
              <w:rPr>
                <w:rFonts w:hint="eastAsia"/>
                <w:color w:val="auto"/>
              </w:rPr>
              <w:t>序号</w:t>
            </w:r>
          </w:p>
        </w:tc>
        <w:tc>
          <w:tcPr>
            <w:tcW w:w="2589" w:type="dxa"/>
            <w:shd w:val="clear" w:color="000000" w:fill="FFFFFF"/>
            <w:vAlign w:val="center"/>
          </w:tcPr>
          <w:p>
            <w:pPr>
              <w:spacing w:line="240" w:lineRule="auto"/>
              <w:ind w:firstLine="0" w:firstLineChars="0"/>
              <w:jc w:val="center"/>
              <w:rPr>
                <w:color w:val="auto"/>
              </w:rPr>
            </w:pPr>
            <w:r>
              <w:rPr>
                <w:rFonts w:hint="eastAsia"/>
                <w:color w:val="auto"/>
              </w:rPr>
              <w:t>名称</w:t>
            </w:r>
          </w:p>
        </w:tc>
        <w:tc>
          <w:tcPr>
            <w:tcW w:w="1782" w:type="dxa"/>
            <w:shd w:val="clear" w:color="000000" w:fill="FFFFFF"/>
            <w:vAlign w:val="center"/>
          </w:tcPr>
          <w:p>
            <w:pPr>
              <w:spacing w:line="240" w:lineRule="auto"/>
              <w:ind w:firstLine="0" w:firstLineChars="0"/>
              <w:jc w:val="center"/>
              <w:rPr>
                <w:color w:val="auto"/>
              </w:rPr>
            </w:pPr>
            <w:r>
              <w:rPr>
                <w:rFonts w:hint="eastAsia"/>
                <w:color w:val="auto"/>
              </w:rPr>
              <w:t>规格要求</w:t>
            </w:r>
          </w:p>
        </w:tc>
        <w:tc>
          <w:tcPr>
            <w:tcW w:w="775" w:type="dxa"/>
            <w:shd w:val="clear" w:color="000000" w:fill="FFFFFF"/>
            <w:vAlign w:val="center"/>
          </w:tcPr>
          <w:p>
            <w:pPr>
              <w:spacing w:line="240" w:lineRule="auto"/>
              <w:ind w:firstLine="0" w:firstLineChars="0"/>
              <w:jc w:val="center"/>
              <w:rPr>
                <w:color w:val="auto"/>
              </w:rPr>
            </w:pPr>
            <w:r>
              <w:rPr>
                <w:rFonts w:hint="eastAsia"/>
                <w:color w:val="auto"/>
              </w:rPr>
              <w:t>单位</w:t>
            </w:r>
          </w:p>
        </w:tc>
        <w:tc>
          <w:tcPr>
            <w:tcW w:w="850" w:type="dxa"/>
            <w:shd w:val="clear" w:color="000000" w:fill="FFFFFF"/>
            <w:vAlign w:val="center"/>
          </w:tcPr>
          <w:p>
            <w:pPr>
              <w:spacing w:line="240" w:lineRule="auto"/>
              <w:ind w:firstLine="0" w:firstLineChars="0"/>
              <w:jc w:val="center"/>
              <w:rPr>
                <w:color w:val="auto"/>
              </w:rPr>
            </w:pPr>
            <w:r>
              <w:rPr>
                <w:rFonts w:hint="eastAsia"/>
                <w:color w:val="auto"/>
              </w:rPr>
              <w:t>数量</w:t>
            </w:r>
          </w:p>
        </w:tc>
        <w:tc>
          <w:tcPr>
            <w:tcW w:w="2475" w:type="dxa"/>
            <w:shd w:val="clear" w:color="000000" w:fill="FFFFFF"/>
            <w:vAlign w:val="center"/>
          </w:tcPr>
          <w:p>
            <w:pPr>
              <w:spacing w:line="240" w:lineRule="auto"/>
              <w:ind w:firstLine="0" w:firstLineChars="0"/>
              <w:jc w:val="center"/>
              <w:rPr>
                <w:color w:val="auto"/>
              </w:rPr>
            </w:pPr>
            <w:r>
              <w:rPr>
                <w:rFonts w:hint="eastAsia"/>
                <w:color w:val="auto"/>
              </w:rPr>
              <w:t>备</w:t>
            </w:r>
            <w:r>
              <w:rPr>
                <w:color w:val="auto"/>
              </w:rPr>
              <w:t xml:space="preserve">    </w:t>
            </w:r>
            <w:r>
              <w:rPr>
                <w:rFonts w:hint="eastAsia"/>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漏损管控方案</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指导漏损控制管理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2</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管道检漏方案</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指导管道检漏实施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3</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分区计量方案</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指导分区计量建设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4</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计量表具改造方案</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指导计量升级改造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5</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远传设备运维服务方案</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1</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color w:val="auto"/>
              </w:rPr>
            </w:pPr>
            <w:r>
              <w:rPr>
                <w:rFonts w:hint="eastAsia"/>
                <w:color w:val="auto"/>
              </w:rPr>
              <w:t>指导设备运维管理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6</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漏损控制管理与实施服务</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年</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实际</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驻点服务人员总数不少于20人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7</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管道检漏服务</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个/年</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≥800</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检测管网漏点总数不少于800个/年。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8</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远传设备运维服务</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天/年</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≥300</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负责不少于300天/年的各类远传设备的运维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9</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控漏培训服务</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次/年</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≥6</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参与控漏基地建设，进行实地带班控漏操作，进行控漏方面的专题培训每年不少于6次。培训要求为培训出能独立听漏并精准定位的人员，人数为每年不少于3人。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10</w:t>
            </w:r>
          </w:p>
        </w:tc>
        <w:tc>
          <w:tcPr>
            <w:tcW w:w="258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电磁流量计</w:t>
            </w:r>
          </w:p>
        </w:tc>
        <w:tc>
          <w:tcPr>
            <w:tcW w:w="178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00" w:lineRule="auto"/>
              <w:ind w:firstLine="0" w:firstLineChars="0"/>
              <w:jc w:val="center"/>
              <w:rPr>
                <w:color w:val="auto"/>
              </w:rPr>
            </w:pPr>
            <w:r>
              <w:rPr>
                <w:rFonts w:hint="eastAsia"/>
                <w:color w:val="auto"/>
              </w:rPr>
              <w:t>详见本章主要设备技术要求</w:t>
            </w:r>
          </w:p>
        </w:tc>
        <w:tc>
          <w:tcPr>
            <w:tcW w:w="7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只</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≥36</w:t>
            </w:r>
          </w:p>
        </w:tc>
        <w:tc>
          <w:tcPr>
            <w:tcW w:w="24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atLeast"/>
              <w:ind w:firstLine="0" w:firstLineChars="0"/>
              <w:jc w:val="center"/>
              <w:rPr>
                <w:color w:val="auto"/>
              </w:rPr>
            </w:pPr>
            <w:r>
              <w:rPr>
                <w:rFonts w:hint="eastAsia"/>
                <w:color w:val="auto"/>
              </w:rPr>
              <w:t>优化一、二级分区建设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11</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压力变送器</w:t>
            </w:r>
          </w:p>
        </w:tc>
        <w:tc>
          <w:tcPr>
            <w:tcW w:w="1782" w:type="dxa"/>
            <w:shd w:val="clear" w:color="000000" w:fill="FFFFFF"/>
            <w:vAlign w:val="center"/>
          </w:tcPr>
          <w:p>
            <w:pPr>
              <w:spacing w:line="300" w:lineRule="auto"/>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只</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≥36</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与流量计配套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12</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流量计远传设备与控制柜</w:t>
            </w:r>
          </w:p>
        </w:tc>
        <w:tc>
          <w:tcPr>
            <w:tcW w:w="1782" w:type="dxa"/>
            <w:shd w:val="clear" w:color="000000" w:fill="FFFFFF"/>
            <w:vAlign w:val="center"/>
          </w:tcPr>
          <w:p>
            <w:pPr>
              <w:spacing w:line="300" w:lineRule="auto"/>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套</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≥39</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与新装与改造流量计配套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13</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智能大口径水表</w:t>
            </w:r>
          </w:p>
        </w:tc>
        <w:tc>
          <w:tcPr>
            <w:tcW w:w="1782" w:type="dxa"/>
            <w:shd w:val="clear" w:color="000000" w:fill="FFFFFF"/>
            <w:vAlign w:val="center"/>
          </w:tcPr>
          <w:p>
            <w:pPr>
              <w:spacing w:line="300" w:lineRule="auto"/>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只</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≥880</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用于三级分区建设、到期大用户表更换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14</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电磁水表</w:t>
            </w:r>
          </w:p>
        </w:tc>
        <w:tc>
          <w:tcPr>
            <w:tcW w:w="1782" w:type="dxa"/>
            <w:shd w:val="clear" w:color="000000" w:fill="FFFFFF"/>
            <w:vAlign w:val="center"/>
          </w:tcPr>
          <w:p>
            <w:pPr>
              <w:spacing w:line="300" w:lineRule="auto"/>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只</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≥118</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用于三级分区建设、故障监控表更换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15</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智能压力计</w:t>
            </w:r>
          </w:p>
        </w:tc>
        <w:tc>
          <w:tcPr>
            <w:tcW w:w="1782" w:type="dxa"/>
            <w:shd w:val="clear" w:color="000000" w:fill="FFFFFF"/>
            <w:vAlign w:val="center"/>
          </w:tcPr>
          <w:p>
            <w:pPr>
              <w:spacing w:line="400" w:lineRule="atLeast"/>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只</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≥20</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管网压力检测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84" w:type="dxa"/>
            <w:shd w:val="clear" w:color="000000" w:fill="FFFFFF"/>
            <w:vAlign w:val="center"/>
          </w:tcPr>
          <w:p>
            <w:pPr>
              <w:spacing w:line="400" w:lineRule="atLeast"/>
              <w:ind w:firstLine="0" w:firstLineChars="0"/>
              <w:jc w:val="center"/>
              <w:rPr>
                <w:color w:val="auto"/>
              </w:rPr>
            </w:pPr>
            <w:r>
              <w:rPr>
                <w:rFonts w:hint="eastAsia"/>
                <w:color w:val="auto"/>
              </w:rPr>
              <w:t>16</w:t>
            </w:r>
          </w:p>
        </w:tc>
        <w:tc>
          <w:tcPr>
            <w:tcW w:w="2589" w:type="dxa"/>
            <w:shd w:val="clear" w:color="000000" w:fill="FFFFFF"/>
            <w:vAlign w:val="center"/>
          </w:tcPr>
          <w:p>
            <w:pPr>
              <w:spacing w:line="400" w:lineRule="atLeast"/>
              <w:ind w:firstLine="0" w:firstLineChars="0"/>
              <w:jc w:val="center"/>
              <w:rPr>
                <w:color w:val="auto"/>
              </w:rPr>
            </w:pPr>
            <w:r>
              <w:rPr>
                <w:rFonts w:hint="eastAsia"/>
                <w:color w:val="auto"/>
              </w:rPr>
              <w:t>智能渗漏预警仪</w:t>
            </w:r>
          </w:p>
        </w:tc>
        <w:tc>
          <w:tcPr>
            <w:tcW w:w="1782" w:type="dxa"/>
            <w:shd w:val="clear" w:color="000000" w:fill="FFFFFF"/>
            <w:vAlign w:val="center"/>
          </w:tcPr>
          <w:p>
            <w:pPr>
              <w:spacing w:line="400" w:lineRule="atLeast"/>
              <w:ind w:firstLine="0" w:firstLineChars="0"/>
              <w:jc w:val="center"/>
              <w:rPr>
                <w:color w:val="auto"/>
              </w:rPr>
            </w:pPr>
            <w:r>
              <w:rPr>
                <w:rFonts w:hint="eastAsia"/>
                <w:color w:val="auto"/>
              </w:rPr>
              <w:t>详见本章主要设备技术要求</w:t>
            </w:r>
          </w:p>
        </w:tc>
        <w:tc>
          <w:tcPr>
            <w:tcW w:w="775" w:type="dxa"/>
            <w:shd w:val="clear" w:color="000000" w:fill="FFFFFF"/>
            <w:vAlign w:val="center"/>
          </w:tcPr>
          <w:p>
            <w:pPr>
              <w:spacing w:line="400" w:lineRule="atLeast"/>
              <w:ind w:firstLine="0" w:firstLineChars="0"/>
              <w:jc w:val="center"/>
              <w:rPr>
                <w:color w:val="auto"/>
              </w:rPr>
            </w:pPr>
            <w:r>
              <w:rPr>
                <w:rFonts w:hint="eastAsia"/>
                <w:color w:val="auto"/>
              </w:rPr>
              <w:t>套</w:t>
            </w:r>
          </w:p>
        </w:tc>
        <w:tc>
          <w:tcPr>
            <w:tcW w:w="850" w:type="dxa"/>
            <w:shd w:val="clear" w:color="000000" w:fill="FFFFFF"/>
            <w:vAlign w:val="center"/>
          </w:tcPr>
          <w:p>
            <w:pPr>
              <w:spacing w:line="400" w:lineRule="atLeast"/>
              <w:ind w:firstLine="0" w:firstLineChars="0"/>
              <w:jc w:val="center"/>
              <w:rPr>
                <w:color w:val="auto"/>
              </w:rPr>
            </w:pPr>
            <w:r>
              <w:rPr>
                <w:rFonts w:hint="eastAsia"/>
                <w:color w:val="auto"/>
              </w:rPr>
              <w:t>≥400</w:t>
            </w:r>
          </w:p>
        </w:tc>
        <w:tc>
          <w:tcPr>
            <w:tcW w:w="2475" w:type="dxa"/>
            <w:shd w:val="clear" w:color="000000" w:fill="FFFFFF"/>
            <w:vAlign w:val="center"/>
          </w:tcPr>
          <w:p>
            <w:pPr>
              <w:spacing w:line="400" w:lineRule="atLeast"/>
              <w:ind w:firstLine="0" w:firstLineChars="0"/>
              <w:jc w:val="center"/>
              <w:rPr>
                <w:color w:val="auto"/>
              </w:rPr>
            </w:pPr>
            <w:r>
              <w:rPr>
                <w:rFonts w:hint="eastAsia"/>
                <w:color w:val="auto"/>
              </w:rPr>
              <w:t>管网渗漏预警</w:t>
            </w:r>
          </w:p>
        </w:tc>
      </w:tr>
    </w:tbl>
    <w:p>
      <w:pPr>
        <w:pStyle w:val="235"/>
        <w:numPr>
          <w:ilvl w:val="0"/>
          <w:numId w:val="39"/>
        </w:numPr>
        <w:ind w:firstLineChars="0"/>
        <w:rPr>
          <w:color w:val="auto"/>
        </w:rPr>
      </w:pPr>
      <w:r>
        <w:rPr>
          <w:rFonts w:hint="eastAsia"/>
          <w:color w:val="auto"/>
        </w:rPr>
        <w:t>★实施设备的交付</w:t>
      </w:r>
    </w:p>
    <w:p>
      <w:pPr>
        <w:rPr>
          <w:color w:val="auto"/>
        </w:rPr>
      </w:pPr>
      <w:r>
        <w:rPr>
          <w:rFonts w:hint="eastAsia"/>
          <w:color w:val="auto"/>
        </w:rPr>
        <w:t>1、实施设备采用分期分批交付方式，中标人应按如下时间与数量交付产品：</w:t>
      </w:r>
    </w:p>
    <w:tbl>
      <w:tblPr>
        <w:tblStyle w:val="3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8"/>
        <w:gridCol w:w="966"/>
        <w:gridCol w:w="1291"/>
        <w:gridCol w:w="1110"/>
        <w:gridCol w:w="1245"/>
        <w:gridCol w:w="1230"/>
        <w:gridCol w:w="129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788" w:type="dxa"/>
            <w:vMerge w:val="restart"/>
            <w:shd w:val="clear" w:color="000000" w:fill="FFFFFF"/>
            <w:vAlign w:val="center"/>
          </w:tcPr>
          <w:p>
            <w:pPr>
              <w:spacing w:line="400" w:lineRule="exact"/>
              <w:ind w:firstLine="0" w:firstLineChars="0"/>
              <w:jc w:val="center"/>
              <w:rPr>
                <w:color w:val="auto"/>
              </w:rPr>
            </w:pPr>
            <w:r>
              <w:rPr>
                <w:rFonts w:hint="eastAsia"/>
                <w:color w:val="auto"/>
              </w:rPr>
              <w:t>序号</w:t>
            </w:r>
          </w:p>
        </w:tc>
        <w:tc>
          <w:tcPr>
            <w:tcW w:w="966" w:type="dxa"/>
            <w:vMerge w:val="restart"/>
            <w:shd w:val="clear" w:color="000000" w:fill="FFFFFF"/>
            <w:vAlign w:val="center"/>
          </w:tcPr>
          <w:p>
            <w:pPr>
              <w:spacing w:line="400" w:lineRule="exact"/>
              <w:ind w:firstLine="0" w:firstLineChars="0"/>
              <w:jc w:val="center"/>
              <w:rPr>
                <w:color w:val="auto"/>
              </w:rPr>
            </w:pPr>
            <w:r>
              <w:rPr>
                <w:rFonts w:hint="eastAsia"/>
                <w:color w:val="auto"/>
              </w:rPr>
              <w:t>交付时间</w:t>
            </w:r>
          </w:p>
        </w:tc>
        <w:tc>
          <w:tcPr>
            <w:tcW w:w="7174" w:type="dxa"/>
            <w:gridSpan w:val="6"/>
            <w:shd w:val="clear" w:color="000000" w:fill="FFFFFF"/>
            <w:vAlign w:val="center"/>
          </w:tcPr>
          <w:p>
            <w:pPr>
              <w:spacing w:line="400" w:lineRule="exact"/>
              <w:ind w:firstLine="0" w:firstLineChars="0"/>
              <w:jc w:val="center"/>
              <w:rPr>
                <w:color w:val="auto"/>
              </w:rPr>
            </w:pPr>
            <w:r>
              <w:rPr>
                <w:rFonts w:hint="eastAsia"/>
                <w:color w:val="auto"/>
              </w:rPr>
              <w:t>交付产品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788" w:type="dxa"/>
            <w:vMerge w:val="continue"/>
            <w:shd w:val="clear" w:color="000000" w:fill="FFFFFF"/>
            <w:vAlign w:val="center"/>
          </w:tcPr>
          <w:p>
            <w:pPr>
              <w:spacing w:line="400" w:lineRule="exact"/>
              <w:ind w:firstLine="0" w:firstLineChars="0"/>
              <w:jc w:val="center"/>
              <w:rPr>
                <w:color w:val="auto"/>
              </w:rPr>
            </w:pPr>
          </w:p>
        </w:tc>
        <w:tc>
          <w:tcPr>
            <w:tcW w:w="966" w:type="dxa"/>
            <w:vMerge w:val="continue"/>
            <w:shd w:val="clear" w:color="000000" w:fill="FFFFFF"/>
            <w:vAlign w:val="center"/>
          </w:tcPr>
          <w:p>
            <w:pPr>
              <w:spacing w:line="400" w:lineRule="exact"/>
              <w:ind w:firstLine="0" w:firstLineChars="0"/>
              <w:jc w:val="center"/>
              <w:rPr>
                <w:color w:val="auto"/>
              </w:rPr>
            </w:pPr>
          </w:p>
        </w:tc>
        <w:tc>
          <w:tcPr>
            <w:tcW w:w="1291" w:type="dxa"/>
            <w:shd w:val="clear" w:color="000000" w:fill="FFFFFF"/>
            <w:vAlign w:val="center"/>
          </w:tcPr>
          <w:p>
            <w:pPr>
              <w:spacing w:line="400" w:lineRule="exact"/>
              <w:ind w:firstLine="0" w:firstLineChars="0"/>
              <w:jc w:val="center"/>
              <w:rPr>
                <w:rFonts w:ascii="宋体"/>
                <w:color w:val="auto"/>
                <w:kern w:val="0"/>
              </w:rPr>
            </w:pPr>
            <w:r>
              <w:rPr>
                <w:rFonts w:hint="eastAsia"/>
                <w:color w:val="auto"/>
              </w:rPr>
              <w:t>流量计远传设备</w:t>
            </w:r>
          </w:p>
        </w:tc>
        <w:tc>
          <w:tcPr>
            <w:tcW w:w="1110" w:type="dxa"/>
            <w:shd w:val="clear" w:color="000000" w:fill="FFFFFF"/>
            <w:vAlign w:val="center"/>
          </w:tcPr>
          <w:p>
            <w:pPr>
              <w:spacing w:line="400" w:lineRule="exact"/>
              <w:ind w:firstLine="0" w:firstLineChars="0"/>
              <w:jc w:val="center"/>
              <w:rPr>
                <w:rFonts w:ascii="宋体"/>
                <w:color w:val="auto"/>
                <w:kern w:val="0"/>
              </w:rPr>
            </w:pPr>
            <w:r>
              <w:rPr>
                <w:rFonts w:hint="eastAsia"/>
                <w:color w:val="auto"/>
              </w:rPr>
              <w:t>电磁流量计（压力变送器）</w:t>
            </w:r>
          </w:p>
        </w:tc>
        <w:tc>
          <w:tcPr>
            <w:tcW w:w="1245" w:type="dxa"/>
            <w:shd w:val="clear" w:color="000000" w:fill="FFFFFF"/>
            <w:vAlign w:val="center"/>
          </w:tcPr>
          <w:p>
            <w:pPr>
              <w:spacing w:line="400" w:lineRule="exact"/>
              <w:ind w:firstLine="0" w:firstLineChars="0"/>
              <w:jc w:val="center"/>
              <w:rPr>
                <w:color w:val="auto"/>
              </w:rPr>
            </w:pPr>
            <w:r>
              <w:rPr>
                <w:rFonts w:hint="eastAsia"/>
                <w:color w:val="auto"/>
              </w:rPr>
              <w:t>智能大口径水表</w:t>
            </w:r>
          </w:p>
        </w:tc>
        <w:tc>
          <w:tcPr>
            <w:tcW w:w="1230" w:type="dxa"/>
            <w:shd w:val="clear" w:color="000000" w:fill="FFFFFF"/>
            <w:vAlign w:val="center"/>
          </w:tcPr>
          <w:p>
            <w:pPr>
              <w:spacing w:line="400" w:lineRule="exact"/>
              <w:ind w:firstLine="0" w:firstLineChars="0"/>
              <w:jc w:val="center"/>
              <w:rPr>
                <w:color w:val="auto"/>
              </w:rPr>
            </w:pPr>
            <w:r>
              <w:rPr>
                <w:rFonts w:hint="eastAsia"/>
                <w:color w:val="auto"/>
              </w:rPr>
              <w:t>智能压力计</w:t>
            </w:r>
          </w:p>
        </w:tc>
        <w:tc>
          <w:tcPr>
            <w:tcW w:w="1290" w:type="dxa"/>
            <w:shd w:val="clear" w:color="000000" w:fill="FFFFFF"/>
            <w:vAlign w:val="center"/>
          </w:tcPr>
          <w:p>
            <w:pPr>
              <w:spacing w:line="400" w:lineRule="exact"/>
              <w:ind w:firstLine="0" w:firstLineChars="0"/>
              <w:jc w:val="center"/>
              <w:rPr>
                <w:color w:val="auto"/>
              </w:rPr>
            </w:pPr>
            <w:r>
              <w:rPr>
                <w:rFonts w:hint="eastAsia"/>
                <w:color w:val="auto"/>
              </w:rPr>
              <w:t>智能渗漏预警仪</w:t>
            </w:r>
          </w:p>
        </w:tc>
        <w:tc>
          <w:tcPr>
            <w:tcW w:w="1008" w:type="dxa"/>
            <w:shd w:val="clear" w:color="000000" w:fill="FFFFFF"/>
            <w:vAlign w:val="center"/>
          </w:tcPr>
          <w:p>
            <w:pPr>
              <w:spacing w:line="400" w:lineRule="exact"/>
              <w:ind w:firstLine="0" w:firstLineChars="0"/>
              <w:jc w:val="center"/>
              <w:rPr>
                <w:color w:val="auto"/>
              </w:rPr>
            </w:pPr>
            <w:r>
              <w:rPr>
                <w:rFonts w:hint="eastAsia"/>
                <w:color w:val="auto"/>
              </w:rPr>
              <w:t>电磁水表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788" w:type="dxa"/>
            <w:shd w:val="clear" w:color="000000" w:fill="FFFFFF"/>
            <w:vAlign w:val="center"/>
          </w:tcPr>
          <w:p>
            <w:pPr>
              <w:spacing w:line="400" w:lineRule="exact"/>
              <w:ind w:firstLine="0" w:firstLineChars="0"/>
              <w:jc w:val="center"/>
              <w:rPr>
                <w:color w:val="auto"/>
              </w:rPr>
            </w:pPr>
            <w:r>
              <w:rPr>
                <w:rFonts w:hint="eastAsia"/>
                <w:color w:val="auto"/>
              </w:rPr>
              <w:t>1</w:t>
            </w:r>
          </w:p>
        </w:tc>
        <w:tc>
          <w:tcPr>
            <w:tcW w:w="966" w:type="dxa"/>
            <w:shd w:val="clear" w:color="000000" w:fill="FFFFFF"/>
            <w:vAlign w:val="center"/>
          </w:tcPr>
          <w:p>
            <w:pPr>
              <w:spacing w:line="400" w:lineRule="exact"/>
              <w:ind w:firstLine="0" w:firstLineChars="0"/>
              <w:jc w:val="center"/>
              <w:rPr>
                <w:rFonts w:ascii="宋体"/>
                <w:color w:val="auto"/>
                <w:kern w:val="0"/>
              </w:rPr>
            </w:pPr>
            <w:r>
              <w:rPr>
                <w:rFonts w:hint="eastAsia"/>
                <w:color w:val="auto"/>
              </w:rPr>
              <w:t>2024.12.31前</w:t>
            </w:r>
          </w:p>
        </w:tc>
        <w:tc>
          <w:tcPr>
            <w:tcW w:w="1291" w:type="dxa"/>
            <w:shd w:val="clear" w:color="000000" w:fill="FFFFFF"/>
            <w:vAlign w:val="center"/>
          </w:tcPr>
          <w:p>
            <w:pPr>
              <w:spacing w:line="400" w:lineRule="exact"/>
              <w:ind w:firstLine="0" w:firstLineChars="0"/>
              <w:jc w:val="center"/>
              <w:rPr>
                <w:rFonts w:hAnsi="宋体"/>
                <w:color w:val="auto"/>
              </w:rPr>
            </w:pPr>
            <w:r>
              <w:rPr>
                <w:rFonts w:hint="eastAsia"/>
                <w:color w:val="auto"/>
              </w:rPr>
              <w:t>≥20套</w:t>
            </w:r>
          </w:p>
        </w:tc>
        <w:tc>
          <w:tcPr>
            <w:tcW w:w="111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18套</w:t>
            </w:r>
          </w:p>
        </w:tc>
        <w:tc>
          <w:tcPr>
            <w:tcW w:w="1245"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440套</w:t>
            </w:r>
          </w:p>
        </w:tc>
        <w:tc>
          <w:tcPr>
            <w:tcW w:w="123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20套</w:t>
            </w:r>
          </w:p>
        </w:tc>
        <w:tc>
          <w:tcPr>
            <w:tcW w:w="129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200套</w:t>
            </w:r>
          </w:p>
        </w:tc>
        <w:tc>
          <w:tcPr>
            <w:tcW w:w="1008" w:type="dxa"/>
            <w:shd w:val="clear" w:color="000000" w:fill="FFFFFF"/>
            <w:vAlign w:val="center"/>
          </w:tcPr>
          <w:p>
            <w:pPr>
              <w:spacing w:line="400" w:lineRule="exact"/>
              <w:ind w:firstLine="0" w:firstLineChars="0"/>
              <w:jc w:val="center"/>
              <w:rPr>
                <w:rFonts w:ascii="宋体"/>
                <w:color w:val="auto"/>
                <w:kern w:val="0"/>
              </w:rPr>
            </w:pPr>
            <w:r>
              <w:rPr>
                <w:rFonts w:hint="eastAsia" w:ascii="宋体"/>
                <w:color w:val="auto"/>
                <w:kern w:val="0"/>
              </w:rPr>
              <w:t>≥</w:t>
            </w:r>
            <w:r>
              <w:rPr>
                <w:rFonts w:hint="eastAsia"/>
                <w:color w:val="auto"/>
              </w:rPr>
              <w:t>59套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8" w:hRule="atLeast"/>
          <w:jc w:val="center"/>
        </w:trPr>
        <w:tc>
          <w:tcPr>
            <w:tcW w:w="788" w:type="dxa"/>
            <w:shd w:val="clear" w:color="000000" w:fill="FFFFFF"/>
            <w:vAlign w:val="center"/>
          </w:tcPr>
          <w:p>
            <w:pPr>
              <w:spacing w:line="400" w:lineRule="exact"/>
              <w:ind w:firstLine="0" w:firstLineChars="0"/>
              <w:jc w:val="center"/>
              <w:rPr>
                <w:color w:val="auto"/>
              </w:rPr>
            </w:pPr>
            <w:r>
              <w:rPr>
                <w:rFonts w:hint="eastAsia"/>
                <w:color w:val="auto"/>
              </w:rPr>
              <w:t>2</w:t>
            </w:r>
          </w:p>
        </w:tc>
        <w:tc>
          <w:tcPr>
            <w:tcW w:w="966" w:type="dxa"/>
            <w:shd w:val="clear" w:color="000000" w:fill="FFFFFF"/>
            <w:vAlign w:val="center"/>
          </w:tcPr>
          <w:p>
            <w:pPr>
              <w:spacing w:line="400" w:lineRule="exact"/>
              <w:ind w:firstLine="0" w:firstLineChars="0"/>
              <w:jc w:val="center"/>
              <w:rPr>
                <w:color w:val="auto"/>
              </w:rPr>
            </w:pPr>
            <w:r>
              <w:rPr>
                <w:rFonts w:hint="eastAsia"/>
                <w:color w:val="auto"/>
              </w:rPr>
              <w:t>2025.1.1~</w:t>
            </w:r>
          </w:p>
          <w:p>
            <w:pPr>
              <w:spacing w:line="400" w:lineRule="exact"/>
              <w:ind w:firstLine="0" w:firstLineChars="0"/>
              <w:jc w:val="center"/>
              <w:rPr>
                <w:color w:val="auto"/>
              </w:rPr>
            </w:pPr>
            <w:r>
              <w:rPr>
                <w:rFonts w:hint="eastAsia"/>
                <w:color w:val="auto"/>
              </w:rPr>
              <w:t>2025.12.31前</w:t>
            </w:r>
          </w:p>
        </w:tc>
        <w:tc>
          <w:tcPr>
            <w:tcW w:w="1291"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19套</w:t>
            </w:r>
          </w:p>
        </w:tc>
        <w:tc>
          <w:tcPr>
            <w:tcW w:w="111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18套</w:t>
            </w:r>
          </w:p>
        </w:tc>
        <w:tc>
          <w:tcPr>
            <w:tcW w:w="1245"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440套</w:t>
            </w:r>
          </w:p>
        </w:tc>
        <w:tc>
          <w:tcPr>
            <w:tcW w:w="1230" w:type="dxa"/>
            <w:shd w:val="clear" w:color="000000" w:fill="FFFFFF"/>
            <w:vAlign w:val="center"/>
          </w:tcPr>
          <w:p>
            <w:pPr>
              <w:spacing w:line="400" w:lineRule="exact"/>
              <w:ind w:firstLine="0" w:firstLineChars="0"/>
              <w:jc w:val="center"/>
              <w:rPr>
                <w:color w:val="auto"/>
              </w:rPr>
            </w:pPr>
            <w:r>
              <w:rPr>
                <w:rFonts w:hint="eastAsia"/>
                <w:color w:val="auto"/>
              </w:rPr>
              <w:t>/</w:t>
            </w:r>
          </w:p>
        </w:tc>
        <w:tc>
          <w:tcPr>
            <w:tcW w:w="129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200套</w:t>
            </w:r>
          </w:p>
        </w:tc>
        <w:tc>
          <w:tcPr>
            <w:tcW w:w="1008" w:type="dxa"/>
            <w:shd w:val="clear" w:color="000000" w:fill="FFFFFF"/>
            <w:vAlign w:val="center"/>
          </w:tcPr>
          <w:p>
            <w:pPr>
              <w:spacing w:line="400" w:lineRule="exact"/>
              <w:ind w:firstLine="0" w:firstLineChars="0"/>
              <w:jc w:val="center"/>
              <w:rPr>
                <w:rFonts w:ascii="宋体"/>
                <w:color w:val="auto"/>
                <w:kern w:val="0"/>
              </w:rPr>
            </w:pPr>
            <w:r>
              <w:rPr>
                <w:rFonts w:hint="eastAsia" w:ascii="宋体"/>
                <w:color w:val="auto"/>
                <w:kern w:val="0"/>
              </w:rPr>
              <w:t>≥</w:t>
            </w:r>
            <w:r>
              <w:rPr>
                <w:rFonts w:hint="eastAsia"/>
                <w:color w:val="auto"/>
              </w:rPr>
              <w:t>59套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7" w:hRule="atLeast"/>
          <w:jc w:val="center"/>
        </w:trPr>
        <w:tc>
          <w:tcPr>
            <w:tcW w:w="1754" w:type="dxa"/>
            <w:gridSpan w:val="2"/>
            <w:shd w:val="clear" w:color="000000" w:fill="FFFFFF"/>
            <w:vAlign w:val="center"/>
          </w:tcPr>
          <w:p>
            <w:pPr>
              <w:spacing w:line="400" w:lineRule="exact"/>
              <w:ind w:firstLine="0" w:firstLineChars="0"/>
              <w:jc w:val="center"/>
              <w:rPr>
                <w:color w:val="auto"/>
              </w:rPr>
            </w:pPr>
            <w:r>
              <w:rPr>
                <w:rFonts w:hint="eastAsia"/>
                <w:color w:val="auto"/>
              </w:rPr>
              <w:t>总计</w:t>
            </w:r>
          </w:p>
        </w:tc>
        <w:tc>
          <w:tcPr>
            <w:tcW w:w="1291"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39套</w:t>
            </w:r>
          </w:p>
        </w:tc>
        <w:tc>
          <w:tcPr>
            <w:tcW w:w="1110" w:type="dxa"/>
            <w:shd w:val="clear" w:color="000000" w:fill="FFFFFF"/>
            <w:vAlign w:val="center"/>
          </w:tcPr>
          <w:p>
            <w:pPr>
              <w:spacing w:line="400" w:lineRule="exact"/>
              <w:ind w:firstLine="0" w:firstLineChars="0"/>
              <w:jc w:val="center"/>
              <w:rPr>
                <w:rFonts w:ascii="宋体" w:hAnsi="宋体"/>
                <w:color w:val="auto"/>
                <w:kern w:val="0"/>
              </w:rPr>
            </w:pPr>
            <w:r>
              <w:rPr>
                <w:rFonts w:hint="eastAsia" w:ascii="宋体"/>
                <w:color w:val="auto"/>
                <w:kern w:val="0"/>
              </w:rPr>
              <w:t>≥</w:t>
            </w:r>
            <w:r>
              <w:rPr>
                <w:rFonts w:hint="eastAsia"/>
                <w:color w:val="auto"/>
              </w:rPr>
              <w:t>36套</w:t>
            </w:r>
          </w:p>
        </w:tc>
        <w:tc>
          <w:tcPr>
            <w:tcW w:w="1245" w:type="dxa"/>
            <w:shd w:val="clear" w:color="000000" w:fill="FFFFFF"/>
            <w:vAlign w:val="center"/>
          </w:tcPr>
          <w:p>
            <w:pPr>
              <w:spacing w:line="400" w:lineRule="exact"/>
              <w:ind w:firstLine="0" w:firstLineChars="0"/>
              <w:jc w:val="center"/>
              <w:rPr>
                <w:color w:val="auto"/>
              </w:rPr>
            </w:pPr>
            <w:r>
              <w:rPr>
                <w:rFonts w:hint="eastAsia" w:ascii="宋体"/>
                <w:color w:val="auto"/>
                <w:kern w:val="0"/>
              </w:rPr>
              <w:t>≥</w:t>
            </w:r>
            <w:r>
              <w:rPr>
                <w:rFonts w:hint="eastAsia"/>
                <w:color w:val="auto"/>
              </w:rPr>
              <w:t>880套</w:t>
            </w:r>
          </w:p>
        </w:tc>
        <w:tc>
          <w:tcPr>
            <w:tcW w:w="1230" w:type="dxa"/>
            <w:shd w:val="clear" w:color="000000" w:fill="FFFFFF"/>
            <w:vAlign w:val="center"/>
          </w:tcPr>
          <w:p>
            <w:pPr>
              <w:spacing w:line="400" w:lineRule="exact"/>
              <w:ind w:firstLine="0" w:firstLineChars="0"/>
              <w:jc w:val="center"/>
              <w:rPr>
                <w:color w:val="auto"/>
              </w:rPr>
            </w:pPr>
            <w:r>
              <w:rPr>
                <w:rFonts w:hint="eastAsia" w:ascii="宋体"/>
                <w:color w:val="auto"/>
                <w:kern w:val="0"/>
              </w:rPr>
              <w:t>≥</w:t>
            </w:r>
            <w:r>
              <w:rPr>
                <w:rFonts w:hint="eastAsia"/>
                <w:color w:val="auto"/>
              </w:rPr>
              <w:t>20套</w:t>
            </w:r>
          </w:p>
        </w:tc>
        <w:tc>
          <w:tcPr>
            <w:tcW w:w="1290" w:type="dxa"/>
            <w:shd w:val="clear" w:color="000000" w:fill="FFFFFF"/>
            <w:vAlign w:val="center"/>
          </w:tcPr>
          <w:p>
            <w:pPr>
              <w:spacing w:line="400" w:lineRule="exact"/>
              <w:ind w:firstLine="0" w:firstLineChars="0"/>
              <w:jc w:val="center"/>
              <w:rPr>
                <w:color w:val="auto"/>
              </w:rPr>
            </w:pPr>
            <w:r>
              <w:rPr>
                <w:rFonts w:hint="eastAsia" w:ascii="宋体"/>
                <w:color w:val="auto"/>
                <w:kern w:val="0"/>
              </w:rPr>
              <w:t>≥</w:t>
            </w:r>
            <w:r>
              <w:rPr>
                <w:rFonts w:hint="eastAsia"/>
                <w:color w:val="auto"/>
              </w:rPr>
              <w:t>400套</w:t>
            </w:r>
          </w:p>
        </w:tc>
        <w:tc>
          <w:tcPr>
            <w:tcW w:w="1008" w:type="dxa"/>
            <w:shd w:val="clear" w:color="000000" w:fill="FFFFFF"/>
            <w:vAlign w:val="center"/>
          </w:tcPr>
          <w:p>
            <w:pPr>
              <w:spacing w:line="400" w:lineRule="exact"/>
              <w:ind w:firstLine="0" w:firstLineChars="0"/>
              <w:jc w:val="center"/>
              <w:rPr>
                <w:rFonts w:ascii="宋体"/>
                <w:color w:val="auto"/>
                <w:kern w:val="0"/>
              </w:rPr>
            </w:pPr>
            <w:r>
              <w:rPr>
                <w:rFonts w:hint="eastAsia" w:ascii="宋体"/>
                <w:color w:val="auto"/>
                <w:kern w:val="0"/>
              </w:rPr>
              <w:t>≥</w:t>
            </w:r>
            <w:r>
              <w:rPr>
                <w:rFonts w:hint="eastAsia"/>
                <w:color w:val="auto"/>
              </w:rPr>
              <w:t>118套</w:t>
            </w:r>
          </w:p>
        </w:tc>
      </w:tr>
    </w:tbl>
    <w:p>
      <w:pPr>
        <w:rPr>
          <w:color w:val="auto"/>
        </w:rPr>
      </w:pPr>
      <w:r>
        <w:rPr>
          <w:rFonts w:hint="eastAsia"/>
          <w:color w:val="auto"/>
        </w:rPr>
        <w:t>注：产品超出数量最高不超过合同约定最低数量的10%</w:t>
      </w:r>
    </w:p>
    <w:p>
      <w:pPr>
        <w:rPr>
          <w:color w:val="auto"/>
        </w:rPr>
      </w:pPr>
      <w:r>
        <w:rPr>
          <w:rFonts w:hint="eastAsia"/>
          <w:color w:val="auto"/>
        </w:rPr>
        <w:t>2、</w:t>
      </w:r>
      <w:r>
        <w:rPr>
          <w:rFonts w:hint="eastAsia" w:ascii="宋体" w:hAnsi="宋体"/>
          <w:color w:val="auto"/>
          <w:szCs w:val="21"/>
        </w:rPr>
        <w:t>如</w:t>
      </w:r>
      <w:r>
        <w:rPr>
          <w:rFonts w:hint="eastAsia"/>
          <w:color w:val="auto"/>
        </w:rPr>
        <w:t>中标人非不可抗力因素，未能按时间、数量以及要求品牌交付产品，采购人有权不进行本年度的服务费用的结算，根据项目需要，中标人可提前完成投入。</w:t>
      </w:r>
    </w:p>
    <w:p>
      <w:pPr>
        <w:rPr>
          <w:color w:val="auto"/>
        </w:rPr>
      </w:pPr>
      <w:r>
        <w:rPr>
          <w:rFonts w:hint="eastAsia"/>
          <w:color w:val="auto"/>
        </w:rPr>
        <w:t>3、中标人应按合同期内总管网漏点≥1600个进行交付，其中2024年度为≥800个，2025年度为≥800个。若中标人未能达到该年度的漏点个数，须从中标人该年的服务费用中作出相应漏点差额扣除（按2000元/个漏点）。</w:t>
      </w:r>
    </w:p>
    <w:p>
      <w:pPr>
        <w:rPr>
          <w:color w:val="auto"/>
        </w:rPr>
      </w:pPr>
      <w:r>
        <w:rPr>
          <w:rFonts w:hint="eastAsia"/>
          <w:color w:val="auto"/>
        </w:rPr>
        <w:t>远传设备运维服务包括控漏相关的流量计远传设备、电磁流量计、智能大口径水表、智能渗漏预警仪及电磁水表的运维，从发现故障到维护完成应在一周内完成。设备故障进行更换时的零部件由采购人所用设备厂家提供。如出现未能及时进行维护的情况，须从中标人该年的服务费用中作出相应维护费用扣除（按200元/次扣除）</w:t>
      </w:r>
    </w:p>
    <w:p>
      <w:pPr>
        <w:rPr>
          <w:color w:val="auto"/>
        </w:rPr>
      </w:pPr>
      <w:r>
        <w:rPr>
          <w:rFonts w:hint="eastAsia"/>
          <w:color w:val="auto"/>
        </w:rPr>
        <w:t>4、所有权约定：合同有效期内，中标人提供的相关设备的所有权归中标人；项目合同期满所有权归采购人。</w:t>
      </w:r>
    </w:p>
    <w:p>
      <w:pPr>
        <w:rPr>
          <w:color w:val="auto"/>
        </w:rPr>
      </w:pPr>
      <w:r>
        <w:rPr>
          <w:rFonts w:hint="eastAsia"/>
          <w:color w:val="auto"/>
        </w:rPr>
        <w:t>5、中标人提供所有移交设备（大口径水表除外）2年的质保服务，质保期以设备移交之日起计算。</w:t>
      </w:r>
    </w:p>
    <w:p>
      <w:pPr>
        <w:pStyle w:val="235"/>
        <w:numPr>
          <w:ilvl w:val="0"/>
          <w:numId w:val="39"/>
        </w:numPr>
        <w:ind w:firstLineChars="0"/>
        <w:rPr>
          <w:color w:val="auto"/>
        </w:rPr>
      </w:pPr>
      <w:r>
        <w:rPr>
          <w:rFonts w:hint="eastAsia"/>
          <w:color w:val="auto"/>
        </w:rPr>
        <w:t>★漏损控制服务费的结算</w:t>
      </w:r>
    </w:p>
    <w:p>
      <w:pPr>
        <w:pStyle w:val="235"/>
        <w:ind w:firstLineChars="0"/>
        <w:rPr>
          <w:color w:val="auto"/>
        </w:rPr>
      </w:pPr>
      <w:r>
        <w:rPr>
          <w:rFonts w:hint="eastAsia"/>
          <w:color w:val="auto"/>
        </w:rPr>
        <w:t>本项目中标后按中标漏损控制服务费计算服务费用。</w:t>
      </w:r>
    </w:p>
    <w:p>
      <w:pPr>
        <w:pStyle w:val="235"/>
        <w:numPr>
          <w:ilvl w:val="0"/>
          <w:numId w:val="40"/>
        </w:numPr>
        <w:ind w:firstLineChars="0"/>
        <w:rPr>
          <w:color w:val="auto"/>
        </w:rPr>
      </w:pPr>
      <w:r>
        <w:rPr>
          <w:rFonts w:hint="eastAsia"/>
          <w:color w:val="auto"/>
        </w:rPr>
        <w:t>中标人与采购人签订协议后再与采购人下属子公司签订合同，分别与采购人下属子公司结算服务费用。每年具体支付为：各司支付比例＝各司全年供水量/集团全年供水量，各司按支付比例结算相应的服务费用，各司每年支付金额＝采购人应支付的当年服务费╳各司支付比例</w:t>
      </w:r>
    </w:p>
    <w:p>
      <w:pPr>
        <w:rPr>
          <w:color w:val="auto"/>
        </w:rPr>
      </w:pPr>
      <w:r>
        <w:rPr>
          <w:rFonts w:hint="eastAsia"/>
          <w:color w:val="auto"/>
        </w:rPr>
        <w:t>3、年度项目目标考核：</w:t>
      </w:r>
    </w:p>
    <w:p>
      <w:pPr>
        <w:rPr>
          <w:color w:val="auto"/>
        </w:rPr>
      </w:pPr>
      <w:r>
        <w:rPr>
          <w:rFonts w:hint="eastAsia"/>
          <w:color w:val="auto"/>
        </w:rPr>
        <w:t>1）年度产销差率考核目标要求如下：</w:t>
      </w:r>
      <w:r>
        <w:rPr>
          <w:color w:val="auto"/>
        </w:rPr>
        <w:t xml:space="preserve"> </w:t>
      </w:r>
    </w:p>
    <w:tbl>
      <w:tblPr>
        <w:tblStyle w:val="37"/>
        <w:tblW w:w="5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627" w:type="dxa"/>
            <w:noWrap/>
            <w:vAlign w:val="center"/>
          </w:tcPr>
          <w:p>
            <w:pPr>
              <w:spacing w:line="240" w:lineRule="auto"/>
              <w:ind w:firstLine="0" w:firstLineChars="0"/>
              <w:jc w:val="center"/>
              <w:rPr>
                <w:color w:val="auto"/>
              </w:rPr>
            </w:pPr>
            <w:r>
              <w:rPr>
                <w:rFonts w:hint="eastAsia"/>
                <w:color w:val="auto"/>
              </w:rPr>
              <w:t>年份</w:t>
            </w:r>
          </w:p>
        </w:tc>
        <w:tc>
          <w:tcPr>
            <w:tcW w:w="3704" w:type="dxa"/>
            <w:vAlign w:val="center"/>
          </w:tcPr>
          <w:p>
            <w:pPr>
              <w:spacing w:line="240" w:lineRule="auto"/>
              <w:ind w:firstLine="0" w:firstLineChars="0"/>
              <w:jc w:val="center"/>
              <w:rPr>
                <w:color w:val="auto"/>
              </w:rPr>
            </w:pPr>
            <w:r>
              <w:rPr>
                <w:rFonts w:hint="eastAsia"/>
                <w:color w:val="auto"/>
              </w:rPr>
              <w:t>集团考核总目标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noWrap/>
            <w:vAlign w:val="center"/>
          </w:tcPr>
          <w:p>
            <w:pPr>
              <w:spacing w:line="240" w:lineRule="auto"/>
              <w:ind w:firstLine="0" w:firstLineChars="0"/>
              <w:jc w:val="center"/>
              <w:rPr>
                <w:color w:val="auto"/>
              </w:rPr>
            </w:pPr>
            <w:r>
              <w:rPr>
                <w:rFonts w:hint="eastAsia"/>
                <w:color w:val="auto"/>
              </w:rPr>
              <w:t>2024</w:t>
            </w:r>
          </w:p>
        </w:tc>
        <w:tc>
          <w:tcPr>
            <w:tcW w:w="3704" w:type="dxa"/>
            <w:vAlign w:val="center"/>
          </w:tcPr>
          <w:p>
            <w:pPr>
              <w:spacing w:line="240" w:lineRule="auto"/>
              <w:ind w:firstLine="0" w:firstLineChars="0"/>
              <w:jc w:val="center"/>
              <w:rPr>
                <w:color w:val="auto"/>
              </w:rPr>
            </w:pPr>
            <w:r>
              <w:rPr>
                <w:rFonts w:hint="eastAsia"/>
                <w:color w:val="auto"/>
                <w:lang w:bidi="ar"/>
              </w:rPr>
              <w:t>≤</w:t>
            </w:r>
            <w:r>
              <w:rPr>
                <w:rFonts w:hint="eastAsia"/>
                <w:color w:val="auto"/>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noWrap/>
            <w:vAlign w:val="center"/>
          </w:tcPr>
          <w:p>
            <w:pPr>
              <w:spacing w:line="240" w:lineRule="auto"/>
              <w:ind w:firstLine="0" w:firstLineChars="0"/>
              <w:jc w:val="center"/>
              <w:rPr>
                <w:color w:val="auto"/>
              </w:rPr>
            </w:pPr>
            <w:r>
              <w:rPr>
                <w:rFonts w:hint="eastAsia"/>
                <w:color w:val="auto"/>
              </w:rPr>
              <w:t>2025</w:t>
            </w:r>
          </w:p>
        </w:tc>
        <w:tc>
          <w:tcPr>
            <w:tcW w:w="3704" w:type="dxa"/>
            <w:vAlign w:val="center"/>
          </w:tcPr>
          <w:p>
            <w:pPr>
              <w:spacing w:line="240" w:lineRule="auto"/>
              <w:ind w:firstLine="0" w:firstLineChars="0"/>
              <w:jc w:val="center"/>
              <w:rPr>
                <w:color w:val="auto"/>
              </w:rPr>
            </w:pPr>
            <w:r>
              <w:rPr>
                <w:rFonts w:hint="eastAsia"/>
                <w:color w:val="auto"/>
                <w:lang w:bidi="ar"/>
              </w:rPr>
              <w:t>≤</w:t>
            </w:r>
            <w:r>
              <w:rPr>
                <w:rFonts w:hint="eastAsia"/>
                <w:color w:val="auto"/>
              </w:rPr>
              <w:t>9.5</w:t>
            </w:r>
          </w:p>
        </w:tc>
      </w:tr>
    </w:tbl>
    <w:p>
      <w:pPr>
        <w:pStyle w:val="235"/>
        <w:numPr>
          <w:ilvl w:val="0"/>
          <w:numId w:val="41"/>
        </w:numPr>
        <w:ind w:firstLineChars="0"/>
        <w:rPr>
          <w:color w:val="auto"/>
        </w:rPr>
      </w:pPr>
      <w:r>
        <w:rPr>
          <w:rFonts w:hint="eastAsia"/>
          <w:color w:val="auto"/>
        </w:rPr>
        <w:t>完成目标，完成目标的当年考核系数为1。</w:t>
      </w:r>
    </w:p>
    <w:p>
      <w:pPr>
        <w:pStyle w:val="235"/>
        <w:numPr>
          <w:ilvl w:val="0"/>
          <w:numId w:val="41"/>
        </w:numPr>
        <w:ind w:firstLineChars="0"/>
        <w:rPr>
          <w:color w:val="auto"/>
        </w:rPr>
      </w:pPr>
      <w:r>
        <w:rPr>
          <w:rFonts w:hint="eastAsia"/>
          <w:color w:val="auto"/>
        </w:rPr>
        <w:t>考核系数如下表约定：</w:t>
      </w:r>
    </w:p>
    <w:tbl>
      <w:tblPr>
        <w:tblStyle w:val="37"/>
        <w:tblW w:w="8192" w:type="dxa"/>
        <w:jc w:val="center"/>
        <w:tblLayout w:type="fixed"/>
        <w:tblCellMar>
          <w:top w:w="0" w:type="dxa"/>
          <w:left w:w="108" w:type="dxa"/>
          <w:bottom w:w="0" w:type="dxa"/>
          <w:right w:w="108" w:type="dxa"/>
        </w:tblCellMar>
      </w:tblPr>
      <w:tblGrid>
        <w:gridCol w:w="1282"/>
        <w:gridCol w:w="2170"/>
        <w:gridCol w:w="2550"/>
        <w:gridCol w:w="2190"/>
      </w:tblGrid>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r>
              <w:rPr>
                <w:rFonts w:hint="eastAsia"/>
                <w:color w:val="auto"/>
              </w:rPr>
              <w:t>年份</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r>
              <w:rPr>
                <w:rFonts w:hint="eastAsia"/>
                <w:color w:val="auto"/>
              </w:rPr>
              <w:t>目标产销差</w:t>
            </w:r>
          </w:p>
        </w:tc>
        <w:tc>
          <w:tcPr>
            <w:tcW w:w="255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400" w:lineRule="exact"/>
              <w:ind w:firstLine="0" w:firstLineChars="0"/>
              <w:jc w:val="center"/>
              <w:rPr>
                <w:color w:val="auto"/>
              </w:rPr>
            </w:pPr>
            <w:r>
              <w:rPr>
                <w:rFonts w:hint="eastAsia"/>
                <w:color w:val="auto"/>
              </w:rPr>
              <w:t>年度产销差（M）</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r>
              <w:rPr>
                <w:rFonts w:hint="eastAsia"/>
                <w:color w:val="auto"/>
              </w:rPr>
              <w:t>考核系数</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p>
        </w:tc>
        <w:tc>
          <w:tcPr>
            <w:tcW w:w="255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400" w:lineRule="exact"/>
              <w:ind w:firstLine="0" w:firstLineChars="0"/>
              <w:jc w:val="center"/>
              <w:rPr>
                <w:color w:val="auto"/>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r>
              <w:rPr>
                <w:rFonts w:hint="eastAsia"/>
                <w:color w:val="auto"/>
              </w:rPr>
              <w:t>（%）</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r>
              <w:rPr>
                <w:rFonts w:hint="eastAsia"/>
                <w:color w:val="auto"/>
              </w:rPr>
              <w:t>（%）</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color w:val="auto"/>
              </w:rPr>
            </w:pPr>
          </w:p>
        </w:tc>
      </w:tr>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r>
              <w:rPr>
                <w:rFonts w:hint="eastAsia"/>
                <w:color w:val="auto"/>
              </w:rPr>
              <w:t>2024</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M&gt;15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lang w:bidi="ar"/>
              </w:rPr>
              <w:t>0</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13＜M≤15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11＜M≤13</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0.8</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10＜M≤11</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lang w:bidi="ar"/>
              </w:rPr>
              <w:t>1</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9＜M≤10</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M≤9</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1.1</w:t>
            </w:r>
          </w:p>
        </w:tc>
      </w:tr>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r>
              <w:rPr>
                <w:rFonts w:hint="eastAsia"/>
                <w:color w:val="auto"/>
              </w:rPr>
              <w:t>2025</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rPr>
              <w:t>9.5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M&gt;</w:t>
            </w:r>
            <w:r>
              <w:rPr>
                <w:rFonts w:hint="eastAsia"/>
                <w:color w:val="auto"/>
              </w:rPr>
              <w:t>13.5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lang w:bidi="ar"/>
              </w:rPr>
              <w:t>0</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rPr>
              <w:t>11.5</w:t>
            </w:r>
            <w:r>
              <w:rPr>
                <w:rFonts w:hint="eastAsia"/>
                <w:color w:val="auto"/>
                <w:lang w:bidi="ar"/>
              </w:rPr>
              <w:t>＜M≤</w:t>
            </w:r>
            <w:r>
              <w:rPr>
                <w:rFonts w:hint="eastAsia"/>
                <w:color w:val="auto"/>
              </w:rPr>
              <w:t>13.5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9.5＜M≤</w:t>
            </w:r>
            <w:r>
              <w:rPr>
                <w:rFonts w:hint="eastAsia"/>
                <w:color w:val="auto"/>
              </w:rPr>
              <w:t>11.5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0.8</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8.5＜M≤9.5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r>
              <w:rPr>
                <w:rFonts w:hint="eastAsia"/>
                <w:color w:val="auto"/>
                <w:lang w:bidi="ar"/>
              </w:rPr>
              <w:t>1</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7.5＜M≤8.5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1.05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bCs/>
                <w:color w:val="auto"/>
              </w:rPr>
            </w:pPr>
            <w:r>
              <w:rPr>
                <w:rFonts w:hint="eastAsia"/>
                <w:color w:val="auto"/>
                <w:lang w:bidi="ar"/>
              </w:rPr>
              <w:t>M≤7.5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bCs/>
                <w:color w:val="auto"/>
              </w:rPr>
            </w:pPr>
            <w:r>
              <w:rPr>
                <w:rFonts w:hint="eastAsia"/>
                <w:color w:val="auto"/>
                <w:lang w:bidi="ar"/>
              </w:rPr>
              <w:t>1.1</w:t>
            </w:r>
          </w:p>
        </w:tc>
      </w:tr>
    </w:tbl>
    <w:p>
      <w:pPr>
        <w:rPr>
          <w:b/>
          <w:bCs/>
          <w:color w:val="auto"/>
        </w:rPr>
      </w:pPr>
      <w:r>
        <w:rPr>
          <w:rFonts w:hint="eastAsia" w:ascii="宋体" w:hAnsi="宋体" w:cs="宋体"/>
          <w:color w:val="auto"/>
        </w:rPr>
        <w:t>年度产销差率计算公式：年度产销差率＝(年度供水量－年度销售水量)/年度供水量╳100%。</w:t>
      </w:r>
    </w:p>
    <w:p>
      <w:pPr>
        <w:rPr>
          <w:b/>
          <w:bCs/>
          <w:color w:val="auto"/>
          <w:szCs w:val="21"/>
        </w:rPr>
      </w:pPr>
      <w:r>
        <w:rPr>
          <w:rFonts w:hint="eastAsia"/>
          <w:b/>
          <w:bCs/>
          <w:color w:val="auto"/>
        </w:rPr>
        <w:t>注：考核系数为0时，采购人有权终止合作并不予支付当年服务费，中标人已投入的相关设备、软件应作移交，所有</w:t>
      </w:r>
      <w:r>
        <w:rPr>
          <w:rFonts w:hint="eastAsia"/>
          <w:b/>
          <w:bCs/>
          <w:color w:val="auto"/>
          <w:szCs w:val="21"/>
        </w:rPr>
        <w:t>权归采购人所有。</w:t>
      </w:r>
    </w:p>
    <w:p>
      <w:pPr>
        <w:pStyle w:val="235"/>
        <w:numPr>
          <w:ilvl w:val="0"/>
          <w:numId w:val="41"/>
        </w:numPr>
        <w:ind w:firstLineChars="0"/>
        <w:rPr>
          <w:color w:val="auto"/>
          <w:szCs w:val="21"/>
        </w:rPr>
      </w:pPr>
      <w:r>
        <w:rPr>
          <w:rFonts w:hint="eastAsia"/>
          <w:color w:val="auto"/>
          <w:szCs w:val="21"/>
        </w:rPr>
        <w:t>采购人应支付的当年服务费=中标价╳当年的考核系数。</w:t>
      </w:r>
    </w:p>
    <w:p>
      <w:pPr>
        <w:rPr>
          <w:color w:val="auto"/>
        </w:rPr>
      </w:pPr>
      <w:r>
        <w:rPr>
          <w:rFonts w:hint="eastAsia"/>
          <w:color w:val="auto"/>
        </w:rPr>
        <w:t>4、采购人原则上保证对每年的老旧管网更新改造率不小于2%（其中DN100及以上口径老旧管网更新改造率不小于1%），同时对于漏点多发、复发的高危管道进行优先修复，并列入次年管网改造年度计划。原则上对发现漏点的管道修复时间在72小时以内完成。</w:t>
      </w:r>
    </w:p>
    <w:p>
      <w:pPr>
        <w:rPr>
          <w:color w:val="auto"/>
        </w:rPr>
      </w:pPr>
      <w:r>
        <w:rPr>
          <w:rFonts w:hint="eastAsia"/>
          <w:color w:val="auto"/>
        </w:rPr>
        <w:t>5、采购人原则上在中标人提供设备的2个月之内完成设备的安装（电磁流量计、压力变送器、智能大口径水表、电磁水表、智能压力计、智能渗漏预警仪），特殊情况协商解决，采购人组织完成一年两次的违章用水及用户水表普查并针对问题在普查完成后应及时完成整改，对于中标人提出经采购人确认的安装不规范的表具、管线不明或错误标识的管线应及时完成整改。</w:t>
      </w:r>
    </w:p>
    <w:p>
      <w:pPr>
        <w:rPr>
          <w:color w:val="auto"/>
        </w:rPr>
      </w:pPr>
      <w:r>
        <w:rPr>
          <w:rFonts w:hint="eastAsia"/>
          <w:color w:val="auto"/>
        </w:rPr>
        <w:t>6、若采购人对上述各项工作执行不力，从而影响项目目标值或导致整体效果下降的，中标人可以通过书面方式提出异议，双方协商解决。</w:t>
      </w:r>
    </w:p>
    <w:p>
      <w:pPr>
        <w:pStyle w:val="235"/>
        <w:numPr>
          <w:ilvl w:val="0"/>
          <w:numId w:val="39"/>
        </w:numPr>
        <w:ind w:firstLineChars="0"/>
        <w:rPr>
          <w:color w:val="auto"/>
        </w:rPr>
      </w:pPr>
      <w:r>
        <w:rPr>
          <w:rFonts w:hint="eastAsia"/>
          <w:color w:val="auto"/>
        </w:rPr>
        <w:t>★技术要求和规范</w:t>
      </w:r>
    </w:p>
    <w:p>
      <w:pPr>
        <w:rPr>
          <w:color w:val="auto"/>
        </w:rPr>
      </w:pPr>
      <w:r>
        <w:rPr>
          <w:rFonts w:hint="eastAsia"/>
          <w:color w:val="auto"/>
        </w:rPr>
        <w:t>1、本项目所涉及的设计标准、规范，产品标准、规范，工程标准、规范，验收标准、规范,应符合国家有关条例及规范，如有新的标准应采纳新标准，如是国外相应标准应得到发包方认可，这些标准包括：</w:t>
      </w:r>
    </w:p>
    <w:p>
      <w:pPr>
        <w:rPr>
          <w:color w:val="auto"/>
          <w:lang w:val="zh-CN"/>
        </w:rPr>
      </w:pPr>
      <w:r>
        <w:rPr>
          <w:rFonts w:hint="eastAsia"/>
          <w:color w:val="auto"/>
          <w:lang w:val="zh-CN"/>
        </w:rPr>
        <w:t>1）《城镇供水管网漏损控制及评定标准》 CJJ 92</w:t>
      </w:r>
    </w:p>
    <w:p>
      <w:pPr>
        <w:rPr>
          <w:color w:val="auto"/>
          <w:lang w:val="zh-CN"/>
        </w:rPr>
      </w:pPr>
      <w:r>
        <w:rPr>
          <w:rFonts w:hint="eastAsia"/>
          <w:color w:val="auto"/>
          <w:lang w:val="zh-CN"/>
        </w:rPr>
        <w:t>2）《城镇供水管网运行、维护及安全技术规程》 CJJ 207</w:t>
      </w:r>
    </w:p>
    <w:p>
      <w:pPr>
        <w:rPr>
          <w:color w:val="auto"/>
          <w:lang w:val="zh-CN"/>
        </w:rPr>
      </w:pPr>
      <w:r>
        <w:rPr>
          <w:rFonts w:hint="eastAsia"/>
          <w:color w:val="auto"/>
          <w:lang w:val="zh-CN"/>
        </w:rPr>
        <w:t>3）《城镇给水排水技术规范》 GB 50788</w:t>
      </w:r>
    </w:p>
    <w:p>
      <w:pPr>
        <w:rPr>
          <w:color w:val="auto"/>
          <w:lang w:val="zh-CN"/>
        </w:rPr>
      </w:pPr>
      <w:r>
        <w:rPr>
          <w:rFonts w:hint="eastAsia"/>
          <w:color w:val="auto"/>
          <w:lang w:val="zh-CN"/>
        </w:rPr>
        <w:t>4）《城镇供水管网抢修技术规程》 CJJ/T 226</w:t>
      </w:r>
    </w:p>
    <w:p>
      <w:pPr>
        <w:rPr>
          <w:color w:val="auto"/>
          <w:lang w:val="zh-CN"/>
        </w:rPr>
      </w:pPr>
      <w:r>
        <w:rPr>
          <w:rFonts w:hint="eastAsia"/>
          <w:color w:val="auto"/>
          <w:lang w:val="zh-CN"/>
        </w:rPr>
        <w:t>5）《住宅远传抄表系统》 JG/T162</w:t>
      </w:r>
    </w:p>
    <w:p>
      <w:pPr>
        <w:rPr>
          <w:color w:val="auto"/>
          <w:lang w:val="zh-CN"/>
        </w:rPr>
      </w:pPr>
      <w:r>
        <w:rPr>
          <w:rFonts w:hint="eastAsia"/>
          <w:color w:val="auto"/>
          <w:lang w:val="zh-CN"/>
        </w:rPr>
        <w:t>6）《电磁流量计》 JB/T 9248</w:t>
      </w:r>
    </w:p>
    <w:p>
      <w:pPr>
        <w:rPr>
          <w:color w:val="auto"/>
          <w:lang w:val="zh-CN"/>
        </w:rPr>
      </w:pPr>
      <w:r>
        <w:rPr>
          <w:rFonts w:hint="eastAsia"/>
          <w:color w:val="auto"/>
          <w:lang w:val="zh-CN"/>
        </w:rPr>
        <w:t>7）《精密压力表》 GB/T 1227</w:t>
      </w:r>
    </w:p>
    <w:p>
      <w:pPr>
        <w:rPr>
          <w:color w:val="auto"/>
          <w:lang w:val="zh-CN"/>
        </w:rPr>
      </w:pPr>
      <w:r>
        <w:rPr>
          <w:rFonts w:hint="eastAsia"/>
          <w:color w:val="auto"/>
          <w:lang w:val="zh-CN"/>
        </w:rPr>
        <w:t>8）《冷水水表》 JJG 162</w:t>
      </w:r>
    </w:p>
    <w:p>
      <w:pPr>
        <w:rPr>
          <w:color w:val="auto"/>
          <w:lang w:val="zh-CN"/>
        </w:rPr>
      </w:pPr>
      <w:r>
        <w:rPr>
          <w:rFonts w:hint="eastAsia"/>
          <w:color w:val="auto"/>
          <w:lang w:val="zh-CN"/>
        </w:rPr>
        <w:t>9）《电磁管道流量计》 HJ-T 367</w:t>
      </w:r>
    </w:p>
    <w:p>
      <w:pPr>
        <w:rPr>
          <w:color w:val="auto"/>
          <w:lang w:val="zh-CN"/>
        </w:rPr>
      </w:pPr>
      <w:r>
        <w:rPr>
          <w:rFonts w:hint="eastAsia"/>
          <w:color w:val="auto"/>
          <w:lang w:val="zh-CN"/>
        </w:rPr>
        <w:t>10）《电磁流量计检定规程》 JJG 103324</w:t>
      </w:r>
    </w:p>
    <w:p>
      <w:pPr>
        <w:rPr>
          <w:color w:val="auto"/>
          <w:lang w:val="zh-CN"/>
        </w:rPr>
      </w:pPr>
      <w:r>
        <w:rPr>
          <w:rFonts w:hint="eastAsia"/>
          <w:color w:val="auto"/>
          <w:lang w:val="zh-CN"/>
        </w:rPr>
        <w:t>11）《压力传感器性能试验方法》 GB/T 15478</w:t>
      </w:r>
    </w:p>
    <w:p>
      <w:pPr>
        <w:rPr>
          <w:color w:val="auto"/>
        </w:rPr>
      </w:pPr>
      <w:r>
        <w:rPr>
          <w:rFonts w:hint="eastAsia" w:ascii="宋体" w:hAnsi="宋体"/>
          <w:color w:val="auto"/>
          <w:szCs w:val="21"/>
          <w:lang w:val="zh-CN"/>
        </w:rPr>
        <w:t>12）</w:t>
      </w:r>
      <w:r>
        <w:rPr>
          <w:rFonts w:hint="eastAsia"/>
          <w:color w:val="auto"/>
        </w:rPr>
        <w:t>《城镇供水管网分区计量管理工作指南——供水管网漏损管控体系构建》</w:t>
      </w:r>
    </w:p>
    <w:p>
      <w:pPr>
        <w:rPr>
          <w:color w:val="auto"/>
        </w:rPr>
      </w:pPr>
      <w:r>
        <w:rPr>
          <w:rFonts w:hint="eastAsia" w:ascii="宋体" w:hAnsi="宋体"/>
          <w:color w:val="auto"/>
          <w:szCs w:val="21"/>
          <w:lang w:val="zh-CN"/>
        </w:rPr>
        <w:t>13）</w:t>
      </w:r>
      <w:r>
        <w:rPr>
          <w:rFonts w:hint="eastAsia"/>
          <w:color w:val="auto"/>
        </w:rPr>
        <w:t>《城镇节水工作指南》</w:t>
      </w:r>
    </w:p>
    <w:p>
      <w:pPr>
        <w:rPr>
          <w:color w:val="auto"/>
        </w:rPr>
      </w:pPr>
      <w:r>
        <w:rPr>
          <w:rFonts w:hint="eastAsia"/>
          <w:color w:val="auto"/>
        </w:rPr>
        <w:t>2、其他有关标准</w:t>
      </w:r>
    </w:p>
    <w:p>
      <w:pPr>
        <w:rPr>
          <w:color w:val="auto"/>
        </w:rPr>
      </w:pPr>
      <w:r>
        <w:rPr>
          <w:rFonts w:hint="eastAsia"/>
          <w:color w:val="auto"/>
        </w:rPr>
        <w:t>上述技术标准和规范如果有不足之处或者未能达到国家或国际最新标准的时候，中标人应使系统的设计、施工以及选用的设备和材料符合最新版本的国际和国家标准、规范，并提供采用的国家和国际标准、规范以及采用的版本等有关技术资料。建设依据还包括相关工程设计图以及技术说明文件，和对本项目系统深化设计等文件。</w:t>
      </w:r>
    </w:p>
    <w:p>
      <w:pPr>
        <w:pStyle w:val="235"/>
        <w:numPr>
          <w:ilvl w:val="0"/>
          <w:numId w:val="39"/>
        </w:numPr>
        <w:ind w:firstLineChars="0"/>
        <w:rPr>
          <w:color w:val="auto"/>
        </w:rPr>
      </w:pPr>
      <w:r>
        <w:rPr>
          <w:rFonts w:hint="eastAsia"/>
          <w:color w:val="auto"/>
        </w:rPr>
        <w:t>主要设备技术要求</w:t>
      </w:r>
    </w:p>
    <w:tbl>
      <w:tblPr>
        <w:tblStyle w:val="37"/>
        <w:tblW w:w="87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6"/>
        <w:gridCol w:w="1485"/>
        <w:gridCol w:w="6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1</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电磁流量计</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▲1.精度：管道式0.5级；插入式1.0级</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2.管道式测量性能满足0.05m/s 流速时测量精度不低于±1.0%</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3.分体式电磁流量计防护等级转换器IP67，传感器IP68</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4.电容触摸按键：转换器采用电容触摸按键</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5.具有中文OLED显示屏幕</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6.具有强大诊断功能、报警功能、仿真功能</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▲7.输出信号：标配RS-485、(4-20)mA</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8.多种供电方式：可选220VAC、24VDC供电方式</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9.正负向流量/流速测量</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10.外壳防护等级：IP67</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11.外壳材料：铸铝或铝合金</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▲12.现场显示：液晶显示单元及现场操作键，可显示瞬时、累计流量，体积流量、质量流量、流速、百分比流量等工作状态</w:t>
            </w:r>
          </w:p>
          <w:p>
            <w:pPr>
              <w:pStyle w:val="233"/>
              <w:spacing w:line="400" w:lineRule="exact"/>
              <w:ind w:firstLine="0" w:firstLineChars="0"/>
              <w:rPr>
                <w:rFonts w:ascii="宋体" w:hAnsi="宋体" w:cs="宋体"/>
                <w:color w:val="auto"/>
                <w:szCs w:val="21"/>
              </w:rPr>
            </w:pPr>
            <w:r>
              <w:rPr>
                <w:rFonts w:hint="eastAsia" w:ascii="宋体" w:hAnsi="宋体" w:cs="宋体"/>
                <w:color w:val="auto"/>
                <w:kern w:val="0"/>
                <w:szCs w:val="21"/>
                <w:shd w:val="clear" w:color="auto" w:fill="FFFFFF"/>
              </w:rPr>
              <w:t>13.推荐品牌：科隆、ABB、西门子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9"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2</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压力变送器</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1.形式：陶瓷传感器，两线制变送器。</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▲2.测量范围：0-0.6Mpa</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3.综合精度：±0.5％FS（典型值）、±0.3％FS</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4.膜片材质：陶瓷</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▲5.工作温度：－40～＋85℃</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 xml:space="preserve">6.温度漂移：0.03％FS/℃ </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 xml:space="preserve">7.时间漂移：≤0.2％FS/年 </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 xml:space="preserve">8.过载能力：200％FS </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9.防护等级：IP67</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10.输出信号：4～20mA</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11.电源：12～36VDC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3</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流量计远传设备与控制柜</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 控制柜要求采用不小于2.0mm厚304不锈钢制做：尺寸≥700×400×1500（L×W×H）。</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2.控制柜柜体内外均应做防腐蚀处理，喷塑或镀锌层无脱落</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3.安装板后部留有足够盘线空间应符合国家及行业生产的验收规定;控制面板及其上元器件与箱内元器件净距离不小于200mm。</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4.箱体、箱门都要作可靠接地。接线端子应与最大导线截面匹配，内有接地要求的电器、盘面，其外壳应可靠接地;接地线采用铜编织线。</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5.具有电源防雷、低压防雷、信号防雷等功能。</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▲6.蓄电池容量要求：12V/100AH。</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7.市电供电与电池供电可实现无缝切换。</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8. DTU具有多IP连接中心，支持GPRS或4G信号，可连多路开关量、模拟量、数字量。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4</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智能大口径水表</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▲1.测量范围（Q3/Q1）：≥160</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2.计量性能符合GB/T 778-2018、ISO 4064：2014和 CJ/T 224-2012标准。</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3.最大允许误差：</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3.1从包括最小流量（Q1）至不包括分界流量（Q2）的低区：±5%；</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3.2从包括分界流量（Q2）至包括过载流量（Q4）的高区：±2%。</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▲4.防护等级：IP68；</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5.供电电源：3.6V锂电池</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▲6.采用感应式传感器技术（基表为机械水表时要求）；</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7. 采用NB-IoT/Cat1 无线通讯技术；表内 NB-IoT/Cat1 模组芯片软件使用最新版本，支持网络重选、频点更改和 3GPP R14 协议</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8.周期上报：每4小时数据上报一次，数据包含每5分钟记录一次的数据，共48个记录信息等</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9.水表底数设置：通过近端手持终端设备，设置水表初始读数</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10.电压、磁干扰告警：水表电池欠压、受到磁干扰时，随周期上报数据进行告警，支持上报当前电池电压</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11.通信异常时有模组重注册和数据重发、补抄功能</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12.自动时间校对：数据周期上报时，通过平台进行校时</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▲13.数据加密：水表终端至远传集抄平台采取 128 位高级加密标准，AES-128 加密、解密算法</w:t>
            </w:r>
          </w:p>
          <w:p>
            <w:pPr>
              <w:pStyle w:val="233"/>
              <w:spacing w:line="400" w:lineRule="exact"/>
              <w:ind w:firstLine="0" w:firstLineChars="0"/>
              <w:rPr>
                <w:rFonts w:ascii="宋体" w:hAnsi="宋体" w:cs="宋体"/>
                <w:color w:val="auto"/>
                <w:szCs w:val="21"/>
              </w:rPr>
            </w:pPr>
            <w:r>
              <w:rPr>
                <w:rFonts w:hint="eastAsia" w:ascii="宋体" w:hAnsi="宋体" w:cs="宋体"/>
                <w:color w:val="auto"/>
                <w:kern w:val="0"/>
                <w:szCs w:val="21"/>
                <w:shd w:val="clear" w:color="auto" w:fill="FFFFFF"/>
              </w:rPr>
              <w:t>14.推荐品牌：宁波水表、东海、山科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5</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智能压力计</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1.传感器特性量程：0-0.8Mpa</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▲2.传感器精度：±0.5％FS</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3.射频特性发射功率：23dBm±2dB</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4.接收灵敏度：-139dBm±1dB</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5.工作电源：3.6V/19AH（内置锂亚电池）</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▲6.工作寿命&gt;4年（典型值）</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7.工作电流待机状态&lt; 10uA</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szCs w:val="21"/>
              </w:rPr>
              <w:tab/>
            </w:r>
            <w:r>
              <w:rPr>
                <w:rFonts w:hint="eastAsia" w:ascii="宋体" w:hAnsi="宋体" w:cs="宋体"/>
                <w:color w:val="auto"/>
                <w:szCs w:val="21"/>
              </w:rPr>
              <w:t>尺寸高度：160mm ,最大直径：55mm</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1"/>
              </w:rPr>
              <w:tab/>
            </w:r>
            <w:r>
              <w:rPr>
                <w:rFonts w:hint="eastAsia" w:ascii="宋体" w:hAnsi="宋体" w:cs="宋体"/>
                <w:color w:val="auto"/>
                <w:szCs w:val="21"/>
              </w:rPr>
              <w:t>螺纹规格：M20*1.5</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10.终端设备数据采集频率，设置任意时间间隔（最小间隔时间1分钟）采集、存储数据；</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▲11.数据传输采用NB-IoT/Cat1网络,支持UDP/COAP方式，具有与在线监控管理系统双向通信的功能；</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12.本地通讯功能：设备内嵌红外通讯模块，用于查询、设置设备参数。</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13.报警功能:压力数据越限设备自动加快采样和上线频率（1秒钟）。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1"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6</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color w:val="auto"/>
                <w:szCs w:val="21"/>
              </w:rPr>
            </w:pPr>
            <w:r>
              <w:rPr>
                <w:rFonts w:hint="eastAsia" w:ascii="宋体" w:hAnsi="宋体" w:cs="宋体"/>
                <w:color w:val="auto"/>
                <w:szCs w:val="21"/>
              </w:rPr>
              <w:t>智能渗漏预警仪</w:t>
            </w:r>
          </w:p>
        </w:tc>
        <w:tc>
          <w:tcPr>
            <w:tcW w:w="6600" w:type="dxa"/>
            <w:tcBorders>
              <w:top w:val="single" w:color="auto" w:sz="4" w:space="0"/>
              <w:left w:val="single" w:color="auto" w:sz="4" w:space="0"/>
              <w:bottom w:val="single" w:color="auto" w:sz="4" w:space="0"/>
              <w:right w:val="single" w:color="auto" w:sz="4" w:space="0"/>
            </w:tcBorders>
            <w:vAlign w:val="center"/>
          </w:tcPr>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▲1.采集灵敏度：&gt;1000pc/g；或可监测10db以下噪声。</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2.设备工作温度：-20℃-70℃。</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3.设备需采用可替换锂电池供电，标准工作环境下，每天发送数据4次的情况下，电池寿命至少2年（5年电池寿命）。并需提供电池亏电报警。</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▲4. 数据传输采用NB-IoT/Cat1网络，支持UDP/COAP方式。</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 xml:space="preserve">5.数据采集信息包括：噪声强度、频宽及音频。连续7天噪音数值、噪音质量、放大倍数、GPS坐标 </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▲6.防护等级：IP68</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7.外壳材料：不锈钢</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8.可记录的数据：最小夜间噪音数值、噪音频率、噪音记录文件、当前最小漏水噪音值、当前最大漏水噪音值、漏水状态</w:t>
            </w:r>
          </w:p>
          <w:p>
            <w:pPr>
              <w:pStyle w:val="233"/>
              <w:spacing w:line="400" w:lineRule="exact"/>
              <w:ind w:firstLine="0" w:firstLineChars="0"/>
              <w:rPr>
                <w:rFonts w:ascii="宋体" w:hAnsi="宋体" w:cs="宋体"/>
                <w:color w:val="auto"/>
                <w:szCs w:val="21"/>
              </w:rPr>
            </w:pPr>
            <w:r>
              <w:rPr>
                <w:rFonts w:hint="eastAsia" w:ascii="宋体" w:hAnsi="宋体" w:cs="宋体"/>
                <w:color w:val="auto"/>
                <w:szCs w:val="21"/>
              </w:rPr>
              <w:t>9.相关功能：多个噪音记录器之间可同时做相关运算</w:t>
            </w:r>
          </w:p>
          <w:p>
            <w:pPr>
              <w:pStyle w:val="233"/>
              <w:spacing w:line="400" w:lineRule="exact"/>
              <w:ind w:firstLine="0" w:firstLineChars="0"/>
              <w:rPr>
                <w:rFonts w:ascii="宋体" w:hAnsi="宋体" w:cs="宋体"/>
                <w:color w:val="auto"/>
                <w:szCs w:val="21"/>
              </w:rPr>
            </w:pPr>
            <w:r>
              <w:rPr>
                <w:rFonts w:hint="eastAsia" w:ascii="宋体" w:hAnsi="宋体" w:cs="宋体"/>
                <w:color w:val="auto"/>
                <w:kern w:val="0"/>
                <w:szCs w:val="21"/>
                <w:shd w:val="clear" w:color="auto" w:fill="FFFFFF"/>
              </w:rPr>
              <w:t>10.推荐品牌：赛巴、Fast、竖威</w:t>
            </w:r>
          </w:p>
        </w:tc>
      </w:tr>
    </w:tbl>
    <w:p>
      <w:pPr>
        <w:rPr>
          <w:color w:val="auto"/>
        </w:rPr>
      </w:pPr>
      <w:r>
        <w:rPr>
          <w:rFonts w:hint="eastAsia"/>
          <w:color w:val="auto"/>
        </w:rPr>
        <w:t>备注：</w:t>
      </w:r>
    </w:p>
    <w:p>
      <w:pPr>
        <w:rPr>
          <w:color w:val="auto"/>
        </w:rPr>
      </w:pPr>
      <w:r>
        <w:rPr>
          <w:color w:val="auto"/>
        </w:rPr>
        <w:t>1</w:t>
      </w:r>
      <w:r>
        <w:rPr>
          <w:rFonts w:hint="eastAsia"/>
          <w:color w:val="auto"/>
        </w:rPr>
        <w:t>、供应商需对以上技术参数做出逐条具体应答，并填写偏离情况，</w:t>
      </w:r>
      <w:r>
        <w:rPr>
          <w:color w:val="auto"/>
        </w:rPr>
        <w:t>否则作</w:t>
      </w:r>
      <w:r>
        <w:rPr>
          <w:rFonts w:hint="eastAsia"/>
          <w:color w:val="auto"/>
        </w:rPr>
        <w:t>技术</w:t>
      </w:r>
      <w:r>
        <w:rPr>
          <w:color w:val="auto"/>
        </w:rPr>
        <w:t>参数</w:t>
      </w:r>
      <w:r>
        <w:rPr>
          <w:rFonts w:hint="eastAsia"/>
          <w:color w:val="auto"/>
        </w:rPr>
        <w:t>负偏离</w:t>
      </w:r>
      <w:r>
        <w:rPr>
          <w:color w:val="auto"/>
        </w:rPr>
        <w:t>处理</w:t>
      </w:r>
      <w:r>
        <w:rPr>
          <w:rFonts w:hint="eastAsia"/>
          <w:color w:val="auto"/>
        </w:rPr>
        <w:t>。</w:t>
      </w:r>
    </w:p>
    <w:p>
      <w:pPr>
        <w:rPr>
          <w:color w:val="auto"/>
        </w:rPr>
      </w:pPr>
      <w:r>
        <w:rPr>
          <w:rFonts w:hint="eastAsia"/>
          <w:color w:val="auto"/>
        </w:rPr>
        <w:t>2、供应商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rPr>
          <w:color w:val="auto"/>
        </w:rPr>
      </w:pPr>
      <w:r>
        <w:rPr>
          <w:color w:val="auto"/>
        </w:rPr>
        <w:t>3</w:t>
      </w:r>
      <w:r>
        <w:rPr>
          <w:rFonts w:hint="eastAsia"/>
          <w:color w:val="auto"/>
        </w:rPr>
        <w:t>、投标文件中任何内容使用中文以外的其他语言，须提供中文译本，否则将导致投标被否决。中文译本与原文如有冲突，以中文译本为准。</w:t>
      </w:r>
    </w:p>
    <w:p>
      <w:pPr>
        <w:rPr>
          <w:color w:val="auto"/>
        </w:rPr>
      </w:pPr>
      <w:r>
        <w:rPr>
          <w:color w:val="auto"/>
        </w:rPr>
        <w:t>4</w:t>
      </w:r>
      <w:r>
        <w:rPr>
          <w:rFonts w:hint="eastAsia"/>
          <w:color w:val="auto"/>
        </w:rPr>
        <w:t>、除采购文件中所明确的技术规格和品牌外，欢迎其他能满足本项目技术需求且性能相当于或高于所明确品牌的产品参加投标报价，同时在技术偏离表中作出详细对比说明。</w:t>
      </w:r>
    </w:p>
    <w:p>
      <w:pPr>
        <w:rPr>
          <w:color w:val="auto"/>
        </w:rPr>
      </w:pPr>
    </w:p>
    <w:p>
      <w:pPr>
        <w:pStyle w:val="235"/>
        <w:tabs>
          <w:tab w:val="left" w:pos="0"/>
        </w:tabs>
        <w:ind w:left="403" w:firstLine="0" w:firstLineChars="0"/>
        <w:rPr>
          <w:color w:val="auto"/>
          <w:shd w:val="clear" w:color="auto" w:fill="FFFFFF"/>
        </w:rPr>
      </w:pPr>
      <w:r>
        <w:rPr>
          <w:rFonts w:hint="eastAsia"/>
          <w:color w:val="auto"/>
          <w:shd w:val="clear" w:color="auto" w:fill="FFFFFF"/>
        </w:rPr>
        <w:t>三、商务条款要求</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7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5" w:type="pct"/>
            <w:tcBorders>
              <w:tl2br w:val="nil"/>
              <w:tr2bl w:val="nil"/>
            </w:tcBorders>
            <w:vAlign w:val="center"/>
          </w:tcPr>
          <w:p>
            <w:pPr>
              <w:spacing w:line="400" w:lineRule="exact"/>
              <w:ind w:firstLine="0" w:firstLineChars="0"/>
              <w:jc w:val="center"/>
              <w:rPr>
                <w:color w:val="auto"/>
              </w:rPr>
            </w:pPr>
            <w:bookmarkStart w:id="66" w:name="_Toc460416593"/>
            <w:bookmarkStart w:id="67" w:name="_Toc460416338"/>
            <w:bookmarkStart w:id="68" w:name="_Toc460416642"/>
            <w:bookmarkStart w:id="69" w:name="_Hlk509342456"/>
            <w:r>
              <w:rPr>
                <w:rFonts w:hint="eastAsia"/>
                <w:color w:val="auto"/>
              </w:rPr>
              <w:t>序号</w:t>
            </w:r>
          </w:p>
        </w:tc>
        <w:tc>
          <w:tcPr>
            <w:tcW w:w="3994" w:type="pct"/>
            <w:tcBorders>
              <w:tl2br w:val="nil"/>
              <w:tr2bl w:val="nil"/>
            </w:tcBorders>
            <w:vAlign w:val="center"/>
          </w:tcPr>
          <w:p>
            <w:pPr>
              <w:spacing w:line="400" w:lineRule="exact"/>
              <w:ind w:firstLine="0" w:firstLineChars="0"/>
              <w:jc w:val="center"/>
              <w:rPr>
                <w:color w:val="auto"/>
              </w:rPr>
            </w:pPr>
            <w:r>
              <w:rPr>
                <w:rFonts w:hint="eastAsia"/>
                <w:color w:val="auto"/>
              </w:rPr>
              <w:t>商务条款内容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 w:type="pct"/>
            <w:tcBorders>
              <w:tl2br w:val="nil"/>
              <w:tr2bl w:val="nil"/>
            </w:tcBorders>
            <w:vAlign w:val="center"/>
          </w:tcPr>
          <w:p>
            <w:pPr>
              <w:spacing w:line="400" w:lineRule="exact"/>
              <w:ind w:firstLine="0" w:firstLineChars="0"/>
              <w:jc w:val="center"/>
              <w:rPr>
                <w:color w:val="auto"/>
              </w:rPr>
            </w:pPr>
            <w:r>
              <w:rPr>
                <w:rFonts w:hint="eastAsia"/>
                <w:color w:val="auto"/>
              </w:rPr>
              <w:t>★交付期及交付地点</w:t>
            </w:r>
          </w:p>
        </w:tc>
        <w:tc>
          <w:tcPr>
            <w:tcW w:w="3994" w:type="pct"/>
            <w:tcBorders>
              <w:tl2br w:val="nil"/>
              <w:tr2bl w:val="nil"/>
            </w:tcBorders>
            <w:vAlign w:val="center"/>
          </w:tcPr>
          <w:p>
            <w:pPr>
              <w:spacing w:line="400" w:lineRule="exact"/>
              <w:ind w:firstLine="0" w:firstLineChars="0"/>
              <w:rPr>
                <w:color w:val="auto"/>
              </w:rPr>
            </w:pPr>
            <w:r>
              <w:rPr>
                <w:rFonts w:hint="eastAsia"/>
                <w:color w:val="auto"/>
              </w:rPr>
              <w:t>交付期：详见采购文件第一部分招标公告</w:t>
            </w:r>
          </w:p>
          <w:p>
            <w:pPr>
              <w:spacing w:line="400" w:lineRule="exact"/>
              <w:ind w:firstLine="0" w:firstLineChars="0"/>
              <w:rPr>
                <w:color w:val="auto"/>
              </w:rPr>
            </w:pPr>
            <w:r>
              <w:rPr>
                <w:rFonts w:hint="eastAsia"/>
                <w:color w:val="auto"/>
              </w:rPr>
              <w:t>交付地点：象山县水务集团有限公司（采购人指定地点）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 w:type="pct"/>
            <w:tcBorders>
              <w:tl2br w:val="nil"/>
              <w:tr2bl w:val="nil"/>
            </w:tcBorders>
            <w:vAlign w:val="center"/>
          </w:tcPr>
          <w:p>
            <w:pPr>
              <w:spacing w:line="400" w:lineRule="exact"/>
              <w:ind w:firstLine="0" w:firstLineChars="0"/>
              <w:jc w:val="center"/>
              <w:rPr>
                <w:color w:val="auto"/>
              </w:rPr>
            </w:pPr>
            <w:r>
              <w:rPr>
                <w:rFonts w:hint="eastAsia"/>
                <w:color w:val="auto"/>
              </w:rPr>
              <w:t>★付款方式及要求</w:t>
            </w:r>
          </w:p>
        </w:tc>
        <w:tc>
          <w:tcPr>
            <w:tcW w:w="3994" w:type="pct"/>
            <w:tcBorders>
              <w:tl2br w:val="nil"/>
              <w:tr2bl w:val="nil"/>
            </w:tcBorders>
            <w:vAlign w:val="center"/>
          </w:tcPr>
          <w:p>
            <w:pPr>
              <w:spacing w:line="400" w:lineRule="exact"/>
              <w:ind w:firstLine="0" w:firstLineChars="0"/>
              <w:rPr>
                <w:color w:val="auto"/>
              </w:rPr>
            </w:pPr>
            <w:r>
              <w:rPr>
                <w:rFonts w:hint="eastAsia"/>
                <w:color w:val="auto"/>
              </w:rPr>
              <w:t>详见采购文件第二部分供应商须知前附表。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5" w:type="pct"/>
            <w:tcBorders>
              <w:tl2br w:val="nil"/>
              <w:tr2bl w:val="nil"/>
            </w:tcBorders>
            <w:vAlign w:val="center"/>
          </w:tcPr>
          <w:p>
            <w:pPr>
              <w:spacing w:line="400" w:lineRule="exact"/>
              <w:ind w:firstLine="0" w:firstLineChars="0"/>
              <w:jc w:val="center"/>
              <w:rPr>
                <w:color w:val="auto"/>
              </w:rPr>
            </w:pPr>
            <w:r>
              <w:rPr>
                <w:rFonts w:hint="eastAsia"/>
                <w:color w:val="auto"/>
              </w:rPr>
              <w:t>★预付款保函</w:t>
            </w:r>
          </w:p>
        </w:tc>
        <w:tc>
          <w:tcPr>
            <w:tcW w:w="3994" w:type="pct"/>
            <w:tcBorders>
              <w:tl2br w:val="nil"/>
              <w:tr2bl w:val="nil"/>
            </w:tcBorders>
            <w:vAlign w:val="center"/>
          </w:tcPr>
          <w:p>
            <w:pPr>
              <w:spacing w:line="400" w:lineRule="exact"/>
              <w:ind w:firstLine="0" w:firstLineChars="0"/>
              <w:rPr>
                <w:color w:val="auto"/>
              </w:rPr>
            </w:pPr>
            <w:r>
              <w:rPr>
                <w:rFonts w:hint="eastAsia"/>
                <w:color w:val="auto"/>
              </w:rPr>
              <w:t>中标人须在预付款拨付前向采购人提供同等预付款金额的预付款保函。</w:t>
            </w:r>
          </w:p>
          <w:p>
            <w:pPr>
              <w:spacing w:line="400" w:lineRule="exact"/>
              <w:ind w:firstLine="0" w:firstLineChars="0"/>
              <w:rPr>
                <w:color w:val="auto"/>
              </w:rPr>
            </w:pPr>
            <w:r>
              <w:rPr>
                <w:rFonts w:hint="eastAsia"/>
                <w:color w:val="auto"/>
              </w:rPr>
              <w:t>其形式为银行、担保公司提供的保函、保险保单（银行、担保企业按市、县政府相关规定执行），保函形式出具的担保须经采购人确认。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5" w:type="pct"/>
            <w:tcBorders>
              <w:tl2br w:val="nil"/>
              <w:tr2bl w:val="nil"/>
            </w:tcBorders>
            <w:vAlign w:val="center"/>
          </w:tcPr>
          <w:p>
            <w:pPr>
              <w:spacing w:line="240" w:lineRule="auto"/>
              <w:ind w:firstLine="0" w:firstLineChars="0"/>
              <w:jc w:val="center"/>
              <w:rPr>
                <w:color w:val="auto"/>
              </w:rPr>
            </w:pPr>
            <w:r>
              <w:rPr>
                <w:rFonts w:hint="eastAsia"/>
                <w:color w:val="auto"/>
              </w:rPr>
              <w:t>★履约保证金</w:t>
            </w:r>
          </w:p>
        </w:tc>
        <w:tc>
          <w:tcPr>
            <w:tcW w:w="3994" w:type="pct"/>
            <w:tcBorders>
              <w:tl2br w:val="nil"/>
              <w:tr2bl w:val="nil"/>
            </w:tcBorders>
            <w:vAlign w:val="center"/>
          </w:tcPr>
          <w:p>
            <w:pPr>
              <w:spacing w:line="240" w:lineRule="auto"/>
              <w:ind w:firstLine="0" w:firstLineChars="0"/>
              <w:rPr>
                <w:color w:val="auto"/>
              </w:rPr>
            </w:pPr>
            <w:r>
              <w:rPr>
                <w:rFonts w:hint="eastAsia"/>
                <w:color w:val="auto"/>
              </w:rPr>
              <w:t>详见采购文件第二部分供应商须知前附表。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05" w:type="pct"/>
            <w:tcBorders>
              <w:tl2br w:val="nil"/>
              <w:tr2bl w:val="nil"/>
            </w:tcBorders>
            <w:vAlign w:val="center"/>
          </w:tcPr>
          <w:p>
            <w:pPr>
              <w:spacing w:line="400" w:lineRule="exact"/>
              <w:ind w:firstLine="0" w:firstLineChars="0"/>
              <w:jc w:val="center"/>
              <w:rPr>
                <w:color w:val="auto"/>
              </w:rPr>
            </w:pPr>
            <w:r>
              <w:rPr>
                <w:rFonts w:hint="eastAsia"/>
                <w:color w:val="auto"/>
              </w:rPr>
              <w:t>验收</w:t>
            </w:r>
          </w:p>
        </w:tc>
        <w:tc>
          <w:tcPr>
            <w:tcW w:w="3994" w:type="pct"/>
            <w:tcBorders>
              <w:tl2br w:val="nil"/>
              <w:tr2bl w:val="nil"/>
            </w:tcBorders>
            <w:vAlign w:val="center"/>
          </w:tcPr>
          <w:p>
            <w:pPr>
              <w:spacing w:line="400" w:lineRule="exact"/>
              <w:ind w:firstLine="0" w:firstLineChars="0"/>
              <w:rPr>
                <w:color w:val="auto"/>
              </w:rPr>
            </w:pPr>
            <w:r>
              <w:rPr>
                <w:rFonts w:hint="eastAsia"/>
                <w:color w:val="auto"/>
              </w:rPr>
              <w:t>验收在采购人指定地点进行。</w:t>
            </w:r>
          </w:p>
          <w:p>
            <w:pPr>
              <w:spacing w:line="400" w:lineRule="exact"/>
              <w:ind w:firstLine="0" w:firstLineChars="0"/>
              <w:rPr>
                <w:color w:val="auto"/>
              </w:rPr>
            </w:pPr>
            <w:r>
              <w:rPr>
                <w:rFonts w:hint="eastAsia"/>
                <w:color w:val="auto"/>
              </w:rPr>
              <w:t>根据采购文件和供应商提供的投标文件、中标人和采购人签订的政府采购合同要求进行初步验收。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005" w:type="pct"/>
            <w:tcBorders>
              <w:tl2br w:val="nil"/>
              <w:tr2bl w:val="nil"/>
            </w:tcBorders>
            <w:vAlign w:val="center"/>
          </w:tcPr>
          <w:p>
            <w:pPr>
              <w:spacing w:line="400" w:lineRule="exact"/>
              <w:ind w:firstLine="0" w:firstLineChars="0"/>
              <w:jc w:val="center"/>
              <w:rPr>
                <w:color w:val="auto"/>
              </w:rPr>
            </w:pPr>
            <w:r>
              <w:rPr>
                <w:rFonts w:hint="eastAsia"/>
                <w:color w:val="auto"/>
              </w:rPr>
              <w:t>合同终止</w:t>
            </w:r>
          </w:p>
        </w:tc>
        <w:tc>
          <w:tcPr>
            <w:tcW w:w="3994" w:type="pct"/>
            <w:tcBorders>
              <w:tl2br w:val="nil"/>
              <w:tr2bl w:val="nil"/>
            </w:tcBorders>
            <w:vAlign w:val="center"/>
          </w:tcPr>
          <w:p>
            <w:pPr>
              <w:spacing w:line="400" w:lineRule="exact"/>
              <w:ind w:firstLine="0" w:firstLineChars="0"/>
              <w:rPr>
                <w:color w:val="auto"/>
              </w:rPr>
            </w:pPr>
            <w:r>
              <w:rPr>
                <w:rFonts w:hint="eastAsia"/>
                <w:color w:val="auto"/>
              </w:rPr>
              <w:t>中标人在合同有效期内，不得以任何理由终止合同，确有特殊情况的，须提前向采购人提出书面申请，经采购人同意后，方可终止合同。因中标人不能保证工作质量的，采购人有权终止合同，中标人承担全部责任。</w:t>
            </w:r>
          </w:p>
        </w:tc>
      </w:tr>
      <w:bookmarkEnd w:id="66"/>
      <w:bookmarkEnd w:id="67"/>
      <w:bookmarkEnd w:id="68"/>
      <w:bookmarkEnd w:id="69"/>
    </w:tbl>
    <w:p>
      <w:pPr>
        <w:ind w:firstLine="720"/>
        <w:jc w:val="center"/>
        <w:rPr>
          <w:rStyle w:val="47"/>
          <w:rFonts w:ascii="Arial" w:hAnsi="Arial"/>
          <w:color w:val="auto"/>
          <w:sz w:val="36"/>
          <w:szCs w:val="36"/>
        </w:rPr>
        <w:sectPr>
          <w:pgSz w:w="11907" w:h="16840"/>
          <w:pgMar w:top="1440" w:right="1080" w:bottom="1440" w:left="1080" w:header="851" w:footer="851" w:gutter="0"/>
          <w:pgNumType w:fmt="decimal"/>
          <w:cols w:space="0" w:num="1"/>
        </w:sectPr>
      </w:pPr>
      <w:bookmarkStart w:id="70" w:name="_Toc789"/>
      <w:bookmarkStart w:id="71" w:name="_Toc1789"/>
    </w:p>
    <w:p>
      <w:pPr>
        <w:pStyle w:val="6"/>
        <w:spacing w:before="240" w:beforeLines="100" w:after="240" w:afterLines="100" w:line="240" w:lineRule="auto"/>
        <w:ind w:left="0" w:firstLine="0" w:firstLineChars="0"/>
        <w:jc w:val="center"/>
        <w:rPr>
          <w:color w:val="auto"/>
        </w:rPr>
      </w:pPr>
      <w:bookmarkStart w:id="72" w:name="_Toc1129"/>
      <w:r>
        <w:rPr>
          <w:rFonts w:hint="eastAsia"/>
          <w:color w:val="auto"/>
        </w:rPr>
        <w:t>第四部分</w:t>
      </w:r>
      <w:bookmarkStart w:id="73" w:name="_Toc184310331"/>
      <w:bookmarkEnd w:id="73"/>
      <w:bookmarkStart w:id="74" w:name="_Toc184308042"/>
      <w:bookmarkEnd w:id="74"/>
      <w:bookmarkStart w:id="75" w:name="_Toc184310343"/>
      <w:bookmarkEnd w:id="75"/>
      <w:bookmarkStart w:id="76" w:name="_Toc184312072"/>
      <w:bookmarkEnd w:id="76"/>
      <w:bookmarkStart w:id="77" w:name="_Toc184313251"/>
      <w:bookmarkEnd w:id="77"/>
      <w:bookmarkStart w:id="78" w:name="_Toc184308048"/>
      <w:bookmarkEnd w:id="78"/>
      <w:bookmarkStart w:id="79" w:name="_Toc184310279"/>
      <w:bookmarkEnd w:id="79"/>
      <w:bookmarkStart w:id="80" w:name="_Toc184314474"/>
      <w:bookmarkEnd w:id="80"/>
      <w:bookmarkStart w:id="81" w:name="_Toc184314455"/>
      <w:bookmarkEnd w:id="81"/>
      <w:bookmarkStart w:id="82" w:name="_Toc184312126"/>
      <w:bookmarkEnd w:id="82"/>
      <w:bookmarkStart w:id="83" w:name="_Toc184310321"/>
      <w:bookmarkEnd w:id="83"/>
      <w:bookmarkStart w:id="84" w:name="_Toc184310327"/>
      <w:bookmarkEnd w:id="84"/>
      <w:bookmarkStart w:id="85" w:name="_Toc184312086"/>
      <w:bookmarkEnd w:id="85"/>
      <w:bookmarkStart w:id="86" w:name="_Toc184310322"/>
      <w:bookmarkEnd w:id="86"/>
      <w:bookmarkStart w:id="87" w:name="_Toc184308050"/>
      <w:bookmarkEnd w:id="87"/>
      <w:bookmarkStart w:id="88" w:name="_Toc184314482"/>
      <w:bookmarkEnd w:id="88"/>
      <w:bookmarkStart w:id="89" w:name="_Toc184312116"/>
      <w:bookmarkEnd w:id="89"/>
      <w:bookmarkStart w:id="90" w:name="_Toc184314418"/>
      <w:bookmarkEnd w:id="90"/>
      <w:bookmarkStart w:id="91" w:name="_Toc184308082"/>
      <w:bookmarkEnd w:id="91"/>
      <w:bookmarkStart w:id="92" w:name="_Toc184312082"/>
      <w:bookmarkEnd w:id="92"/>
      <w:bookmarkStart w:id="93" w:name="_Toc184314468"/>
      <w:bookmarkEnd w:id="93"/>
      <w:bookmarkStart w:id="94" w:name="_Toc184313279"/>
      <w:bookmarkEnd w:id="94"/>
      <w:bookmarkStart w:id="95" w:name="_Toc184312115"/>
      <w:bookmarkEnd w:id="95"/>
      <w:bookmarkStart w:id="96" w:name="_Toc184314430"/>
      <w:bookmarkEnd w:id="96"/>
      <w:bookmarkStart w:id="97" w:name="_Toc184312138"/>
      <w:bookmarkEnd w:id="97"/>
      <w:bookmarkStart w:id="98" w:name="_Toc184308064"/>
      <w:bookmarkEnd w:id="98"/>
      <w:bookmarkStart w:id="99" w:name="_Toc184308069"/>
      <w:bookmarkEnd w:id="99"/>
      <w:bookmarkStart w:id="100" w:name="_Toc184313284"/>
      <w:bookmarkEnd w:id="100"/>
      <w:bookmarkStart w:id="101" w:name="_Toc184314451"/>
      <w:bookmarkEnd w:id="101"/>
      <w:bookmarkStart w:id="102" w:name="_Toc184314441"/>
      <w:bookmarkEnd w:id="102"/>
      <w:bookmarkStart w:id="103" w:name="_Toc184310339"/>
      <w:bookmarkEnd w:id="103"/>
      <w:bookmarkStart w:id="104" w:name="_Toc184308090"/>
      <w:bookmarkEnd w:id="104"/>
      <w:bookmarkStart w:id="105" w:name="_Toc184308087"/>
      <w:bookmarkEnd w:id="105"/>
      <w:bookmarkStart w:id="106" w:name="_Toc184310336"/>
      <w:bookmarkEnd w:id="106"/>
      <w:bookmarkStart w:id="107" w:name="_Toc184308038"/>
      <w:bookmarkEnd w:id="107"/>
      <w:bookmarkStart w:id="108" w:name="_Toc184312097"/>
      <w:bookmarkEnd w:id="108"/>
      <w:bookmarkStart w:id="109" w:name="_Toc184308100"/>
      <w:bookmarkEnd w:id="109"/>
      <w:bookmarkStart w:id="110" w:name="_Toc184312111"/>
      <w:bookmarkEnd w:id="110"/>
      <w:bookmarkStart w:id="111" w:name="_Toc184310333"/>
      <w:bookmarkEnd w:id="111"/>
      <w:bookmarkStart w:id="112" w:name="_Toc184310293"/>
      <w:bookmarkEnd w:id="112"/>
      <w:bookmarkStart w:id="113" w:name="_Toc184313293"/>
      <w:bookmarkEnd w:id="113"/>
      <w:bookmarkStart w:id="114" w:name="_Toc184310317"/>
      <w:bookmarkEnd w:id="114"/>
      <w:bookmarkStart w:id="115" w:name="_Toc184310334"/>
      <w:bookmarkEnd w:id="115"/>
      <w:bookmarkStart w:id="116" w:name="_Toc184312067"/>
      <w:bookmarkEnd w:id="116"/>
      <w:bookmarkStart w:id="117" w:name="_Toc184313263"/>
      <w:bookmarkEnd w:id="117"/>
      <w:bookmarkStart w:id="118" w:name="_Toc184313294"/>
      <w:bookmarkEnd w:id="118"/>
      <w:bookmarkStart w:id="119" w:name="_Toc184312084"/>
      <w:bookmarkEnd w:id="119"/>
      <w:bookmarkStart w:id="120" w:name="_Toc184313275"/>
      <w:bookmarkEnd w:id="120"/>
      <w:bookmarkStart w:id="121" w:name="_Toc184308099"/>
      <w:bookmarkEnd w:id="121"/>
      <w:bookmarkStart w:id="122" w:name="_Toc184313265"/>
      <w:bookmarkEnd w:id="122"/>
      <w:bookmarkStart w:id="123" w:name="_Toc184313304"/>
      <w:bookmarkEnd w:id="123"/>
      <w:bookmarkStart w:id="124" w:name="_Toc184308055"/>
      <w:bookmarkEnd w:id="124"/>
      <w:bookmarkStart w:id="125" w:name="_Toc184308040"/>
      <w:bookmarkEnd w:id="125"/>
      <w:bookmarkStart w:id="126" w:name="_Toc184312099"/>
      <w:bookmarkEnd w:id="126"/>
      <w:bookmarkStart w:id="127" w:name="_Toc184310325"/>
      <w:bookmarkEnd w:id="127"/>
      <w:bookmarkStart w:id="128" w:name="_Toc184308091"/>
      <w:bookmarkEnd w:id="128"/>
      <w:bookmarkStart w:id="129" w:name="_Toc184308072"/>
      <w:bookmarkEnd w:id="129"/>
      <w:bookmarkStart w:id="130" w:name="_Toc184308052"/>
      <w:bookmarkEnd w:id="130"/>
      <w:bookmarkStart w:id="131" w:name="_Toc184310330"/>
      <w:bookmarkEnd w:id="131"/>
      <w:bookmarkStart w:id="132" w:name="_Toc184312068"/>
      <w:bookmarkEnd w:id="132"/>
      <w:bookmarkStart w:id="133" w:name="_Toc184314462"/>
      <w:bookmarkEnd w:id="133"/>
      <w:bookmarkStart w:id="134" w:name="_Toc184310286"/>
      <w:bookmarkEnd w:id="134"/>
      <w:bookmarkStart w:id="135" w:name="_Toc184313250"/>
      <w:bookmarkEnd w:id="135"/>
      <w:bookmarkStart w:id="136" w:name="_Toc184312134"/>
      <w:bookmarkEnd w:id="136"/>
      <w:bookmarkStart w:id="137" w:name="_Toc184312096"/>
      <w:bookmarkEnd w:id="137"/>
      <w:bookmarkStart w:id="138" w:name="_Toc184313292"/>
      <w:bookmarkEnd w:id="138"/>
      <w:bookmarkStart w:id="139" w:name="_Toc184310276"/>
      <w:bookmarkEnd w:id="139"/>
      <w:bookmarkStart w:id="140" w:name="_Toc184314445"/>
      <w:bookmarkEnd w:id="140"/>
      <w:bookmarkStart w:id="141" w:name="_Toc184308083"/>
      <w:bookmarkEnd w:id="141"/>
      <w:bookmarkStart w:id="142" w:name="_Toc184312128"/>
      <w:bookmarkEnd w:id="142"/>
      <w:bookmarkStart w:id="143" w:name="_Toc184312073"/>
      <w:bookmarkEnd w:id="143"/>
      <w:bookmarkStart w:id="144" w:name="_Toc184312109"/>
      <w:bookmarkEnd w:id="144"/>
      <w:bookmarkStart w:id="145" w:name="_Toc184308085"/>
      <w:bookmarkEnd w:id="145"/>
      <w:bookmarkStart w:id="146" w:name="_Toc184313296"/>
      <w:bookmarkEnd w:id="146"/>
      <w:bookmarkStart w:id="147" w:name="_Toc184308096"/>
      <w:bookmarkEnd w:id="147"/>
      <w:bookmarkStart w:id="148" w:name="_Toc184312127"/>
      <w:bookmarkEnd w:id="148"/>
      <w:bookmarkStart w:id="149" w:name="_Toc184310306"/>
      <w:bookmarkEnd w:id="149"/>
      <w:bookmarkStart w:id="150" w:name="_Toc184310307"/>
      <w:bookmarkEnd w:id="150"/>
      <w:bookmarkStart w:id="151" w:name="_Toc184310274"/>
      <w:bookmarkEnd w:id="151"/>
      <w:bookmarkStart w:id="152" w:name="_Toc184312087"/>
      <w:bookmarkEnd w:id="152"/>
      <w:bookmarkStart w:id="153" w:name="_Toc184314478"/>
      <w:bookmarkEnd w:id="153"/>
      <w:bookmarkStart w:id="154" w:name="_Toc184312122"/>
      <w:bookmarkEnd w:id="154"/>
      <w:bookmarkStart w:id="155" w:name="_Toc184313301"/>
      <w:bookmarkEnd w:id="155"/>
      <w:bookmarkStart w:id="156" w:name="_Toc184312123"/>
      <w:bookmarkEnd w:id="156"/>
      <w:bookmarkStart w:id="157" w:name="_Toc184312125"/>
      <w:bookmarkEnd w:id="157"/>
      <w:bookmarkStart w:id="158" w:name="_Toc184314438"/>
      <w:bookmarkEnd w:id="158"/>
      <w:bookmarkStart w:id="159" w:name="_Toc184310280"/>
      <w:bookmarkEnd w:id="159"/>
      <w:bookmarkStart w:id="160" w:name="_Toc184313244"/>
      <w:bookmarkEnd w:id="160"/>
      <w:bookmarkStart w:id="161" w:name="_Toc184308102"/>
      <w:bookmarkEnd w:id="161"/>
      <w:bookmarkStart w:id="162" w:name="_Toc184310300"/>
      <w:bookmarkEnd w:id="162"/>
      <w:bookmarkStart w:id="163" w:name="_Toc184308081"/>
      <w:bookmarkEnd w:id="163"/>
      <w:bookmarkStart w:id="164" w:name="_Toc184308097"/>
      <w:bookmarkEnd w:id="164"/>
      <w:bookmarkStart w:id="165" w:name="_Toc184313255"/>
      <w:bookmarkEnd w:id="165"/>
      <w:bookmarkStart w:id="166" w:name="_Toc184312121"/>
      <w:bookmarkEnd w:id="166"/>
      <w:bookmarkStart w:id="167" w:name="_Toc184313302"/>
      <w:bookmarkEnd w:id="167"/>
      <w:bookmarkStart w:id="168" w:name="_Toc184310329"/>
      <w:bookmarkEnd w:id="168"/>
      <w:bookmarkStart w:id="169" w:name="_Toc184313307"/>
      <w:bookmarkEnd w:id="169"/>
      <w:bookmarkStart w:id="170" w:name="_Toc184308106"/>
      <w:bookmarkEnd w:id="170"/>
      <w:bookmarkStart w:id="171" w:name="_Toc184308053"/>
      <w:bookmarkEnd w:id="171"/>
      <w:bookmarkStart w:id="172" w:name="_Toc184314444"/>
      <w:bookmarkEnd w:id="172"/>
      <w:bookmarkStart w:id="173" w:name="_Toc184312090"/>
      <w:bookmarkEnd w:id="173"/>
      <w:bookmarkStart w:id="174" w:name="_Toc184314415"/>
      <w:bookmarkEnd w:id="174"/>
      <w:bookmarkStart w:id="175" w:name="_Toc184312075"/>
      <w:bookmarkEnd w:id="175"/>
      <w:bookmarkStart w:id="176" w:name="_Toc184310303"/>
      <w:bookmarkEnd w:id="176"/>
      <w:bookmarkStart w:id="177" w:name="_Toc184312139"/>
      <w:bookmarkEnd w:id="177"/>
      <w:bookmarkStart w:id="178" w:name="_Toc184313272"/>
      <w:bookmarkEnd w:id="178"/>
      <w:bookmarkStart w:id="179" w:name="_Toc184312129"/>
      <w:bookmarkEnd w:id="179"/>
      <w:bookmarkStart w:id="180" w:name="_Toc184310332"/>
      <w:bookmarkEnd w:id="180"/>
      <w:bookmarkStart w:id="181" w:name="_Toc184313273"/>
      <w:bookmarkEnd w:id="181"/>
      <w:bookmarkStart w:id="182" w:name="_Toc184308044"/>
      <w:bookmarkEnd w:id="182"/>
      <w:bookmarkStart w:id="183" w:name="_Toc184314447"/>
      <w:bookmarkEnd w:id="183"/>
      <w:bookmarkStart w:id="184" w:name="_Toc184310309"/>
      <w:bookmarkEnd w:id="184"/>
      <w:bookmarkStart w:id="185" w:name="_Toc184313310"/>
      <w:bookmarkEnd w:id="185"/>
      <w:bookmarkStart w:id="186" w:name="_Toc184313242"/>
      <w:bookmarkEnd w:id="186"/>
      <w:bookmarkStart w:id="187" w:name="_Toc184310301"/>
      <w:bookmarkEnd w:id="187"/>
      <w:bookmarkStart w:id="188" w:name="_Toc184308039"/>
      <w:bookmarkEnd w:id="188"/>
      <w:bookmarkStart w:id="189" w:name="_Toc184310288"/>
      <w:bookmarkEnd w:id="189"/>
      <w:bookmarkStart w:id="190" w:name="_Toc184308071"/>
      <w:bookmarkEnd w:id="190"/>
      <w:bookmarkStart w:id="191" w:name="_Toc184314469"/>
      <w:bookmarkEnd w:id="191"/>
      <w:bookmarkStart w:id="192" w:name="_Toc184314420"/>
      <w:bookmarkEnd w:id="192"/>
      <w:bookmarkStart w:id="193" w:name="_Toc184313283"/>
      <w:bookmarkEnd w:id="193"/>
      <w:bookmarkStart w:id="194" w:name="_Toc184313280"/>
      <w:bookmarkEnd w:id="194"/>
      <w:bookmarkStart w:id="195" w:name="_Toc184314421"/>
      <w:bookmarkEnd w:id="195"/>
      <w:bookmarkStart w:id="196" w:name="_Toc184314411"/>
      <w:bookmarkEnd w:id="196"/>
      <w:bookmarkStart w:id="197" w:name="_Toc184310292"/>
      <w:bookmarkEnd w:id="197"/>
      <w:bookmarkStart w:id="198" w:name="_Toc184308103"/>
      <w:bookmarkEnd w:id="198"/>
      <w:bookmarkStart w:id="199" w:name="_Toc184314456"/>
      <w:bookmarkEnd w:id="199"/>
      <w:bookmarkStart w:id="200" w:name="_Toc184313300"/>
      <w:bookmarkEnd w:id="200"/>
      <w:bookmarkStart w:id="201" w:name="_Toc184314443"/>
      <w:bookmarkEnd w:id="201"/>
      <w:bookmarkStart w:id="202" w:name="_Toc184313252"/>
      <w:bookmarkEnd w:id="202"/>
      <w:bookmarkStart w:id="203" w:name="_Toc184313285"/>
      <w:bookmarkEnd w:id="203"/>
      <w:bookmarkStart w:id="204" w:name="_Toc184314452"/>
      <w:bookmarkEnd w:id="204"/>
      <w:bookmarkStart w:id="205" w:name="_Toc184308056"/>
      <w:bookmarkEnd w:id="205"/>
      <w:bookmarkStart w:id="206" w:name="_Toc184312105"/>
      <w:bookmarkEnd w:id="206"/>
      <w:bookmarkStart w:id="207" w:name="_Toc184312092"/>
      <w:bookmarkEnd w:id="207"/>
      <w:bookmarkStart w:id="208" w:name="_Toc184310291"/>
      <w:bookmarkEnd w:id="208"/>
      <w:bookmarkStart w:id="209" w:name="_Toc184308047"/>
      <w:bookmarkEnd w:id="209"/>
      <w:bookmarkStart w:id="210" w:name="_Toc184313267"/>
      <w:bookmarkEnd w:id="210"/>
      <w:bookmarkStart w:id="211" w:name="_Toc184313256"/>
      <w:bookmarkEnd w:id="211"/>
      <w:bookmarkStart w:id="212" w:name="_Toc184313305"/>
      <w:bookmarkEnd w:id="212"/>
      <w:bookmarkStart w:id="213" w:name="_Toc184308059"/>
      <w:bookmarkEnd w:id="213"/>
      <w:bookmarkStart w:id="214" w:name="_Toc184310310"/>
      <w:bookmarkEnd w:id="214"/>
      <w:bookmarkStart w:id="215" w:name="_Toc184313274"/>
      <w:bookmarkEnd w:id="215"/>
      <w:bookmarkStart w:id="216" w:name="_Toc184314440"/>
      <w:bookmarkEnd w:id="216"/>
      <w:bookmarkStart w:id="217" w:name="_Toc184310283"/>
      <w:bookmarkEnd w:id="217"/>
      <w:bookmarkStart w:id="218" w:name="_Toc184308104"/>
      <w:bookmarkEnd w:id="218"/>
      <w:bookmarkStart w:id="219" w:name="_Toc184312080"/>
      <w:bookmarkEnd w:id="219"/>
      <w:bookmarkStart w:id="220" w:name="_Toc184314475"/>
      <w:bookmarkEnd w:id="220"/>
      <w:bookmarkStart w:id="221" w:name="_Toc184314435"/>
      <w:bookmarkEnd w:id="221"/>
      <w:bookmarkStart w:id="222" w:name="_Toc184314434"/>
      <w:bookmarkEnd w:id="222"/>
      <w:bookmarkStart w:id="223" w:name="_Toc184310273"/>
      <w:bookmarkEnd w:id="223"/>
      <w:bookmarkStart w:id="224" w:name="_Toc184308057"/>
      <w:bookmarkEnd w:id="224"/>
      <w:bookmarkStart w:id="225" w:name="_Toc184312093"/>
      <w:bookmarkEnd w:id="225"/>
      <w:bookmarkStart w:id="226" w:name="_Toc184308074"/>
      <w:bookmarkEnd w:id="226"/>
      <w:bookmarkStart w:id="227" w:name="_Toc184313303"/>
      <w:bookmarkEnd w:id="227"/>
      <w:bookmarkStart w:id="228" w:name="_Toc184312113"/>
      <w:bookmarkEnd w:id="228"/>
      <w:bookmarkStart w:id="229" w:name="_Toc184313260"/>
      <w:bookmarkEnd w:id="229"/>
      <w:bookmarkStart w:id="230" w:name="_Toc184310311"/>
      <w:bookmarkEnd w:id="230"/>
      <w:bookmarkStart w:id="231" w:name="_Toc184308063"/>
      <w:bookmarkEnd w:id="231"/>
      <w:bookmarkStart w:id="232" w:name="_Toc184310296"/>
      <w:bookmarkEnd w:id="232"/>
      <w:bookmarkStart w:id="233" w:name="_Toc184314442"/>
      <w:bookmarkEnd w:id="233"/>
      <w:bookmarkStart w:id="234" w:name="_Toc184310290"/>
      <w:bookmarkEnd w:id="234"/>
      <w:bookmarkStart w:id="235" w:name="_Toc184310305"/>
      <w:bookmarkEnd w:id="235"/>
      <w:bookmarkStart w:id="236" w:name="_Toc184312108"/>
      <w:bookmarkEnd w:id="236"/>
      <w:bookmarkStart w:id="237" w:name="_Toc184310326"/>
      <w:bookmarkEnd w:id="237"/>
      <w:bookmarkStart w:id="238" w:name="_Toc184314425"/>
      <w:bookmarkEnd w:id="238"/>
      <w:bookmarkStart w:id="239" w:name="_Toc184314481"/>
      <w:bookmarkEnd w:id="239"/>
      <w:bookmarkStart w:id="240" w:name="_Toc184310337"/>
      <w:bookmarkEnd w:id="240"/>
      <w:bookmarkStart w:id="241" w:name="_Toc184314453"/>
      <w:bookmarkEnd w:id="241"/>
      <w:bookmarkStart w:id="242" w:name="_Toc184312117"/>
      <w:bookmarkEnd w:id="242"/>
      <w:bookmarkStart w:id="243" w:name="_Toc184312112"/>
      <w:bookmarkEnd w:id="243"/>
      <w:bookmarkStart w:id="244" w:name="_Toc184314454"/>
      <w:bookmarkEnd w:id="244"/>
      <w:bookmarkStart w:id="245" w:name="_Toc184313269"/>
      <w:bookmarkEnd w:id="245"/>
      <w:bookmarkStart w:id="246" w:name="_Toc184312137"/>
      <w:bookmarkEnd w:id="246"/>
      <w:bookmarkStart w:id="247" w:name="_Toc184312133"/>
      <w:bookmarkEnd w:id="247"/>
      <w:bookmarkStart w:id="248" w:name="_Toc184308058"/>
      <w:bookmarkEnd w:id="248"/>
      <w:bookmarkStart w:id="249" w:name="_Toc184310318"/>
      <w:bookmarkEnd w:id="249"/>
      <w:bookmarkStart w:id="250" w:name="_Toc184308065"/>
      <w:bookmarkEnd w:id="250"/>
      <w:bookmarkStart w:id="251" w:name="_Toc184313241"/>
      <w:bookmarkEnd w:id="251"/>
      <w:bookmarkStart w:id="252" w:name="_Toc184314436"/>
      <w:bookmarkEnd w:id="252"/>
      <w:bookmarkStart w:id="253" w:name="_Toc184313298"/>
      <w:bookmarkEnd w:id="253"/>
      <w:bookmarkStart w:id="254" w:name="_Toc184310304"/>
      <w:bookmarkEnd w:id="254"/>
      <w:bookmarkStart w:id="255" w:name="_Toc184308089"/>
      <w:bookmarkEnd w:id="255"/>
      <w:bookmarkStart w:id="256" w:name="_Toc184314419"/>
      <w:bookmarkEnd w:id="256"/>
      <w:bookmarkStart w:id="257" w:name="_Toc184312124"/>
      <w:bookmarkEnd w:id="257"/>
      <w:bookmarkStart w:id="258" w:name="_Toc184310316"/>
      <w:bookmarkEnd w:id="258"/>
      <w:bookmarkStart w:id="259" w:name="_Toc184313249"/>
      <w:bookmarkEnd w:id="259"/>
      <w:bookmarkStart w:id="260" w:name="_Toc184310294"/>
      <w:bookmarkEnd w:id="260"/>
      <w:bookmarkStart w:id="261" w:name="_Toc184308037"/>
      <w:bookmarkEnd w:id="261"/>
      <w:bookmarkStart w:id="262" w:name="_Toc184310341"/>
      <w:bookmarkEnd w:id="262"/>
      <w:bookmarkStart w:id="263" w:name="_Toc184308046"/>
      <w:bookmarkEnd w:id="263"/>
      <w:bookmarkStart w:id="264" w:name="_Toc184314424"/>
      <w:bookmarkEnd w:id="264"/>
      <w:bookmarkStart w:id="265" w:name="_Toc184313259"/>
      <w:bookmarkEnd w:id="265"/>
      <w:bookmarkStart w:id="266" w:name="_Toc184312078"/>
      <w:bookmarkEnd w:id="266"/>
      <w:bookmarkStart w:id="267" w:name="_Toc184314437"/>
      <w:bookmarkEnd w:id="267"/>
      <w:bookmarkStart w:id="268" w:name="_Toc184314414"/>
      <w:bookmarkEnd w:id="268"/>
      <w:bookmarkStart w:id="269" w:name="_Toc184312089"/>
      <w:bookmarkEnd w:id="269"/>
      <w:bookmarkStart w:id="270" w:name="_Toc184314473"/>
      <w:bookmarkEnd w:id="270"/>
      <w:bookmarkStart w:id="271" w:name="_Toc184314413"/>
      <w:bookmarkEnd w:id="271"/>
      <w:bookmarkStart w:id="272" w:name="_Toc184313253"/>
      <w:bookmarkEnd w:id="272"/>
      <w:bookmarkStart w:id="273" w:name="_Toc184308075"/>
      <w:bookmarkEnd w:id="273"/>
      <w:bookmarkStart w:id="274" w:name="_Toc184314470"/>
      <w:bookmarkEnd w:id="274"/>
      <w:bookmarkStart w:id="275" w:name="_Toc184314465"/>
      <w:bookmarkEnd w:id="275"/>
      <w:bookmarkStart w:id="276" w:name="_Toc184314422"/>
      <w:bookmarkEnd w:id="276"/>
      <w:bookmarkStart w:id="277" w:name="_Toc184312102"/>
      <w:bookmarkEnd w:id="277"/>
      <w:bookmarkStart w:id="278" w:name="_Toc184308067"/>
      <w:bookmarkEnd w:id="278"/>
      <w:bookmarkStart w:id="279" w:name="_Toc184313264"/>
      <w:bookmarkEnd w:id="279"/>
      <w:bookmarkStart w:id="280" w:name="_Toc184313290"/>
      <w:bookmarkEnd w:id="280"/>
      <w:bookmarkStart w:id="281" w:name="_Toc184312074"/>
      <w:bookmarkEnd w:id="281"/>
      <w:bookmarkStart w:id="282" w:name="_Toc184314439"/>
      <w:bookmarkEnd w:id="282"/>
      <w:bookmarkStart w:id="283" w:name="_Toc184308036"/>
      <w:bookmarkEnd w:id="283"/>
      <w:bookmarkStart w:id="284" w:name="_Toc184314467"/>
      <w:bookmarkEnd w:id="284"/>
      <w:bookmarkStart w:id="285" w:name="_Toc184308095"/>
      <w:bookmarkEnd w:id="285"/>
      <w:bookmarkStart w:id="286" w:name="_Toc184314412"/>
      <w:bookmarkEnd w:id="286"/>
      <w:bookmarkStart w:id="287" w:name="_Toc184312069"/>
      <w:bookmarkEnd w:id="287"/>
      <w:bookmarkStart w:id="288" w:name="_Toc184314449"/>
      <w:bookmarkEnd w:id="288"/>
      <w:bookmarkStart w:id="289" w:name="_Toc184313309"/>
      <w:bookmarkEnd w:id="289"/>
      <w:bookmarkStart w:id="290" w:name="_Toc184312085"/>
      <w:bookmarkEnd w:id="290"/>
      <w:bookmarkStart w:id="291" w:name="_Toc184310295"/>
      <w:bookmarkEnd w:id="291"/>
      <w:bookmarkStart w:id="292" w:name="_Toc184313299"/>
      <w:bookmarkEnd w:id="292"/>
      <w:bookmarkStart w:id="293" w:name="_Toc184313243"/>
      <w:bookmarkEnd w:id="293"/>
      <w:bookmarkStart w:id="294" w:name="_Toc184310312"/>
      <w:bookmarkEnd w:id="294"/>
      <w:bookmarkStart w:id="295" w:name="_Toc184314457"/>
      <w:bookmarkEnd w:id="295"/>
      <w:bookmarkStart w:id="296" w:name="_Toc184312119"/>
      <w:bookmarkEnd w:id="296"/>
      <w:bookmarkStart w:id="297" w:name="_Toc184312098"/>
      <w:bookmarkEnd w:id="297"/>
      <w:bookmarkStart w:id="298" w:name="_Toc184310324"/>
      <w:bookmarkEnd w:id="298"/>
      <w:bookmarkStart w:id="299" w:name="_Toc184310284"/>
      <w:bookmarkEnd w:id="299"/>
      <w:bookmarkStart w:id="300" w:name="_Toc184314446"/>
      <w:bookmarkEnd w:id="300"/>
      <w:bookmarkStart w:id="301" w:name="_Toc184310298"/>
      <w:bookmarkEnd w:id="301"/>
      <w:bookmarkStart w:id="302" w:name="_Toc184312135"/>
      <w:bookmarkEnd w:id="302"/>
      <w:bookmarkStart w:id="303" w:name="_Toc184314460"/>
      <w:bookmarkEnd w:id="303"/>
      <w:bookmarkStart w:id="304" w:name="_Toc184310335"/>
      <w:bookmarkEnd w:id="304"/>
      <w:bookmarkStart w:id="305" w:name="_Toc184314480"/>
      <w:bookmarkEnd w:id="305"/>
      <w:bookmarkStart w:id="306" w:name="_Toc184312132"/>
      <w:bookmarkEnd w:id="306"/>
      <w:bookmarkStart w:id="307" w:name="_Toc184314417"/>
      <w:bookmarkEnd w:id="307"/>
      <w:bookmarkStart w:id="308" w:name="_Toc184313308"/>
      <w:bookmarkEnd w:id="308"/>
      <w:bookmarkStart w:id="309" w:name="_Toc184310313"/>
      <w:bookmarkEnd w:id="309"/>
      <w:bookmarkStart w:id="310" w:name="_Toc184314448"/>
      <w:bookmarkEnd w:id="310"/>
      <w:bookmarkStart w:id="311" w:name="_Toc184310289"/>
      <w:bookmarkEnd w:id="311"/>
      <w:bookmarkStart w:id="312" w:name="_Toc184313261"/>
      <w:bookmarkEnd w:id="312"/>
      <w:bookmarkStart w:id="313" w:name="_Toc184312101"/>
      <w:bookmarkEnd w:id="313"/>
      <w:bookmarkStart w:id="314" w:name="_Toc184308073"/>
      <w:bookmarkEnd w:id="314"/>
      <w:bookmarkStart w:id="315" w:name="_Toc184308049"/>
      <w:bookmarkEnd w:id="315"/>
      <w:bookmarkStart w:id="316" w:name="_Toc184308043"/>
      <w:bookmarkEnd w:id="316"/>
      <w:bookmarkStart w:id="317" w:name="_Toc184310308"/>
      <w:bookmarkEnd w:id="317"/>
      <w:bookmarkStart w:id="318" w:name="_Toc184314431"/>
      <w:bookmarkEnd w:id="318"/>
      <w:bookmarkStart w:id="319" w:name="_Toc184312120"/>
      <w:bookmarkEnd w:id="319"/>
      <w:bookmarkStart w:id="320" w:name="_Toc184308101"/>
      <w:bookmarkEnd w:id="320"/>
      <w:bookmarkStart w:id="321" w:name="_Toc184308086"/>
      <w:bookmarkEnd w:id="321"/>
      <w:bookmarkStart w:id="322" w:name="_Toc184310277"/>
      <w:bookmarkEnd w:id="322"/>
      <w:bookmarkStart w:id="323" w:name="_Toc184308108"/>
      <w:bookmarkEnd w:id="323"/>
      <w:bookmarkStart w:id="324" w:name="_Toc184313245"/>
      <w:bookmarkEnd w:id="324"/>
      <w:bookmarkStart w:id="325" w:name="_Toc184313288"/>
      <w:bookmarkEnd w:id="325"/>
      <w:bookmarkStart w:id="326" w:name="_Toc184312081"/>
      <w:bookmarkEnd w:id="326"/>
      <w:bookmarkStart w:id="327" w:name="_Toc184313297"/>
      <w:bookmarkEnd w:id="327"/>
      <w:bookmarkStart w:id="328" w:name="_Toc184312110"/>
      <w:bookmarkEnd w:id="328"/>
      <w:bookmarkStart w:id="329" w:name="_Toc184310297"/>
      <w:bookmarkEnd w:id="329"/>
      <w:bookmarkStart w:id="330" w:name="_Toc184313278"/>
      <w:bookmarkEnd w:id="330"/>
      <w:bookmarkStart w:id="331" w:name="_Toc184310299"/>
      <w:bookmarkEnd w:id="331"/>
      <w:bookmarkStart w:id="332" w:name="_Toc184312088"/>
      <w:bookmarkEnd w:id="332"/>
      <w:bookmarkStart w:id="333" w:name="_Toc184314426"/>
      <w:bookmarkEnd w:id="333"/>
      <w:bookmarkStart w:id="334" w:name="_Toc184313240"/>
      <w:bookmarkEnd w:id="334"/>
      <w:bookmarkStart w:id="335" w:name="_Toc184308080"/>
      <w:bookmarkEnd w:id="335"/>
      <w:bookmarkStart w:id="336" w:name="_Toc184308093"/>
      <w:bookmarkEnd w:id="336"/>
      <w:bookmarkStart w:id="337" w:name="_Toc184308066"/>
      <w:bookmarkEnd w:id="337"/>
      <w:bookmarkStart w:id="338" w:name="_Toc184312118"/>
      <w:bookmarkEnd w:id="338"/>
      <w:bookmarkStart w:id="339" w:name="_Toc184314428"/>
      <w:bookmarkEnd w:id="339"/>
      <w:bookmarkStart w:id="340" w:name="_Toc184312094"/>
      <w:bookmarkEnd w:id="340"/>
      <w:bookmarkStart w:id="341" w:name="_Toc184310278"/>
      <w:bookmarkEnd w:id="341"/>
      <w:bookmarkStart w:id="342" w:name="_Toc184308045"/>
      <w:bookmarkEnd w:id="342"/>
      <w:bookmarkStart w:id="343" w:name="_Toc184312083"/>
      <w:bookmarkEnd w:id="343"/>
      <w:bookmarkStart w:id="344" w:name="_Toc184313247"/>
      <w:bookmarkEnd w:id="344"/>
      <w:bookmarkStart w:id="345" w:name="_Toc184312106"/>
      <w:bookmarkEnd w:id="345"/>
      <w:bookmarkStart w:id="346" w:name="_Toc184312091"/>
      <w:bookmarkEnd w:id="346"/>
      <w:bookmarkStart w:id="347" w:name="_Toc184314472"/>
      <w:bookmarkEnd w:id="347"/>
      <w:bookmarkStart w:id="348" w:name="_Toc184313239"/>
      <w:bookmarkEnd w:id="348"/>
      <w:bookmarkStart w:id="349" w:name="_Toc184313281"/>
      <w:bookmarkEnd w:id="349"/>
      <w:bookmarkStart w:id="350" w:name="_Toc184313258"/>
      <w:bookmarkEnd w:id="350"/>
      <w:bookmarkStart w:id="351" w:name="_Toc184312095"/>
      <w:bookmarkEnd w:id="351"/>
      <w:bookmarkStart w:id="352" w:name="_Toc184310282"/>
      <w:bookmarkEnd w:id="352"/>
      <w:bookmarkStart w:id="353" w:name="_Toc184313287"/>
      <w:bookmarkEnd w:id="353"/>
      <w:bookmarkStart w:id="354" w:name="_Toc184310320"/>
      <w:bookmarkEnd w:id="354"/>
      <w:bookmarkStart w:id="355" w:name="_Toc184314423"/>
      <w:bookmarkEnd w:id="355"/>
      <w:bookmarkStart w:id="356" w:name="_Toc184313295"/>
      <w:bookmarkEnd w:id="356"/>
      <w:bookmarkStart w:id="357" w:name="_Toc184312070"/>
      <w:bookmarkEnd w:id="357"/>
      <w:bookmarkStart w:id="358" w:name="_Toc184314432"/>
      <w:bookmarkEnd w:id="358"/>
      <w:bookmarkStart w:id="359" w:name="_Toc184308076"/>
      <w:bookmarkEnd w:id="359"/>
      <w:bookmarkStart w:id="360" w:name="_Toc184314410"/>
      <w:bookmarkEnd w:id="360"/>
      <w:bookmarkStart w:id="361" w:name="_Toc184310314"/>
      <w:bookmarkEnd w:id="361"/>
      <w:bookmarkStart w:id="362" w:name="_Toc184313277"/>
      <w:bookmarkEnd w:id="362"/>
      <w:bookmarkStart w:id="363" w:name="_Toc184313291"/>
      <w:bookmarkEnd w:id="363"/>
      <w:bookmarkStart w:id="364" w:name="_Toc184312079"/>
      <w:bookmarkEnd w:id="364"/>
      <w:bookmarkStart w:id="365" w:name="_Toc184314477"/>
      <w:bookmarkEnd w:id="365"/>
      <w:bookmarkStart w:id="366" w:name="_Toc184310338"/>
      <w:bookmarkEnd w:id="366"/>
      <w:bookmarkStart w:id="367" w:name="_Toc184312103"/>
      <w:bookmarkEnd w:id="367"/>
      <w:bookmarkStart w:id="368" w:name="_Toc184313276"/>
      <w:bookmarkEnd w:id="368"/>
      <w:bookmarkStart w:id="369" w:name="_Toc184312107"/>
      <w:bookmarkEnd w:id="369"/>
      <w:bookmarkStart w:id="370" w:name="_Toc184310328"/>
      <w:bookmarkEnd w:id="370"/>
      <w:bookmarkStart w:id="371" w:name="_Toc184312130"/>
      <w:bookmarkEnd w:id="371"/>
      <w:bookmarkStart w:id="372" w:name="_Toc184312100"/>
      <w:bookmarkEnd w:id="372"/>
      <w:bookmarkStart w:id="373" w:name="_Toc184308107"/>
      <w:bookmarkEnd w:id="373"/>
      <w:bookmarkStart w:id="374" w:name="_Toc184310285"/>
      <w:bookmarkEnd w:id="374"/>
      <w:bookmarkStart w:id="375" w:name="_Toc184313248"/>
      <w:bookmarkEnd w:id="375"/>
      <w:bookmarkStart w:id="376" w:name="_Toc184313282"/>
      <w:bookmarkEnd w:id="376"/>
      <w:bookmarkStart w:id="377" w:name="_Toc184308079"/>
      <w:bookmarkEnd w:id="377"/>
      <w:bookmarkStart w:id="378" w:name="_Toc184314461"/>
      <w:bookmarkEnd w:id="378"/>
      <w:bookmarkStart w:id="379" w:name="_Toc184310319"/>
      <w:bookmarkEnd w:id="379"/>
      <w:bookmarkStart w:id="380" w:name="_Toc184308041"/>
      <w:bookmarkEnd w:id="380"/>
      <w:bookmarkStart w:id="381" w:name="_Toc184308068"/>
      <w:bookmarkEnd w:id="381"/>
      <w:bookmarkStart w:id="382" w:name="_Toc184308054"/>
      <w:bookmarkEnd w:id="382"/>
      <w:bookmarkStart w:id="383" w:name="_Toc184308077"/>
      <w:bookmarkEnd w:id="383"/>
      <w:bookmarkStart w:id="384" w:name="_Toc184313254"/>
      <w:bookmarkEnd w:id="384"/>
      <w:bookmarkStart w:id="385" w:name="_Toc184308070"/>
      <w:bookmarkEnd w:id="385"/>
      <w:bookmarkStart w:id="386" w:name="_Toc184314458"/>
      <w:bookmarkEnd w:id="386"/>
      <w:bookmarkStart w:id="387" w:name="_Toc184312114"/>
      <w:bookmarkEnd w:id="387"/>
      <w:bookmarkStart w:id="388" w:name="_Toc184310340"/>
      <w:bookmarkEnd w:id="388"/>
      <w:bookmarkStart w:id="389" w:name="_Toc184314427"/>
      <w:bookmarkEnd w:id="389"/>
      <w:bookmarkStart w:id="390" w:name="_Toc184310287"/>
      <w:bookmarkEnd w:id="390"/>
      <w:bookmarkStart w:id="391" w:name="_Toc184313286"/>
      <w:bookmarkEnd w:id="391"/>
      <w:bookmarkStart w:id="392" w:name="_Toc184314429"/>
      <w:bookmarkEnd w:id="392"/>
      <w:bookmarkStart w:id="393" w:name="_Toc184310272"/>
      <w:bookmarkEnd w:id="393"/>
      <w:bookmarkStart w:id="394" w:name="_Toc184314466"/>
      <w:bookmarkEnd w:id="394"/>
      <w:bookmarkStart w:id="395" w:name="_Toc184312131"/>
      <w:bookmarkEnd w:id="395"/>
      <w:bookmarkStart w:id="396" w:name="_Toc184314459"/>
      <w:bookmarkEnd w:id="396"/>
      <w:bookmarkStart w:id="397" w:name="_Toc184310315"/>
      <w:bookmarkEnd w:id="397"/>
      <w:bookmarkStart w:id="398" w:name="_Toc184314416"/>
      <w:bookmarkEnd w:id="398"/>
      <w:bookmarkStart w:id="399" w:name="_Toc184314464"/>
      <w:bookmarkEnd w:id="399"/>
      <w:bookmarkStart w:id="400" w:name="_Toc184314433"/>
      <w:bookmarkEnd w:id="400"/>
      <w:bookmarkStart w:id="401" w:name="_Toc184310302"/>
      <w:bookmarkEnd w:id="401"/>
      <w:bookmarkStart w:id="402" w:name="_Toc184308094"/>
      <w:bookmarkEnd w:id="402"/>
      <w:bookmarkStart w:id="403" w:name="_Toc184308092"/>
      <w:bookmarkEnd w:id="403"/>
      <w:bookmarkStart w:id="404" w:name="_Toc184314476"/>
      <w:bookmarkEnd w:id="404"/>
      <w:bookmarkStart w:id="405" w:name="_Toc184313271"/>
      <w:bookmarkEnd w:id="405"/>
      <w:bookmarkStart w:id="406" w:name="_Toc184308105"/>
      <w:bookmarkEnd w:id="406"/>
      <w:bookmarkStart w:id="407" w:name="_Toc184308098"/>
      <w:bookmarkEnd w:id="407"/>
      <w:bookmarkStart w:id="408" w:name="_Toc184313268"/>
      <w:bookmarkEnd w:id="408"/>
      <w:bookmarkStart w:id="409" w:name="_Toc184310275"/>
      <w:bookmarkEnd w:id="409"/>
      <w:bookmarkStart w:id="410" w:name="_Toc184308078"/>
      <w:bookmarkEnd w:id="410"/>
      <w:bookmarkStart w:id="411" w:name="_Toc184310344"/>
      <w:bookmarkEnd w:id="411"/>
      <w:bookmarkStart w:id="412" w:name="_Toc184312136"/>
      <w:bookmarkEnd w:id="412"/>
      <w:bookmarkStart w:id="413" w:name="_Toc184310342"/>
      <w:bookmarkEnd w:id="413"/>
      <w:bookmarkStart w:id="414" w:name="_Toc184314463"/>
      <w:bookmarkEnd w:id="414"/>
      <w:bookmarkStart w:id="415" w:name="_Toc184313289"/>
      <w:bookmarkEnd w:id="415"/>
      <w:bookmarkStart w:id="416" w:name="_Toc184313306"/>
      <w:bookmarkEnd w:id="416"/>
      <w:bookmarkStart w:id="417" w:name="_Toc184308060"/>
      <w:bookmarkEnd w:id="417"/>
      <w:bookmarkStart w:id="418" w:name="_Toc184313270"/>
      <w:bookmarkEnd w:id="418"/>
      <w:bookmarkStart w:id="419" w:name="_Toc184308084"/>
      <w:bookmarkEnd w:id="419"/>
      <w:bookmarkStart w:id="420" w:name="_Toc184312076"/>
      <w:bookmarkEnd w:id="420"/>
      <w:bookmarkStart w:id="421" w:name="_Toc184310281"/>
      <w:bookmarkEnd w:id="421"/>
      <w:bookmarkStart w:id="422" w:name="_Toc184314479"/>
      <w:bookmarkEnd w:id="422"/>
      <w:bookmarkStart w:id="423" w:name="_Toc184313257"/>
      <w:bookmarkEnd w:id="423"/>
      <w:bookmarkStart w:id="424" w:name="_Toc184308062"/>
      <w:bookmarkEnd w:id="424"/>
      <w:bookmarkStart w:id="425" w:name="_Toc184313238"/>
      <w:bookmarkEnd w:id="425"/>
      <w:bookmarkStart w:id="426" w:name="_Toc184308061"/>
      <w:bookmarkEnd w:id="426"/>
      <w:bookmarkStart w:id="427" w:name="_Toc184308051"/>
      <w:bookmarkEnd w:id="427"/>
      <w:bookmarkStart w:id="428" w:name="_Toc184312104"/>
      <w:bookmarkEnd w:id="428"/>
      <w:bookmarkStart w:id="429" w:name="_Toc184313262"/>
      <w:bookmarkEnd w:id="429"/>
      <w:bookmarkStart w:id="430" w:name="_Toc184310323"/>
      <w:bookmarkEnd w:id="430"/>
      <w:bookmarkStart w:id="431" w:name="_Toc184314471"/>
      <w:bookmarkEnd w:id="431"/>
      <w:bookmarkStart w:id="432" w:name="_Toc184314450"/>
      <w:bookmarkEnd w:id="432"/>
      <w:bookmarkStart w:id="433" w:name="_Toc184312071"/>
      <w:bookmarkEnd w:id="433"/>
      <w:bookmarkStart w:id="434" w:name="_Toc184313246"/>
      <w:bookmarkEnd w:id="434"/>
      <w:bookmarkStart w:id="435" w:name="_Toc184308088"/>
      <w:bookmarkEnd w:id="435"/>
      <w:bookmarkStart w:id="436" w:name="_Toc184313266"/>
      <w:bookmarkEnd w:id="436"/>
      <w:bookmarkStart w:id="437" w:name="_Toc184312077"/>
      <w:bookmarkEnd w:id="437"/>
      <w:r>
        <w:rPr>
          <w:rFonts w:hint="eastAsia"/>
          <w:color w:val="auto"/>
        </w:rPr>
        <w:t>评标办法</w:t>
      </w:r>
      <w:bookmarkEnd w:id="70"/>
      <w:bookmarkEnd w:id="71"/>
      <w:bookmarkEnd w:id="72"/>
    </w:p>
    <w:p>
      <w:pPr>
        <w:rPr>
          <w:color w:val="auto"/>
        </w:rPr>
      </w:pPr>
      <w:bookmarkStart w:id="438" w:name="_Toc207"/>
      <w:bookmarkStart w:id="439" w:name="_Toc32156"/>
      <w:bookmarkStart w:id="440" w:name="_Toc10102"/>
      <w:r>
        <w:rPr>
          <w:rFonts w:hint="eastAsia"/>
          <w:color w:val="auto"/>
        </w:rPr>
        <w:t>评标办法前附表</w:t>
      </w:r>
      <w:bookmarkEnd w:id="438"/>
      <w:bookmarkEnd w:id="439"/>
      <w:bookmarkEnd w:id="440"/>
    </w:p>
    <w:tbl>
      <w:tblPr>
        <w:tblStyle w:val="37"/>
        <w:tblW w:w="91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467"/>
        <w:gridCol w:w="780"/>
        <w:gridCol w:w="1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0" w:type="dxa"/>
            <w:vAlign w:val="center"/>
          </w:tcPr>
          <w:p>
            <w:pPr>
              <w:spacing w:line="400" w:lineRule="exact"/>
              <w:ind w:firstLine="0" w:firstLineChars="0"/>
              <w:jc w:val="center"/>
              <w:rPr>
                <w:color w:val="auto"/>
              </w:rPr>
            </w:pPr>
            <w:r>
              <w:rPr>
                <w:rFonts w:hint="eastAsia"/>
                <w:color w:val="auto"/>
              </w:rPr>
              <w:t>序号</w:t>
            </w:r>
          </w:p>
        </w:tc>
        <w:tc>
          <w:tcPr>
            <w:tcW w:w="6467" w:type="dxa"/>
            <w:vAlign w:val="center"/>
          </w:tcPr>
          <w:p>
            <w:pPr>
              <w:spacing w:line="400" w:lineRule="exact"/>
              <w:ind w:firstLine="0" w:firstLineChars="0"/>
              <w:jc w:val="center"/>
              <w:rPr>
                <w:color w:val="auto"/>
              </w:rPr>
            </w:pPr>
            <w:r>
              <w:rPr>
                <w:rFonts w:hint="eastAsia"/>
                <w:color w:val="auto"/>
              </w:rPr>
              <w:t>评标标准</w:t>
            </w:r>
          </w:p>
        </w:tc>
        <w:tc>
          <w:tcPr>
            <w:tcW w:w="780" w:type="dxa"/>
            <w:vAlign w:val="center"/>
          </w:tcPr>
          <w:p>
            <w:pPr>
              <w:spacing w:line="400" w:lineRule="exact"/>
              <w:ind w:firstLine="0" w:firstLineChars="0"/>
              <w:jc w:val="center"/>
              <w:rPr>
                <w:color w:val="auto"/>
              </w:rPr>
            </w:pPr>
            <w:r>
              <w:rPr>
                <w:rFonts w:hint="eastAsia"/>
                <w:color w:val="auto"/>
              </w:rPr>
              <w:t>权重</w:t>
            </w:r>
          </w:p>
          <w:p>
            <w:pPr>
              <w:spacing w:line="400" w:lineRule="exact"/>
              <w:ind w:firstLine="0" w:firstLineChars="0"/>
              <w:jc w:val="center"/>
              <w:rPr>
                <w:color w:val="auto"/>
              </w:rPr>
            </w:pPr>
            <w:r>
              <w:rPr>
                <w:rFonts w:hint="eastAsia"/>
                <w:color w:val="auto"/>
              </w:rPr>
              <w:t>（分）</w:t>
            </w:r>
          </w:p>
        </w:tc>
        <w:tc>
          <w:tcPr>
            <w:tcW w:w="1299" w:type="dxa"/>
            <w:vAlign w:val="center"/>
          </w:tcPr>
          <w:p>
            <w:pPr>
              <w:spacing w:line="400" w:lineRule="exact"/>
              <w:ind w:firstLine="0" w:firstLineChars="0"/>
              <w:jc w:val="center"/>
              <w:rPr>
                <w:color w:val="auto"/>
              </w:rPr>
            </w:pPr>
            <w:r>
              <w:rPr>
                <w:rFonts w:hint="eastAsia"/>
                <w:color w:val="auto"/>
              </w:rPr>
              <w:t>主观分/客观分属性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36"/>
              <w:spacing w:line="400" w:lineRule="exact"/>
              <w:jc w:val="center"/>
              <w:rPr>
                <w:color w:val="auto"/>
              </w:rPr>
            </w:pPr>
            <w:r>
              <w:rPr>
                <w:rFonts w:hint="eastAsia"/>
                <w:color w:val="auto"/>
              </w:rPr>
              <w:t>1</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技术响应：由评委根据供应商对采购文件中的“第三部分采购需求（</w:t>
            </w:r>
            <w:r>
              <w:rPr>
                <w:rFonts w:hint="eastAsia" w:ascii="宋体" w:hAnsi="Calibri"/>
                <w:color w:val="auto"/>
                <w:szCs w:val="21"/>
              </w:rPr>
              <w:t>五</w:t>
            </w:r>
            <w:r>
              <w:rPr>
                <w:rFonts w:hint="eastAsia" w:ascii="宋体" w:hAnsi="Calibri"/>
                <w:color w:val="auto"/>
                <w:szCs w:val="21"/>
                <w:lang w:val="zh-CN"/>
              </w:rPr>
              <w:t>）主要设备技术要求”的响应进行评议，任何一条未标注“★”</w:t>
            </w:r>
            <w:r>
              <w:rPr>
                <w:rFonts w:hint="eastAsia" w:ascii="宋体" w:hAnsi="Calibri"/>
                <w:color w:val="auto"/>
                <w:szCs w:val="21"/>
              </w:rPr>
              <w:t>和“</w:t>
            </w:r>
            <w:r>
              <w:rPr>
                <w:rFonts w:hint="eastAsia" w:ascii="宋体" w:hAnsi="宋体" w:cs="宋体"/>
                <w:color w:val="auto"/>
                <w:szCs w:val="21"/>
              </w:rPr>
              <w:t>▲</w:t>
            </w:r>
            <w:r>
              <w:rPr>
                <w:rFonts w:hint="eastAsia" w:ascii="宋体" w:hAnsi="Calibri"/>
                <w:color w:val="auto"/>
                <w:szCs w:val="21"/>
              </w:rPr>
              <w:t>”</w:t>
            </w:r>
            <w:r>
              <w:rPr>
                <w:rFonts w:hint="eastAsia" w:ascii="宋体" w:hAnsi="Calibri"/>
                <w:color w:val="auto"/>
                <w:szCs w:val="21"/>
                <w:lang w:val="zh-CN"/>
              </w:rPr>
              <w:t>采购需求的未响应或不满足的，每条扣</w:t>
            </w:r>
            <w:r>
              <w:rPr>
                <w:rFonts w:hint="eastAsia" w:ascii="宋体" w:hAnsi="Calibri"/>
                <w:color w:val="auto"/>
                <w:szCs w:val="21"/>
              </w:rPr>
              <w:t>0.26</w:t>
            </w:r>
            <w:r>
              <w:rPr>
                <w:rFonts w:hint="eastAsia" w:ascii="宋体" w:hAnsi="Calibri"/>
                <w:color w:val="auto"/>
                <w:szCs w:val="21"/>
                <w:lang w:val="zh-CN"/>
              </w:rPr>
              <w:t>分，任何一条标注</w:t>
            </w:r>
            <w:r>
              <w:rPr>
                <w:rFonts w:hint="eastAsia" w:ascii="宋体" w:hAnsi="Calibri"/>
                <w:color w:val="auto"/>
                <w:szCs w:val="21"/>
              </w:rPr>
              <w:t>“</w:t>
            </w:r>
            <w:r>
              <w:rPr>
                <w:rFonts w:hint="eastAsia" w:ascii="宋体" w:hAnsi="宋体" w:cs="宋体"/>
                <w:color w:val="auto"/>
                <w:szCs w:val="21"/>
              </w:rPr>
              <w:t>▲</w:t>
            </w:r>
            <w:r>
              <w:rPr>
                <w:rFonts w:hint="eastAsia" w:ascii="宋体" w:hAnsi="Calibri"/>
                <w:color w:val="auto"/>
                <w:szCs w:val="21"/>
              </w:rPr>
              <w:t>”</w:t>
            </w:r>
            <w:r>
              <w:rPr>
                <w:rFonts w:hint="eastAsia" w:ascii="宋体" w:hAnsi="Calibri"/>
                <w:color w:val="auto"/>
                <w:szCs w:val="21"/>
                <w:lang w:val="zh-CN"/>
              </w:rPr>
              <w:t>采购需求的未响应或不满足的，每条扣</w:t>
            </w:r>
            <w:r>
              <w:rPr>
                <w:rFonts w:hint="eastAsia" w:ascii="宋体" w:hAnsi="Calibri"/>
                <w:color w:val="auto"/>
                <w:szCs w:val="21"/>
              </w:rPr>
              <w:t>1</w:t>
            </w:r>
            <w:r>
              <w:rPr>
                <w:rFonts w:hint="eastAsia" w:ascii="宋体" w:hAnsi="Calibri"/>
                <w:color w:val="auto"/>
                <w:szCs w:val="21"/>
                <w:lang w:val="zh-CN"/>
              </w:rPr>
              <w:t>分，满分</w:t>
            </w:r>
            <w:r>
              <w:rPr>
                <w:rFonts w:hint="eastAsia" w:ascii="宋体" w:hAnsi="Calibri"/>
                <w:color w:val="auto"/>
                <w:szCs w:val="21"/>
              </w:rPr>
              <w:t>30</w:t>
            </w:r>
            <w:r>
              <w:rPr>
                <w:rFonts w:hint="eastAsia" w:ascii="宋体" w:hAnsi="Calibri"/>
                <w:color w:val="auto"/>
                <w:szCs w:val="21"/>
                <w:lang w:val="zh-CN"/>
              </w:rPr>
              <w:t>分。</w:t>
            </w:r>
          </w:p>
        </w:tc>
        <w:tc>
          <w:tcPr>
            <w:tcW w:w="780" w:type="dxa"/>
            <w:vAlign w:val="center"/>
          </w:tcPr>
          <w:p>
            <w:pPr>
              <w:pStyle w:val="36"/>
              <w:spacing w:line="400" w:lineRule="exact"/>
              <w:jc w:val="center"/>
              <w:rPr>
                <w:color w:val="auto"/>
                <w:lang w:val="en-US"/>
              </w:rPr>
            </w:pPr>
            <w:r>
              <w:rPr>
                <w:rFonts w:hint="eastAsia"/>
                <w:color w:val="auto"/>
                <w:lang w:val="en-US"/>
              </w:rPr>
              <w:t>30</w:t>
            </w:r>
          </w:p>
        </w:tc>
        <w:tc>
          <w:tcPr>
            <w:tcW w:w="1299" w:type="dxa"/>
            <w:vAlign w:val="center"/>
          </w:tcPr>
          <w:p>
            <w:pPr>
              <w:pStyle w:val="36"/>
              <w:spacing w:line="400" w:lineRule="exact"/>
              <w:jc w:val="center"/>
              <w:rPr>
                <w:color w:val="auto"/>
              </w:rPr>
            </w:pPr>
            <w:r>
              <w:rPr>
                <w:rFonts w:hint="eastAsia"/>
                <w:color w:val="auto"/>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36"/>
              <w:spacing w:line="400" w:lineRule="exact"/>
              <w:jc w:val="center"/>
              <w:rPr>
                <w:color w:val="auto"/>
              </w:rPr>
            </w:pPr>
            <w:r>
              <w:rPr>
                <w:rFonts w:hint="eastAsia"/>
                <w:color w:val="auto"/>
                <w:lang w:val="en-US"/>
              </w:rPr>
              <w:t>2</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业绩：供应商2</w:t>
            </w:r>
            <w:r>
              <w:rPr>
                <w:rFonts w:ascii="宋体" w:hAnsi="Calibri"/>
                <w:color w:val="auto"/>
                <w:szCs w:val="21"/>
                <w:lang w:val="zh-CN"/>
              </w:rPr>
              <w:t>0</w:t>
            </w:r>
            <w:r>
              <w:rPr>
                <w:rFonts w:hint="eastAsia" w:ascii="宋体" w:hAnsi="Calibri"/>
                <w:color w:val="auto"/>
                <w:szCs w:val="21"/>
                <w:lang w:val="zh-CN"/>
              </w:rPr>
              <w:t>19年1月1日至今已完成的控漏损合同的得2分。</w:t>
            </w:r>
          </w:p>
          <w:p>
            <w:pPr>
              <w:spacing w:line="400" w:lineRule="exact"/>
              <w:ind w:firstLine="0" w:firstLineChars="0"/>
              <w:rPr>
                <w:rFonts w:ascii="宋体" w:hAnsi="Calibri"/>
                <w:color w:val="auto"/>
                <w:szCs w:val="21"/>
                <w:lang w:val="zh-CN"/>
              </w:rPr>
            </w:pPr>
            <w:r>
              <w:rPr>
                <w:rFonts w:hint="eastAsia" w:ascii="宋体" w:hAnsi="Calibri"/>
                <w:color w:val="auto"/>
                <w:szCs w:val="21"/>
                <w:lang w:val="zh-CN"/>
              </w:rPr>
              <w:t>注：</w:t>
            </w:r>
          </w:p>
          <w:p>
            <w:pPr>
              <w:spacing w:line="400" w:lineRule="exact"/>
              <w:ind w:firstLine="0" w:firstLineChars="0"/>
              <w:rPr>
                <w:rFonts w:ascii="宋体" w:hAnsi="Calibri"/>
                <w:color w:val="auto"/>
                <w:szCs w:val="21"/>
                <w:lang w:val="zh-CN"/>
              </w:rPr>
            </w:pPr>
            <w:r>
              <w:rPr>
                <w:rFonts w:hint="eastAsia" w:ascii="宋体" w:hAnsi="Calibri"/>
                <w:color w:val="auto"/>
                <w:szCs w:val="21"/>
                <w:lang w:val="zh-CN"/>
              </w:rPr>
              <w:t>1、业绩时间以合同签订时间为准；</w:t>
            </w:r>
          </w:p>
          <w:p>
            <w:pPr>
              <w:spacing w:line="400" w:lineRule="exact"/>
              <w:ind w:firstLine="0" w:firstLineChars="0"/>
              <w:rPr>
                <w:rFonts w:ascii="宋体" w:hAnsi="Calibri"/>
                <w:color w:val="auto"/>
                <w:szCs w:val="21"/>
                <w:lang w:val="zh-CN"/>
              </w:rPr>
            </w:pPr>
            <w:r>
              <w:rPr>
                <w:rFonts w:hint="eastAsia" w:ascii="宋体" w:hAnsi="Calibri"/>
                <w:color w:val="auto"/>
                <w:szCs w:val="21"/>
                <w:lang w:val="zh-CN"/>
              </w:rPr>
              <w:t>2、证明资料包含：合同或协议书、验收报告、最终用户满意度证明，以上文件应提供复印件并加盖供应商公章；</w:t>
            </w:r>
          </w:p>
          <w:p>
            <w:pPr>
              <w:spacing w:line="400" w:lineRule="exact"/>
              <w:ind w:firstLine="0" w:firstLineChars="0"/>
              <w:rPr>
                <w:rFonts w:ascii="宋体" w:hAnsi="Calibri"/>
                <w:color w:val="auto"/>
                <w:szCs w:val="21"/>
                <w:lang w:val="zh-CN"/>
              </w:rPr>
            </w:pPr>
            <w:r>
              <w:rPr>
                <w:rFonts w:hint="eastAsia" w:ascii="宋体" w:hAnsi="Calibri"/>
                <w:color w:val="auto"/>
                <w:szCs w:val="21"/>
                <w:lang w:val="en-US" w:eastAsia="zh-CN"/>
              </w:rPr>
              <w:t>3</w:t>
            </w:r>
            <w:r>
              <w:rPr>
                <w:rFonts w:hint="eastAsia" w:ascii="宋体" w:hAnsi="Calibri"/>
                <w:color w:val="auto"/>
                <w:szCs w:val="21"/>
                <w:lang w:val="zh-CN"/>
              </w:rPr>
              <w:t>、</w:t>
            </w:r>
            <w:r>
              <w:rPr>
                <w:rFonts w:ascii="宋体" w:hAnsi="Calibri"/>
                <w:color w:val="auto"/>
                <w:szCs w:val="21"/>
                <w:lang w:val="zh-CN"/>
              </w:rPr>
              <w:t>提供的业绩无法体现评审关键内容的，不得分</w:t>
            </w:r>
            <w:r>
              <w:rPr>
                <w:rFonts w:hint="eastAsia" w:ascii="宋体" w:hAnsi="Calibri"/>
                <w:color w:val="auto"/>
                <w:szCs w:val="21"/>
                <w:lang w:val="zh-CN"/>
              </w:rPr>
              <w:t>；</w:t>
            </w:r>
          </w:p>
        </w:tc>
        <w:tc>
          <w:tcPr>
            <w:tcW w:w="780" w:type="dxa"/>
            <w:vAlign w:val="center"/>
          </w:tcPr>
          <w:p>
            <w:pPr>
              <w:pStyle w:val="36"/>
              <w:spacing w:line="400" w:lineRule="exact"/>
              <w:jc w:val="center"/>
              <w:rPr>
                <w:color w:val="auto"/>
              </w:rPr>
            </w:pPr>
            <w:r>
              <w:rPr>
                <w:rFonts w:hint="eastAsia"/>
                <w:color w:val="auto"/>
              </w:rPr>
              <w:t>2</w:t>
            </w:r>
          </w:p>
        </w:tc>
        <w:tc>
          <w:tcPr>
            <w:tcW w:w="1299" w:type="dxa"/>
            <w:vAlign w:val="center"/>
          </w:tcPr>
          <w:p>
            <w:pPr>
              <w:pStyle w:val="36"/>
              <w:spacing w:line="400" w:lineRule="exact"/>
              <w:jc w:val="center"/>
              <w:rPr>
                <w:color w:val="auto"/>
              </w:rPr>
            </w:pPr>
            <w:r>
              <w:rPr>
                <w:rFonts w:hint="eastAsia"/>
                <w:color w:val="auto"/>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36"/>
              <w:spacing w:line="400" w:lineRule="exact"/>
              <w:jc w:val="center"/>
              <w:rPr>
                <w:color w:val="auto"/>
              </w:rPr>
            </w:pPr>
            <w:r>
              <w:rPr>
                <w:rFonts w:hint="eastAsia"/>
                <w:color w:val="auto"/>
                <w:lang w:val="en-US"/>
              </w:rPr>
              <w:t>3</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综合能力：</w:t>
            </w:r>
          </w:p>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供应商具有有效期内的质量管理体系认证证书、环境管理体系认证证书、职业健康安全管理体系认证证书，每提供一项证书得1分，最多得3分。注：投标文件中须提供证书复印件，否则不得分。</w:t>
            </w:r>
          </w:p>
        </w:tc>
        <w:tc>
          <w:tcPr>
            <w:tcW w:w="780" w:type="dxa"/>
            <w:vAlign w:val="center"/>
          </w:tcPr>
          <w:p>
            <w:pPr>
              <w:pStyle w:val="36"/>
              <w:spacing w:line="400" w:lineRule="exact"/>
              <w:jc w:val="center"/>
              <w:rPr>
                <w:color w:val="auto"/>
              </w:rPr>
            </w:pPr>
            <w:r>
              <w:rPr>
                <w:rFonts w:hint="eastAsia"/>
                <w:color w:val="auto"/>
              </w:rPr>
              <w:t>3</w:t>
            </w:r>
          </w:p>
        </w:tc>
        <w:tc>
          <w:tcPr>
            <w:tcW w:w="1299" w:type="dxa"/>
            <w:vAlign w:val="center"/>
          </w:tcPr>
          <w:p>
            <w:pPr>
              <w:pStyle w:val="36"/>
              <w:spacing w:line="400" w:lineRule="exact"/>
              <w:jc w:val="center"/>
              <w:rPr>
                <w:color w:val="auto"/>
              </w:rPr>
            </w:pPr>
            <w:r>
              <w:rPr>
                <w:rFonts w:hint="eastAsia"/>
                <w:color w:val="auto"/>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650" w:type="dxa"/>
            <w:vAlign w:val="center"/>
          </w:tcPr>
          <w:p>
            <w:pPr>
              <w:pStyle w:val="36"/>
              <w:spacing w:line="400" w:lineRule="exact"/>
              <w:jc w:val="center"/>
              <w:rPr>
                <w:color w:val="auto"/>
              </w:rPr>
            </w:pPr>
            <w:r>
              <w:rPr>
                <w:rFonts w:hint="eastAsia"/>
                <w:color w:val="auto"/>
                <w:lang w:val="en-US"/>
              </w:rPr>
              <w:t>4</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供应商关于漏损管控现状分析与协助采购人确定漏损管控指标的工作方案、工作思路、重难点分析、人员配备等方案进行评审，方案欠合理的，每项扣0.5分；方案不合理的，每项扣1分，扣完为止，满分5分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pStyle w:val="36"/>
              <w:spacing w:line="400" w:lineRule="exact"/>
              <w:jc w:val="center"/>
              <w:rPr>
                <w:color w:val="auto"/>
              </w:rPr>
            </w:pPr>
            <w:r>
              <w:rPr>
                <w:rFonts w:hint="eastAsia"/>
                <w:color w:val="auto"/>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650" w:type="dxa"/>
            <w:vAlign w:val="center"/>
          </w:tcPr>
          <w:p>
            <w:pPr>
              <w:pStyle w:val="36"/>
              <w:spacing w:line="400" w:lineRule="exact"/>
              <w:jc w:val="center"/>
              <w:rPr>
                <w:color w:val="auto"/>
              </w:rPr>
            </w:pPr>
            <w:r>
              <w:rPr>
                <w:rFonts w:hint="eastAsia"/>
                <w:color w:val="auto"/>
                <w:lang w:val="en-US"/>
              </w:rPr>
              <w:t>5</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供应商关于漏损管控方案设计与管理措施落实追踪的工作方案、工作思路、重难点分析、人员配备等方案进行评审，方案欠合理的，每项扣0.5分；方案不合理的，每项扣1分，扣完为止，满分5分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50" w:type="dxa"/>
            <w:vAlign w:val="center"/>
          </w:tcPr>
          <w:p>
            <w:pPr>
              <w:pStyle w:val="36"/>
              <w:spacing w:line="400" w:lineRule="exact"/>
              <w:jc w:val="center"/>
              <w:rPr>
                <w:color w:val="auto"/>
              </w:rPr>
            </w:pPr>
            <w:r>
              <w:rPr>
                <w:rFonts w:hint="eastAsia"/>
                <w:color w:val="auto"/>
                <w:lang w:val="en-US"/>
              </w:rPr>
              <w:t>6</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供应商关于管道检漏方案设计与实施（含检漏工作）的工作方案、工作思路、重难点分析、人员配备等方案进行评审，方案欠合理的，每项扣0.5分；方案不合理的，每项扣1分，扣完为止，满分5分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650" w:type="dxa"/>
            <w:vAlign w:val="center"/>
          </w:tcPr>
          <w:p>
            <w:pPr>
              <w:pStyle w:val="36"/>
              <w:spacing w:line="400" w:lineRule="exact"/>
              <w:jc w:val="center"/>
              <w:rPr>
                <w:color w:val="auto"/>
              </w:rPr>
            </w:pPr>
            <w:r>
              <w:rPr>
                <w:rFonts w:hint="eastAsia"/>
                <w:color w:val="auto"/>
                <w:lang w:val="en-US"/>
              </w:rPr>
              <w:t>7</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供应商关于分区计量的优化方案设计与实施的工作方案、工作思路、重难点分析、人员配备等方案进行评审，方案欠合理的，每项扣0.5分；方案不合理的，每项扣1分，扣完为止，满分5分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50" w:type="dxa"/>
            <w:vAlign w:val="center"/>
          </w:tcPr>
          <w:p>
            <w:pPr>
              <w:pStyle w:val="36"/>
              <w:spacing w:line="400" w:lineRule="exact"/>
              <w:jc w:val="center"/>
              <w:rPr>
                <w:color w:val="auto"/>
              </w:rPr>
            </w:pPr>
            <w:r>
              <w:rPr>
                <w:rFonts w:hint="eastAsia"/>
                <w:color w:val="auto"/>
                <w:lang w:val="en-US"/>
              </w:rPr>
              <w:t>8</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供应商关于计量表具改造方案设计与实施的工作方案、工作思路、重难点分析、人员配备等方案进行评审，方案欠合理的，每项扣0.5分；方案不合理的，每项扣1分，扣完为止，满分5分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50" w:type="dxa"/>
            <w:vAlign w:val="center"/>
          </w:tcPr>
          <w:p>
            <w:pPr>
              <w:pStyle w:val="36"/>
              <w:spacing w:line="400" w:lineRule="exact"/>
              <w:jc w:val="center"/>
              <w:rPr>
                <w:color w:val="auto"/>
              </w:rPr>
            </w:pPr>
            <w:r>
              <w:rPr>
                <w:rFonts w:hint="eastAsia"/>
                <w:color w:val="auto"/>
                <w:lang w:val="en-US"/>
              </w:rPr>
              <w:t>9</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供应商关于远传设备运维服务方案与实施的工作方案、工作思路、重难点分析、人员配备等方案进行评审，方案欠合理的，每项扣0.5分；方案不合理的，每项扣1分，扣完为止，满分5分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650" w:type="dxa"/>
            <w:vAlign w:val="center"/>
          </w:tcPr>
          <w:p>
            <w:pPr>
              <w:pStyle w:val="36"/>
              <w:spacing w:line="400" w:lineRule="exact"/>
              <w:jc w:val="center"/>
              <w:rPr>
                <w:color w:val="auto"/>
              </w:rPr>
            </w:pPr>
            <w:r>
              <w:rPr>
                <w:rFonts w:hint="eastAsia"/>
                <w:color w:val="auto"/>
              </w:rPr>
              <w:t>1</w:t>
            </w:r>
            <w:r>
              <w:rPr>
                <w:rFonts w:hint="eastAsia"/>
                <w:color w:val="auto"/>
                <w:lang w:val="en-US"/>
              </w:rPr>
              <w:t>0</w:t>
            </w:r>
          </w:p>
        </w:tc>
        <w:tc>
          <w:tcPr>
            <w:tcW w:w="6467" w:type="dxa"/>
            <w:vAlign w:val="center"/>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供应商关于控漏培训服务方案与实施的工作方案、工作思路、重难点分析、人员配备等方案进行评审，方案欠合理的，每项扣0.5分；方案不合理的，每项扣1分，扣完为止，满分5分</w:t>
            </w:r>
            <w:r>
              <w:rPr>
                <w:rFonts w:ascii="宋体" w:hAnsi="Calibri"/>
                <w:color w:val="auto"/>
                <w:szCs w:val="21"/>
                <w:lang w:val="zh-CN"/>
              </w:rPr>
              <w:t>。</w:t>
            </w:r>
            <w:r>
              <w:rPr>
                <w:rFonts w:hint="eastAsia" w:ascii="宋体" w:hAnsi="Calibri"/>
                <w:color w:val="auto"/>
                <w:szCs w:val="21"/>
                <w:lang w:val="zh-CN"/>
              </w:rPr>
              <w:t>未提供不得分。未提供方案，不得分。</w:t>
            </w:r>
          </w:p>
        </w:tc>
        <w:tc>
          <w:tcPr>
            <w:tcW w:w="780" w:type="dxa"/>
            <w:vAlign w:val="center"/>
          </w:tcPr>
          <w:p>
            <w:pPr>
              <w:pStyle w:val="36"/>
              <w:spacing w:line="400" w:lineRule="exact"/>
              <w:jc w:val="center"/>
              <w:rPr>
                <w:color w:val="auto"/>
              </w:rPr>
            </w:pPr>
            <w:r>
              <w:rPr>
                <w:rFonts w:hint="eastAsia"/>
                <w:color w:val="auto"/>
              </w:rPr>
              <w:t>5</w:t>
            </w:r>
          </w:p>
        </w:tc>
        <w:tc>
          <w:tcPr>
            <w:tcW w:w="1299" w:type="dxa"/>
            <w:vAlign w:val="center"/>
          </w:tcPr>
          <w:p>
            <w:pPr>
              <w:spacing w:line="400" w:lineRule="exact"/>
              <w:ind w:firstLine="0" w:firstLineChars="0"/>
              <w:jc w:val="center"/>
              <w:rPr>
                <w:rFonts w:ascii="宋体" w:hAnsi="Calibri"/>
                <w:color w:val="auto"/>
                <w:szCs w:val="21"/>
                <w:lang w:val="zh-CN"/>
              </w:rPr>
            </w:pPr>
            <w:r>
              <w:rPr>
                <w:rFonts w:hint="eastAsia" w:ascii="宋体" w:hAnsi="Calibri"/>
                <w:color w:val="auto"/>
                <w:szCs w:val="21"/>
                <w:lang w:val="zh-CN"/>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36"/>
              <w:spacing w:line="400" w:lineRule="exact"/>
              <w:jc w:val="center"/>
              <w:rPr>
                <w:color w:val="auto"/>
              </w:rPr>
            </w:pPr>
            <w:r>
              <w:rPr>
                <w:rFonts w:hint="eastAsia"/>
                <w:color w:val="auto"/>
              </w:rPr>
              <w:t>1</w:t>
            </w:r>
            <w:r>
              <w:rPr>
                <w:rFonts w:hint="eastAsia"/>
                <w:color w:val="auto"/>
                <w:lang w:val="en-US"/>
              </w:rPr>
              <w:t>1</w:t>
            </w:r>
          </w:p>
        </w:tc>
        <w:tc>
          <w:tcPr>
            <w:tcW w:w="6467" w:type="dxa"/>
          </w:tcPr>
          <w:p>
            <w:pPr>
              <w:spacing w:line="400" w:lineRule="exact"/>
              <w:ind w:firstLine="0" w:firstLineChars="0"/>
              <w:rPr>
                <w:rFonts w:ascii="宋体" w:hAnsi="Calibri"/>
                <w:color w:val="auto"/>
                <w:szCs w:val="21"/>
                <w:lang w:val="zh-CN"/>
              </w:rPr>
            </w:pPr>
            <w:r>
              <w:rPr>
                <w:rFonts w:hint="eastAsia" w:ascii="宋体" w:hAnsi="Calibri"/>
                <w:color w:val="auto"/>
                <w:szCs w:val="21"/>
                <w:lang w:val="zh-CN"/>
              </w:rPr>
              <w:t>评标基准价指的是满足采购文件要求且最低的参与评审的价格，参与评审的价格为投标报价，评标基准价的得满分30分。</w:t>
            </w:r>
          </w:p>
          <w:p>
            <w:pPr>
              <w:spacing w:line="400" w:lineRule="exact"/>
              <w:ind w:firstLine="0" w:firstLineChars="0"/>
              <w:rPr>
                <w:rFonts w:ascii="宋体" w:hAnsi="Calibri"/>
                <w:color w:val="auto"/>
                <w:szCs w:val="21"/>
                <w:lang w:val="zh-CN"/>
              </w:rPr>
            </w:pPr>
            <w:r>
              <w:rPr>
                <w:rFonts w:hint="eastAsia" w:ascii="宋体" w:hAnsi="Calibri"/>
                <w:color w:val="auto"/>
                <w:szCs w:val="21"/>
                <w:lang w:val="zh-CN"/>
              </w:rPr>
              <w:t>其他供应商的价格分按照下列公式计算：</w:t>
            </w:r>
          </w:p>
          <w:p>
            <w:pPr>
              <w:spacing w:line="400" w:lineRule="exact"/>
              <w:ind w:firstLine="0" w:firstLineChars="0"/>
              <w:jc w:val="left"/>
              <w:rPr>
                <w:rFonts w:ascii="宋体" w:hAnsi="Calibri"/>
                <w:color w:val="auto"/>
                <w:szCs w:val="21"/>
                <w:lang w:val="zh-CN"/>
              </w:rPr>
            </w:pPr>
            <w:r>
              <w:rPr>
                <w:rFonts w:hint="eastAsia" w:ascii="宋体" w:hAnsi="Calibri"/>
                <w:color w:val="auto"/>
                <w:szCs w:val="21"/>
                <w:lang w:val="zh-CN"/>
              </w:rPr>
              <w:t>价格分=（评标基准价/各供应商参与评审的价格）×30％×100。</w:t>
            </w:r>
          </w:p>
          <w:p>
            <w:pPr>
              <w:pStyle w:val="36"/>
              <w:spacing w:line="400" w:lineRule="exact"/>
              <w:rPr>
                <w:color w:val="auto"/>
              </w:rPr>
            </w:pPr>
            <w:r>
              <w:rPr>
                <w:rFonts w:hint="eastAsia"/>
                <w:color w:val="auto"/>
              </w:rPr>
              <w:t>注：价格得分小数点后保留2位数。</w:t>
            </w:r>
          </w:p>
        </w:tc>
        <w:tc>
          <w:tcPr>
            <w:tcW w:w="780" w:type="dxa"/>
            <w:vAlign w:val="center"/>
          </w:tcPr>
          <w:p>
            <w:pPr>
              <w:pStyle w:val="36"/>
              <w:spacing w:line="400" w:lineRule="exact"/>
              <w:jc w:val="center"/>
              <w:rPr>
                <w:color w:val="auto"/>
              </w:rPr>
            </w:pPr>
            <w:r>
              <w:rPr>
                <w:rFonts w:hint="eastAsia"/>
                <w:color w:val="auto"/>
              </w:rPr>
              <w:t>30</w:t>
            </w:r>
          </w:p>
        </w:tc>
        <w:tc>
          <w:tcPr>
            <w:tcW w:w="1299" w:type="dxa"/>
            <w:vAlign w:val="center"/>
          </w:tcPr>
          <w:p>
            <w:pPr>
              <w:pStyle w:val="36"/>
              <w:spacing w:line="400" w:lineRule="exact"/>
              <w:jc w:val="center"/>
              <w:rPr>
                <w:color w:val="auto"/>
              </w:rPr>
            </w:pPr>
            <w:r>
              <w:rPr>
                <w:rFonts w:hint="eastAsia"/>
                <w:color w:val="auto"/>
              </w:rPr>
              <w:t>客观评审</w:t>
            </w:r>
          </w:p>
        </w:tc>
      </w:tr>
    </w:tbl>
    <w:p>
      <w:pPr>
        <w:rPr>
          <w:color w:val="auto"/>
        </w:rPr>
      </w:pPr>
    </w:p>
    <w:p>
      <w:pPr>
        <w:rPr>
          <w:b/>
          <w:color w:val="auto"/>
        </w:rPr>
      </w:pPr>
      <w:r>
        <w:rPr>
          <w:rFonts w:hint="eastAsia"/>
          <w:b/>
          <w:color w:val="auto"/>
        </w:rPr>
        <w:t>备注：</w:t>
      </w:r>
      <w:r>
        <w:rPr>
          <w:rFonts w:hint="eastAsia"/>
          <w:color w:val="auto"/>
        </w:rPr>
        <w:t>供应商编制投标文件（商务技术文件部分）时，建议按此目录（序号和内容）提供评标标准相应的商务技术资料。</w:t>
      </w:r>
    </w:p>
    <w:p>
      <w:pPr>
        <w:pStyle w:val="235"/>
        <w:numPr>
          <w:ilvl w:val="0"/>
          <w:numId w:val="42"/>
        </w:numPr>
        <w:ind w:firstLineChars="0"/>
        <w:rPr>
          <w:color w:val="auto"/>
          <w:szCs w:val="28"/>
        </w:rPr>
      </w:pPr>
      <w:r>
        <w:rPr>
          <w:rFonts w:hint="eastAsia"/>
          <w:color w:val="auto"/>
          <w:sz w:val="32"/>
        </w:rPr>
        <w:br w:type="page"/>
      </w:r>
      <w:r>
        <w:rPr>
          <w:rFonts w:hint="eastAsia"/>
          <w:color w:val="auto"/>
        </w:rPr>
        <w:t>评标方法</w:t>
      </w:r>
    </w:p>
    <w:p>
      <w:pPr>
        <w:rPr>
          <w:color w:val="auto"/>
        </w:rPr>
      </w:pPr>
      <w:r>
        <w:rPr>
          <w:rFonts w:hint="eastAsia" w:ascii="宋体" w:hAnsi="宋体" w:cs="宋体"/>
          <w:b/>
          <w:color w:val="auto"/>
        </w:rPr>
        <w:t>1</w:t>
      </w:r>
      <w:r>
        <w:rPr>
          <w:rFonts w:hint="eastAsia"/>
          <w:b/>
          <w:color w:val="auto"/>
        </w:rPr>
        <w:t>、本项目采用综合评分法。</w:t>
      </w:r>
      <w:r>
        <w:rPr>
          <w:rFonts w:hint="eastAsia"/>
          <w:color w:val="auto"/>
        </w:rPr>
        <w:t>综合评分法，是指投标文件满足采购文件全部实质性要求，且按照评审因素的量化指标评审得分最高的供应商为中标候选人的评标方法。</w:t>
      </w:r>
    </w:p>
    <w:p>
      <w:pPr>
        <w:pStyle w:val="235"/>
        <w:numPr>
          <w:ilvl w:val="0"/>
          <w:numId w:val="42"/>
        </w:numPr>
        <w:ind w:firstLineChars="0"/>
        <w:rPr>
          <w:color w:val="auto"/>
        </w:rPr>
      </w:pPr>
      <w:r>
        <w:rPr>
          <w:rFonts w:hint="eastAsia"/>
          <w:color w:val="auto"/>
        </w:rPr>
        <w:t>评标标准</w:t>
      </w:r>
    </w:p>
    <w:p>
      <w:pPr>
        <w:rPr>
          <w:b/>
          <w:color w:val="auto"/>
        </w:rPr>
      </w:pPr>
      <w:r>
        <w:rPr>
          <w:rFonts w:hint="eastAsia"/>
          <w:b/>
          <w:color w:val="auto"/>
        </w:rPr>
        <w:t>2、评标标准：</w:t>
      </w:r>
      <w:r>
        <w:rPr>
          <w:rFonts w:hint="eastAsia"/>
          <w:color w:val="auto"/>
        </w:rPr>
        <w:t>见评标办法前附表。</w:t>
      </w:r>
    </w:p>
    <w:p>
      <w:pPr>
        <w:pStyle w:val="235"/>
        <w:numPr>
          <w:ilvl w:val="0"/>
          <w:numId w:val="42"/>
        </w:numPr>
        <w:ind w:firstLineChars="0"/>
        <w:rPr>
          <w:color w:val="auto"/>
        </w:rPr>
      </w:pPr>
      <w:bookmarkStart w:id="441" w:name="_Toc7008"/>
      <w:r>
        <w:rPr>
          <w:rFonts w:hint="eastAsia"/>
          <w:color w:val="auto"/>
        </w:rPr>
        <w:t>评标程序</w:t>
      </w:r>
      <w:bookmarkEnd w:id="441"/>
    </w:p>
    <w:p>
      <w:pPr>
        <w:pStyle w:val="235"/>
        <w:numPr>
          <w:ilvl w:val="0"/>
          <w:numId w:val="43"/>
        </w:numPr>
        <w:ind w:firstLineChars="0"/>
        <w:rPr>
          <w:b/>
          <w:color w:val="auto"/>
        </w:rPr>
      </w:pPr>
      <w:r>
        <w:rPr>
          <w:rFonts w:hint="eastAsia"/>
          <w:b/>
          <w:color w:val="auto"/>
        </w:rPr>
        <w:t>符合性审查。</w:t>
      </w:r>
      <w:r>
        <w:rPr>
          <w:rFonts w:hint="eastAsia"/>
          <w:color w:val="auto"/>
        </w:rPr>
        <w:t>评标委员会应当对符合资格的供应商的投标文件进行符合性审查，以确定其是否满足采购文件的实质性要求。不满足采购文件的实质性要求的，投标无效。</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521" w:type="dxa"/>
            <w:vAlign w:val="center"/>
          </w:tcPr>
          <w:p>
            <w:pPr>
              <w:spacing w:line="400" w:lineRule="exact"/>
              <w:ind w:firstLine="0" w:firstLineChars="0"/>
              <w:jc w:val="center"/>
              <w:rPr>
                <w:color w:val="auto"/>
              </w:rPr>
            </w:pPr>
            <w:r>
              <w:rPr>
                <w:rFonts w:hint="eastAsia"/>
                <w:color w:val="auto"/>
              </w:rPr>
              <w:t>审查类别</w:t>
            </w:r>
          </w:p>
        </w:tc>
        <w:tc>
          <w:tcPr>
            <w:tcW w:w="6769" w:type="dxa"/>
            <w:vAlign w:val="center"/>
          </w:tcPr>
          <w:p>
            <w:pPr>
              <w:spacing w:line="400" w:lineRule="exact"/>
              <w:ind w:firstLine="0" w:firstLineChars="0"/>
              <w:jc w:val="center"/>
              <w:rPr>
                <w:color w:val="auto"/>
              </w:rPr>
            </w:pPr>
            <w:r>
              <w:rPr>
                <w:rFonts w:hint="eastAsia"/>
                <w:color w:val="auto"/>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1" w:type="dxa"/>
            <w:vMerge w:val="restart"/>
            <w:vAlign w:val="center"/>
          </w:tcPr>
          <w:p>
            <w:pPr>
              <w:spacing w:line="400" w:lineRule="exact"/>
              <w:ind w:firstLine="0" w:firstLineChars="0"/>
              <w:rPr>
                <w:color w:val="auto"/>
              </w:rPr>
            </w:pPr>
            <w:r>
              <w:rPr>
                <w:rFonts w:hint="eastAsia"/>
                <w:color w:val="auto"/>
              </w:rPr>
              <w:t>资格条件审查</w:t>
            </w:r>
          </w:p>
        </w:tc>
        <w:tc>
          <w:tcPr>
            <w:tcW w:w="6769" w:type="dxa"/>
          </w:tcPr>
          <w:p>
            <w:pPr>
              <w:spacing w:line="400" w:lineRule="exact"/>
              <w:ind w:firstLine="0" w:firstLineChars="0"/>
              <w:rPr>
                <w:color w:val="auto"/>
              </w:rPr>
            </w:pPr>
            <w:r>
              <w:rPr>
                <w:rFonts w:hint="eastAsia"/>
                <w:color w:val="auto"/>
              </w:rPr>
              <w:t>1、符合《中华人民共和国政府采购法》第二十二条规定的供应商资格条件。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1" w:type="dxa"/>
            <w:vMerge w:val="continue"/>
          </w:tcPr>
          <w:p>
            <w:pPr>
              <w:spacing w:line="400" w:lineRule="exact"/>
              <w:ind w:firstLine="0" w:firstLineChars="0"/>
              <w:rPr>
                <w:color w:val="auto"/>
              </w:rPr>
            </w:pPr>
          </w:p>
        </w:tc>
        <w:tc>
          <w:tcPr>
            <w:tcW w:w="6769" w:type="dxa"/>
          </w:tcPr>
          <w:p>
            <w:pPr>
              <w:spacing w:line="400" w:lineRule="exact"/>
              <w:ind w:firstLine="0" w:firstLineChars="0"/>
              <w:rPr>
                <w:color w:val="auto"/>
                <w:szCs w:val="21"/>
              </w:rPr>
            </w:pPr>
            <w:r>
              <w:rPr>
                <w:rFonts w:hint="eastAsia"/>
                <w:color w:val="auto"/>
              </w:rPr>
              <w:t>2、供应商未被列入“信用中国”网站（www.creditchina.gov.cn）“</w:t>
            </w:r>
            <w:r>
              <w:rPr>
                <w:rFonts w:hint="eastAsia"/>
                <w:color w:val="auto"/>
                <w:szCs w:val="21"/>
              </w:rPr>
              <w:t>记录失信被执行人或</w:t>
            </w:r>
            <w:r>
              <w:rPr>
                <w:rFonts w:hint="eastAsia"/>
                <w:color w:val="auto"/>
                <w:szCs w:val="21"/>
                <w:lang w:eastAsia="zh-CN"/>
              </w:rPr>
              <w:t>重大税收违法案件当事人名单</w:t>
            </w:r>
            <w:r>
              <w:rPr>
                <w:rFonts w:hint="eastAsia"/>
                <w:color w:val="auto"/>
              </w:rPr>
              <w:t>”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若在开标当天因不可抗力事件导致无法查询且一时无法恢复查询的，可在中标公示期间对中标候选供应商进行事后查询。中标候选供应商被列入失信被执行人、</w:t>
            </w:r>
            <w:r>
              <w:rPr>
                <w:rFonts w:hint="eastAsia"/>
                <w:color w:val="auto"/>
                <w:lang w:eastAsia="zh-CN"/>
              </w:rPr>
              <w:t>重大税收违法案件当事人名单</w:t>
            </w:r>
            <w:r>
              <w:rPr>
                <w:rFonts w:hint="eastAsia"/>
                <w:color w:val="auto"/>
              </w:rPr>
              <w:t>、政府采购严重违法失信行为记录名单的，采购单位将依法取消其中标资格）。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1" w:type="dxa"/>
            <w:vMerge w:val="continue"/>
          </w:tcPr>
          <w:p>
            <w:pPr>
              <w:spacing w:line="400" w:lineRule="exact"/>
              <w:ind w:firstLine="0" w:firstLineChars="0"/>
              <w:rPr>
                <w:color w:val="auto"/>
              </w:rPr>
            </w:pPr>
          </w:p>
        </w:tc>
        <w:tc>
          <w:tcPr>
            <w:tcW w:w="6769" w:type="dxa"/>
          </w:tcPr>
          <w:p>
            <w:pPr>
              <w:spacing w:line="400" w:lineRule="exact"/>
              <w:ind w:firstLine="0" w:firstLineChars="0"/>
              <w:rPr>
                <w:color w:val="auto"/>
              </w:rPr>
            </w:pPr>
            <w:r>
              <w:rPr>
                <w:rFonts w:hint="eastAsia"/>
                <w:color w:val="auto"/>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1" w:type="dxa"/>
            <w:vMerge w:val="continue"/>
          </w:tcPr>
          <w:p>
            <w:pPr>
              <w:spacing w:line="400" w:lineRule="exact"/>
              <w:ind w:firstLine="0" w:firstLineChars="0"/>
              <w:rPr>
                <w:color w:val="auto"/>
              </w:rPr>
            </w:pPr>
          </w:p>
        </w:tc>
        <w:tc>
          <w:tcPr>
            <w:tcW w:w="6769" w:type="dxa"/>
          </w:tcPr>
          <w:p>
            <w:pPr>
              <w:spacing w:line="400" w:lineRule="exact"/>
              <w:ind w:firstLine="0" w:firstLineChars="0"/>
              <w:rPr>
                <w:rFonts w:cs="宋体"/>
                <w:color w:val="auto"/>
              </w:rPr>
            </w:pPr>
            <w:r>
              <w:rPr>
                <w:rFonts w:hint="eastAsia" w:cs="宋体"/>
                <w:color w:val="auto"/>
              </w:rPr>
              <w:t>4、</w:t>
            </w:r>
            <w:r>
              <w:rPr>
                <w:rFonts w:hint="eastAsia"/>
                <w:color w:val="auto"/>
              </w:rPr>
              <w:t>本项目属于专门面向中小企业采购的项目，供应商应为符合《政府采购促进中小企业发展管理办法》（财库﹝2020﹞46号）规定的中小企业（其中，小微企业包括视同为小型、微型企业的监狱企业、残疾人福利性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1" w:type="dxa"/>
            <w:vMerge w:val="continue"/>
          </w:tcPr>
          <w:p>
            <w:pPr>
              <w:spacing w:line="400" w:lineRule="exact"/>
              <w:ind w:firstLine="0" w:firstLineChars="0"/>
              <w:rPr>
                <w:color w:val="auto"/>
              </w:rPr>
            </w:pPr>
          </w:p>
        </w:tc>
        <w:tc>
          <w:tcPr>
            <w:tcW w:w="6769" w:type="dxa"/>
            <w:vAlign w:val="center"/>
          </w:tcPr>
          <w:p>
            <w:pPr>
              <w:spacing w:line="400" w:lineRule="exact"/>
              <w:ind w:firstLine="0" w:firstLineChars="0"/>
              <w:rPr>
                <w:rFonts w:cs="宋体"/>
                <w:color w:val="auto"/>
                <w:szCs w:val="21"/>
              </w:rPr>
            </w:pPr>
            <w:r>
              <w:rPr>
                <w:rFonts w:hint="eastAsia" w:cs="宋体"/>
                <w:color w:val="auto"/>
              </w:rPr>
              <w:t>5、</w:t>
            </w:r>
            <w:r>
              <w:rPr>
                <w:rFonts w:hint="eastAsia" w:cs="宋体"/>
                <w:color w:val="auto"/>
                <w:szCs w:val="21"/>
              </w:rPr>
              <w:t>本项目不接受联合体投标</w:t>
            </w:r>
            <w:r>
              <w:rPr>
                <w:rFonts w:hint="eastAsia"/>
                <w:color w:val="auto"/>
              </w:rPr>
              <w:t>。</w:t>
            </w:r>
          </w:p>
        </w:tc>
      </w:tr>
    </w:tbl>
    <w:p>
      <w:pPr>
        <w:pStyle w:val="235"/>
        <w:numPr>
          <w:ilvl w:val="0"/>
          <w:numId w:val="43"/>
        </w:numPr>
        <w:ind w:firstLineChars="0"/>
        <w:rPr>
          <w:b/>
          <w:color w:val="auto"/>
          <w:szCs w:val="21"/>
        </w:rPr>
      </w:pPr>
      <w:r>
        <w:rPr>
          <w:rFonts w:hint="eastAsia"/>
          <w:b/>
          <w:color w:val="auto"/>
          <w:szCs w:val="21"/>
        </w:rPr>
        <w:t>比较与评价。</w:t>
      </w:r>
      <w:r>
        <w:rPr>
          <w:rFonts w:hint="eastAsia"/>
          <w:color w:val="auto"/>
          <w:szCs w:val="21"/>
        </w:rPr>
        <w:t>评标委员会应当按照采购文件中规定的评标方法和标准，对符合性审查合格的投标文件进行商务和技术评估，综合比较与评价。</w:t>
      </w:r>
    </w:p>
    <w:p>
      <w:pPr>
        <w:pStyle w:val="235"/>
        <w:numPr>
          <w:ilvl w:val="0"/>
          <w:numId w:val="43"/>
        </w:numPr>
        <w:ind w:firstLineChars="0"/>
        <w:rPr>
          <w:b/>
          <w:color w:val="auto"/>
          <w:szCs w:val="21"/>
        </w:rPr>
      </w:pPr>
      <w:r>
        <w:rPr>
          <w:rFonts w:hint="eastAsia"/>
          <w:b/>
          <w:color w:val="auto"/>
          <w:szCs w:val="21"/>
        </w:rPr>
        <w:t>汇总商务技术得分。</w:t>
      </w:r>
      <w:r>
        <w:rPr>
          <w:rFonts w:hint="eastAsia"/>
          <w:color w:val="auto"/>
          <w:szCs w:val="21"/>
        </w:rPr>
        <w:t>评标委员会各成员应当独立对每个供应商的商务和技术文件进行评价，并汇总商务技术得分情况。对明显畸高、畸低的评分（评审小组成员个人主观总评分偏离所有评审小组成员主观总评分平均分30%以上的），评标委员会主任评委应提醒相关评标委员会成员进行复核或书面说明理由，评标委员会成员拒绝说明的，由现场监督员据实记录；评标委员会成员的评审、修改记录应保留原件，随项目其他资料一并存档。评标委员会对需要共同认定的事项存在争议的，按照少数服从多数的原则做出结论。持不同意见的评标委员会成员应当在评审报告上签署不同意见并说明理由，否则视为同意。</w:t>
      </w:r>
    </w:p>
    <w:p>
      <w:pPr>
        <w:pStyle w:val="235"/>
        <w:numPr>
          <w:ilvl w:val="0"/>
          <w:numId w:val="43"/>
        </w:numPr>
        <w:ind w:firstLineChars="0"/>
        <w:rPr>
          <w:color w:val="auto"/>
          <w:szCs w:val="21"/>
        </w:rPr>
      </w:pPr>
      <w:r>
        <w:rPr>
          <w:rFonts w:hint="eastAsia"/>
          <w:color w:val="auto"/>
          <w:szCs w:val="21"/>
        </w:rPr>
        <w:t>报价评审。</w:t>
      </w:r>
    </w:p>
    <w:p>
      <w:pPr>
        <w:pStyle w:val="75"/>
        <w:numPr>
          <w:ilvl w:val="0"/>
          <w:numId w:val="44"/>
        </w:numPr>
        <w:spacing w:before="0"/>
        <w:ind w:firstLineChars="0"/>
        <w:rPr>
          <w:color w:val="auto"/>
          <w:sz w:val="21"/>
          <w:szCs w:val="21"/>
        </w:rPr>
      </w:pPr>
      <w:r>
        <w:rPr>
          <w:rFonts w:hint="eastAsia"/>
          <w:color w:val="auto"/>
          <w:sz w:val="21"/>
          <w:szCs w:val="21"/>
        </w:rPr>
        <w:t>投标文件报价出现前后不一致的，按照下列规定修正：</w:t>
      </w:r>
    </w:p>
    <w:p>
      <w:pPr>
        <w:pStyle w:val="75"/>
        <w:numPr>
          <w:ilvl w:val="0"/>
          <w:numId w:val="45"/>
        </w:numPr>
        <w:spacing w:before="0"/>
        <w:ind w:firstLineChars="0"/>
        <w:rPr>
          <w:color w:val="auto"/>
          <w:sz w:val="21"/>
          <w:szCs w:val="21"/>
        </w:rPr>
      </w:pPr>
      <w:r>
        <w:rPr>
          <w:rFonts w:hint="eastAsia"/>
          <w:color w:val="auto"/>
          <w:sz w:val="21"/>
          <w:szCs w:val="21"/>
        </w:rPr>
        <w:t>投标文件中开标一览表（报价表）内容与投标文件中相应内容不一致的，以开标一览表（报价表）为准；</w:t>
      </w:r>
    </w:p>
    <w:p>
      <w:pPr>
        <w:pStyle w:val="75"/>
        <w:numPr>
          <w:ilvl w:val="0"/>
          <w:numId w:val="45"/>
        </w:numPr>
        <w:spacing w:before="0"/>
        <w:ind w:firstLineChars="0"/>
        <w:rPr>
          <w:color w:val="auto"/>
          <w:sz w:val="21"/>
          <w:szCs w:val="21"/>
        </w:rPr>
      </w:pPr>
      <w:r>
        <w:rPr>
          <w:rFonts w:hint="eastAsia"/>
          <w:color w:val="auto"/>
          <w:sz w:val="21"/>
          <w:szCs w:val="21"/>
        </w:rPr>
        <w:t>大写金额和小写金额不一致的，以大写金额为准；</w:t>
      </w:r>
    </w:p>
    <w:p>
      <w:pPr>
        <w:pStyle w:val="75"/>
        <w:numPr>
          <w:ilvl w:val="0"/>
          <w:numId w:val="45"/>
        </w:numPr>
        <w:spacing w:before="0"/>
        <w:ind w:firstLineChars="0"/>
        <w:rPr>
          <w:color w:val="auto"/>
          <w:sz w:val="21"/>
          <w:szCs w:val="21"/>
        </w:rPr>
      </w:pPr>
      <w:r>
        <w:rPr>
          <w:rFonts w:hint="eastAsia"/>
          <w:color w:val="auto"/>
          <w:sz w:val="21"/>
          <w:szCs w:val="21"/>
        </w:rPr>
        <w:t>单价金额小数点或者百分比有明显错位的，以开标一览表的总价为准，并修改单价；</w:t>
      </w:r>
    </w:p>
    <w:p>
      <w:pPr>
        <w:pStyle w:val="75"/>
        <w:numPr>
          <w:ilvl w:val="0"/>
          <w:numId w:val="45"/>
        </w:numPr>
        <w:spacing w:before="0"/>
        <w:ind w:firstLineChars="0"/>
        <w:rPr>
          <w:color w:val="auto"/>
          <w:sz w:val="21"/>
          <w:szCs w:val="21"/>
        </w:rPr>
      </w:pPr>
      <w:r>
        <w:rPr>
          <w:rFonts w:hint="eastAsia"/>
          <w:color w:val="auto"/>
          <w:sz w:val="21"/>
          <w:szCs w:val="21"/>
        </w:rPr>
        <w:t>总价金额与按单价汇总金额不一致的，以单价金额计算结果为准。</w:t>
      </w:r>
    </w:p>
    <w:p>
      <w:pPr>
        <w:pStyle w:val="75"/>
        <w:numPr>
          <w:ilvl w:val="0"/>
          <w:numId w:val="45"/>
        </w:numPr>
        <w:spacing w:before="0"/>
        <w:ind w:firstLineChars="0"/>
        <w:rPr>
          <w:color w:val="auto"/>
          <w:sz w:val="21"/>
          <w:szCs w:val="21"/>
        </w:rPr>
      </w:pPr>
      <w:r>
        <w:rPr>
          <w:rFonts w:hint="eastAsia"/>
          <w:color w:val="auto"/>
          <w:sz w:val="21"/>
          <w:szCs w:val="21"/>
        </w:rPr>
        <w:t>同时出现两种以上不一致的，按照3.4.1规定的顺序修正。修正后的报价按照财政部第87号令《政府采购货物和服务招标投标管理办法》第五十一条第二款的规定经供应商确认后产生约束力。</w:t>
      </w:r>
    </w:p>
    <w:p>
      <w:pPr>
        <w:pStyle w:val="75"/>
        <w:numPr>
          <w:ilvl w:val="0"/>
          <w:numId w:val="45"/>
        </w:numPr>
        <w:spacing w:before="0"/>
        <w:ind w:firstLineChars="0"/>
        <w:rPr>
          <w:rFonts w:cs="宋体"/>
          <w:color w:val="auto"/>
          <w:kern w:val="0"/>
          <w:sz w:val="21"/>
          <w:szCs w:val="21"/>
        </w:rPr>
      </w:pPr>
      <w:r>
        <w:rPr>
          <w:rFonts w:hint="eastAsia"/>
          <w:color w:val="auto"/>
          <w:sz w:val="21"/>
          <w:szCs w:val="21"/>
        </w:rPr>
        <w:t>浙江政府采购云平台填写的投标报价与浙江政府采购云平台上传的电子投标文件中的投标报价不一致的，以上传的电子投标文件中的投标报价为准。</w:t>
      </w:r>
    </w:p>
    <w:p>
      <w:pPr>
        <w:pStyle w:val="75"/>
        <w:numPr>
          <w:ilvl w:val="0"/>
          <w:numId w:val="44"/>
        </w:numPr>
        <w:spacing w:before="0"/>
        <w:ind w:firstLineChars="0"/>
        <w:rPr>
          <w:color w:val="auto"/>
          <w:sz w:val="21"/>
          <w:szCs w:val="21"/>
        </w:rPr>
      </w:pPr>
      <w:r>
        <w:rPr>
          <w:rFonts w:hint="eastAsia"/>
          <w:color w:val="auto"/>
          <w:sz w:val="21"/>
          <w:szCs w:val="21"/>
        </w:rPr>
        <w:t>投标文件出现不是唯一的、有选择性投标报价的，投标无效。</w:t>
      </w:r>
    </w:p>
    <w:p>
      <w:pPr>
        <w:pStyle w:val="75"/>
        <w:numPr>
          <w:ilvl w:val="0"/>
          <w:numId w:val="44"/>
        </w:numPr>
        <w:spacing w:before="0"/>
        <w:ind w:firstLineChars="0"/>
        <w:rPr>
          <w:color w:val="auto"/>
          <w:sz w:val="21"/>
          <w:szCs w:val="21"/>
        </w:rPr>
      </w:pPr>
      <w:r>
        <w:rPr>
          <w:rFonts w:hint="eastAsia"/>
          <w:color w:val="auto"/>
          <w:sz w:val="21"/>
          <w:szCs w:val="21"/>
        </w:rPr>
        <w:t>投标报价超过采购文件中规定的预算金额或者最高限价的，投标无效。</w:t>
      </w:r>
    </w:p>
    <w:p>
      <w:pPr>
        <w:pStyle w:val="75"/>
        <w:numPr>
          <w:ilvl w:val="0"/>
          <w:numId w:val="44"/>
        </w:numPr>
        <w:spacing w:before="0"/>
        <w:ind w:firstLineChars="0"/>
        <w:rPr>
          <w:color w:val="auto"/>
          <w:sz w:val="21"/>
          <w:szCs w:val="21"/>
        </w:rPr>
      </w:pPr>
      <w:r>
        <w:rPr>
          <w:rFonts w:hint="eastAsia"/>
          <w:color w:val="auto"/>
          <w:sz w:val="21"/>
          <w:szCs w:val="21"/>
        </w:rPr>
        <w:t>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pStyle w:val="235"/>
        <w:numPr>
          <w:ilvl w:val="0"/>
          <w:numId w:val="43"/>
        </w:numPr>
        <w:ind w:firstLineChars="0"/>
        <w:rPr>
          <w:b/>
          <w:color w:val="auto"/>
          <w:szCs w:val="21"/>
        </w:rPr>
      </w:pPr>
      <w:r>
        <w:rPr>
          <w:rFonts w:hint="eastAsia"/>
          <w:b/>
          <w:color w:val="auto"/>
          <w:szCs w:val="21"/>
        </w:rPr>
        <w:t>排序与推荐。</w:t>
      </w:r>
      <w:r>
        <w:rPr>
          <w:rFonts w:hint="eastAsia"/>
          <w:color w:val="auto"/>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排名第一的第一中标候选人，排名第二的第二中标候选人。</w:t>
      </w:r>
    </w:p>
    <w:p>
      <w:pPr>
        <w:ind w:firstLineChars="0"/>
        <w:rPr>
          <w:b/>
          <w:color w:val="auto"/>
          <w:szCs w:val="21"/>
        </w:rPr>
      </w:pPr>
      <w:r>
        <w:rPr>
          <w:rFonts w:hint="eastAsia"/>
          <w:color w:val="auto"/>
          <w:szCs w:val="21"/>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pStyle w:val="235"/>
        <w:numPr>
          <w:ilvl w:val="0"/>
          <w:numId w:val="43"/>
        </w:numPr>
        <w:ind w:firstLineChars="0"/>
        <w:rPr>
          <w:b/>
          <w:color w:val="auto"/>
          <w:szCs w:val="21"/>
        </w:rPr>
      </w:pPr>
      <w:r>
        <w:rPr>
          <w:rFonts w:hint="eastAsia"/>
          <w:b/>
          <w:color w:val="auto"/>
          <w:szCs w:val="21"/>
        </w:rPr>
        <w:t>编写评标报告。</w:t>
      </w:r>
      <w:r>
        <w:rPr>
          <w:rFonts w:hint="eastAsia"/>
          <w:color w:val="auto"/>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35"/>
        <w:numPr>
          <w:ilvl w:val="0"/>
          <w:numId w:val="42"/>
        </w:numPr>
        <w:ind w:firstLineChars="0"/>
        <w:rPr>
          <w:color w:val="auto"/>
          <w:szCs w:val="21"/>
        </w:rPr>
      </w:pPr>
      <w:r>
        <w:rPr>
          <w:rFonts w:hint="eastAsia"/>
          <w:color w:val="auto"/>
          <w:szCs w:val="21"/>
        </w:rPr>
        <w:t>评标中的其他事项</w:t>
      </w:r>
    </w:p>
    <w:p>
      <w:pPr>
        <w:pStyle w:val="75"/>
        <w:numPr>
          <w:ilvl w:val="0"/>
          <w:numId w:val="46"/>
        </w:numPr>
        <w:spacing w:before="0"/>
        <w:ind w:firstLineChars="0"/>
        <w:rPr>
          <w:b/>
          <w:color w:val="auto"/>
          <w:sz w:val="21"/>
          <w:szCs w:val="21"/>
        </w:rPr>
      </w:pPr>
      <w:r>
        <w:rPr>
          <w:rFonts w:hint="eastAsia"/>
          <w:b/>
          <w:color w:val="auto"/>
          <w:sz w:val="21"/>
          <w:szCs w:val="21"/>
        </w:rPr>
        <w:t>供应商澄清、说明或者补正。</w:t>
      </w:r>
      <w:r>
        <w:rPr>
          <w:rFonts w:hint="eastAsia"/>
          <w:color w:val="auto"/>
          <w:sz w:val="21"/>
          <w:szCs w:val="21"/>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pStyle w:val="75"/>
        <w:numPr>
          <w:ilvl w:val="0"/>
          <w:numId w:val="46"/>
        </w:numPr>
        <w:spacing w:before="0"/>
        <w:ind w:firstLineChars="0"/>
        <w:rPr>
          <w:color w:val="auto"/>
          <w:sz w:val="21"/>
          <w:szCs w:val="21"/>
        </w:rPr>
      </w:pPr>
      <w:r>
        <w:rPr>
          <w:rFonts w:hint="eastAsia"/>
          <w:color w:val="auto"/>
          <w:sz w:val="21"/>
          <w:szCs w:val="21"/>
        </w:rPr>
        <w:t>投标无效。有下列情形之一的，投标无效：</w:t>
      </w:r>
    </w:p>
    <w:p>
      <w:pPr>
        <w:pStyle w:val="235"/>
        <w:numPr>
          <w:ilvl w:val="0"/>
          <w:numId w:val="47"/>
        </w:numPr>
        <w:ind w:firstLineChars="0"/>
        <w:rPr>
          <w:color w:val="auto"/>
          <w:szCs w:val="21"/>
        </w:rPr>
      </w:pPr>
      <w:r>
        <w:rPr>
          <w:rFonts w:hint="eastAsia"/>
          <w:color w:val="auto"/>
          <w:szCs w:val="21"/>
        </w:rPr>
        <w:t>供应商不具备采购文件中规定的资格要求的（供应商未提供有效的资格文件的，视为供应商不具备采购文件中规定的资格要求）；</w:t>
      </w:r>
    </w:p>
    <w:p>
      <w:pPr>
        <w:pStyle w:val="235"/>
        <w:numPr>
          <w:ilvl w:val="0"/>
          <w:numId w:val="47"/>
        </w:numPr>
        <w:ind w:firstLineChars="0"/>
        <w:rPr>
          <w:color w:val="auto"/>
          <w:szCs w:val="21"/>
        </w:rPr>
      </w:pPr>
      <w:r>
        <w:rPr>
          <w:rFonts w:hint="eastAsia"/>
          <w:color w:val="auto"/>
          <w:szCs w:val="21"/>
        </w:rPr>
        <w:t>投标文件未按照采购文件要求签署、盖章的；</w:t>
      </w:r>
    </w:p>
    <w:p>
      <w:pPr>
        <w:pStyle w:val="235"/>
        <w:numPr>
          <w:ilvl w:val="0"/>
          <w:numId w:val="47"/>
        </w:numPr>
        <w:ind w:firstLineChars="0"/>
        <w:rPr>
          <w:color w:val="auto"/>
          <w:szCs w:val="21"/>
        </w:rPr>
      </w:pPr>
      <w:r>
        <w:rPr>
          <w:rFonts w:hint="eastAsia"/>
          <w:color w:val="auto"/>
          <w:szCs w:val="21"/>
        </w:rPr>
        <w:t>采购人拟采购的产品属于政府强制采购的节能产品品目清单范围的，供应商相应的投标产品未获得国家确定的认证机构出具的、处于有效期之内的节能产品认证证书的；</w:t>
      </w:r>
    </w:p>
    <w:p>
      <w:pPr>
        <w:pStyle w:val="235"/>
        <w:numPr>
          <w:ilvl w:val="0"/>
          <w:numId w:val="47"/>
        </w:numPr>
        <w:ind w:firstLineChars="0"/>
        <w:rPr>
          <w:rFonts w:cs="宋体"/>
          <w:color w:val="auto"/>
          <w:kern w:val="0"/>
          <w:szCs w:val="21"/>
        </w:rPr>
      </w:pPr>
      <w:r>
        <w:rPr>
          <w:rFonts w:hint="eastAsia"/>
          <w:color w:val="auto"/>
          <w:szCs w:val="21"/>
        </w:rPr>
        <w:t>是否在投标文件中提供投标货物或服务的技术参数或要求。</w:t>
      </w:r>
    </w:p>
    <w:p>
      <w:pPr>
        <w:pStyle w:val="235"/>
        <w:numPr>
          <w:ilvl w:val="0"/>
          <w:numId w:val="47"/>
        </w:numPr>
        <w:ind w:firstLineChars="0"/>
        <w:rPr>
          <w:rFonts w:cs="宋体"/>
          <w:color w:val="auto"/>
          <w:kern w:val="0"/>
          <w:szCs w:val="21"/>
        </w:rPr>
      </w:pPr>
      <w:r>
        <w:rPr>
          <w:rFonts w:hint="eastAsia"/>
          <w:color w:val="auto"/>
          <w:szCs w:val="21"/>
        </w:rPr>
        <w:t>投标文件标明的响应或偏离与事实是否相符或不存在</w:t>
      </w:r>
      <w:r>
        <w:rPr>
          <w:rFonts w:hint="eastAsia" w:cs="宋体"/>
          <w:color w:val="auto"/>
          <w:szCs w:val="21"/>
        </w:rPr>
        <w:t>虚假投标。</w:t>
      </w:r>
    </w:p>
    <w:p>
      <w:pPr>
        <w:pStyle w:val="235"/>
        <w:numPr>
          <w:ilvl w:val="0"/>
          <w:numId w:val="47"/>
        </w:numPr>
        <w:ind w:firstLineChars="0"/>
        <w:rPr>
          <w:rFonts w:cs="宋体"/>
          <w:color w:val="auto"/>
          <w:kern w:val="0"/>
          <w:szCs w:val="21"/>
        </w:rPr>
      </w:pPr>
      <w:r>
        <w:rPr>
          <w:rFonts w:hint="eastAsia"/>
          <w:color w:val="auto"/>
          <w:szCs w:val="21"/>
        </w:rPr>
        <w:t>投标技术方案是否明确，不存在一个或一个以上备选（替代）投标方案。</w:t>
      </w:r>
    </w:p>
    <w:p>
      <w:pPr>
        <w:pStyle w:val="235"/>
        <w:numPr>
          <w:ilvl w:val="0"/>
          <w:numId w:val="47"/>
        </w:numPr>
        <w:ind w:firstLineChars="0"/>
        <w:rPr>
          <w:color w:val="auto"/>
          <w:kern w:val="0"/>
          <w:szCs w:val="21"/>
        </w:rPr>
      </w:pPr>
      <w:r>
        <w:rPr>
          <w:rFonts w:hint="eastAsia"/>
          <w:color w:val="auto"/>
          <w:szCs w:val="21"/>
        </w:rPr>
        <w:t>是否满足招标文件中标注“★”的条款，投标文件中不存在采购人不能接受的附加条件。</w:t>
      </w:r>
    </w:p>
    <w:p>
      <w:pPr>
        <w:pStyle w:val="235"/>
        <w:numPr>
          <w:ilvl w:val="0"/>
          <w:numId w:val="47"/>
        </w:numPr>
        <w:ind w:firstLineChars="0"/>
        <w:rPr>
          <w:rFonts w:cs="宋体"/>
          <w:color w:val="auto"/>
          <w:kern w:val="0"/>
          <w:szCs w:val="21"/>
        </w:rPr>
      </w:pPr>
      <w:r>
        <w:rPr>
          <w:rFonts w:hint="eastAsia"/>
          <w:color w:val="auto"/>
          <w:szCs w:val="21"/>
        </w:rPr>
        <w:t>投标文件的实质性内容是否使用中文表述、表述是否明确、不存在前后矛盾、使用计量单位是否符合招标文件要求（经评标委员会认定并允许其当场更正的笔误除外）。</w:t>
      </w:r>
    </w:p>
    <w:p>
      <w:pPr>
        <w:pStyle w:val="235"/>
        <w:numPr>
          <w:ilvl w:val="0"/>
          <w:numId w:val="47"/>
        </w:numPr>
        <w:ind w:firstLineChars="0"/>
        <w:rPr>
          <w:color w:val="auto"/>
          <w:szCs w:val="21"/>
        </w:rPr>
      </w:pPr>
      <w:r>
        <w:rPr>
          <w:rFonts w:hint="eastAsia"/>
          <w:color w:val="auto"/>
          <w:szCs w:val="21"/>
        </w:rPr>
        <w:t>投标文件含有采购人不能接受的附加条件的；</w:t>
      </w:r>
    </w:p>
    <w:p>
      <w:pPr>
        <w:pStyle w:val="235"/>
        <w:numPr>
          <w:ilvl w:val="0"/>
          <w:numId w:val="47"/>
        </w:numPr>
        <w:ind w:firstLineChars="0"/>
        <w:rPr>
          <w:color w:val="auto"/>
          <w:szCs w:val="21"/>
        </w:rPr>
      </w:pPr>
      <w:r>
        <w:rPr>
          <w:rFonts w:hint="eastAsia"/>
          <w:color w:val="auto"/>
          <w:szCs w:val="21"/>
        </w:rPr>
        <w:t>投标文件中承诺的投标有效期少于采购文件中载明的投标有效期的；</w:t>
      </w:r>
    </w:p>
    <w:p>
      <w:pPr>
        <w:pStyle w:val="235"/>
        <w:numPr>
          <w:ilvl w:val="0"/>
          <w:numId w:val="47"/>
        </w:numPr>
        <w:ind w:firstLineChars="0"/>
        <w:rPr>
          <w:color w:val="auto"/>
          <w:szCs w:val="21"/>
        </w:rPr>
      </w:pPr>
      <w:r>
        <w:rPr>
          <w:rFonts w:hint="eastAsia"/>
          <w:color w:val="auto"/>
          <w:szCs w:val="21"/>
        </w:rPr>
        <w:t>投标文件出现不是唯一的、有选择性投标报价的；</w:t>
      </w:r>
    </w:p>
    <w:p>
      <w:pPr>
        <w:pStyle w:val="235"/>
        <w:numPr>
          <w:ilvl w:val="0"/>
          <w:numId w:val="47"/>
        </w:numPr>
        <w:ind w:firstLineChars="0"/>
        <w:rPr>
          <w:color w:val="auto"/>
          <w:kern w:val="0"/>
          <w:szCs w:val="21"/>
        </w:rPr>
      </w:pPr>
      <w:r>
        <w:rPr>
          <w:rFonts w:hint="eastAsia"/>
          <w:color w:val="auto"/>
          <w:szCs w:val="21"/>
        </w:rPr>
        <w:t>经评标委员会评审，供应商的投标报价是否合理（即不存在平衡报价）。</w:t>
      </w:r>
    </w:p>
    <w:p>
      <w:pPr>
        <w:pStyle w:val="235"/>
        <w:numPr>
          <w:ilvl w:val="0"/>
          <w:numId w:val="47"/>
        </w:numPr>
        <w:ind w:firstLineChars="0"/>
        <w:rPr>
          <w:color w:val="auto"/>
          <w:szCs w:val="21"/>
        </w:rPr>
      </w:pPr>
      <w:r>
        <w:rPr>
          <w:rFonts w:hint="eastAsia"/>
          <w:color w:val="auto"/>
          <w:szCs w:val="21"/>
        </w:rPr>
        <w:t>投标报价超过采购文件中规定的预算金额或者最高限价的；</w:t>
      </w:r>
    </w:p>
    <w:p>
      <w:pPr>
        <w:pStyle w:val="235"/>
        <w:numPr>
          <w:ilvl w:val="0"/>
          <w:numId w:val="47"/>
        </w:numPr>
        <w:ind w:firstLineChars="0"/>
        <w:rPr>
          <w:color w:val="auto"/>
          <w:kern w:val="0"/>
          <w:szCs w:val="21"/>
        </w:rPr>
      </w:pPr>
      <w:r>
        <w:rPr>
          <w:rFonts w:hint="eastAsia"/>
          <w:color w:val="auto"/>
          <w:szCs w:val="21"/>
        </w:rPr>
        <w:t>经评标委员会评审，投标分项报价表中所列内容与技术方案是否存在重大偏离的或投标报价中是否出现重大缺项、漏项。</w:t>
      </w:r>
    </w:p>
    <w:p>
      <w:pPr>
        <w:pStyle w:val="235"/>
        <w:numPr>
          <w:ilvl w:val="0"/>
          <w:numId w:val="47"/>
        </w:numPr>
        <w:ind w:firstLineChars="0"/>
        <w:rPr>
          <w:color w:val="auto"/>
          <w:szCs w:val="21"/>
        </w:rPr>
      </w:pPr>
      <w:r>
        <w:rPr>
          <w:rFonts w:hint="eastAsia"/>
          <w:color w:val="auto"/>
          <w:szCs w:val="21"/>
        </w:rPr>
        <w:t>报价明显低于其他通过符合性审查供应商的报价，有可能影响产品质量或者不能诚信履约的，未能按要求提供书面说明或者提交相关证明材料，不能证明其报价合理性的；</w:t>
      </w:r>
    </w:p>
    <w:p>
      <w:pPr>
        <w:pStyle w:val="235"/>
        <w:numPr>
          <w:ilvl w:val="0"/>
          <w:numId w:val="47"/>
        </w:numPr>
        <w:ind w:firstLineChars="0"/>
        <w:rPr>
          <w:color w:val="auto"/>
          <w:szCs w:val="21"/>
        </w:rPr>
      </w:pPr>
      <w:r>
        <w:rPr>
          <w:rFonts w:hint="eastAsia"/>
          <w:color w:val="auto"/>
          <w:szCs w:val="21"/>
        </w:rPr>
        <w:t>供应商对根据修正原则修正后的报价不确认的；</w:t>
      </w:r>
    </w:p>
    <w:p>
      <w:pPr>
        <w:pStyle w:val="235"/>
        <w:numPr>
          <w:ilvl w:val="0"/>
          <w:numId w:val="47"/>
        </w:numPr>
        <w:ind w:firstLineChars="0"/>
        <w:rPr>
          <w:color w:val="auto"/>
          <w:szCs w:val="21"/>
        </w:rPr>
      </w:pPr>
      <w:r>
        <w:rPr>
          <w:rFonts w:hint="eastAsia"/>
          <w:color w:val="auto"/>
          <w:szCs w:val="21"/>
        </w:rPr>
        <w:t>供应商提供虚假材料投标的；</w:t>
      </w:r>
    </w:p>
    <w:p>
      <w:pPr>
        <w:pStyle w:val="235"/>
        <w:numPr>
          <w:ilvl w:val="0"/>
          <w:numId w:val="47"/>
        </w:numPr>
        <w:ind w:firstLineChars="0"/>
        <w:rPr>
          <w:color w:val="auto"/>
          <w:szCs w:val="21"/>
        </w:rPr>
      </w:pPr>
      <w:r>
        <w:rPr>
          <w:rFonts w:hint="eastAsia"/>
          <w:color w:val="auto"/>
          <w:szCs w:val="21"/>
        </w:rPr>
        <w:t>供应商有恶意串通、妨碍其他供应商的竞争行为、损害采购人或者其他供应商的合法权益情形的；</w:t>
      </w:r>
    </w:p>
    <w:p>
      <w:pPr>
        <w:pStyle w:val="235"/>
        <w:numPr>
          <w:ilvl w:val="0"/>
          <w:numId w:val="47"/>
        </w:numPr>
        <w:ind w:firstLineChars="0"/>
        <w:rPr>
          <w:color w:val="auto"/>
          <w:szCs w:val="21"/>
        </w:rPr>
      </w:pPr>
      <w:r>
        <w:rPr>
          <w:rFonts w:hint="eastAsia"/>
          <w:color w:val="auto"/>
          <w:szCs w:val="21"/>
        </w:rPr>
        <w:t>投标文件不满足采购文件的其它实质性要求的；</w:t>
      </w:r>
    </w:p>
    <w:p>
      <w:pPr>
        <w:pStyle w:val="235"/>
        <w:numPr>
          <w:ilvl w:val="0"/>
          <w:numId w:val="47"/>
        </w:numPr>
        <w:ind w:firstLineChars="0"/>
        <w:rPr>
          <w:color w:val="auto"/>
          <w:szCs w:val="21"/>
        </w:rPr>
      </w:pPr>
      <w:r>
        <w:rPr>
          <w:rFonts w:hint="eastAsia"/>
          <w:color w:val="auto"/>
          <w:szCs w:val="21"/>
        </w:rPr>
        <w:t>法律、法规、规章（适用本市的）及省级以上规范性文件（适用本市的）规定的其他无效情形。</w:t>
      </w:r>
    </w:p>
    <w:p>
      <w:pPr>
        <w:pStyle w:val="3"/>
        <w:numPr>
          <w:ilvl w:val="0"/>
          <w:numId w:val="48"/>
        </w:numPr>
        <w:spacing w:line="360" w:lineRule="auto"/>
        <w:ind w:firstLineChars="0"/>
        <w:rPr>
          <w:color w:val="auto"/>
          <w:sz w:val="21"/>
          <w:szCs w:val="21"/>
        </w:rPr>
      </w:pPr>
      <w:r>
        <w:rPr>
          <w:rFonts w:hint="eastAsia"/>
          <w:color w:val="auto"/>
          <w:sz w:val="21"/>
          <w:szCs w:val="21"/>
        </w:rPr>
        <w:t>废标。</w:t>
      </w:r>
    </w:p>
    <w:p>
      <w:pPr>
        <w:pStyle w:val="3"/>
        <w:spacing w:line="360" w:lineRule="auto"/>
        <w:ind w:firstLine="420" w:firstLineChars="0"/>
        <w:rPr>
          <w:color w:val="auto"/>
          <w:sz w:val="21"/>
          <w:szCs w:val="21"/>
        </w:rPr>
      </w:pPr>
      <w:r>
        <w:rPr>
          <w:rFonts w:hint="eastAsia"/>
          <w:color w:val="auto"/>
          <w:sz w:val="21"/>
          <w:szCs w:val="21"/>
        </w:rPr>
        <w:t>根据《中华人民共和国政府采购法》第三十六条之规定，在采购中，出现下列情形之一的，应予废标：</w:t>
      </w:r>
    </w:p>
    <w:p>
      <w:pPr>
        <w:pStyle w:val="3"/>
        <w:numPr>
          <w:ilvl w:val="0"/>
          <w:numId w:val="49"/>
        </w:numPr>
        <w:spacing w:line="360" w:lineRule="auto"/>
        <w:ind w:firstLineChars="0"/>
        <w:rPr>
          <w:color w:val="auto"/>
          <w:sz w:val="21"/>
          <w:szCs w:val="21"/>
        </w:rPr>
      </w:pPr>
      <w:r>
        <w:rPr>
          <w:rFonts w:hint="eastAsia"/>
          <w:color w:val="auto"/>
          <w:sz w:val="21"/>
          <w:szCs w:val="21"/>
        </w:rPr>
        <w:t>符合专业条件的供应商或者对采购文件作实质响应的供应商不足3家的；</w:t>
      </w:r>
    </w:p>
    <w:p>
      <w:pPr>
        <w:pStyle w:val="3"/>
        <w:numPr>
          <w:ilvl w:val="0"/>
          <w:numId w:val="49"/>
        </w:numPr>
        <w:spacing w:line="360" w:lineRule="auto"/>
        <w:ind w:firstLineChars="0"/>
        <w:rPr>
          <w:color w:val="auto"/>
          <w:sz w:val="21"/>
          <w:szCs w:val="21"/>
        </w:rPr>
      </w:pPr>
      <w:r>
        <w:rPr>
          <w:rFonts w:hint="eastAsia"/>
          <w:color w:val="auto"/>
          <w:sz w:val="21"/>
          <w:szCs w:val="21"/>
        </w:rPr>
        <w:t>出现影响采购公正的违法、违规行为的；</w:t>
      </w:r>
    </w:p>
    <w:p>
      <w:pPr>
        <w:pStyle w:val="3"/>
        <w:numPr>
          <w:ilvl w:val="0"/>
          <w:numId w:val="49"/>
        </w:numPr>
        <w:spacing w:line="360" w:lineRule="auto"/>
        <w:ind w:firstLineChars="0"/>
        <w:rPr>
          <w:color w:val="auto"/>
          <w:sz w:val="21"/>
          <w:szCs w:val="21"/>
        </w:rPr>
      </w:pPr>
      <w:r>
        <w:rPr>
          <w:rFonts w:hint="eastAsia"/>
          <w:color w:val="auto"/>
          <w:sz w:val="21"/>
          <w:szCs w:val="21"/>
        </w:rPr>
        <w:t>供应商的报价均超过了采购预算，采购人不能支付的；</w:t>
      </w:r>
    </w:p>
    <w:p>
      <w:pPr>
        <w:pStyle w:val="3"/>
        <w:numPr>
          <w:ilvl w:val="0"/>
          <w:numId w:val="49"/>
        </w:numPr>
        <w:spacing w:line="360" w:lineRule="auto"/>
        <w:ind w:firstLineChars="0"/>
        <w:rPr>
          <w:color w:val="auto"/>
          <w:sz w:val="21"/>
          <w:szCs w:val="21"/>
        </w:rPr>
      </w:pPr>
      <w:r>
        <w:rPr>
          <w:rFonts w:hint="eastAsia"/>
          <w:color w:val="auto"/>
          <w:sz w:val="21"/>
          <w:szCs w:val="21"/>
        </w:rPr>
        <w:t>因重大变故，采购任务取消的。</w:t>
      </w:r>
    </w:p>
    <w:p>
      <w:pPr>
        <w:pStyle w:val="3"/>
        <w:spacing w:line="360" w:lineRule="auto"/>
        <w:ind w:firstLine="420" w:firstLineChars="0"/>
        <w:rPr>
          <w:color w:val="auto"/>
          <w:sz w:val="21"/>
          <w:szCs w:val="21"/>
        </w:rPr>
      </w:pPr>
      <w:r>
        <w:rPr>
          <w:rFonts w:hint="eastAsia"/>
          <w:color w:val="auto"/>
          <w:sz w:val="21"/>
          <w:szCs w:val="21"/>
        </w:rPr>
        <w:t>废标后，采购代理机构应当将废标理由通知所有供应商。</w:t>
      </w:r>
    </w:p>
    <w:p>
      <w:pPr>
        <w:pStyle w:val="3"/>
        <w:numPr>
          <w:ilvl w:val="0"/>
          <w:numId w:val="48"/>
        </w:numPr>
        <w:spacing w:line="360" w:lineRule="auto"/>
        <w:ind w:firstLineChars="0"/>
        <w:rPr>
          <w:b/>
          <w:color w:val="auto"/>
          <w:sz w:val="21"/>
          <w:szCs w:val="21"/>
        </w:rPr>
      </w:pPr>
      <w:r>
        <w:rPr>
          <w:rFonts w:hint="eastAsia"/>
          <w:b/>
          <w:color w:val="auto"/>
          <w:sz w:val="21"/>
          <w:szCs w:val="21"/>
        </w:rPr>
        <w:t>修改采购文件，重新组织采购活动。</w:t>
      </w:r>
      <w:r>
        <w:rPr>
          <w:rFonts w:hint="eastAsia"/>
          <w:color w:val="auto"/>
          <w:sz w:val="21"/>
          <w:szCs w:val="21"/>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3"/>
        <w:numPr>
          <w:ilvl w:val="0"/>
          <w:numId w:val="48"/>
        </w:numPr>
        <w:spacing w:line="360" w:lineRule="auto"/>
        <w:ind w:firstLineChars="0"/>
        <w:rPr>
          <w:b/>
          <w:color w:val="auto"/>
          <w:sz w:val="21"/>
          <w:szCs w:val="21"/>
        </w:rPr>
      </w:pPr>
      <w:r>
        <w:rPr>
          <w:rFonts w:hint="eastAsia"/>
          <w:b/>
          <w:color w:val="auto"/>
          <w:sz w:val="21"/>
          <w:szCs w:val="21"/>
        </w:rPr>
        <w:t>重新开展采购。</w:t>
      </w:r>
      <w:r>
        <w:rPr>
          <w:rFonts w:hint="eastAsia"/>
          <w:color w:val="auto"/>
          <w:sz w:val="21"/>
          <w:szCs w:val="21"/>
        </w:rPr>
        <w:t>有政府采购法第七十一条、第七十二条规定的违法行为之一，影响或者可能影响中标结果的，依照下列规定处理：</w:t>
      </w:r>
    </w:p>
    <w:p>
      <w:pPr>
        <w:pStyle w:val="3"/>
        <w:numPr>
          <w:ilvl w:val="0"/>
          <w:numId w:val="50"/>
        </w:numPr>
        <w:spacing w:line="360" w:lineRule="auto"/>
        <w:ind w:firstLineChars="0"/>
        <w:rPr>
          <w:color w:val="auto"/>
          <w:sz w:val="21"/>
          <w:szCs w:val="21"/>
        </w:rPr>
      </w:pPr>
      <w:r>
        <w:rPr>
          <w:rFonts w:hint="eastAsia"/>
          <w:color w:val="auto"/>
          <w:sz w:val="21"/>
          <w:szCs w:val="21"/>
        </w:rPr>
        <w:t>未确定中标供应商的，终止本次政府采购活动，重新开展政府采购活动。</w:t>
      </w:r>
    </w:p>
    <w:p>
      <w:pPr>
        <w:pStyle w:val="3"/>
        <w:numPr>
          <w:ilvl w:val="0"/>
          <w:numId w:val="50"/>
        </w:numPr>
        <w:spacing w:line="360" w:lineRule="auto"/>
        <w:ind w:firstLineChars="0"/>
        <w:rPr>
          <w:color w:val="auto"/>
          <w:sz w:val="21"/>
          <w:szCs w:val="21"/>
        </w:rPr>
      </w:pPr>
      <w:r>
        <w:rPr>
          <w:rFonts w:hint="eastAsia"/>
          <w:color w:val="auto"/>
          <w:sz w:val="21"/>
          <w:szCs w:val="21"/>
        </w:rPr>
        <w:t>已确定中标供应商但尚未签订政府采购合同的，中标结果无效，从合格的中标候选人中另行确定中标供应商；没有合格的中标候选人的，重新开展政府采购活动。</w:t>
      </w:r>
    </w:p>
    <w:p>
      <w:pPr>
        <w:pStyle w:val="3"/>
        <w:numPr>
          <w:ilvl w:val="0"/>
          <w:numId w:val="50"/>
        </w:numPr>
        <w:spacing w:line="360" w:lineRule="auto"/>
        <w:ind w:firstLineChars="0"/>
        <w:rPr>
          <w:color w:val="auto"/>
          <w:sz w:val="21"/>
          <w:szCs w:val="21"/>
        </w:rPr>
      </w:pPr>
      <w:r>
        <w:rPr>
          <w:rFonts w:hint="eastAsia"/>
          <w:color w:val="auto"/>
          <w:sz w:val="21"/>
          <w:szCs w:val="21"/>
        </w:rPr>
        <w:t>政府采购合同已签订但尚未履行的，撤销合同，从合格的中标候选人中另行确定中标供应商；没有合格的中标候选人的，重新开展政府采购活动。</w:t>
      </w:r>
    </w:p>
    <w:p>
      <w:pPr>
        <w:pStyle w:val="3"/>
        <w:numPr>
          <w:ilvl w:val="0"/>
          <w:numId w:val="50"/>
        </w:numPr>
        <w:spacing w:line="360" w:lineRule="auto"/>
        <w:ind w:firstLineChars="0"/>
        <w:rPr>
          <w:color w:val="auto"/>
          <w:sz w:val="21"/>
          <w:szCs w:val="21"/>
        </w:rPr>
      </w:pPr>
      <w:r>
        <w:rPr>
          <w:rFonts w:hint="eastAsia"/>
          <w:color w:val="auto"/>
          <w:sz w:val="21"/>
          <w:szCs w:val="21"/>
        </w:rPr>
        <w:t>政府采购合同已经履行，给采购人、供应商造成损失的，由责任人承担赔偿责任。</w:t>
      </w:r>
    </w:p>
    <w:p>
      <w:pPr>
        <w:pStyle w:val="3"/>
        <w:numPr>
          <w:ilvl w:val="0"/>
          <w:numId w:val="50"/>
        </w:numPr>
        <w:spacing w:line="360" w:lineRule="auto"/>
        <w:ind w:firstLineChars="0"/>
        <w:rPr>
          <w:color w:val="auto"/>
          <w:sz w:val="21"/>
          <w:szCs w:val="21"/>
        </w:rPr>
      </w:pPr>
      <w:r>
        <w:rPr>
          <w:rFonts w:hint="eastAsia"/>
          <w:color w:val="auto"/>
          <w:sz w:val="21"/>
          <w:szCs w:val="21"/>
        </w:rPr>
        <w:t>政府采购当事人有其他违反政府采购法或者政府采购法实施条例等法律法规规定的行为，经改正后仍然影响或者可能影响中标结果或者依法被认定为中标无效的，依照7.1-7.4规定处理。</w:t>
      </w:r>
    </w:p>
    <w:bookmarkEnd w:id="65"/>
    <w:p>
      <w:pPr>
        <w:jc w:val="center"/>
        <w:rPr>
          <w:b/>
          <w:color w:val="auto"/>
        </w:rPr>
      </w:pPr>
      <w:bookmarkStart w:id="442" w:name="_Toc23871"/>
      <w:bookmarkStart w:id="443" w:name="_Toc86217003"/>
      <w:bookmarkStart w:id="444" w:name="第五部分"/>
      <w:r>
        <w:rPr>
          <w:rFonts w:hint="eastAsia"/>
          <w:color w:val="auto"/>
        </w:rPr>
        <w:br w:type="page"/>
      </w:r>
      <w:bookmarkStart w:id="445" w:name="_Toc8097"/>
      <w:r>
        <w:rPr>
          <w:rStyle w:val="47"/>
          <w:rFonts w:hint="eastAsia" w:ascii="Arial" w:hAnsi="Arial"/>
          <w:b w:val="0"/>
          <w:color w:val="auto"/>
          <w:sz w:val="36"/>
          <w:szCs w:val="36"/>
        </w:rPr>
        <w:t>第五部分拟签订的合同文本</w:t>
      </w:r>
      <w:bookmarkEnd w:id="442"/>
      <w:bookmarkEnd w:id="445"/>
    </w:p>
    <w:p>
      <w:pPr>
        <w:rPr>
          <w:color w:val="auto"/>
        </w:rPr>
      </w:pPr>
    </w:p>
    <w:p>
      <w:pPr>
        <w:rPr>
          <w:color w:val="auto"/>
        </w:rPr>
      </w:pPr>
    </w:p>
    <w:p>
      <w:pPr>
        <w:rPr>
          <w:color w:val="auto"/>
        </w:rPr>
      </w:pPr>
    </w:p>
    <w:p>
      <w:pPr>
        <w:rPr>
          <w:color w:val="auto"/>
        </w:rPr>
      </w:pPr>
    </w:p>
    <w:p>
      <w:pPr>
        <w:rPr>
          <w:color w:val="auto"/>
          <w:u w:val="single"/>
        </w:rPr>
      </w:pPr>
      <w:r>
        <w:rPr>
          <w:rFonts w:hint="eastAsia"/>
          <w:color w:val="auto"/>
        </w:rPr>
        <w:t>合同编号：</w:t>
      </w:r>
    </w:p>
    <w:p>
      <w:pPr>
        <w:rPr>
          <w:color w:val="auto"/>
        </w:rPr>
      </w:pPr>
    </w:p>
    <w:p>
      <w:pPr>
        <w:rPr>
          <w:color w:val="auto"/>
        </w:rPr>
      </w:pPr>
    </w:p>
    <w:p>
      <w:pPr>
        <w:rPr>
          <w:color w:val="auto"/>
        </w:rPr>
      </w:pPr>
    </w:p>
    <w:p>
      <w:pPr>
        <w:jc w:val="center"/>
        <w:rPr>
          <w:color w:val="auto"/>
        </w:rPr>
      </w:pPr>
      <w:r>
        <w:rPr>
          <w:rFonts w:hint="eastAsia"/>
          <w:color w:val="auto"/>
        </w:rPr>
        <w:t>政府采购合同参考范本</w:t>
      </w:r>
    </w:p>
    <w:p>
      <w:pPr>
        <w:rPr>
          <w:color w:val="auto"/>
        </w:rPr>
      </w:pPr>
      <w:r>
        <w:rPr>
          <w:rFonts w:hint="eastAsia"/>
          <w:color w:val="auto"/>
        </w:rPr>
        <w:t>（服务类）</w:t>
      </w:r>
    </w:p>
    <w:p>
      <w:pPr>
        <w:rPr>
          <w:color w:val="auto"/>
        </w:rPr>
      </w:pPr>
    </w:p>
    <w:p>
      <w:pPr>
        <w:rPr>
          <w:color w:val="auto"/>
        </w:rPr>
      </w:pPr>
    </w:p>
    <w:p>
      <w:pPr>
        <w:rPr>
          <w:color w:val="auto"/>
        </w:rPr>
      </w:pPr>
      <w:r>
        <w:rPr>
          <w:rFonts w:hint="eastAsia"/>
          <w:color w:val="auto"/>
        </w:rPr>
        <w:t>项目名称：</w:t>
      </w:r>
    </w:p>
    <w:p>
      <w:pPr>
        <w:pStyle w:val="80"/>
        <w:ind w:firstLine="480"/>
        <w:rPr>
          <w:color w:val="auto"/>
        </w:rPr>
      </w:pPr>
    </w:p>
    <w:p>
      <w:pPr>
        <w:pStyle w:val="80"/>
        <w:ind w:firstLine="480"/>
        <w:rPr>
          <w:color w:val="auto"/>
        </w:rPr>
      </w:pPr>
    </w:p>
    <w:p>
      <w:pPr>
        <w:rPr>
          <w:color w:val="auto"/>
        </w:rPr>
      </w:pPr>
    </w:p>
    <w:p>
      <w:pPr>
        <w:rPr>
          <w:color w:val="auto"/>
          <w:u w:val="single"/>
        </w:rPr>
      </w:pPr>
      <w:r>
        <w:rPr>
          <w:rFonts w:hint="eastAsia"/>
          <w:color w:val="auto"/>
        </w:rPr>
        <w:t>甲方：</w:t>
      </w:r>
    </w:p>
    <w:p>
      <w:pPr>
        <w:rPr>
          <w:color w:val="auto"/>
        </w:rPr>
      </w:pPr>
    </w:p>
    <w:p>
      <w:pPr>
        <w:rPr>
          <w:color w:val="auto"/>
          <w:u w:val="single"/>
        </w:rPr>
      </w:pPr>
      <w:r>
        <w:rPr>
          <w:rFonts w:hint="eastAsia"/>
          <w:color w:val="auto"/>
        </w:rPr>
        <w:t>乙方：</w:t>
      </w:r>
    </w:p>
    <w:p>
      <w:pPr>
        <w:rPr>
          <w:color w:val="auto"/>
        </w:rPr>
      </w:pPr>
    </w:p>
    <w:p>
      <w:pPr>
        <w:rPr>
          <w:color w:val="auto"/>
          <w:u w:val="single"/>
        </w:rPr>
      </w:pPr>
      <w:r>
        <w:rPr>
          <w:rFonts w:hint="eastAsia"/>
          <w:color w:val="auto"/>
        </w:rPr>
        <w:t>签订地：</w:t>
      </w:r>
    </w:p>
    <w:p>
      <w:pPr>
        <w:rPr>
          <w:color w:val="auto"/>
        </w:rPr>
      </w:pPr>
    </w:p>
    <w:p>
      <w:pPr>
        <w:rPr>
          <w:color w:val="auto"/>
          <w:u w:val="single"/>
        </w:rPr>
      </w:pPr>
      <w:r>
        <w:rPr>
          <w:rFonts w:hint="eastAsia"/>
          <w:color w:val="auto"/>
        </w:rPr>
        <w:t>签订日期：年月日</w:t>
      </w:r>
    </w:p>
    <w:p>
      <w:pPr>
        <w:rPr>
          <w:color w:val="auto"/>
        </w:rPr>
        <w:sectPr>
          <w:pgSz w:w="11907" w:h="16840"/>
          <w:pgMar w:top="1440" w:right="1080" w:bottom="1440" w:left="1080" w:header="851" w:footer="851" w:gutter="0"/>
          <w:pgNumType w:fmt="decimal"/>
          <w:cols w:space="0" w:num="1"/>
        </w:sectPr>
      </w:pPr>
    </w:p>
    <w:p>
      <w:pPr>
        <w:ind w:firstLine="377"/>
        <w:rPr>
          <w:color w:val="auto"/>
          <w:w w:val="90"/>
        </w:rPr>
      </w:pPr>
      <w:r>
        <w:rPr>
          <w:color w:val="auto"/>
          <w:w w:val="90"/>
        </w:rPr>
        <w:t xml:space="preserve">               </w:t>
      </w:r>
      <w:r>
        <w:rPr>
          <w:rFonts w:hint="eastAsia"/>
          <w:color w:val="auto"/>
          <w:w w:val="90"/>
        </w:rPr>
        <w:t>漏损控制服务</w:t>
      </w:r>
      <w:r>
        <w:rPr>
          <w:color w:val="auto"/>
          <w:w w:val="90"/>
        </w:rPr>
        <w:t>项目合同</w:t>
      </w:r>
    </w:p>
    <w:p>
      <w:pPr>
        <w:ind w:firstLine="377"/>
        <w:rPr>
          <w:color w:val="auto"/>
          <w:w w:val="90"/>
        </w:rPr>
      </w:pPr>
    </w:p>
    <w:p>
      <w:pPr>
        <w:rPr>
          <w:rFonts w:ascii="宋体" w:hAnsi="宋体" w:cs="宋体"/>
          <w:color w:val="auto"/>
        </w:rPr>
      </w:pPr>
      <w:r>
        <w:rPr>
          <w:rFonts w:hint="eastAsia" w:ascii="宋体" w:hAnsi="宋体" w:cs="宋体"/>
          <w:color w:val="auto"/>
        </w:rPr>
        <w:t>甲方：</w:t>
      </w:r>
      <w:r>
        <w:rPr>
          <w:rFonts w:hint="eastAsia" w:ascii="宋体" w:hAnsi="宋体" w:cs="宋体"/>
          <w:b/>
          <w:color w:val="auto"/>
          <w:w w:val="90"/>
          <w:u w:val="single"/>
        </w:rPr>
        <w:t xml:space="preserve">                                      </w:t>
      </w:r>
      <w:r>
        <w:rPr>
          <w:rFonts w:hint="eastAsia" w:ascii="宋体" w:hAnsi="宋体" w:cs="宋体"/>
          <w:color w:val="auto"/>
        </w:rPr>
        <w:t xml:space="preserve">   </w:t>
      </w:r>
    </w:p>
    <w:p>
      <w:pPr>
        <w:rPr>
          <w:rFonts w:ascii="宋体" w:hAnsi="宋体" w:cs="宋体"/>
          <w:color w:val="auto"/>
          <w:w w:val="90"/>
        </w:rPr>
      </w:pPr>
      <w:r>
        <w:rPr>
          <w:rFonts w:hint="eastAsia" w:ascii="宋体" w:hAnsi="宋体" w:cs="宋体"/>
          <w:color w:val="auto"/>
          <w:kern w:val="0"/>
        </w:rPr>
        <w:t>乙方：</w:t>
      </w:r>
      <w:r>
        <w:rPr>
          <w:rFonts w:hint="eastAsia" w:ascii="宋体" w:hAnsi="宋体" w:cs="宋体"/>
          <w:color w:val="auto"/>
          <w:kern w:val="0"/>
          <w:u w:val="single"/>
        </w:rPr>
        <w:t xml:space="preserve"> </w:t>
      </w:r>
      <w:r>
        <w:rPr>
          <w:rFonts w:hint="eastAsia" w:ascii="宋体" w:hAnsi="宋体" w:cs="宋体"/>
          <w:color w:val="auto"/>
          <w:w w:val="90"/>
          <w:u w:val="single"/>
        </w:rPr>
        <w:t xml:space="preserve">                                     </w:t>
      </w:r>
      <w:r>
        <w:rPr>
          <w:rFonts w:hint="eastAsia" w:ascii="宋体" w:hAnsi="宋体" w:cs="宋体"/>
          <w:color w:val="auto"/>
          <w:w w:val="90"/>
        </w:rPr>
        <w:t xml:space="preserve">  </w:t>
      </w:r>
    </w:p>
    <w:p>
      <w:pPr>
        <w:rPr>
          <w:rFonts w:ascii="宋体" w:hAnsi="宋体" w:cs="宋体"/>
          <w:color w:val="auto"/>
          <w:szCs w:val="21"/>
        </w:rPr>
      </w:pPr>
      <w:r>
        <w:rPr>
          <w:rFonts w:hint="eastAsia" w:ascii="宋体" w:hAnsi="宋体" w:cs="宋体"/>
          <w:color w:val="auto"/>
        </w:rPr>
        <w:t>本协聚焦城市漏损控制，在双方充分协商，友好沟通后，根据《中华人民共和国民法典》等相关法律法规之规定，就“</w:t>
      </w:r>
      <w:r>
        <w:rPr>
          <w:rFonts w:hint="eastAsia" w:ascii="宋体" w:hAnsi="宋体" w:cs="宋体"/>
          <w:color w:val="auto"/>
          <w:u w:val="single"/>
        </w:rPr>
        <w:t xml:space="preserve">                    </w:t>
      </w:r>
      <w:r>
        <w:rPr>
          <w:rFonts w:hint="eastAsia" w:ascii="宋体" w:hAnsi="宋体" w:cs="宋体"/>
          <w:color w:val="auto"/>
        </w:rPr>
        <w:t>漏损控制服务项目”特订立本合同（以下简称“合同”）。</w:t>
      </w:r>
    </w:p>
    <w:p>
      <w:pPr>
        <w:rPr>
          <w:rFonts w:ascii="宋体" w:hAnsi="宋体" w:cs="宋体"/>
          <w:color w:val="auto"/>
        </w:rPr>
      </w:pPr>
      <w:r>
        <w:rPr>
          <w:rFonts w:hint="eastAsia" w:ascii="宋体" w:hAnsi="宋体" w:cs="宋体"/>
          <w:color w:val="auto"/>
        </w:rPr>
        <w:t>1、项目的名称、内容和目的</w:t>
      </w:r>
    </w:p>
    <w:p>
      <w:pPr>
        <w:rPr>
          <w:rFonts w:ascii="宋体" w:hAnsi="宋体" w:cs="宋体"/>
          <w:color w:val="auto"/>
        </w:rPr>
      </w:pPr>
      <w:r>
        <w:rPr>
          <w:rFonts w:hint="eastAsia" w:ascii="宋体" w:hAnsi="宋体" w:cs="宋体"/>
          <w:color w:val="auto"/>
        </w:rPr>
        <w:t>1.1项目名称：</w:t>
      </w:r>
    </w:p>
    <w:p>
      <w:pPr>
        <w:rPr>
          <w:rFonts w:ascii="宋体" w:hAnsi="宋体" w:cs="宋体"/>
          <w:color w:val="auto"/>
        </w:rPr>
      </w:pPr>
      <w:r>
        <w:rPr>
          <w:rFonts w:hint="eastAsia" w:ascii="宋体" w:hAnsi="宋体" w:cs="宋体"/>
          <w:color w:val="auto"/>
        </w:rPr>
        <w:t>1.2项目目的：控制漏损使产销差率在不反弹的基础上逐步下降。</w:t>
      </w:r>
    </w:p>
    <w:p>
      <w:pPr>
        <w:rPr>
          <w:rFonts w:ascii="宋体" w:hAnsi="宋体" w:cs="宋体"/>
          <w:color w:val="auto"/>
          <w:szCs w:val="21"/>
        </w:rPr>
      </w:pPr>
      <w:r>
        <w:rPr>
          <w:rFonts w:hint="eastAsia" w:ascii="宋体" w:hAnsi="宋体" w:cs="宋体"/>
          <w:color w:val="auto"/>
        </w:rPr>
        <w:t>1.3项目建设内容：包含漏损管控现状分析与指标确定、漏损管控方案设计与实施、管道检漏方案与实施、分区计量优化方案设计与建设、计量表具改造方案与实施、远传设备运维服务方案与实施</w:t>
      </w:r>
      <w:r>
        <w:rPr>
          <w:rFonts w:hint="eastAsia" w:ascii="宋体" w:hAnsi="宋体" w:cs="宋体"/>
          <w:color w:val="auto"/>
          <w:szCs w:val="21"/>
        </w:rPr>
        <w:t>、</w:t>
      </w:r>
      <w:r>
        <w:rPr>
          <w:rFonts w:hint="eastAsia" w:ascii="宋体" w:hAnsi="宋体" w:cs="宋体"/>
          <w:color w:val="auto"/>
        </w:rPr>
        <w:t>控漏培训服务方案与实施</w:t>
      </w:r>
      <w:r>
        <w:rPr>
          <w:rFonts w:hint="eastAsia" w:ascii="宋体" w:hAnsi="宋体" w:cs="宋体"/>
          <w:color w:val="auto"/>
          <w:szCs w:val="21"/>
        </w:rPr>
        <w:t>，</w:t>
      </w:r>
      <w:r>
        <w:rPr>
          <w:rFonts w:hint="eastAsia" w:ascii="宋体" w:hAnsi="宋体" w:cs="宋体"/>
          <w:color w:val="auto"/>
        </w:rPr>
        <w:t>相关终端设备采购、安装、调试与运维等。</w:t>
      </w:r>
    </w:p>
    <w:p>
      <w:pPr>
        <w:rPr>
          <w:rFonts w:ascii="宋体" w:hAnsi="宋体" w:cs="宋体"/>
          <w:color w:val="auto"/>
        </w:rPr>
      </w:pPr>
      <w:r>
        <w:rPr>
          <w:rFonts w:hint="eastAsia" w:ascii="宋体" w:hAnsi="宋体" w:cs="宋体"/>
          <w:color w:val="auto"/>
        </w:rPr>
        <w:t>1.4项目目标：通过项目的实施，在现有</w:t>
      </w:r>
      <w:r>
        <w:rPr>
          <w:rFonts w:hint="eastAsia" w:ascii="宋体" w:hAnsi="宋体" w:cs="宋体"/>
          <w:color w:val="auto"/>
          <w:u w:val="single"/>
        </w:rPr>
        <w:t xml:space="preserve">           </w:t>
      </w:r>
      <w:r>
        <w:rPr>
          <w:rFonts w:hint="eastAsia" w:ascii="宋体" w:hAnsi="宋体" w:cs="宋体"/>
          <w:color w:val="auto"/>
        </w:rPr>
        <w:t>的产销差率上，实现产销差率下降最终达到</w:t>
      </w:r>
      <w:r>
        <w:rPr>
          <w:rFonts w:hint="eastAsia" w:ascii="宋体" w:hAnsi="宋体" w:cs="宋体"/>
          <w:color w:val="auto"/>
          <w:u w:val="single"/>
        </w:rPr>
        <w:t xml:space="preserve">    </w:t>
      </w:r>
      <w:r>
        <w:rPr>
          <w:rFonts w:hint="eastAsia" w:ascii="宋体" w:hAnsi="宋体" w:cs="宋体"/>
          <w:color w:val="auto"/>
        </w:rPr>
        <w:t>左右。</w:t>
      </w:r>
    </w:p>
    <w:p>
      <w:pPr>
        <w:rPr>
          <w:rFonts w:ascii="宋体" w:hAnsi="宋体" w:cs="宋体"/>
          <w:color w:val="auto"/>
        </w:rPr>
      </w:pPr>
      <w:r>
        <w:rPr>
          <w:rFonts w:hint="eastAsia" w:ascii="宋体" w:hAnsi="宋体" w:cs="宋体"/>
          <w:color w:val="auto"/>
        </w:rPr>
        <w:t>1.4项目服务范围：以                    供水区域为限。</w:t>
      </w:r>
    </w:p>
    <w:p>
      <w:pPr>
        <w:rPr>
          <w:rFonts w:ascii="宋体" w:hAnsi="宋体" w:cs="宋体"/>
          <w:color w:val="auto"/>
        </w:rPr>
      </w:pPr>
      <w:r>
        <w:rPr>
          <w:rFonts w:hint="eastAsia" w:ascii="宋体" w:hAnsi="宋体" w:cs="宋体"/>
          <w:color w:val="auto"/>
        </w:rPr>
        <w:t>2、项目的方案设计、实施与产品交付</w:t>
      </w:r>
    </w:p>
    <w:p>
      <w:pPr>
        <w:rPr>
          <w:rFonts w:ascii="宋体" w:hAnsi="宋体" w:cs="宋体"/>
          <w:color w:val="auto"/>
        </w:rPr>
      </w:pPr>
      <w:r>
        <w:rPr>
          <w:rFonts w:hint="eastAsia" w:ascii="宋体" w:hAnsi="宋体" w:cs="宋体"/>
          <w:color w:val="auto"/>
        </w:rPr>
        <w:t>2.1 甲乙双方应当按照项目各方案的要求以及本合同的规定进行本项目的实施，项目的相关需求如附件（一）项目需求一览表所列。</w:t>
      </w:r>
    </w:p>
    <w:p>
      <w:pPr>
        <w:rPr>
          <w:rFonts w:ascii="宋体" w:hAnsi="宋体" w:cs="宋体"/>
          <w:color w:val="auto"/>
        </w:rPr>
      </w:pPr>
      <w:r>
        <w:rPr>
          <w:rFonts w:hint="eastAsia" w:ascii="宋体" w:hAnsi="宋体" w:cs="宋体"/>
          <w:color w:val="auto"/>
        </w:rPr>
        <w:t>2.2 项目各方案一经双方同意批准，双方按方案约定实施，不得修改。如需要优化方案，需经双方协商同意后方可进行，实施内容与计划表见附件（二）</w:t>
      </w:r>
    </w:p>
    <w:p>
      <w:pPr>
        <w:rPr>
          <w:rFonts w:ascii="宋体" w:hAnsi="宋体" w:cs="宋体"/>
          <w:color w:val="auto"/>
        </w:rPr>
      </w:pPr>
      <w:r>
        <w:rPr>
          <w:rFonts w:hint="eastAsia" w:ascii="宋体" w:hAnsi="宋体" w:cs="宋体"/>
          <w:color w:val="auto"/>
        </w:rPr>
        <w:t>2.3 项目采用分期分批交付方式，乙方应按附件（三）约定时间、数量以及要求品牌交付产品，若非不可抗力因素引起交付延误，甲方有权不进行该年度的效益结算。</w:t>
      </w:r>
    </w:p>
    <w:p>
      <w:pPr>
        <w:rPr>
          <w:rFonts w:ascii="宋体" w:hAnsi="宋体" w:cs="宋体"/>
          <w:color w:val="auto"/>
          <w:szCs w:val="21"/>
        </w:rPr>
      </w:pPr>
      <w:r>
        <w:rPr>
          <w:rFonts w:hint="eastAsia" w:ascii="宋体" w:hAnsi="宋体" w:cs="宋体"/>
          <w:color w:val="auto"/>
          <w:szCs w:val="21"/>
        </w:rPr>
        <w:t>3、合同期限及</w:t>
      </w:r>
      <w:r>
        <w:rPr>
          <w:rFonts w:hint="eastAsia" w:ascii="宋体" w:hAnsi="宋体" w:cs="宋体"/>
          <w:color w:val="auto"/>
        </w:rPr>
        <w:t>漏损控制服务费计算日</w:t>
      </w:r>
    </w:p>
    <w:p>
      <w:pPr>
        <w:rPr>
          <w:rFonts w:ascii="宋体" w:hAnsi="宋体" w:cs="宋体"/>
          <w:color w:val="auto"/>
        </w:rPr>
      </w:pPr>
      <w:r>
        <w:rPr>
          <w:rFonts w:hint="eastAsia" w:ascii="宋体" w:hAnsi="宋体" w:cs="宋体"/>
          <w:color w:val="auto"/>
        </w:rPr>
        <w:t>3.1本合同期限为    年，自     年   月   日起至      年   月   日止。</w:t>
      </w:r>
    </w:p>
    <w:p>
      <w:pPr>
        <w:rPr>
          <w:rFonts w:ascii="宋体" w:hAnsi="宋体" w:cs="宋体"/>
          <w:color w:val="auto"/>
        </w:rPr>
      </w:pPr>
      <w:r>
        <w:rPr>
          <w:rFonts w:hint="eastAsia" w:ascii="宋体" w:hAnsi="宋体" w:cs="宋体"/>
          <w:color w:val="auto"/>
        </w:rPr>
        <w:t>3.2当年的</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日至下一年的</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日为一个年度，</w:t>
      </w:r>
      <w:r>
        <w:rPr>
          <w:rFonts w:hint="eastAsia" w:ascii="宋体" w:hAnsi="宋体" w:cs="宋体"/>
          <w:color w:val="auto"/>
          <w:u w:val="single"/>
        </w:rPr>
        <w:t xml:space="preserve">  2024 </w:t>
      </w:r>
      <w:r>
        <w:rPr>
          <w:rFonts w:hint="eastAsia" w:ascii="宋体" w:hAnsi="宋体" w:cs="宋体"/>
          <w:color w:val="auto"/>
        </w:rPr>
        <w:t>年度（</w:t>
      </w:r>
      <w:r>
        <w:rPr>
          <w:rFonts w:hint="eastAsia" w:ascii="宋体" w:hAnsi="宋体" w:cs="宋体"/>
          <w:color w:val="auto"/>
          <w:u w:val="single"/>
        </w:rPr>
        <w:t xml:space="preserve">    </w:t>
      </w:r>
      <w:r>
        <w:rPr>
          <w:rFonts w:hint="eastAsia" w:ascii="宋体" w:hAnsi="宋体" w:cs="宋体"/>
          <w:color w:val="auto"/>
        </w:rPr>
        <w:t xml:space="preserve">年  </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日）为本合同期限的第一年度，以此类推，</w:t>
      </w:r>
      <w:r>
        <w:rPr>
          <w:rFonts w:hint="eastAsia" w:ascii="宋体" w:hAnsi="宋体" w:cs="宋体"/>
          <w:color w:val="auto"/>
          <w:u w:val="single"/>
        </w:rPr>
        <w:t xml:space="preserve">  2025  </w:t>
      </w:r>
      <w:r>
        <w:rPr>
          <w:rFonts w:hint="eastAsia" w:ascii="宋体" w:hAnsi="宋体" w:cs="宋体"/>
          <w:color w:val="auto"/>
        </w:rPr>
        <w:t xml:space="preserve">年度（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日）为本合同期限的第</w:t>
      </w:r>
      <w:r>
        <w:rPr>
          <w:rFonts w:hint="eastAsia" w:ascii="宋体" w:hAnsi="宋体" w:cs="宋体"/>
          <w:color w:val="auto"/>
          <w:u w:val="single"/>
        </w:rPr>
        <w:t xml:space="preserve">   </w:t>
      </w:r>
      <w:r>
        <w:rPr>
          <w:rFonts w:hint="eastAsia" w:ascii="宋体" w:hAnsi="宋体" w:cs="宋体"/>
          <w:color w:val="auto"/>
        </w:rPr>
        <w:t>个年度；每年的</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日为年度产销差率的核算日及漏损控制服务费用的计算日。</w:t>
      </w:r>
    </w:p>
    <w:p>
      <w:pPr>
        <w:rPr>
          <w:rFonts w:ascii="宋体" w:hAnsi="宋体" w:cs="宋体"/>
          <w:color w:val="auto"/>
        </w:rPr>
      </w:pPr>
      <w:r>
        <w:rPr>
          <w:rFonts w:hint="eastAsia" w:ascii="宋体" w:hAnsi="宋体" w:cs="宋体"/>
          <w:color w:val="auto"/>
          <w:szCs w:val="21"/>
        </w:rPr>
        <w:t>4、</w:t>
      </w:r>
      <w:r>
        <w:rPr>
          <w:rFonts w:hint="eastAsia" w:ascii="宋体" w:hAnsi="宋体" w:cs="宋体"/>
          <w:color w:val="auto"/>
        </w:rPr>
        <w:t>漏损控制服务费的计算</w:t>
      </w:r>
    </w:p>
    <w:p>
      <w:pPr>
        <w:rPr>
          <w:rFonts w:ascii="宋体" w:hAnsi="宋体" w:cs="宋体"/>
          <w:color w:val="auto"/>
        </w:rPr>
      </w:pPr>
      <w:r>
        <w:rPr>
          <w:rFonts w:hint="eastAsia" w:ascii="宋体" w:hAnsi="宋体" w:cs="宋体"/>
          <w:color w:val="auto"/>
        </w:rPr>
        <w:t>4.1 本项目的漏损控制服务费为</w:t>
      </w:r>
      <w:r>
        <w:rPr>
          <w:rFonts w:hint="eastAsia" w:ascii="宋体" w:hAnsi="宋体" w:cs="宋体"/>
          <w:color w:val="auto"/>
          <w:u w:val="single"/>
        </w:rPr>
        <w:t xml:space="preserve">       </w:t>
      </w:r>
      <w:r>
        <w:rPr>
          <w:rFonts w:hint="eastAsia" w:ascii="宋体" w:hAnsi="宋体" w:cs="宋体"/>
          <w:color w:val="auto"/>
        </w:rPr>
        <w:t>元。</w:t>
      </w:r>
    </w:p>
    <w:p>
      <w:pPr>
        <w:rPr>
          <w:rFonts w:ascii="宋体" w:hAnsi="宋体" w:cs="宋体"/>
          <w:color w:val="auto"/>
        </w:rPr>
      </w:pPr>
      <w:r>
        <w:rPr>
          <w:rFonts w:hint="eastAsia" w:ascii="宋体" w:hAnsi="宋体" w:cs="宋体"/>
          <w:color w:val="auto"/>
        </w:rPr>
        <w:t xml:space="preserve">4.2 </w:t>
      </w:r>
      <w:r>
        <w:rPr>
          <w:rFonts w:hint="eastAsia" w:ascii="宋体" w:hAnsi="宋体" w:cs="宋体"/>
          <w:color w:val="auto"/>
          <w:u w:val="single"/>
        </w:rPr>
        <w:t xml:space="preserve"> 2024  </w:t>
      </w:r>
      <w:r>
        <w:rPr>
          <w:rFonts w:hint="eastAsia" w:ascii="宋体" w:hAnsi="宋体" w:cs="宋体"/>
          <w:color w:val="auto"/>
        </w:rPr>
        <w:t>年度至</w:t>
      </w:r>
      <w:r>
        <w:rPr>
          <w:rFonts w:hint="eastAsia" w:ascii="宋体" w:hAnsi="宋体" w:cs="宋体"/>
          <w:color w:val="auto"/>
          <w:u w:val="single"/>
        </w:rPr>
        <w:t xml:space="preserve"> 2025  </w:t>
      </w:r>
      <w:r>
        <w:rPr>
          <w:rFonts w:hint="eastAsia" w:ascii="宋体" w:hAnsi="宋体" w:cs="宋体"/>
          <w:color w:val="auto"/>
        </w:rPr>
        <w:t>年度产销差率计算公式：年度产销差率＝(年度供水量－年度销售水量)/年度供水量╳100%。</w:t>
      </w:r>
    </w:p>
    <w:p>
      <w:pPr>
        <w:rPr>
          <w:rFonts w:ascii="宋体" w:hAnsi="宋体" w:cs="宋体"/>
          <w:color w:val="auto"/>
        </w:rPr>
      </w:pPr>
      <w:r>
        <w:rPr>
          <w:rFonts w:hint="eastAsia" w:ascii="宋体" w:hAnsi="宋体" w:cs="宋体"/>
          <w:color w:val="auto"/>
        </w:rPr>
        <w:t>4.3年度供水量及销售水量（含改造中未收费村镇用水量）的统计方式详见附件（四）。</w:t>
      </w:r>
    </w:p>
    <w:p>
      <w:pPr>
        <w:rPr>
          <w:rFonts w:ascii="宋体" w:hAnsi="宋体" w:cs="宋体"/>
          <w:color w:val="auto"/>
        </w:rPr>
      </w:pPr>
      <w:r>
        <w:rPr>
          <w:rFonts w:hint="eastAsia" w:ascii="宋体" w:hAnsi="宋体" w:cs="宋体"/>
          <w:color w:val="auto"/>
        </w:rPr>
        <w:t>4.4年度漏损控制服务费用＝漏损控制服务费╳50%╳考核系数。（每年的基准漏损控制服务费为漏损控制服务费的一半，然后乘以当年的考核系数得到年度的漏损控制服务费用）。如由各分公司分别支付服务费用，则各分公司按比例支付，比例为分公司当年供水量与集团全年供水量的比值。</w:t>
      </w:r>
    </w:p>
    <w:p>
      <w:pPr>
        <w:rPr>
          <w:rFonts w:ascii="宋体" w:hAnsi="宋体" w:cs="宋体"/>
          <w:color w:val="auto"/>
        </w:rPr>
      </w:pPr>
      <w:r>
        <w:rPr>
          <w:rFonts w:hint="eastAsia" w:ascii="宋体" w:hAnsi="宋体" w:cs="宋体"/>
          <w:color w:val="auto"/>
        </w:rPr>
        <w:t>5、实施设备的交付</w:t>
      </w:r>
    </w:p>
    <w:p>
      <w:pPr>
        <w:rPr>
          <w:rFonts w:ascii="宋体" w:hAnsi="宋体" w:cs="宋体"/>
          <w:color w:val="auto"/>
        </w:rPr>
      </w:pPr>
      <w:r>
        <w:rPr>
          <w:rFonts w:hint="eastAsia" w:ascii="宋体" w:hAnsi="宋体" w:cs="宋体"/>
          <w:color w:val="auto"/>
        </w:rPr>
        <w:t>5.1、实施设备采用分期分批交付方式，乙方应按如下时间与数量交付产品：</w:t>
      </w:r>
    </w:p>
    <w:tbl>
      <w:tblPr>
        <w:tblStyle w:val="3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8"/>
        <w:gridCol w:w="966"/>
        <w:gridCol w:w="1291"/>
        <w:gridCol w:w="1110"/>
        <w:gridCol w:w="1245"/>
        <w:gridCol w:w="1230"/>
        <w:gridCol w:w="129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序号</w:t>
            </w:r>
          </w:p>
        </w:tc>
        <w:tc>
          <w:tcPr>
            <w:tcW w:w="966"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交付时间</w:t>
            </w:r>
          </w:p>
        </w:tc>
        <w:tc>
          <w:tcPr>
            <w:tcW w:w="7174" w:type="dxa"/>
            <w:gridSpan w:val="6"/>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交付产品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788"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p>
        </w:tc>
        <w:tc>
          <w:tcPr>
            <w:tcW w:w="966" w:type="dxa"/>
            <w:vMerge w:val="continue"/>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rPr>
              <w:t>流量计远传设备</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rPr>
              <w:t>电磁流量计（压力变送器）</w:t>
            </w:r>
          </w:p>
        </w:tc>
        <w:tc>
          <w:tcPr>
            <w:tcW w:w="124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智能大口径水表</w:t>
            </w:r>
          </w:p>
        </w:tc>
        <w:tc>
          <w:tcPr>
            <w:tcW w:w="123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智能压力计</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智能渗漏预警仪</w:t>
            </w:r>
          </w:p>
        </w:tc>
        <w:tc>
          <w:tcPr>
            <w:tcW w:w="100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电磁水表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78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1</w:t>
            </w:r>
          </w:p>
        </w:tc>
        <w:tc>
          <w:tcPr>
            <w:tcW w:w="96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rPr>
              <w:t>2024.12.31前</w:t>
            </w:r>
          </w:p>
        </w:tc>
        <w:tc>
          <w:tcPr>
            <w:tcW w:w="129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≥20套</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18套</w:t>
            </w:r>
          </w:p>
        </w:tc>
        <w:tc>
          <w:tcPr>
            <w:tcW w:w="124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440套</w:t>
            </w:r>
          </w:p>
        </w:tc>
        <w:tc>
          <w:tcPr>
            <w:tcW w:w="123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20套</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200套</w:t>
            </w:r>
          </w:p>
        </w:tc>
        <w:tc>
          <w:tcPr>
            <w:tcW w:w="100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59套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8" w:hRule="atLeast"/>
          <w:jc w:val="center"/>
        </w:trPr>
        <w:tc>
          <w:tcPr>
            <w:tcW w:w="78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w:t>
            </w:r>
          </w:p>
        </w:tc>
        <w:tc>
          <w:tcPr>
            <w:tcW w:w="96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2025.1.1~</w:t>
            </w:r>
          </w:p>
          <w:p>
            <w:pPr>
              <w:spacing w:line="400" w:lineRule="exact"/>
              <w:ind w:firstLine="0" w:firstLineChars="0"/>
              <w:jc w:val="center"/>
              <w:rPr>
                <w:rFonts w:ascii="宋体" w:hAnsi="宋体" w:cs="宋体"/>
                <w:color w:val="auto"/>
              </w:rPr>
            </w:pPr>
            <w:r>
              <w:rPr>
                <w:rFonts w:hint="eastAsia" w:ascii="宋体" w:hAnsi="宋体" w:cs="宋体"/>
                <w:color w:val="auto"/>
              </w:rPr>
              <w:t>2025.12.31前</w:t>
            </w:r>
          </w:p>
        </w:tc>
        <w:tc>
          <w:tcPr>
            <w:tcW w:w="129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19套</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18套</w:t>
            </w:r>
          </w:p>
        </w:tc>
        <w:tc>
          <w:tcPr>
            <w:tcW w:w="124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440套</w:t>
            </w:r>
          </w:p>
        </w:tc>
        <w:tc>
          <w:tcPr>
            <w:tcW w:w="123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200套</w:t>
            </w:r>
          </w:p>
        </w:tc>
        <w:tc>
          <w:tcPr>
            <w:tcW w:w="100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59套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7" w:hRule="atLeast"/>
          <w:jc w:val="center"/>
        </w:trPr>
        <w:tc>
          <w:tcPr>
            <w:tcW w:w="1754" w:type="dxa"/>
            <w:gridSpan w:val="2"/>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总计</w:t>
            </w:r>
          </w:p>
        </w:tc>
        <w:tc>
          <w:tcPr>
            <w:tcW w:w="129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39套</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36套</w:t>
            </w:r>
          </w:p>
        </w:tc>
        <w:tc>
          <w:tcPr>
            <w:tcW w:w="124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kern w:val="0"/>
              </w:rPr>
              <w:t>≥</w:t>
            </w:r>
            <w:r>
              <w:rPr>
                <w:rFonts w:hint="eastAsia" w:ascii="宋体" w:hAnsi="宋体" w:cs="宋体"/>
                <w:color w:val="auto"/>
              </w:rPr>
              <w:t>880套</w:t>
            </w:r>
          </w:p>
        </w:tc>
        <w:tc>
          <w:tcPr>
            <w:tcW w:w="123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kern w:val="0"/>
              </w:rPr>
              <w:t>≥</w:t>
            </w:r>
            <w:r>
              <w:rPr>
                <w:rFonts w:hint="eastAsia" w:ascii="宋体" w:hAnsi="宋体" w:cs="宋体"/>
                <w:color w:val="auto"/>
              </w:rPr>
              <w:t>20套</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kern w:val="0"/>
              </w:rPr>
              <w:t>≥</w:t>
            </w:r>
            <w:r>
              <w:rPr>
                <w:rFonts w:hint="eastAsia" w:ascii="宋体" w:hAnsi="宋体" w:cs="宋体"/>
                <w:color w:val="auto"/>
              </w:rPr>
              <w:t>400套</w:t>
            </w:r>
          </w:p>
        </w:tc>
        <w:tc>
          <w:tcPr>
            <w:tcW w:w="100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400" w:lineRule="exact"/>
              <w:ind w:firstLine="0" w:firstLineChars="0"/>
              <w:jc w:val="center"/>
              <w:rPr>
                <w:rFonts w:ascii="宋体" w:hAnsi="宋体" w:cs="宋体"/>
                <w:color w:val="auto"/>
                <w:kern w:val="0"/>
              </w:rPr>
            </w:pPr>
            <w:r>
              <w:rPr>
                <w:rFonts w:hint="eastAsia" w:ascii="宋体" w:hAnsi="宋体" w:cs="宋体"/>
                <w:color w:val="auto"/>
                <w:kern w:val="0"/>
              </w:rPr>
              <w:t>≥</w:t>
            </w:r>
            <w:r>
              <w:rPr>
                <w:rFonts w:hint="eastAsia" w:ascii="宋体" w:hAnsi="宋体" w:cs="宋体"/>
                <w:color w:val="auto"/>
              </w:rPr>
              <w:t>118套</w:t>
            </w:r>
          </w:p>
        </w:tc>
      </w:tr>
    </w:tbl>
    <w:p>
      <w:pPr>
        <w:rPr>
          <w:rFonts w:ascii="宋体" w:hAnsi="宋体" w:cs="宋体"/>
          <w:color w:val="auto"/>
        </w:rPr>
      </w:pPr>
      <w:r>
        <w:rPr>
          <w:rFonts w:hint="eastAsia" w:ascii="宋体" w:hAnsi="宋体" w:cs="宋体"/>
          <w:color w:val="auto"/>
        </w:rPr>
        <w:t>注：产品超出数量最高不超过合同约定最低数量的10%</w:t>
      </w:r>
    </w:p>
    <w:p>
      <w:pPr>
        <w:rPr>
          <w:rFonts w:ascii="宋体" w:hAnsi="宋体" w:cs="宋体"/>
          <w:color w:val="auto"/>
        </w:rPr>
      </w:pPr>
      <w:r>
        <w:rPr>
          <w:rFonts w:hint="eastAsia" w:ascii="宋体" w:hAnsi="宋体" w:cs="宋体"/>
          <w:color w:val="auto"/>
        </w:rPr>
        <w:t>5.2、</w:t>
      </w:r>
      <w:r>
        <w:rPr>
          <w:rFonts w:hint="eastAsia" w:ascii="宋体" w:hAnsi="宋体" w:cs="宋体"/>
          <w:color w:val="auto"/>
          <w:szCs w:val="21"/>
        </w:rPr>
        <w:t>如</w:t>
      </w:r>
      <w:r>
        <w:rPr>
          <w:rFonts w:hint="eastAsia" w:ascii="宋体" w:hAnsi="宋体" w:cs="宋体"/>
          <w:color w:val="auto"/>
        </w:rPr>
        <w:t>乙方非不可抗力因素，未能按时间、数量以及要求品牌交付产品，甲方有权不进行本年度的服务费用的结算，根据项目需要，乙方可提前完成投入。</w:t>
      </w:r>
    </w:p>
    <w:p>
      <w:pPr>
        <w:rPr>
          <w:rFonts w:ascii="宋体" w:hAnsi="宋体" w:cs="宋体"/>
          <w:color w:val="auto"/>
        </w:rPr>
      </w:pPr>
      <w:r>
        <w:rPr>
          <w:rFonts w:hint="eastAsia" w:ascii="宋体" w:hAnsi="宋体" w:cs="宋体"/>
          <w:color w:val="auto"/>
        </w:rPr>
        <w:t>5.3、乙方应按合同期内总管网漏点≥1600个进行交付，其中2024年度为≥800个，2025年度为≥800个。若乙方未能达到该年度的漏点个数，须从乙方该年的服务费用中作出相应漏点差额扣除（按2000元/个漏点）。</w:t>
      </w:r>
    </w:p>
    <w:p>
      <w:pPr>
        <w:rPr>
          <w:color w:val="auto"/>
        </w:rPr>
      </w:pPr>
      <w:r>
        <w:rPr>
          <w:rFonts w:hint="eastAsia"/>
          <w:color w:val="auto"/>
        </w:rPr>
        <w:t>远传设备运维服务包括控漏相关的流量计远传设备、电磁流量计、智能大口径水表、智能渗漏预警仪及电磁水表的运维，从发现故障到维护完成应在一周内完成。设备故障进行更换时的零部件由采购人所用设备厂家提供。如出现未能及时进行维护的情况，须从中标人该年的服务费用中作出相应维护费用扣除（按200元/次扣除）</w:t>
      </w:r>
    </w:p>
    <w:p>
      <w:pPr>
        <w:rPr>
          <w:rFonts w:ascii="宋体" w:hAnsi="宋体" w:cs="宋体"/>
          <w:color w:val="auto"/>
        </w:rPr>
      </w:pPr>
      <w:r>
        <w:rPr>
          <w:rFonts w:hint="eastAsia" w:ascii="宋体" w:hAnsi="宋体" w:cs="宋体"/>
          <w:color w:val="auto"/>
        </w:rPr>
        <w:t>5.4、所有权约定：合同有效期内，乙方提供的相关设备的所有权归乙方；项目合同期满所有权归于甲方。</w:t>
      </w:r>
    </w:p>
    <w:p>
      <w:pPr>
        <w:rPr>
          <w:rFonts w:ascii="宋体" w:hAnsi="宋体" w:cs="宋体"/>
          <w:color w:val="auto"/>
        </w:rPr>
      </w:pPr>
      <w:r>
        <w:rPr>
          <w:rFonts w:hint="eastAsia" w:ascii="宋体" w:hAnsi="宋体" w:cs="宋体"/>
          <w:color w:val="auto"/>
        </w:rPr>
        <w:t>5.5、乙方提供所有移交设备（大口径水表除外）2年的质保服务，质保期以设备移交之日起计算。</w:t>
      </w:r>
    </w:p>
    <w:p>
      <w:pPr>
        <w:rPr>
          <w:rFonts w:ascii="宋体" w:hAnsi="宋体" w:cs="宋体"/>
          <w:color w:val="auto"/>
        </w:rPr>
      </w:pPr>
      <w:r>
        <w:rPr>
          <w:rFonts w:hint="eastAsia" w:ascii="宋体" w:hAnsi="宋体" w:cs="宋体"/>
          <w:color w:val="auto"/>
        </w:rPr>
        <w:t xml:space="preserve">6、考核目标和考核系数 </w:t>
      </w:r>
    </w:p>
    <w:p>
      <w:pPr>
        <w:rPr>
          <w:rFonts w:ascii="宋体" w:hAnsi="宋体" w:cs="宋体"/>
          <w:color w:val="auto"/>
        </w:rPr>
      </w:pPr>
      <w:r>
        <w:rPr>
          <w:rFonts w:hint="eastAsia" w:ascii="宋体" w:hAnsi="宋体" w:cs="宋体"/>
          <w:color w:val="auto"/>
        </w:rPr>
        <w:t xml:space="preserve">6.1年度产销差率考核目标要求如下： </w:t>
      </w:r>
    </w:p>
    <w:tbl>
      <w:tblPr>
        <w:tblStyle w:val="37"/>
        <w:tblW w:w="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627" w:type="dxa"/>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年份</w:t>
            </w:r>
          </w:p>
        </w:tc>
        <w:tc>
          <w:tcPr>
            <w:tcW w:w="3110" w:type="dxa"/>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集团考核总目标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627" w:type="dxa"/>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2024</w:t>
            </w:r>
          </w:p>
        </w:tc>
        <w:tc>
          <w:tcPr>
            <w:tcW w:w="3110" w:type="dxa"/>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627" w:type="dxa"/>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2025</w:t>
            </w:r>
          </w:p>
        </w:tc>
        <w:tc>
          <w:tcPr>
            <w:tcW w:w="3110" w:type="dxa"/>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9.5</w:t>
            </w:r>
          </w:p>
        </w:tc>
      </w:tr>
    </w:tbl>
    <w:p>
      <w:pPr>
        <w:pStyle w:val="2"/>
        <w:ind w:firstLine="420"/>
        <w:rPr>
          <w:rFonts w:ascii="宋体" w:hAnsi="宋体" w:cs="宋体"/>
          <w:color w:val="auto"/>
        </w:rPr>
      </w:pPr>
      <w:r>
        <w:rPr>
          <w:rFonts w:hint="eastAsia" w:ascii="宋体" w:hAnsi="宋体" w:cs="宋体"/>
          <w:color w:val="auto"/>
          <w:sz w:val="21"/>
        </w:rPr>
        <w:t>6.2 考核系数如下表约定：</w:t>
      </w:r>
    </w:p>
    <w:tbl>
      <w:tblPr>
        <w:tblStyle w:val="37"/>
        <w:tblW w:w="8192" w:type="dxa"/>
        <w:jc w:val="center"/>
        <w:tblLayout w:type="fixed"/>
        <w:tblCellMar>
          <w:top w:w="0" w:type="dxa"/>
          <w:left w:w="108" w:type="dxa"/>
          <w:bottom w:w="0" w:type="dxa"/>
          <w:right w:w="108" w:type="dxa"/>
        </w:tblCellMar>
      </w:tblPr>
      <w:tblGrid>
        <w:gridCol w:w="1282"/>
        <w:gridCol w:w="2170"/>
        <w:gridCol w:w="2550"/>
        <w:gridCol w:w="2190"/>
      </w:tblGrid>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年份</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目标产销差</w:t>
            </w:r>
          </w:p>
        </w:tc>
        <w:tc>
          <w:tcPr>
            <w:tcW w:w="255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当年产销差（M）</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考核系数</w:t>
            </w:r>
          </w:p>
        </w:tc>
      </w:tr>
      <w:tr>
        <w:tblPrEx>
          <w:tblCellMar>
            <w:top w:w="0" w:type="dxa"/>
            <w:left w:w="108" w:type="dxa"/>
            <w:bottom w:w="0" w:type="dxa"/>
            <w:right w:w="108" w:type="dxa"/>
          </w:tblCellMar>
        </w:tblPrEx>
        <w:trPr>
          <w:trHeight w:val="40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p>
        </w:tc>
        <w:tc>
          <w:tcPr>
            <w:tcW w:w="255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ascii="宋体" w:hAnsi="宋体" w:cs="宋体"/>
                <w:color w:val="auto"/>
              </w:rPr>
            </w:pPr>
          </w:p>
        </w:tc>
      </w:tr>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2024</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M&gt;15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lang w:bidi="ar"/>
              </w:rPr>
              <w:t>0</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13＜M≤15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11＜M≤13</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0.8</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10＜M≤11</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lang w:bidi="ar"/>
              </w:rPr>
              <w:t>1</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9＜M≤10</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M≤9</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1.1</w:t>
            </w:r>
          </w:p>
        </w:tc>
      </w:tr>
      <w:tr>
        <w:tblPrEx>
          <w:tblCellMar>
            <w:top w:w="0" w:type="dxa"/>
            <w:left w:w="108" w:type="dxa"/>
            <w:bottom w:w="0" w:type="dxa"/>
            <w:right w:w="108" w:type="dxa"/>
          </w:tblCellMar>
        </w:tblPrEx>
        <w:trPr>
          <w:trHeight w:val="51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2025</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rPr>
              <w:t>9.5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M&gt;</w:t>
            </w:r>
            <w:r>
              <w:rPr>
                <w:rFonts w:hint="eastAsia" w:ascii="宋体" w:hAnsi="宋体" w:cs="宋体"/>
                <w:color w:val="auto"/>
              </w:rPr>
              <w:t>13.5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lang w:bidi="ar"/>
              </w:rPr>
              <w:t>0</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rPr>
              <w:t>11.5</w:t>
            </w:r>
            <w:r>
              <w:rPr>
                <w:rFonts w:hint="eastAsia" w:ascii="宋体" w:hAnsi="宋体" w:cs="宋体"/>
                <w:color w:val="auto"/>
                <w:lang w:bidi="ar"/>
              </w:rPr>
              <w:t>＜M≤</w:t>
            </w:r>
            <w:r>
              <w:rPr>
                <w:rFonts w:hint="eastAsia" w:ascii="宋体" w:hAnsi="宋体" w:cs="宋体"/>
                <w:color w:val="auto"/>
              </w:rPr>
              <w:t>13.5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9.5＜M≤</w:t>
            </w:r>
            <w:r>
              <w:rPr>
                <w:rFonts w:hint="eastAsia" w:ascii="宋体" w:hAnsi="宋体" w:cs="宋体"/>
                <w:color w:val="auto"/>
              </w:rPr>
              <w:t>11.5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0.8</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8.5＜M≤9.5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r>
              <w:rPr>
                <w:rFonts w:hint="eastAsia" w:ascii="宋体" w:hAnsi="宋体" w:cs="宋体"/>
                <w:color w:val="auto"/>
                <w:lang w:bidi="ar"/>
              </w:rPr>
              <w:t>1</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7.5＜M≤8.5</w:t>
            </w:r>
          </w:p>
        </w:tc>
        <w:tc>
          <w:tcPr>
            <w:tcW w:w="2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1.05</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color w:val="auto"/>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color w:val="auto"/>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M≤7.5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firstLine="0" w:firstLineChars="0"/>
              <w:jc w:val="center"/>
              <w:rPr>
                <w:rFonts w:ascii="宋体" w:hAnsi="宋体" w:cs="宋体"/>
                <w:bCs/>
                <w:color w:val="auto"/>
              </w:rPr>
            </w:pPr>
            <w:r>
              <w:rPr>
                <w:rFonts w:hint="eastAsia" w:ascii="宋体" w:hAnsi="宋体" w:cs="宋体"/>
                <w:color w:val="auto"/>
                <w:lang w:bidi="ar"/>
              </w:rPr>
              <w:t>1.1</w:t>
            </w:r>
          </w:p>
        </w:tc>
      </w:tr>
    </w:tbl>
    <w:p>
      <w:pPr>
        <w:rPr>
          <w:rFonts w:ascii="宋体" w:hAnsi="宋体" w:cs="宋体"/>
          <w:color w:val="auto"/>
        </w:rPr>
      </w:pPr>
      <w:r>
        <w:rPr>
          <w:rFonts w:hint="eastAsia" w:ascii="宋体" w:hAnsi="宋体" w:cs="宋体"/>
          <w:color w:val="auto"/>
        </w:rPr>
        <w:t>注：考核系数为0时，甲方有权终止合作并不予支付当年服务费，乙方已投入的相关设备、软件应作移交，所有权归甲方所有。</w:t>
      </w:r>
    </w:p>
    <w:p>
      <w:pPr>
        <w:rPr>
          <w:rFonts w:ascii="宋体" w:hAnsi="宋体" w:cs="宋体"/>
          <w:color w:val="auto"/>
          <w:szCs w:val="21"/>
        </w:rPr>
      </w:pPr>
      <w:r>
        <w:rPr>
          <w:rFonts w:hint="eastAsia" w:ascii="宋体" w:hAnsi="宋体" w:cs="宋体"/>
          <w:color w:val="auto"/>
          <w:szCs w:val="21"/>
        </w:rPr>
        <w:t>7、</w:t>
      </w:r>
      <w:r>
        <w:rPr>
          <w:rFonts w:hint="eastAsia" w:ascii="宋体" w:hAnsi="宋体" w:cs="宋体"/>
          <w:color w:val="auto"/>
        </w:rPr>
        <w:t>漏损控制服务费的给付</w:t>
      </w:r>
    </w:p>
    <w:p>
      <w:pPr>
        <w:rPr>
          <w:rFonts w:ascii="宋体" w:hAnsi="宋体" w:cs="宋体"/>
          <w:color w:val="auto"/>
        </w:rPr>
      </w:pPr>
      <w:r>
        <w:rPr>
          <w:rFonts w:hint="eastAsia" w:ascii="宋体" w:hAnsi="宋体" w:cs="宋体"/>
          <w:color w:val="auto"/>
        </w:rPr>
        <w:t>7.1 甲乙双方漏损控制服务费结算完成且乙方提供等额正式发票后15日内，甲方一次性向乙方支付节漏损控制服务费。</w:t>
      </w:r>
    </w:p>
    <w:p>
      <w:pPr>
        <w:rPr>
          <w:rFonts w:ascii="宋体" w:hAnsi="宋体" w:cs="宋体"/>
          <w:color w:val="auto"/>
        </w:rPr>
      </w:pPr>
      <w:r>
        <w:rPr>
          <w:rFonts w:hint="eastAsia" w:ascii="宋体" w:hAnsi="宋体" w:cs="宋体"/>
          <w:color w:val="auto"/>
        </w:rPr>
        <w:t>7.2漏损控制服务费款项汇入乙方指定账户：</w:t>
      </w:r>
    </w:p>
    <w:p>
      <w:pPr>
        <w:rPr>
          <w:rFonts w:ascii="宋体" w:hAnsi="宋体" w:cs="宋体"/>
          <w:color w:val="auto"/>
        </w:rPr>
      </w:pPr>
      <w:r>
        <w:rPr>
          <w:rFonts w:hint="eastAsia" w:ascii="宋体" w:hAnsi="宋体" w:cs="宋体"/>
          <w:color w:val="auto"/>
        </w:rPr>
        <w:t xml:space="preserve">  户 名：</w:t>
      </w:r>
    </w:p>
    <w:p>
      <w:pPr>
        <w:rPr>
          <w:rFonts w:ascii="宋体" w:hAnsi="宋体" w:cs="宋体"/>
          <w:color w:val="auto"/>
        </w:rPr>
      </w:pPr>
      <w:r>
        <w:rPr>
          <w:rFonts w:hint="eastAsia" w:ascii="宋体" w:hAnsi="宋体" w:cs="宋体"/>
          <w:color w:val="auto"/>
        </w:rPr>
        <w:t xml:space="preserve">  开户行：</w:t>
      </w:r>
    </w:p>
    <w:p>
      <w:pPr>
        <w:rPr>
          <w:rFonts w:ascii="宋体" w:hAnsi="宋体" w:cs="宋体"/>
          <w:color w:val="auto"/>
        </w:rPr>
      </w:pPr>
      <w:r>
        <w:rPr>
          <w:rFonts w:hint="eastAsia" w:ascii="宋体" w:hAnsi="宋体" w:cs="宋体"/>
          <w:color w:val="auto"/>
        </w:rPr>
        <w:t xml:space="preserve">  账 号：</w:t>
      </w:r>
    </w:p>
    <w:p>
      <w:pPr>
        <w:rPr>
          <w:rFonts w:ascii="宋体" w:hAnsi="宋体" w:cs="宋体"/>
          <w:color w:val="auto"/>
        </w:rPr>
      </w:pPr>
      <w:r>
        <w:rPr>
          <w:rFonts w:hint="eastAsia" w:ascii="宋体" w:hAnsi="宋体" w:cs="宋体"/>
          <w:color w:val="auto"/>
        </w:rPr>
        <w:t>8、甲方的义务和责任</w:t>
      </w:r>
    </w:p>
    <w:p>
      <w:pPr>
        <w:rPr>
          <w:rFonts w:ascii="宋体" w:hAnsi="宋体" w:cs="宋体"/>
          <w:color w:val="auto"/>
        </w:rPr>
      </w:pPr>
      <w:r>
        <w:rPr>
          <w:rFonts w:hint="eastAsia" w:ascii="宋体" w:hAnsi="宋体" w:cs="宋体"/>
          <w:color w:val="auto"/>
        </w:rPr>
        <w:t>8.1 如根据相关的法律法规，或者是基于任何有权的第三方的要求，本项目的实施必须由甲方向相应的政府机构或者其他第三方申请许可、同意或者批准，甲方应当根据乙方的请求，及时申请该等许可、同意或者是批准，并在本合同期间保持其有效性。甲方也应当根据乙方的合理要求，协助其获得其他为实施本项目所必需的许可、同意或者是批准。</w:t>
      </w:r>
    </w:p>
    <w:p>
      <w:pPr>
        <w:rPr>
          <w:rFonts w:ascii="宋体" w:hAnsi="宋体" w:cs="宋体"/>
          <w:color w:val="auto"/>
        </w:rPr>
      </w:pPr>
      <w:r>
        <w:rPr>
          <w:rFonts w:hint="eastAsia" w:ascii="宋体" w:hAnsi="宋体" w:cs="宋体"/>
          <w:color w:val="auto"/>
        </w:rPr>
        <w:t>8.2 甲方应当根据乙方的合理要求，及时提供本项目设计和实施所必须的资料和数据，并确保其真实、准确、完整。</w:t>
      </w:r>
    </w:p>
    <w:p>
      <w:pPr>
        <w:rPr>
          <w:rFonts w:ascii="宋体" w:hAnsi="宋体" w:cs="宋体"/>
          <w:color w:val="auto"/>
        </w:rPr>
      </w:pPr>
      <w:r>
        <w:rPr>
          <w:rFonts w:hint="eastAsia" w:ascii="宋体" w:hAnsi="宋体" w:cs="宋体"/>
          <w:color w:val="auto"/>
        </w:rPr>
        <w:t>8.3 提供漏损控制服务项目实施所需要的现场条件和必要的协助，如清理施工现场、合理调整生产、设备试运行等。</w:t>
      </w:r>
    </w:p>
    <w:p>
      <w:pPr>
        <w:rPr>
          <w:rFonts w:ascii="宋体" w:hAnsi="宋体" w:cs="宋体"/>
          <w:color w:val="auto"/>
        </w:rPr>
      </w:pPr>
      <w:r>
        <w:rPr>
          <w:rFonts w:hint="eastAsia" w:ascii="宋体" w:hAnsi="宋体" w:cs="宋体"/>
          <w:color w:val="auto"/>
        </w:rPr>
        <w:t>8.4 甲方应提供必要的资料，配合乙方开展产销差率与漏损水量的测量和验证。</w:t>
      </w:r>
    </w:p>
    <w:p>
      <w:pPr>
        <w:rPr>
          <w:rFonts w:ascii="宋体" w:hAnsi="宋体" w:cs="宋体"/>
          <w:color w:val="auto"/>
        </w:rPr>
      </w:pPr>
      <w:r>
        <w:rPr>
          <w:rFonts w:hint="eastAsia" w:ascii="宋体" w:hAnsi="宋体" w:cs="宋体"/>
          <w:color w:val="auto"/>
        </w:rPr>
        <w:t>8.5 漏损控制服务期间，如设备发生故障、损坏和丢失，甲方应在得知此情况后及时书面通知乙方，配合乙方对设备进行维修和监管。</w:t>
      </w:r>
    </w:p>
    <w:p>
      <w:pPr>
        <w:rPr>
          <w:rFonts w:ascii="宋体" w:hAnsi="宋体" w:cs="宋体"/>
          <w:color w:val="auto"/>
        </w:rPr>
      </w:pPr>
      <w:r>
        <w:rPr>
          <w:rFonts w:hint="eastAsia" w:ascii="宋体" w:hAnsi="宋体" w:cs="宋体"/>
          <w:color w:val="auto"/>
        </w:rPr>
        <w:t>8.6 甲方应保证与项目相关的设备、设施连续稳定运行且运行状况良好。</w:t>
      </w:r>
    </w:p>
    <w:p>
      <w:pPr>
        <w:rPr>
          <w:rFonts w:ascii="宋体" w:hAnsi="宋体" w:cs="宋体"/>
          <w:color w:val="auto"/>
        </w:rPr>
      </w:pPr>
      <w:r>
        <w:rPr>
          <w:rFonts w:hint="eastAsia" w:ascii="宋体" w:hAnsi="宋体" w:cs="宋体"/>
          <w:color w:val="auto"/>
        </w:rPr>
        <w:t>8.7 甲方应当将与项目有关的其内部规章制度和特殊安全规定要求及时提前告知乙方、乙方的工作人员或其聘请的第三方，并根据需要提供防护用品。</w:t>
      </w:r>
    </w:p>
    <w:p>
      <w:pPr>
        <w:rPr>
          <w:rFonts w:ascii="宋体" w:hAnsi="宋体" w:cs="宋体"/>
          <w:color w:val="auto"/>
        </w:rPr>
      </w:pPr>
      <w:r>
        <w:rPr>
          <w:rFonts w:hint="eastAsia" w:ascii="宋体" w:hAnsi="宋体" w:cs="宋体"/>
          <w:color w:val="auto"/>
        </w:rPr>
        <w:t>8.8 甲方应当协助乙方向有关政府机构或者组织申请与项目相关的补助、奖励或其他可适用的优惠政策。</w:t>
      </w:r>
    </w:p>
    <w:p>
      <w:pPr>
        <w:rPr>
          <w:rFonts w:ascii="宋体" w:hAnsi="宋体" w:cs="宋体"/>
          <w:color w:val="auto"/>
        </w:rPr>
      </w:pPr>
      <w:r>
        <w:rPr>
          <w:rFonts w:hint="eastAsia" w:ascii="宋体" w:hAnsi="宋体" w:cs="宋体"/>
          <w:color w:val="auto"/>
        </w:rPr>
        <w:t>8.9甲方负责漏损控制方案中管理措施的落实执行、提供安装附属件及各类设备的安装、管道抢修与改造等工作及所需人员、资金。</w:t>
      </w:r>
    </w:p>
    <w:p>
      <w:pPr>
        <w:rPr>
          <w:rFonts w:ascii="宋体" w:hAnsi="宋体" w:cs="宋体"/>
          <w:color w:val="auto"/>
        </w:rPr>
      </w:pPr>
      <w:r>
        <w:rPr>
          <w:rFonts w:hint="eastAsia" w:ascii="宋体" w:hAnsi="宋体" w:cs="宋体"/>
          <w:color w:val="auto"/>
        </w:rPr>
        <w:t>8.10漏损控制服务期间，甲方应逐步完成更换超期服役表具，普查探测管网并建立GIS系统，普查用户及水表并升级营收系统(纳入表务管理)，及时进行漏损修复，以及工程安装(大小表、流量计) ，各类可疑漏损日常排查。</w:t>
      </w:r>
    </w:p>
    <w:p>
      <w:pPr>
        <w:rPr>
          <w:rFonts w:ascii="宋体" w:hAnsi="宋体" w:cs="宋体"/>
          <w:color w:val="auto"/>
        </w:rPr>
      </w:pPr>
      <w:r>
        <w:rPr>
          <w:rFonts w:hint="eastAsia" w:ascii="宋体" w:hAnsi="宋体" w:cs="宋体"/>
          <w:color w:val="auto"/>
        </w:rPr>
        <w:t>8.10漏损控制服务期间，甲方还应配备足额人员，建立基于产销差率控制的奖惩制度，配合各项漏控措施及管理措施执行，日常整理各项数据资料以供分析，为乙方实施和管理本合同项下的项目提供必要的协助，在合同的有效期内，为乙方维护、检测、修理项目设施和设备提供便利，保证抄表准确性和及时性。</w:t>
      </w:r>
    </w:p>
    <w:p>
      <w:pPr>
        <w:rPr>
          <w:rFonts w:ascii="宋体" w:hAnsi="宋体" w:cs="宋体"/>
          <w:color w:val="auto"/>
        </w:rPr>
      </w:pPr>
      <w:r>
        <w:rPr>
          <w:rFonts w:hint="eastAsia" w:ascii="宋体" w:hAnsi="宋体" w:cs="宋体"/>
          <w:color w:val="auto"/>
        </w:rPr>
        <w:t>8.11乙方经甲方同意后可接触与本项目有关的甲方设备和设施；经甲方同意后，乙方方可调取历年水厂出厂水、原水流量数据，以及营销系统抄表、售水与水量数据，以备数据分析与核查。</w:t>
      </w:r>
    </w:p>
    <w:p>
      <w:pPr>
        <w:rPr>
          <w:rFonts w:ascii="宋体" w:hAnsi="宋体" w:cs="宋体"/>
          <w:color w:val="auto"/>
        </w:rPr>
      </w:pPr>
      <w:r>
        <w:rPr>
          <w:rFonts w:hint="eastAsia" w:ascii="宋体" w:hAnsi="宋体" w:cs="宋体"/>
          <w:color w:val="auto"/>
        </w:rPr>
        <w:t>8.13合同规定的其他义务和责任。</w:t>
      </w:r>
    </w:p>
    <w:p>
      <w:pPr>
        <w:rPr>
          <w:rFonts w:ascii="宋体" w:hAnsi="宋体" w:cs="宋体"/>
          <w:color w:val="auto"/>
        </w:rPr>
      </w:pPr>
      <w:r>
        <w:rPr>
          <w:rFonts w:hint="eastAsia" w:ascii="宋体" w:hAnsi="宋体" w:cs="宋体"/>
          <w:color w:val="auto"/>
        </w:rPr>
        <w:t>9、乙方的义务和责任</w:t>
      </w:r>
    </w:p>
    <w:p>
      <w:pPr>
        <w:rPr>
          <w:rFonts w:ascii="宋体" w:hAnsi="宋体" w:cs="宋体"/>
          <w:color w:val="auto"/>
        </w:rPr>
      </w:pPr>
      <w:r>
        <w:rPr>
          <w:rFonts w:hint="eastAsia" w:ascii="宋体" w:hAnsi="宋体" w:cs="宋体"/>
          <w:color w:val="auto"/>
        </w:rPr>
        <w:t>9.1乙方应当按照项目方案文件规定的技术标准和要求以及本合同的规定，自行或者通过经甲方批准的第三方按时完成本项目的方案设计、建设、运营以及维护</w:t>
      </w:r>
    </w:p>
    <w:p>
      <w:pPr>
        <w:rPr>
          <w:rFonts w:ascii="宋体" w:hAnsi="宋体" w:cs="宋体"/>
          <w:color w:val="auto"/>
        </w:rPr>
      </w:pPr>
      <w:r>
        <w:rPr>
          <w:rFonts w:hint="eastAsia" w:ascii="宋体" w:hAnsi="宋体" w:cs="宋体"/>
          <w:color w:val="auto"/>
        </w:rPr>
        <w:t>9.2 乙方应当确保其工作人员和其聘请的第三方严格遵守甲方有关施工场地安全和卫生等方面的规定，并听从甲方合理的现场指挥。</w:t>
      </w:r>
    </w:p>
    <w:p>
      <w:pPr>
        <w:rPr>
          <w:rFonts w:ascii="宋体" w:hAnsi="宋体" w:cs="宋体"/>
          <w:color w:val="auto"/>
        </w:rPr>
      </w:pPr>
      <w:r>
        <w:rPr>
          <w:rFonts w:hint="eastAsia" w:ascii="宋体" w:hAnsi="宋体" w:cs="宋体"/>
          <w:color w:val="auto"/>
        </w:rPr>
        <w:t>9.3 乙方应当依照相关规定，对甲方指派的操作人员进行培训，以使其能承担相应的操作和设施维护要求。</w:t>
      </w:r>
    </w:p>
    <w:p>
      <w:pPr>
        <w:rPr>
          <w:rFonts w:ascii="宋体" w:hAnsi="宋体" w:cs="宋体"/>
          <w:color w:val="auto"/>
        </w:rPr>
      </w:pPr>
      <w:r>
        <w:rPr>
          <w:rFonts w:hint="eastAsia" w:ascii="宋体" w:hAnsi="宋体" w:cs="宋体"/>
          <w:color w:val="auto"/>
        </w:rPr>
        <w:t>9.4 乙方应当根据相应的法律法规的要求，申请除必须由甲方申请之外的有关项目的许可、批准和同意。</w:t>
      </w:r>
    </w:p>
    <w:p>
      <w:pPr>
        <w:rPr>
          <w:rFonts w:ascii="宋体" w:hAnsi="宋体" w:cs="宋体"/>
          <w:color w:val="auto"/>
        </w:rPr>
      </w:pPr>
      <w:r>
        <w:rPr>
          <w:rFonts w:hint="eastAsia" w:ascii="宋体" w:hAnsi="宋体" w:cs="宋体"/>
          <w:color w:val="auto"/>
        </w:rPr>
        <w:t>9.5 乙方安装和调试相关设备、设施应符合国家、行业有关施工管理法律法规和与项目相对应的技术标准规范要求，以及甲方合理的特有的施工、管理要求。</w:t>
      </w:r>
    </w:p>
    <w:p>
      <w:pPr>
        <w:rPr>
          <w:rFonts w:ascii="宋体" w:hAnsi="宋体" w:cs="宋体"/>
          <w:color w:val="auto"/>
        </w:rPr>
      </w:pPr>
      <w:r>
        <w:rPr>
          <w:rFonts w:hint="eastAsia" w:ascii="宋体" w:hAnsi="宋体" w:cs="宋体"/>
          <w:color w:val="auto"/>
        </w:rPr>
        <w:t>9.6 在接到甲方关于项目运行故障的通知之后，乙方应根据相关规定和要求，及时完成相关维修或设备更换。</w:t>
      </w:r>
    </w:p>
    <w:p>
      <w:pPr>
        <w:rPr>
          <w:rFonts w:ascii="宋体" w:hAnsi="宋体" w:cs="宋体"/>
          <w:color w:val="auto"/>
        </w:rPr>
      </w:pPr>
      <w:r>
        <w:rPr>
          <w:rFonts w:hint="eastAsia" w:ascii="宋体" w:hAnsi="宋体" w:cs="宋体"/>
          <w:color w:val="auto"/>
        </w:rPr>
        <w:t>9.7 乙方应当确保其工作人员或者其聘请的第三方在项目实施、运行的整个过程中遵守相关法律法规，以及甲方的相关规章制度。</w:t>
      </w:r>
    </w:p>
    <w:p>
      <w:pPr>
        <w:rPr>
          <w:rFonts w:ascii="宋体" w:hAnsi="宋体" w:cs="宋体"/>
          <w:color w:val="auto"/>
        </w:rPr>
      </w:pPr>
      <w:r>
        <w:rPr>
          <w:rFonts w:hint="eastAsia" w:ascii="宋体" w:hAnsi="宋体" w:cs="宋体"/>
          <w:color w:val="auto"/>
        </w:rPr>
        <w:t>9.8乙方应负责漏损管理现状分析诊断与漏损管控指标确定，漏损管控方案设计与管理措施落实追踪、管道检漏方案设计与实施、分区计量方案设计与实施、计量表具改造方案设计与实施，远传设备运维服务方案与实施，并提供上述方案所需硬件设备的选型采购、调试、运营与维护、人员培训等工作。</w:t>
      </w:r>
    </w:p>
    <w:p>
      <w:pPr>
        <w:rPr>
          <w:rFonts w:ascii="宋体" w:hAnsi="宋体" w:cs="宋体"/>
          <w:color w:val="auto"/>
        </w:rPr>
      </w:pPr>
      <w:r>
        <w:rPr>
          <w:rFonts w:hint="eastAsia" w:ascii="宋体" w:hAnsi="宋体" w:cs="宋体"/>
          <w:color w:val="auto"/>
        </w:rPr>
        <w:t>9.9漏损控制项目期间，乙方应负责提供大表与流量计的配套远传设备，控漏管理系统软件，每日数据分析，每月漏损考核，计量器具选型咨询，每季管理咨询，管网探漏服务，日常设备运维及软件升级服务，定期派人检查项目的运行情况。</w:t>
      </w:r>
    </w:p>
    <w:p>
      <w:pPr>
        <w:rPr>
          <w:rFonts w:ascii="宋体" w:hAnsi="宋体" w:cs="宋体"/>
          <w:color w:val="auto"/>
        </w:rPr>
      </w:pPr>
      <w:r>
        <w:rPr>
          <w:rFonts w:hint="eastAsia" w:ascii="宋体" w:hAnsi="宋体" w:cs="宋体"/>
          <w:color w:val="auto"/>
        </w:rPr>
        <w:t>9.10乙方负责项目融资，合同履行结束后，将项目所有权移交甲方，设备所有权移交甲方时，乙方应将该项目的全部设计资料交给甲方。</w:t>
      </w:r>
    </w:p>
    <w:p>
      <w:pPr>
        <w:rPr>
          <w:rFonts w:ascii="宋体" w:hAnsi="宋体" w:cs="宋体"/>
          <w:color w:val="auto"/>
        </w:rPr>
      </w:pPr>
      <w:r>
        <w:rPr>
          <w:rFonts w:hint="eastAsia" w:ascii="宋体" w:hAnsi="宋体" w:cs="宋体"/>
          <w:color w:val="auto"/>
        </w:rPr>
        <w:t>9.11对乙方提供的业务相关的资料进行保密，未经允许不能提供给第三方。</w:t>
      </w:r>
    </w:p>
    <w:p>
      <w:pPr>
        <w:rPr>
          <w:rFonts w:ascii="宋体" w:hAnsi="宋体" w:cs="宋体"/>
          <w:color w:val="auto"/>
        </w:rPr>
      </w:pPr>
      <w:r>
        <w:rPr>
          <w:rFonts w:hint="eastAsia" w:ascii="宋体" w:hAnsi="宋体" w:cs="宋体"/>
          <w:color w:val="auto"/>
        </w:rPr>
        <w:t>9.12其他：合同到期后，乙方继续为甲方提供设备维护，并收取合理费用</w:t>
      </w:r>
    </w:p>
    <w:p>
      <w:pPr>
        <w:rPr>
          <w:rFonts w:ascii="宋体" w:hAnsi="宋体" w:cs="宋体"/>
          <w:color w:val="auto"/>
        </w:rPr>
      </w:pPr>
      <w:r>
        <w:rPr>
          <w:rFonts w:hint="eastAsia" w:ascii="宋体" w:hAnsi="宋体" w:cs="宋体"/>
          <w:color w:val="auto"/>
        </w:rPr>
        <w:t>9.13合同规定的其他义务和责任。</w:t>
      </w:r>
    </w:p>
    <w:p>
      <w:pPr>
        <w:rPr>
          <w:rFonts w:ascii="宋体" w:hAnsi="宋体" w:cs="宋体"/>
          <w:color w:val="auto"/>
        </w:rPr>
      </w:pPr>
      <w:r>
        <w:rPr>
          <w:rFonts w:hint="eastAsia" w:ascii="宋体" w:hAnsi="宋体" w:cs="宋体"/>
          <w:color w:val="auto"/>
        </w:rPr>
        <w:t>10、设施所有权及维护管理</w:t>
      </w:r>
    </w:p>
    <w:p>
      <w:pPr>
        <w:rPr>
          <w:rFonts w:ascii="宋体" w:hAnsi="宋体" w:cs="宋体"/>
          <w:color w:val="auto"/>
        </w:rPr>
      </w:pPr>
      <w:r>
        <w:rPr>
          <w:rFonts w:hint="eastAsia" w:ascii="宋体" w:hAnsi="宋体" w:cs="宋体"/>
          <w:color w:val="auto"/>
        </w:rPr>
        <w:t>10.1合同期内，由乙方投入的设施（包括但不限于投入所有的设备、附属设施及系统）均属于乙方所有，由乙方维护、甲乙双方共同管理；由甲方投入设施（包括但不限于投入的设备和附属设施及系统）均属于甲方所有，由甲方维护、甲乙双方共同管理。</w:t>
      </w:r>
    </w:p>
    <w:p>
      <w:pPr>
        <w:rPr>
          <w:rFonts w:ascii="宋体" w:hAnsi="宋体" w:cs="宋体"/>
          <w:color w:val="auto"/>
        </w:rPr>
      </w:pPr>
      <w:r>
        <w:rPr>
          <w:rFonts w:hint="eastAsia" w:ascii="宋体" w:hAnsi="宋体" w:cs="宋体"/>
          <w:color w:val="auto"/>
        </w:rPr>
        <w:t>10.2 合同期满后，乙方投入的设施（包括但不限于投入所有的设备、附属设施及系统）无偿归甲方所有。</w:t>
      </w:r>
    </w:p>
    <w:p>
      <w:pPr>
        <w:rPr>
          <w:rFonts w:ascii="宋体" w:hAnsi="宋体" w:cs="宋体"/>
          <w:color w:val="auto"/>
        </w:rPr>
      </w:pPr>
      <w:r>
        <w:rPr>
          <w:rFonts w:hint="eastAsia" w:ascii="宋体" w:hAnsi="宋体" w:cs="宋体"/>
          <w:color w:val="auto"/>
        </w:rPr>
        <w:t>10.3合同期满时，乙方应及时向甲方移交上述设施；乙方移交上述设施时，应同时移交所有的技术资料。</w:t>
      </w:r>
    </w:p>
    <w:p>
      <w:pPr>
        <w:rPr>
          <w:rFonts w:ascii="宋体" w:hAnsi="宋体" w:cs="宋体"/>
          <w:color w:val="auto"/>
        </w:rPr>
      </w:pPr>
      <w:r>
        <w:rPr>
          <w:rFonts w:hint="eastAsia" w:ascii="宋体" w:hAnsi="宋体" w:cs="宋体"/>
          <w:color w:val="auto"/>
        </w:rPr>
        <w:t>11、保密义务</w:t>
      </w:r>
    </w:p>
    <w:p>
      <w:pPr>
        <w:rPr>
          <w:rFonts w:ascii="宋体" w:hAnsi="宋体" w:cs="宋体"/>
          <w:color w:val="auto"/>
        </w:rPr>
      </w:pPr>
      <w:r>
        <w:rPr>
          <w:rFonts w:hint="eastAsia" w:ascii="宋体" w:hAnsi="宋体" w:cs="宋体"/>
          <w:color w:val="auto"/>
        </w:rPr>
        <w:t>甲乙双方应对知悉的对方商业秘密负有保密义务，商业秘密包括但不限于甲方提供与本项目有关的图纸、技术资料及系统信息等；未经对方同意，任何一方不得将对方商业秘密提供给第三人使用，但国家法律法规规定和有权部门要求披露的除外。本保密义务不因本合同无效、被撤销、解除、变更或终止而不予履行。</w:t>
      </w:r>
    </w:p>
    <w:p>
      <w:pPr>
        <w:rPr>
          <w:rFonts w:ascii="宋体" w:hAnsi="宋体" w:cs="宋体"/>
          <w:color w:val="auto"/>
        </w:rPr>
      </w:pPr>
      <w:r>
        <w:rPr>
          <w:rFonts w:hint="eastAsia" w:ascii="宋体" w:hAnsi="宋体" w:cs="宋体"/>
          <w:color w:val="auto"/>
        </w:rPr>
        <w:t>12、合同解除及违约责任</w:t>
      </w:r>
    </w:p>
    <w:p>
      <w:pPr>
        <w:rPr>
          <w:rFonts w:ascii="宋体" w:hAnsi="宋体" w:cs="宋体"/>
          <w:color w:val="auto"/>
        </w:rPr>
      </w:pPr>
      <w:r>
        <w:rPr>
          <w:rFonts w:hint="eastAsia" w:ascii="宋体" w:hAnsi="宋体" w:cs="宋体"/>
          <w:color w:val="auto"/>
        </w:rPr>
        <w:t xml:space="preserve">12.1 若甲方未按约支付乙方效益分配金额的，每日按甲方应付效益分配金额的万分之三向乙方支付违约金；逾期超过3个月的，乙方有权解除合同。对此乙方亦可提起诉讼，但甲方应承担乙方为了实现债权所支出的费用（包括但不限于律师费、差旅费、调查取证费、公证费和其他相关费用等）。 </w:t>
      </w:r>
    </w:p>
    <w:p>
      <w:pPr>
        <w:rPr>
          <w:rFonts w:ascii="宋体" w:hAnsi="宋体" w:cs="宋体"/>
          <w:color w:val="auto"/>
        </w:rPr>
      </w:pPr>
      <w:r>
        <w:rPr>
          <w:rFonts w:hint="eastAsia" w:ascii="宋体" w:hAnsi="宋体" w:cs="宋体"/>
          <w:color w:val="auto"/>
        </w:rPr>
        <w:t>12.2在本合同期满时，若乙方未按约移交与本项目有关的所有技术资料、系统、设施设备，乙方应自接到甲方通知移交之日起每日按合同期内甲方已付效益分配金额的万分之三向甲方支付违约金。对此甲方亦可提起诉讼，但乙方应承担甲方为了实现债权所支出的所有费用（律师费、差旅费、调查取证费、公证费和其他相关费用等）。</w:t>
      </w:r>
    </w:p>
    <w:p>
      <w:pPr>
        <w:rPr>
          <w:rFonts w:ascii="宋体" w:hAnsi="宋体" w:cs="宋体"/>
          <w:color w:val="auto"/>
        </w:rPr>
      </w:pPr>
      <w:r>
        <w:rPr>
          <w:rFonts w:hint="eastAsia" w:ascii="宋体" w:hAnsi="宋体" w:cs="宋体"/>
          <w:color w:val="auto"/>
        </w:rPr>
        <w:t>12.3在本合同期内，若违约方不履行或不完全履行合同的，致使本合同目的无法实现的，守约方有权解除本合同，由此造成守约方损失的，由违约方负责赔偿，违约方的损失由其自行承担。</w:t>
      </w:r>
    </w:p>
    <w:p>
      <w:pPr>
        <w:rPr>
          <w:rFonts w:ascii="宋体" w:hAnsi="宋体" w:cs="宋体"/>
          <w:color w:val="auto"/>
        </w:rPr>
      </w:pPr>
      <w:r>
        <w:rPr>
          <w:rFonts w:hint="eastAsia" w:ascii="宋体" w:hAnsi="宋体" w:cs="宋体"/>
          <w:color w:val="auto"/>
        </w:rPr>
        <w:t>12.4任何一方均不得擅自解除本合同，否则由此产生的损失和责任均由违约方承担。</w:t>
      </w:r>
    </w:p>
    <w:p>
      <w:pPr>
        <w:rPr>
          <w:rFonts w:ascii="宋体" w:hAnsi="宋体" w:cs="宋体"/>
          <w:color w:val="auto"/>
        </w:rPr>
      </w:pPr>
      <w:r>
        <w:rPr>
          <w:rFonts w:hint="eastAsia" w:ascii="宋体" w:hAnsi="宋体" w:cs="宋体"/>
          <w:color w:val="auto"/>
        </w:rPr>
        <w:t>13、免责条款</w:t>
      </w:r>
    </w:p>
    <w:p>
      <w:pPr>
        <w:rPr>
          <w:rFonts w:ascii="宋体" w:hAnsi="宋体" w:cs="宋体"/>
          <w:color w:val="auto"/>
        </w:rPr>
      </w:pPr>
      <w:r>
        <w:rPr>
          <w:rFonts w:hint="eastAsia" w:ascii="宋体" w:hAnsi="宋体" w:cs="宋体"/>
          <w:color w:val="auto"/>
        </w:rPr>
        <w:t>13.1 本合同下的不可抗力是指超出了相关方合理控制范围的任何行为、事件或原因，包括但不限于：</w:t>
      </w:r>
    </w:p>
    <w:p>
      <w:pPr>
        <w:rPr>
          <w:rFonts w:ascii="宋体" w:hAnsi="宋体" w:cs="宋体"/>
          <w:color w:val="auto"/>
        </w:rPr>
      </w:pPr>
      <w:r>
        <w:rPr>
          <w:rFonts w:hint="eastAsia" w:ascii="宋体" w:hAnsi="宋体" w:cs="宋体"/>
          <w:color w:val="auto"/>
        </w:rPr>
        <w:t>(a) 雷电、洪水、风暴、地震、滑坡、暴雨等自然灾害、海上危险、航行事故、战争、骚乱、暴动、全国紧急状态（无论是实际情况或法律规定的情况）、戒严令、火灾或劳工纠纷（无论是否涉及相关方的雇员）、流行病、隔离、辐射或放射性污染；</w:t>
      </w:r>
    </w:p>
    <w:p>
      <w:pPr>
        <w:rPr>
          <w:rFonts w:ascii="宋体" w:hAnsi="宋体" w:cs="宋体"/>
          <w:color w:val="auto"/>
        </w:rPr>
      </w:pPr>
      <w:r>
        <w:rPr>
          <w:rFonts w:hint="eastAsia" w:ascii="宋体" w:hAnsi="宋体" w:cs="宋体"/>
          <w:color w:val="auto"/>
        </w:rPr>
        <w:t>(b) 任何政府单位或非政府单位或其它主管部门（包括任何有管辖权的法院或仲裁庭以及国际机构）的行动，包括但不限于法律、法规、规章或其他有法律强制约束力的法案所规定的没收、约束、禁止、干预、征用、要求、指示或禁运，但不得包括一方资金短缺的事实。</w:t>
      </w:r>
    </w:p>
    <w:p>
      <w:pPr>
        <w:rPr>
          <w:rFonts w:ascii="宋体" w:hAnsi="宋体" w:cs="宋体"/>
          <w:color w:val="auto"/>
        </w:rPr>
      </w:pPr>
      <w:r>
        <w:rPr>
          <w:rFonts w:hint="eastAsia" w:ascii="宋体" w:hAnsi="宋体" w:cs="宋体"/>
          <w:color w:val="auto"/>
        </w:rPr>
        <w:t>13.2如果一方（“受影响方”）由于不可抗力事件的发生，导致本合同不能全部履行或部分履行的，双方可根据实际情况协商决定部分履行、延期履行或终止本合同，部分或全部免除违约责任。一方因不可抗力事件不能履行合同的，应及时书面通知对方，以减轻可能给对方造成的损失，并应在合理的期限内提供证明。</w:t>
      </w:r>
    </w:p>
    <w:p>
      <w:pPr>
        <w:rPr>
          <w:rFonts w:ascii="宋体" w:hAnsi="宋体" w:cs="宋体"/>
          <w:color w:val="auto"/>
        </w:rPr>
      </w:pPr>
      <w:r>
        <w:rPr>
          <w:rFonts w:hint="eastAsia" w:ascii="宋体" w:hAnsi="宋体" w:cs="宋体"/>
          <w:color w:val="auto"/>
        </w:rPr>
        <w:t>14、争议的解决</w:t>
      </w:r>
    </w:p>
    <w:p>
      <w:pPr>
        <w:rPr>
          <w:rFonts w:ascii="宋体" w:hAnsi="宋体" w:cs="宋体"/>
          <w:color w:val="auto"/>
        </w:rPr>
      </w:pPr>
      <w:r>
        <w:rPr>
          <w:rFonts w:hint="eastAsia" w:ascii="宋体" w:hAnsi="宋体" w:cs="宋体"/>
          <w:color w:val="auto"/>
        </w:rPr>
        <w:t>因本合同的履行、解释、违约、终止、中止、效力等引起的任何争议、纠纷，本合同各方应友好协商解决。如双方无法达成一致，双方同意向甲方所在地人民法院提起诉讼。</w:t>
      </w:r>
    </w:p>
    <w:p>
      <w:pPr>
        <w:rPr>
          <w:rFonts w:ascii="宋体" w:hAnsi="宋体" w:cs="宋体"/>
          <w:color w:val="auto"/>
        </w:rPr>
      </w:pPr>
      <w:r>
        <w:rPr>
          <w:rFonts w:hint="eastAsia" w:ascii="宋体" w:hAnsi="宋体" w:cs="宋体"/>
          <w:color w:val="auto"/>
        </w:rPr>
        <w:t>15、其他</w:t>
      </w:r>
    </w:p>
    <w:p>
      <w:pPr>
        <w:rPr>
          <w:rFonts w:ascii="宋体" w:hAnsi="宋体" w:cs="宋体"/>
          <w:color w:val="auto"/>
        </w:rPr>
      </w:pPr>
      <w:r>
        <w:rPr>
          <w:rFonts w:hint="eastAsia" w:ascii="宋体" w:hAnsi="宋体" w:cs="宋体"/>
          <w:color w:val="auto"/>
        </w:rPr>
        <w:t>15.1在本合同有效期内甲方与其它单位合并或分立，则本合同对发生此种变化后的甲方或其继承者仍然有效。发生此种情况时，甲方应事先告知有关乙方。</w:t>
      </w:r>
    </w:p>
    <w:p>
      <w:pPr>
        <w:rPr>
          <w:rFonts w:ascii="宋体" w:hAnsi="宋体" w:cs="宋体"/>
          <w:color w:val="auto"/>
        </w:rPr>
      </w:pPr>
      <w:r>
        <w:rPr>
          <w:rFonts w:hint="eastAsia" w:ascii="宋体" w:hAnsi="宋体" w:cs="宋体"/>
          <w:color w:val="auto"/>
        </w:rPr>
        <w:t>15.2在本合同有效期内乙方与其它单位合并或分立，则本合同对发生此种变化后的乙方或其权利义务承继主体仍然有效。发生此种情况时，乙方应事先告知甲方和承继主体。</w:t>
      </w:r>
    </w:p>
    <w:p>
      <w:pPr>
        <w:rPr>
          <w:rFonts w:ascii="宋体" w:hAnsi="宋体" w:cs="宋体"/>
          <w:color w:val="auto"/>
        </w:rPr>
      </w:pPr>
      <w:r>
        <w:rPr>
          <w:rFonts w:hint="eastAsia" w:ascii="宋体" w:hAnsi="宋体" w:cs="宋体"/>
          <w:color w:val="auto"/>
        </w:rPr>
        <w:t>15.3本合同的订立、履行和解释，应遵照中华人民共和国法律、法规及其它有关规定，并应遵守行业惯例。</w:t>
      </w:r>
    </w:p>
    <w:p>
      <w:pPr>
        <w:rPr>
          <w:rFonts w:ascii="宋体" w:hAnsi="宋体" w:cs="宋体"/>
          <w:color w:val="auto"/>
        </w:rPr>
      </w:pPr>
      <w:r>
        <w:rPr>
          <w:rFonts w:hint="eastAsia" w:ascii="宋体" w:hAnsi="宋体" w:cs="宋体"/>
          <w:color w:val="auto"/>
        </w:rPr>
        <w:t>15.4对本合同的未尽事宜，甲、乙双方应对该事宜补充相应的条款，经甲、乙双方书面签字盖章后生效。</w:t>
      </w:r>
    </w:p>
    <w:p>
      <w:pPr>
        <w:rPr>
          <w:rFonts w:ascii="宋体" w:hAnsi="宋体" w:cs="宋体"/>
          <w:color w:val="auto"/>
        </w:rPr>
      </w:pPr>
      <w:r>
        <w:rPr>
          <w:rFonts w:hint="eastAsia" w:ascii="宋体" w:hAnsi="宋体" w:cs="宋体"/>
          <w:color w:val="auto"/>
        </w:rPr>
        <w:t>16、送达地址</w:t>
      </w:r>
    </w:p>
    <w:p>
      <w:pPr>
        <w:rPr>
          <w:rFonts w:ascii="宋体" w:hAnsi="宋体" w:cs="宋体"/>
          <w:color w:val="auto"/>
        </w:rPr>
      </w:pPr>
      <w:r>
        <w:rPr>
          <w:rFonts w:hint="eastAsia" w:ascii="宋体" w:hAnsi="宋体" w:cs="宋体"/>
          <w:color w:val="auto"/>
        </w:rPr>
        <w:t>合同各方约定，以本合同载明的地址作为人民法院法律文书及合同当事人向其他各方送达有关法律文书、通知、文件、邮件等送达地址，上述送达地址适用于人民法院处理案件的全部程序（包括一审、二审、再审及执行程序）。</w:t>
      </w:r>
    </w:p>
    <w:p>
      <w:pPr>
        <w:rPr>
          <w:rFonts w:ascii="宋体" w:hAnsi="宋体" w:cs="宋体"/>
          <w:color w:val="auto"/>
        </w:rPr>
      </w:pPr>
      <w:r>
        <w:rPr>
          <w:rFonts w:hint="eastAsia" w:ascii="宋体" w:hAnsi="宋体" w:cs="宋体"/>
          <w:color w:val="auto"/>
        </w:rPr>
        <w:t>合同当事人的送达地址等联系方式如有变更，应在3日内通知有关各方。如因合同当事人提供的送达地址等联系方式无效或不完整，或变更后未及时通知有关各方，或当事人及相关人员拒绝接收，或因当事人自身非不可抗力的任何因素导致法律文书、通知、邮件等无效的，则文件退回之日为文件签收之日。</w:t>
      </w:r>
    </w:p>
    <w:p>
      <w:pPr>
        <w:rPr>
          <w:rFonts w:ascii="宋体" w:hAnsi="宋体" w:cs="宋体"/>
          <w:color w:val="auto"/>
        </w:rPr>
      </w:pPr>
      <w:r>
        <w:rPr>
          <w:rFonts w:hint="eastAsia" w:ascii="宋体" w:hAnsi="宋体" w:cs="宋体"/>
          <w:color w:val="auto"/>
        </w:rPr>
        <w:t>送达文件如无文件签收日期，则邮寄的文件在邮寄后的第3日即视为送达和收到之日；专递的文件在专递人员送达对方住所地之日即视为送达和收到之日。</w:t>
      </w:r>
    </w:p>
    <w:p>
      <w:pPr>
        <w:rPr>
          <w:rFonts w:ascii="宋体" w:hAnsi="宋体" w:cs="宋体"/>
          <w:color w:val="auto"/>
        </w:rPr>
      </w:pPr>
      <w:r>
        <w:rPr>
          <w:rFonts w:hint="eastAsia" w:ascii="宋体" w:hAnsi="宋体" w:cs="宋体"/>
          <w:color w:val="auto"/>
        </w:rPr>
        <w:t>17、本合同自双方签字盖章之日起生效；本合同一式六份，具有同等法律效力，双方各执三份。</w:t>
      </w:r>
    </w:p>
    <w:p>
      <w:pPr>
        <w:rPr>
          <w:rFonts w:ascii="宋体" w:hAnsi="宋体" w:cs="宋体"/>
          <w:color w:val="auto"/>
        </w:rPr>
      </w:pPr>
    </w:p>
    <w:p>
      <w:pPr>
        <w:rPr>
          <w:rFonts w:ascii="宋体" w:hAnsi="宋体" w:cs="宋体"/>
          <w:color w:val="auto"/>
        </w:rPr>
      </w:pPr>
      <w:r>
        <w:rPr>
          <w:rFonts w:hint="eastAsia" w:ascii="宋体" w:hAnsi="宋体" w:cs="宋体"/>
          <w:color w:val="auto"/>
        </w:rPr>
        <w:t>甲方：（盖章）          乙方：（盖章）</w:t>
      </w:r>
    </w:p>
    <w:p>
      <w:pPr>
        <w:rPr>
          <w:rFonts w:ascii="宋体" w:hAnsi="宋体" w:cs="宋体"/>
          <w:color w:val="auto"/>
        </w:rPr>
      </w:pPr>
      <w:r>
        <w:rPr>
          <w:rFonts w:hint="eastAsia" w:ascii="宋体" w:hAnsi="宋体" w:cs="宋体"/>
          <w:color w:val="auto"/>
        </w:rPr>
        <w:t> </w:t>
      </w:r>
    </w:p>
    <w:p>
      <w:pPr>
        <w:rPr>
          <w:rFonts w:ascii="宋体" w:hAnsi="宋体" w:cs="宋体"/>
          <w:color w:val="auto"/>
        </w:rPr>
      </w:pPr>
      <w:r>
        <w:rPr>
          <w:rFonts w:hint="eastAsia" w:ascii="宋体" w:hAnsi="宋体" w:cs="宋体"/>
          <w:color w:val="auto"/>
        </w:rPr>
        <w:t>法人代表人：            法人代表人：</w:t>
      </w:r>
    </w:p>
    <w:p>
      <w:pPr>
        <w:rPr>
          <w:rFonts w:ascii="宋体" w:hAnsi="宋体" w:cs="宋体"/>
          <w:color w:val="auto"/>
        </w:rPr>
      </w:pPr>
      <w:r>
        <w:rPr>
          <w:rFonts w:hint="eastAsia" w:ascii="宋体" w:hAnsi="宋体" w:cs="宋体"/>
          <w:color w:val="auto"/>
        </w:rPr>
        <w:t> </w:t>
      </w:r>
    </w:p>
    <w:p>
      <w:pPr>
        <w:rPr>
          <w:rFonts w:ascii="宋体" w:hAnsi="宋体" w:cs="宋体"/>
          <w:color w:val="auto"/>
        </w:rPr>
      </w:pPr>
      <w:r>
        <w:rPr>
          <w:rFonts w:hint="eastAsia" w:ascii="宋体" w:hAnsi="宋体" w:cs="宋体"/>
          <w:color w:val="auto"/>
        </w:rPr>
        <w:t>地址：                 地址：</w:t>
      </w:r>
    </w:p>
    <w:p>
      <w:pPr>
        <w:rPr>
          <w:rFonts w:ascii="宋体" w:hAnsi="宋体" w:cs="宋体"/>
          <w:color w:val="auto"/>
        </w:rPr>
      </w:pPr>
      <w:r>
        <w:rPr>
          <w:rFonts w:hint="eastAsia" w:ascii="宋体" w:hAnsi="宋体" w:cs="宋体"/>
          <w:color w:val="auto"/>
        </w:rPr>
        <w:t>电话：                 电话：</w:t>
      </w:r>
    </w:p>
    <w:p>
      <w:pPr>
        <w:rPr>
          <w:rFonts w:ascii="宋体" w:hAnsi="宋体" w:cs="宋体"/>
          <w:color w:val="auto"/>
        </w:rPr>
      </w:pPr>
      <w:r>
        <w:rPr>
          <w:rFonts w:hint="eastAsia" w:ascii="宋体" w:hAnsi="宋体" w:cs="宋体"/>
          <w:color w:val="auto"/>
        </w:rPr>
        <w:t>传真：                 传真：</w:t>
      </w:r>
    </w:p>
    <w:p>
      <w:pPr>
        <w:rPr>
          <w:rFonts w:ascii="宋体" w:hAnsi="宋体" w:cs="宋体"/>
          <w:color w:val="auto"/>
        </w:rPr>
      </w:pPr>
      <w:r>
        <w:rPr>
          <w:rFonts w:hint="eastAsia" w:ascii="宋体" w:hAnsi="宋体" w:cs="宋体"/>
          <w:color w:val="auto"/>
        </w:rPr>
        <w:t>开户行：               开户行：</w:t>
      </w:r>
    </w:p>
    <w:p>
      <w:pPr>
        <w:rPr>
          <w:rFonts w:ascii="宋体" w:hAnsi="宋体" w:cs="宋体"/>
          <w:color w:val="auto"/>
        </w:rPr>
      </w:pPr>
      <w:r>
        <w:rPr>
          <w:rFonts w:hint="eastAsia" w:ascii="宋体" w:hAnsi="宋体" w:cs="宋体"/>
          <w:color w:val="auto"/>
        </w:rPr>
        <w:t>账号：                 账号：</w:t>
      </w:r>
    </w:p>
    <w:p>
      <w:pPr>
        <w:rPr>
          <w:rFonts w:ascii="宋体" w:hAnsi="宋体" w:cs="宋体"/>
          <w:color w:val="auto"/>
        </w:rPr>
      </w:pPr>
      <w:r>
        <w:rPr>
          <w:rFonts w:hint="eastAsia" w:ascii="宋体" w:hAnsi="宋体" w:cs="宋体"/>
          <w:color w:val="auto"/>
        </w:rPr>
        <w:t>日期：                 日期</w:t>
      </w:r>
    </w:p>
    <w:p>
      <w:pPr>
        <w:rPr>
          <w:color w:val="auto"/>
        </w:rPr>
        <w:sectPr>
          <w:pgSz w:w="11906" w:h="16838"/>
          <w:pgMar w:top="1440" w:right="1080" w:bottom="1440" w:left="1080" w:header="851" w:footer="851" w:gutter="0"/>
          <w:pgNumType w:fmt="decimal"/>
          <w:cols w:space="0" w:num="1"/>
          <w:titlePg/>
          <w:docGrid w:linePitch="312" w:charSpace="0"/>
        </w:sectPr>
      </w:pPr>
    </w:p>
    <w:p>
      <w:pPr>
        <w:rPr>
          <w:color w:val="auto"/>
        </w:rPr>
      </w:pPr>
      <w:r>
        <w:rPr>
          <w:color w:val="auto"/>
        </w:rPr>
        <w:t>附件一 项目需求一览表</w:t>
      </w:r>
    </w:p>
    <w:p>
      <w:pPr>
        <w:rPr>
          <w:color w:val="auto"/>
        </w:rPr>
      </w:pPr>
      <w:r>
        <w:rPr>
          <w:color w:val="auto"/>
        </w:rPr>
        <w:br w:type="page"/>
      </w:r>
    </w:p>
    <w:p>
      <w:pPr>
        <w:rPr>
          <w:color w:val="auto"/>
        </w:rPr>
      </w:pPr>
      <w:r>
        <w:rPr>
          <w:color w:val="auto"/>
        </w:rPr>
        <w:t>附件二交付内容与时间表</w:t>
      </w:r>
    </w:p>
    <w:p>
      <w:pPr>
        <w:rPr>
          <w:color w:val="auto"/>
        </w:rPr>
      </w:pPr>
    </w:p>
    <w:p>
      <w:pPr>
        <w:rPr>
          <w:color w:val="auto"/>
        </w:rPr>
      </w:pPr>
    </w:p>
    <w:p>
      <w:pPr>
        <w:rPr>
          <w:color w:val="auto"/>
        </w:rPr>
      </w:pPr>
    </w:p>
    <w:p>
      <w:pPr>
        <w:rPr>
          <w:color w:val="auto"/>
        </w:rPr>
      </w:pPr>
    </w:p>
    <w:p>
      <w:pPr>
        <w:rPr>
          <w:color w:val="auto"/>
        </w:rPr>
      </w:pPr>
      <w:r>
        <w:rPr>
          <w:rFonts w:hint="eastAsia"/>
          <w:color w:val="auto"/>
        </w:rPr>
        <w:t>附件三 产品交付内容与时间表</w:t>
      </w:r>
    </w:p>
    <w:p>
      <w:pPr>
        <w:rPr>
          <w:color w:val="auto"/>
        </w:rPr>
      </w:pPr>
    </w:p>
    <w:p>
      <w:pPr>
        <w:rPr>
          <w:color w:val="auto"/>
        </w:rPr>
      </w:pPr>
    </w:p>
    <w:p>
      <w:pPr>
        <w:rPr>
          <w:color w:val="auto"/>
        </w:rPr>
      </w:pPr>
    </w:p>
    <w:p>
      <w:pPr>
        <w:rPr>
          <w:color w:val="auto"/>
        </w:rPr>
      </w:pPr>
    </w:p>
    <w:p>
      <w:pPr>
        <w:rPr>
          <w:color w:val="auto"/>
        </w:rPr>
      </w:pPr>
      <w:r>
        <w:rPr>
          <w:rFonts w:hint="eastAsia"/>
          <w:color w:val="auto"/>
        </w:rPr>
        <w:t>附件四 年度供水量、销售水量的统计方式</w:t>
      </w:r>
    </w:p>
    <w:p>
      <w:pPr>
        <w:jc w:val="center"/>
        <w:rPr>
          <w:color w:val="auto"/>
        </w:rPr>
      </w:pPr>
      <w:r>
        <w:rPr>
          <w:rFonts w:hint="eastAsia"/>
          <w:color w:val="auto"/>
        </w:rPr>
        <w:br w:type="page"/>
      </w:r>
      <w:bookmarkStart w:id="446" w:name="_Toc26819"/>
      <w:bookmarkStart w:id="447" w:name="_Toc17876"/>
      <w:r>
        <w:rPr>
          <w:rStyle w:val="47"/>
          <w:rFonts w:hint="eastAsia"/>
          <w:color w:val="auto"/>
          <w:sz w:val="32"/>
          <w:szCs w:val="32"/>
        </w:rPr>
        <w:t>第六部分</w:t>
      </w:r>
      <w:bookmarkEnd w:id="443"/>
      <w:bookmarkEnd w:id="444"/>
      <w:r>
        <w:rPr>
          <w:rStyle w:val="47"/>
          <w:rFonts w:hint="eastAsia"/>
          <w:color w:val="auto"/>
          <w:sz w:val="32"/>
          <w:szCs w:val="32"/>
        </w:rPr>
        <w:t>应提交的有关格式范例</w:t>
      </w:r>
      <w:bookmarkEnd w:id="446"/>
      <w:bookmarkEnd w:id="447"/>
    </w:p>
    <w:p>
      <w:pPr>
        <w:rPr>
          <w:color w:val="auto"/>
        </w:rPr>
      </w:pPr>
    </w:p>
    <w:p>
      <w:pPr>
        <w:rPr>
          <w:color w:val="auto"/>
        </w:rPr>
      </w:pPr>
      <w:bookmarkStart w:id="448" w:name="_Toc11363"/>
      <w:bookmarkStart w:id="449" w:name="_Toc22074"/>
      <w:r>
        <w:rPr>
          <w:rFonts w:hint="eastAsia"/>
          <w:color w:val="auto"/>
        </w:rPr>
        <w:t>资格证明文件部分</w:t>
      </w:r>
      <w:bookmarkEnd w:id="448"/>
      <w:bookmarkEnd w:id="449"/>
    </w:p>
    <w:p>
      <w:pPr>
        <w:rPr>
          <w:color w:val="auto"/>
        </w:rPr>
      </w:pPr>
      <w:bookmarkStart w:id="450" w:name="_Toc30235"/>
    </w:p>
    <w:p>
      <w:pPr>
        <w:rPr>
          <w:color w:val="auto"/>
        </w:rPr>
      </w:pPr>
      <w:bookmarkStart w:id="451" w:name="_Toc12662"/>
      <w:r>
        <w:rPr>
          <w:rFonts w:hint="eastAsia"/>
          <w:color w:val="auto"/>
        </w:rPr>
        <w:t>目录</w:t>
      </w:r>
      <w:bookmarkEnd w:id="450"/>
      <w:bookmarkEnd w:id="451"/>
    </w:p>
    <w:p>
      <w:pPr>
        <w:rPr>
          <w:color w:val="auto"/>
        </w:rPr>
      </w:pPr>
    </w:p>
    <w:p>
      <w:pPr>
        <w:pStyle w:val="235"/>
        <w:numPr>
          <w:ilvl w:val="0"/>
          <w:numId w:val="51"/>
        </w:numPr>
        <w:ind w:firstLineChars="0"/>
        <w:rPr>
          <w:color w:val="auto"/>
        </w:rPr>
      </w:pPr>
      <w:r>
        <w:rPr>
          <w:rFonts w:hint="eastAsia"/>
          <w:color w:val="auto"/>
        </w:rPr>
        <w:t>符合参加政府采购活动应当具备的一般条件的承诺函……………………………（页码）</w:t>
      </w:r>
    </w:p>
    <w:p>
      <w:pPr>
        <w:pStyle w:val="235"/>
        <w:numPr>
          <w:ilvl w:val="0"/>
          <w:numId w:val="51"/>
        </w:numPr>
        <w:ind w:firstLineChars="0"/>
        <w:rPr>
          <w:color w:val="auto"/>
        </w:rPr>
      </w:pPr>
      <w:r>
        <w:rPr>
          <w:rFonts w:hint="eastAsia"/>
          <w:snapToGrid w:val="0"/>
          <w:color w:val="auto"/>
          <w:kern w:val="28"/>
          <w:szCs w:val="20"/>
        </w:rPr>
        <w:t>联合协议（如有）</w:t>
      </w:r>
      <w:r>
        <w:rPr>
          <w:rFonts w:hint="eastAsia"/>
          <w:color w:val="auto"/>
        </w:rPr>
        <w:t>……………………………………………………………………（页码）</w:t>
      </w:r>
    </w:p>
    <w:p>
      <w:pPr>
        <w:pStyle w:val="235"/>
        <w:numPr>
          <w:ilvl w:val="0"/>
          <w:numId w:val="51"/>
        </w:numPr>
        <w:ind w:firstLineChars="0"/>
        <w:rPr>
          <w:color w:val="auto"/>
        </w:rPr>
      </w:pPr>
      <w:r>
        <w:rPr>
          <w:rFonts w:hint="eastAsia"/>
          <w:color w:val="auto"/>
        </w:rPr>
        <w:t>落实政府采购政策需满足的资格要求………………………………………………（页码）</w:t>
      </w:r>
    </w:p>
    <w:p>
      <w:pPr>
        <w:pStyle w:val="235"/>
        <w:numPr>
          <w:ilvl w:val="0"/>
          <w:numId w:val="51"/>
        </w:numPr>
        <w:ind w:firstLineChars="0"/>
        <w:rPr>
          <w:color w:val="auto"/>
        </w:rPr>
      </w:pPr>
      <w:r>
        <w:rPr>
          <w:rFonts w:hint="eastAsia"/>
          <w:color w:val="auto"/>
          <w:lang w:val="en-US" w:eastAsia="zh-CN"/>
        </w:rPr>
        <w:t>中小企业声明函</w:t>
      </w:r>
      <w:r>
        <w:rPr>
          <w:rFonts w:hint="eastAsia"/>
          <w:color w:val="auto"/>
        </w:rPr>
        <w:t>………………………………………………………………………（页码）</w:t>
      </w:r>
    </w:p>
    <w:p>
      <w:pPr>
        <w:pStyle w:val="235"/>
        <w:numPr>
          <w:ilvl w:val="0"/>
          <w:numId w:val="51"/>
        </w:numPr>
        <w:ind w:firstLineChars="0"/>
        <w:rPr>
          <w:color w:val="auto"/>
        </w:rPr>
      </w:pPr>
      <w:r>
        <w:rPr>
          <w:rFonts w:hint="eastAsia"/>
          <w:color w:val="auto"/>
        </w:rPr>
        <w:t>本项目的特定资格要求………………………………………………………………（页码）</w:t>
      </w:r>
    </w:p>
    <w:p>
      <w:pPr>
        <w:rPr>
          <w:color w:val="auto"/>
        </w:rPr>
      </w:pPr>
    </w:p>
    <w:p>
      <w:pPr>
        <w:rPr>
          <w:color w:val="auto"/>
        </w:rPr>
      </w:pPr>
    </w:p>
    <w:p>
      <w:pPr>
        <w:pStyle w:val="235"/>
        <w:numPr>
          <w:ilvl w:val="0"/>
          <w:numId w:val="0"/>
        </w:numPr>
        <w:ind w:left="0" w:leftChars="0" w:firstLine="420" w:firstLineChars="0"/>
        <w:rPr>
          <w:color w:val="auto"/>
        </w:rPr>
      </w:pPr>
      <w:r>
        <w:rPr>
          <w:rFonts w:hint="eastAsia" w:ascii="Times New Roman" w:hAnsi="Times New Roman" w:eastAsia="宋体" w:cs="Times New Roman"/>
          <w:color w:val="auto"/>
          <w:kern w:val="2"/>
          <w:sz w:val="21"/>
          <w:szCs w:val="24"/>
          <w:lang w:val="en-US" w:eastAsia="zh-CN" w:bidi="ar-SA"/>
        </w:rPr>
        <w:t>一、</w:t>
      </w:r>
      <w:r>
        <w:rPr>
          <w:rFonts w:hint="eastAsia"/>
          <w:color w:val="auto"/>
        </w:rPr>
        <w:br w:type="page"/>
      </w:r>
      <w:r>
        <w:rPr>
          <w:rFonts w:hint="eastAsia"/>
          <w:color w:val="auto"/>
        </w:rPr>
        <w:t>符合参加政府采购活动应当具备的一般条件的承诺函</w:t>
      </w:r>
    </w:p>
    <w:p>
      <w:pPr>
        <w:rPr>
          <w:color w:val="auto"/>
        </w:rPr>
      </w:pPr>
    </w:p>
    <w:p>
      <w:pPr>
        <w:rPr>
          <w:color w:val="auto"/>
        </w:rPr>
      </w:pPr>
      <w:r>
        <w:rPr>
          <w:rFonts w:hint="eastAsia"/>
          <w:color w:val="auto"/>
        </w:rPr>
        <w:t>采购人、采购代理机构：</w:t>
      </w:r>
    </w:p>
    <w:p>
      <w:pPr>
        <w:rPr>
          <w:color w:val="auto"/>
        </w:rPr>
      </w:pPr>
      <w:r>
        <w:rPr>
          <w:rFonts w:hint="eastAsia"/>
          <w:color w:val="auto"/>
        </w:rPr>
        <w:t>我方参与（项目名称：）【</w:t>
      </w:r>
      <w:r>
        <w:rPr>
          <w:rFonts w:hint="eastAsia"/>
          <w:color w:val="auto"/>
          <w:kern w:val="0"/>
        </w:rPr>
        <w:t>项目</w:t>
      </w:r>
      <w:r>
        <w:rPr>
          <w:rFonts w:hint="eastAsia"/>
          <w:color w:val="auto"/>
        </w:rPr>
        <w:t>编号：】政府采购活动，郑重承诺：</w:t>
      </w:r>
    </w:p>
    <w:p>
      <w:pPr>
        <w:pStyle w:val="235"/>
        <w:numPr>
          <w:ilvl w:val="0"/>
          <w:numId w:val="52"/>
        </w:numPr>
        <w:ind w:firstLineChars="0"/>
        <w:rPr>
          <w:color w:val="auto"/>
        </w:rPr>
      </w:pPr>
      <w:r>
        <w:rPr>
          <w:rFonts w:hint="eastAsia"/>
          <w:color w:val="auto"/>
        </w:rPr>
        <w:t>具备《中华人民共和国政府采购法》第二十二条第一款规定的条件：</w:t>
      </w:r>
    </w:p>
    <w:p>
      <w:pPr>
        <w:pStyle w:val="235"/>
        <w:numPr>
          <w:ilvl w:val="0"/>
          <w:numId w:val="53"/>
        </w:numPr>
        <w:ind w:firstLineChars="0"/>
        <w:rPr>
          <w:color w:val="auto"/>
        </w:rPr>
      </w:pPr>
      <w:r>
        <w:rPr>
          <w:rFonts w:hint="eastAsia"/>
          <w:color w:val="auto"/>
        </w:rPr>
        <w:t>具有独立承担民事责任的能力；</w:t>
      </w:r>
    </w:p>
    <w:p>
      <w:pPr>
        <w:pStyle w:val="235"/>
        <w:numPr>
          <w:ilvl w:val="0"/>
          <w:numId w:val="53"/>
        </w:numPr>
        <w:ind w:firstLineChars="0"/>
        <w:rPr>
          <w:color w:val="auto"/>
        </w:rPr>
      </w:pPr>
      <w:r>
        <w:rPr>
          <w:rFonts w:hint="eastAsia"/>
          <w:color w:val="auto"/>
        </w:rPr>
        <w:t>具有良好的商业信誉和健全的财务会计制度；</w:t>
      </w:r>
    </w:p>
    <w:p>
      <w:pPr>
        <w:pStyle w:val="235"/>
        <w:numPr>
          <w:ilvl w:val="0"/>
          <w:numId w:val="53"/>
        </w:numPr>
        <w:ind w:firstLineChars="0"/>
        <w:rPr>
          <w:color w:val="auto"/>
        </w:rPr>
      </w:pPr>
      <w:r>
        <w:rPr>
          <w:rFonts w:hint="eastAsia"/>
          <w:color w:val="auto"/>
        </w:rPr>
        <w:t>具有履行合同所必需的设备和专业技术能力；</w:t>
      </w:r>
    </w:p>
    <w:p>
      <w:pPr>
        <w:pStyle w:val="235"/>
        <w:numPr>
          <w:ilvl w:val="0"/>
          <w:numId w:val="53"/>
        </w:numPr>
        <w:ind w:firstLineChars="0"/>
        <w:rPr>
          <w:color w:val="auto"/>
        </w:rPr>
      </w:pPr>
      <w:r>
        <w:rPr>
          <w:rFonts w:hint="eastAsia"/>
          <w:color w:val="auto"/>
        </w:rPr>
        <w:t>有依法缴纳税收和社会保障资金的良好记录；</w:t>
      </w:r>
    </w:p>
    <w:p>
      <w:pPr>
        <w:pStyle w:val="235"/>
        <w:numPr>
          <w:ilvl w:val="0"/>
          <w:numId w:val="53"/>
        </w:numPr>
        <w:ind w:firstLineChars="0"/>
        <w:rPr>
          <w:color w:val="auto"/>
        </w:rPr>
      </w:pPr>
      <w:r>
        <w:rPr>
          <w:rFonts w:hint="eastAsia"/>
          <w:color w:val="auto"/>
        </w:rPr>
        <w:t>参加政府采购活动前三年内，在经营活动中没有重大违法记录；</w:t>
      </w:r>
    </w:p>
    <w:p>
      <w:pPr>
        <w:pStyle w:val="235"/>
        <w:numPr>
          <w:ilvl w:val="0"/>
          <w:numId w:val="53"/>
        </w:numPr>
        <w:ind w:firstLineChars="0"/>
        <w:rPr>
          <w:color w:val="auto"/>
        </w:rPr>
      </w:pPr>
      <w:r>
        <w:rPr>
          <w:rFonts w:hint="eastAsia"/>
          <w:color w:val="auto"/>
        </w:rPr>
        <w:t>具有法律、行政法规规定的其他条件。</w:t>
      </w:r>
    </w:p>
    <w:p>
      <w:pPr>
        <w:pStyle w:val="235"/>
        <w:numPr>
          <w:ilvl w:val="0"/>
          <w:numId w:val="52"/>
        </w:numPr>
        <w:ind w:firstLineChars="0"/>
        <w:rPr>
          <w:color w:val="auto"/>
        </w:rPr>
      </w:pPr>
      <w:r>
        <w:rPr>
          <w:rFonts w:hint="eastAsia"/>
          <w:color w:val="auto"/>
        </w:rPr>
        <w:t>未被信用中国（www.creditchina.gov.cn）、中国政府采购网（www.ccgp.gov.cn）列入失信被执行人、</w:t>
      </w:r>
      <w:r>
        <w:rPr>
          <w:rFonts w:hint="eastAsia"/>
          <w:color w:val="auto"/>
          <w:lang w:eastAsia="zh-CN"/>
        </w:rPr>
        <w:t>重大税收违法案件当事人名单</w:t>
      </w:r>
      <w:r>
        <w:rPr>
          <w:rFonts w:hint="eastAsia"/>
          <w:color w:val="auto"/>
        </w:rPr>
        <w:t>、政府采购严重违法失信行为记录名单。</w:t>
      </w:r>
    </w:p>
    <w:p>
      <w:pPr>
        <w:pStyle w:val="235"/>
        <w:numPr>
          <w:ilvl w:val="0"/>
          <w:numId w:val="52"/>
        </w:numPr>
        <w:ind w:firstLineChars="0"/>
        <w:rPr>
          <w:color w:val="auto"/>
        </w:rPr>
      </w:pPr>
      <w:r>
        <w:rPr>
          <w:rFonts w:hint="eastAsia"/>
          <w:color w:val="auto"/>
        </w:rPr>
        <w:t>不存在以下情况：</w:t>
      </w:r>
    </w:p>
    <w:p>
      <w:pPr>
        <w:rPr>
          <w:color w:val="auto"/>
        </w:rPr>
      </w:pPr>
      <w:r>
        <w:rPr>
          <w:rFonts w:hint="eastAsia"/>
          <w:color w:val="auto"/>
        </w:rPr>
        <w:t>1、单位负责人为同一人或者存在直接控股、管理关系的不同供应商参加同一合同项下的政府采购活动的；</w:t>
      </w:r>
    </w:p>
    <w:p>
      <w:pPr>
        <w:rPr>
          <w:color w:val="auto"/>
        </w:rPr>
      </w:pPr>
      <w:r>
        <w:rPr>
          <w:rFonts w:hint="eastAsia"/>
          <w:color w:val="auto"/>
        </w:rPr>
        <w:t>2、为采购项目提供整体设计、规范编制或者项目管理、监理、检测等服务后再参加该采购项目的其他采购活动的。</w:t>
      </w:r>
    </w:p>
    <w:p>
      <w:pPr>
        <w:rPr>
          <w:color w:val="auto"/>
          <w:lang w:val="zh-CN"/>
        </w:rPr>
      </w:pPr>
    </w:p>
    <w:p>
      <w:pPr>
        <w:rPr>
          <w:color w:val="auto"/>
        </w:rPr>
      </w:pPr>
      <w:r>
        <w:rPr>
          <w:rFonts w:hint="eastAsia"/>
          <w:color w:val="auto"/>
          <w:lang w:val="zh-CN"/>
        </w:rPr>
        <w:t>供应商名称（电子签名）：</w:t>
      </w:r>
    </w:p>
    <w:p>
      <w:pPr>
        <w:rPr>
          <w:color w:val="auto"/>
        </w:rPr>
      </w:pPr>
      <w:r>
        <w:rPr>
          <w:rFonts w:hint="eastAsia"/>
          <w:color w:val="auto"/>
          <w:lang w:val="zh-CN"/>
        </w:rPr>
        <w:t>日期</w:t>
      </w:r>
      <w:r>
        <w:rPr>
          <w:rFonts w:hint="eastAsia"/>
          <w:color w:val="auto"/>
        </w:rPr>
        <w:t>：年</w:t>
      </w:r>
      <w:r>
        <w:rPr>
          <w:rFonts w:hint="eastAsia"/>
          <w:color w:val="auto"/>
          <w:lang w:val="zh-CN"/>
        </w:rPr>
        <w:t>月日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35"/>
        <w:numPr>
          <w:ilvl w:val="0"/>
          <w:numId w:val="0"/>
        </w:numPr>
        <w:ind w:left="0" w:leftChars="0" w:firstLine="420" w:firstLineChars="0"/>
        <w:rPr>
          <w:color w:val="auto"/>
        </w:rPr>
      </w:pPr>
      <w:r>
        <w:rPr>
          <w:rFonts w:hint="eastAsia" w:ascii="Times New Roman" w:hAnsi="Times New Roman" w:eastAsia="宋体" w:cs="Times New Roman"/>
          <w:color w:val="auto"/>
          <w:kern w:val="2"/>
          <w:sz w:val="21"/>
          <w:szCs w:val="24"/>
          <w:lang w:val="en-US" w:eastAsia="zh-CN" w:bidi="ar-SA"/>
        </w:rPr>
        <w:t>二、</w:t>
      </w:r>
      <w:r>
        <w:rPr>
          <w:rFonts w:hint="eastAsia"/>
          <w:color w:val="auto"/>
          <w:sz w:val="32"/>
          <w:szCs w:val="32"/>
        </w:rPr>
        <w:br w:type="page"/>
      </w:r>
      <w:r>
        <w:rPr>
          <w:rFonts w:hint="eastAsia"/>
          <w:color w:val="auto"/>
        </w:rPr>
        <w:t>联合协议（如有）</w:t>
      </w:r>
    </w:p>
    <w:p>
      <w:pPr>
        <w:rPr>
          <w:color w:val="auto"/>
        </w:rPr>
      </w:pPr>
    </w:p>
    <w:p>
      <w:pPr>
        <w:rPr>
          <w:color w:val="auto"/>
        </w:rPr>
      </w:pPr>
      <w:r>
        <w:rPr>
          <w:rFonts w:hint="eastAsia"/>
          <w:color w:val="auto"/>
        </w:rPr>
        <w:t>[以联合体形式投标的，提供联合协议（附件5）；本项目不接受联合体投标或者供应商不以联合体形式投标的，则不需要提供]</w:t>
      </w:r>
    </w:p>
    <w:p>
      <w:pPr>
        <w:rPr>
          <w:color w:val="auto"/>
        </w:rPr>
      </w:pPr>
    </w:p>
    <w:p>
      <w:pPr>
        <w:rPr>
          <w:color w:val="auto"/>
        </w:rPr>
      </w:pPr>
    </w:p>
    <w:p>
      <w:pPr>
        <w:pStyle w:val="235"/>
        <w:numPr>
          <w:ilvl w:val="0"/>
          <w:numId w:val="0"/>
        </w:numPr>
        <w:ind w:left="0" w:leftChars="0" w:firstLine="420" w:firstLineChars="0"/>
        <w:rPr>
          <w:color w:val="auto"/>
        </w:rPr>
      </w:pPr>
      <w:r>
        <w:rPr>
          <w:rFonts w:hint="eastAsia" w:ascii="Times New Roman" w:hAnsi="Times New Roman" w:eastAsia="宋体" w:cs="Times New Roman"/>
          <w:color w:val="auto"/>
          <w:kern w:val="2"/>
          <w:sz w:val="21"/>
          <w:szCs w:val="24"/>
          <w:lang w:val="en-US" w:eastAsia="zh-CN" w:bidi="ar-SA"/>
        </w:rPr>
        <w:t>三、</w:t>
      </w:r>
      <w:r>
        <w:rPr>
          <w:rFonts w:hint="eastAsia"/>
          <w:color w:val="auto"/>
        </w:rPr>
        <w:br w:type="page"/>
      </w:r>
      <w:r>
        <w:rPr>
          <w:rFonts w:hint="eastAsia"/>
          <w:color w:val="auto"/>
        </w:rPr>
        <w:t>落实政府采购政策需满足的资格要求</w:t>
      </w:r>
    </w:p>
    <w:p>
      <w:pPr>
        <w:rPr>
          <w:color w:val="auto"/>
        </w:rPr>
      </w:pPr>
    </w:p>
    <w:p>
      <w:pPr>
        <w:rPr>
          <w:color w:val="auto"/>
        </w:rPr>
      </w:pPr>
      <w:r>
        <w:rPr>
          <w:rFonts w:hint="eastAsia"/>
          <w:color w:val="auto"/>
        </w:rPr>
        <w:t>（根据招标公告落实政府采购政策需满足的资格要求选择提供相应的材料；未要求的，无需提供）</w:t>
      </w:r>
    </w:p>
    <w:p>
      <w:pPr>
        <w:rPr>
          <w:color w:val="auto"/>
        </w:rPr>
      </w:pPr>
    </w:p>
    <w:p>
      <w:pPr>
        <w:rPr>
          <w:color w:val="auto"/>
        </w:rPr>
      </w:pPr>
      <w:r>
        <w:rPr>
          <w:rFonts w:hint="eastAsia"/>
          <w:color w:val="auto"/>
        </w:rPr>
        <w:t>A.专门面向中小企业，服务全部由符合政策要求的中小企业（或小微企业）承接的，提供相应的</w:t>
      </w:r>
      <w:r>
        <w:rPr>
          <w:rFonts w:hint="eastAsia"/>
          <w:color w:val="auto"/>
          <w:lang w:eastAsia="zh-CN"/>
        </w:rPr>
        <w:t>中小企业声明函（附件7）</w:t>
      </w:r>
      <w:r>
        <w:rPr>
          <w:rFonts w:hint="eastAsia"/>
          <w:color w:val="auto"/>
        </w:rPr>
        <w:t>。</w:t>
      </w:r>
    </w:p>
    <w:p>
      <w:pPr>
        <w:rPr>
          <w:color w:val="auto"/>
        </w:rPr>
      </w:pPr>
    </w:p>
    <w:p>
      <w:pPr>
        <w:rPr>
          <w:color w:val="auto"/>
        </w:rPr>
      </w:pPr>
      <w:r>
        <w:rPr>
          <w:rFonts w:hint="eastAsia"/>
          <w:color w:val="auto"/>
        </w:rPr>
        <w:t>B.要求以联合体形式参加的，提供联合协议（附件5）和</w:t>
      </w:r>
      <w:r>
        <w:rPr>
          <w:rFonts w:hint="eastAsia"/>
          <w:color w:val="auto"/>
          <w:lang w:eastAsia="zh-CN"/>
        </w:rPr>
        <w:t>中小企业声明函（附件7）</w:t>
      </w:r>
      <w:r>
        <w:rPr>
          <w:rFonts w:hint="eastAsia"/>
          <w:color w:val="auto"/>
        </w:rPr>
        <w:t>，联合协议中中小企业合同金额应当达到招标公告载明的比例；如果供应商本身提供所有标的均由中小企业承接的，并相应达到了前述比例要求，视同符合了资格条件，无需再与其他中小企业组成联合体参加政府采购活动，无需提供联合协议。</w:t>
      </w:r>
    </w:p>
    <w:p>
      <w:pPr>
        <w:rPr>
          <w:color w:val="auto"/>
        </w:rPr>
      </w:pPr>
    </w:p>
    <w:p>
      <w:pPr>
        <w:rPr>
          <w:color w:val="auto"/>
        </w:rPr>
      </w:pPr>
      <w:r>
        <w:rPr>
          <w:rFonts w:hint="eastAsia"/>
          <w:color w:val="auto"/>
        </w:rPr>
        <w:t>C、要求合同分包的，提供分包意向协议（附件6）和</w:t>
      </w:r>
      <w:r>
        <w:rPr>
          <w:rFonts w:hint="eastAsia"/>
          <w:color w:val="auto"/>
          <w:lang w:eastAsia="zh-CN"/>
        </w:rPr>
        <w:t>中小企业声明函（附件7）</w:t>
      </w:r>
      <w:r>
        <w:rPr>
          <w:rFonts w:hint="eastAsia"/>
          <w:color w:val="auto"/>
        </w:rPr>
        <w:t>，分包意向协议中中小企业合同金额应当达到招标公告载明的比例；如果供应商本身提供所有标的均由中小企业承接的，并相应达到了前述比例要求，视同符合了资格条件，无需再向中小企业分包，无需提供分包意向协议。</w:t>
      </w:r>
    </w:p>
    <w:p>
      <w:pPr>
        <w:rPr>
          <w:color w:val="auto"/>
        </w:rPr>
      </w:pPr>
    </w:p>
    <w:p>
      <w:pPr>
        <w:pStyle w:val="235"/>
        <w:numPr>
          <w:ilvl w:val="0"/>
          <w:numId w:val="54"/>
        </w:numPr>
        <w:ind w:firstLineChars="0"/>
        <w:rPr>
          <w:color w:val="auto"/>
        </w:rPr>
        <w:sectPr>
          <w:headerReference r:id="rId13" w:type="first"/>
          <w:footerReference r:id="rId15" w:type="first"/>
          <w:headerReference r:id="rId12" w:type="default"/>
          <w:footerReference r:id="rId14" w:type="default"/>
          <w:pgSz w:w="11906" w:h="16838"/>
          <w:pgMar w:top="1440" w:right="1080" w:bottom="1440" w:left="1080" w:header="851" w:footer="992" w:gutter="0"/>
          <w:pgNumType w:fmt="decimal"/>
          <w:cols w:space="0" w:num="1"/>
          <w:titlePg/>
          <w:docGrid w:linePitch="312" w:charSpace="0"/>
        </w:sectPr>
      </w:pPr>
    </w:p>
    <w:p>
      <w:pPr>
        <w:spacing w:beforeLines="0" w:afterLines="0"/>
        <w:ind w:firstLine="0" w:firstLineChars="0"/>
        <w:rPr>
          <w:rFonts w:hint="default"/>
          <w:color w:val="auto"/>
          <w:lang w:val="en-US" w:eastAsia="zh-CN"/>
        </w:rPr>
      </w:pPr>
      <w:r>
        <w:rPr>
          <w:rFonts w:hint="eastAsia"/>
          <w:color w:val="auto"/>
          <w:lang w:val="en-US" w:eastAsia="zh-CN"/>
        </w:rPr>
        <w:t>四、中小企业声明函</w:t>
      </w:r>
    </w:p>
    <w:p>
      <w:pPr>
        <w:spacing w:beforeLines="0" w:afterLines="0"/>
        <w:rPr>
          <w:rFonts w:hint="default"/>
          <w:color w:val="auto"/>
          <w:sz w:val="21"/>
          <w:szCs w:val="24"/>
        </w:rPr>
      </w:pPr>
      <w:r>
        <w:rPr>
          <w:rFonts w:hint="eastAsia"/>
          <w:color w:val="auto"/>
          <w:sz w:val="21"/>
          <w:szCs w:val="24"/>
        </w:rPr>
        <w:t>[招标公告落实政府采购政策需满足的资格要求为“无”即本项目或标项未预留份额专门面向中小企业时，符合《政府采购促进中小企业发展管理办法》规定的小微企业拟享受价格扣除政策的，需提供</w:t>
      </w:r>
      <w:r>
        <w:rPr>
          <w:rFonts w:hint="eastAsia"/>
          <w:color w:val="auto"/>
          <w:sz w:val="21"/>
          <w:szCs w:val="24"/>
          <w:lang w:eastAsia="zh-CN"/>
        </w:rPr>
        <w:t>中小企业声明函（附件7）</w:t>
      </w:r>
      <w:r>
        <w:rPr>
          <w:rFonts w:hint="eastAsia"/>
          <w:color w:val="auto"/>
          <w:sz w:val="21"/>
          <w:szCs w:val="24"/>
        </w:rPr>
        <w:t>。]</w:t>
      </w:r>
    </w:p>
    <w:p>
      <w:pPr>
        <w:pStyle w:val="235"/>
        <w:widowControl w:val="0"/>
        <w:numPr>
          <w:ilvl w:val="0"/>
          <w:numId w:val="0"/>
        </w:numPr>
        <w:adjustRightInd w:val="0"/>
        <w:spacing w:line="360" w:lineRule="auto"/>
        <w:jc w:val="both"/>
        <w:rPr>
          <w:color w:val="auto"/>
        </w:rPr>
      </w:pPr>
    </w:p>
    <w:p>
      <w:pPr>
        <w:pStyle w:val="235"/>
        <w:widowControl w:val="0"/>
        <w:numPr>
          <w:ilvl w:val="0"/>
          <w:numId w:val="0"/>
        </w:numPr>
        <w:adjustRightInd w:val="0"/>
        <w:spacing w:line="360" w:lineRule="auto"/>
        <w:jc w:val="both"/>
        <w:rPr>
          <w:color w:val="auto"/>
        </w:rPr>
      </w:pPr>
    </w:p>
    <w:p>
      <w:pPr>
        <w:pStyle w:val="235"/>
        <w:widowControl w:val="0"/>
        <w:numPr>
          <w:ilvl w:val="0"/>
          <w:numId w:val="0"/>
        </w:numPr>
        <w:adjustRightInd w:val="0"/>
        <w:spacing w:line="360" w:lineRule="auto"/>
        <w:jc w:val="both"/>
        <w:rPr>
          <w:color w:val="auto"/>
        </w:rPr>
        <w:sectPr>
          <w:pgSz w:w="11906" w:h="16838"/>
          <w:pgMar w:top="1440" w:right="1080" w:bottom="1440" w:left="1080" w:header="851" w:footer="992" w:gutter="0"/>
          <w:pgNumType w:fmt="decimal"/>
          <w:cols w:space="0" w:num="1"/>
          <w:titlePg/>
          <w:docGrid w:linePitch="312" w:charSpace="0"/>
        </w:sectPr>
      </w:pPr>
    </w:p>
    <w:p>
      <w:pPr>
        <w:pStyle w:val="235"/>
        <w:numPr>
          <w:ilvl w:val="0"/>
          <w:numId w:val="0"/>
        </w:numPr>
        <w:ind w:left="0" w:leftChars="0" w:firstLine="420" w:firstLineChars="0"/>
        <w:rPr>
          <w:color w:val="auto"/>
        </w:rPr>
      </w:pPr>
      <w:r>
        <w:rPr>
          <w:rFonts w:hint="eastAsia"/>
          <w:color w:val="auto"/>
          <w:lang w:val="en-US" w:eastAsia="zh-CN"/>
        </w:rPr>
        <w:t>五、</w:t>
      </w:r>
      <w:r>
        <w:rPr>
          <w:rFonts w:hint="eastAsia"/>
          <w:color w:val="auto"/>
        </w:rPr>
        <w:t>本项目的特定资格要求</w:t>
      </w:r>
    </w:p>
    <w:p>
      <w:pPr>
        <w:rPr>
          <w:color w:val="auto"/>
        </w:rPr>
      </w:pPr>
    </w:p>
    <w:p>
      <w:pPr>
        <w:rPr>
          <w:bCs/>
          <w:color w:val="auto"/>
        </w:rPr>
      </w:pPr>
      <w:r>
        <w:rPr>
          <w:rFonts w:hint="eastAsia"/>
          <w:color w:val="auto"/>
        </w:rPr>
        <w:t>（根据招标公告本项目的特定资格要求提供相应的材料；未要求的，无需提供）</w:t>
      </w:r>
    </w:p>
    <w:p>
      <w:pPr>
        <w:rPr>
          <w:color w:val="auto"/>
        </w:rPr>
      </w:pPr>
    </w:p>
    <w:p>
      <w:pPr>
        <w:rPr>
          <w:color w:val="auto"/>
        </w:rPr>
      </w:pPr>
    </w:p>
    <w:p>
      <w:pPr>
        <w:rPr>
          <w:color w:val="auto"/>
        </w:rPr>
      </w:pPr>
      <w:r>
        <w:rPr>
          <w:rFonts w:hint="eastAsia"/>
          <w:color w:val="auto"/>
        </w:rPr>
        <w:br w:type="page"/>
      </w:r>
      <w:r>
        <w:rPr>
          <w:rFonts w:hint="eastAsia"/>
          <w:color w:val="auto"/>
        </w:rPr>
        <w:t>商务技术文件部分</w:t>
      </w:r>
    </w:p>
    <w:p>
      <w:pPr>
        <w:pStyle w:val="36"/>
        <w:rPr>
          <w:color w:val="auto"/>
        </w:rPr>
      </w:pPr>
    </w:p>
    <w:p>
      <w:pPr>
        <w:rPr>
          <w:color w:val="auto"/>
        </w:rPr>
      </w:pPr>
      <w:bookmarkStart w:id="452" w:name="_Toc1114"/>
      <w:bookmarkStart w:id="453" w:name="_Toc8923"/>
      <w:r>
        <w:rPr>
          <w:rFonts w:hint="eastAsia"/>
          <w:color w:val="auto"/>
        </w:rPr>
        <w:t>目录</w:t>
      </w:r>
      <w:bookmarkEnd w:id="452"/>
      <w:bookmarkEnd w:id="453"/>
    </w:p>
    <w:p>
      <w:pPr>
        <w:pStyle w:val="36"/>
        <w:rPr>
          <w:color w:val="auto"/>
        </w:rPr>
      </w:pPr>
    </w:p>
    <w:p>
      <w:pPr>
        <w:pStyle w:val="235"/>
        <w:numPr>
          <w:ilvl w:val="0"/>
          <w:numId w:val="55"/>
        </w:numPr>
        <w:ind w:firstLineChars="0"/>
        <w:rPr>
          <w:color w:val="auto"/>
        </w:rPr>
      </w:pPr>
      <w:r>
        <w:rPr>
          <w:rFonts w:hint="eastAsia"/>
          <w:color w:val="auto"/>
        </w:rPr>
        <w:t>投标函…………………………………………………………………………………（页码）</w:t>
      </w:r>
    </w:p>
    <w:p>
      <w:pPr>
        <w:pStyle w:val="235"/>
        <w:numPr>
          <w:ilvl w:val="0"/>
          <w:numId w:val="55"/>
        </w:numPr>
        <w:ind w:firstLineChars="0"/>
        <w:rPr>
          <w:color w:val="auto"/>
        </w:rPr>
      </w:pPr>
      <w:r>
        <w:rPr>
          <w:rFonts w:hint="eastAsia"/>
          <w:color w:val="auto"/>
        </w:rPr>
        <w:t>授权委托书或法定代表人（单位负责人、自然人本人）身份证明………………（页码）</w:t>
      </w:r>
    </w:p>
    <w:p>
      <w:pPr>
        <w:pStyle w:val="235"/>
        <w:numPr>
          <w:ilvl w:val="0"/>
          <w:numId w:val="55"/>
        </w:numPr>
        <w:ind w:firstLineChars="0"/>
        <w:rPr>
          <w:color w:val="auto"/>
        </w:rPr>
      </w:pPr>
      <w:r>
        <w:rPr>
          <w:rFonts w:hint="eastAsia"/>
          <w:color w:val="auto"/>
        </w:rPr>
        <w:t>分包意向协议（如有）…………………………………………………………………（页码）</w:t>
      </w:r>
    </w:p>
    <w:p>
      <w:pPr>
        <w:pStyle w:val="235"/>
        <w:numPr>
          <w:ilvl w:val="0"/>
          <w:numId w:val="55"/>
        </w:numPr>
        <w:ind w:firstLineChars="0"/>
        <w:rPr>
          <w:color w:val="auto"/>
        </w:rPr>
      </w:pPr>
      <w:r>
        <w:rPr>
          <w:rFonts w:hint="eastAsia"/>
          <w:color w:val="auto"/>
        </w:rPr>
        <w:t>符合性审查资料………………………………………………………………………（页码）</w:t>
      </w:r>
    </w:p>
    <w:p>
      <w:pPr>
        <w:pStyle w:val="235"/>
        <w:numPr>
          <w:ilvl w:val="0"/>
          <w:numId w:val="55"/>
        </w:numPr>
        <w:ind w:firstLineChars="0"/>
        <w:rPr>
          <w:color w:val="auto"/>
        </w:rPr>
      </w:pPr>
      <w:r>
        <w:rPr>
          <w:rFonts w:hint="eastAsia"/>
          <w:color w:val="auto"/>
        </w:rPr>
        <w:t>评标标准相应的商务技术资料………………………………………………………（页码）</w:t>
      </w:r>
    </w:p>
    <w:p>
      <w:pPr>
        <w:pStyle w:val="235"/>
        <w:numPr>
          <w:ilvl w:val="0"/>
          <w:numId w:val="55"/>
        </w:numPr>
        <w:ind w:firstLineChars="0"/>
        <w:rPr>
          <w:color w:val="auto"/>
        </w:rPr>
      </w:pPr>
      <w:r>
        <w:rPr>
          <w:rFonts w:hint="eastAsia"/>
          <w:color w:val="auto"/>
        </w:rPr>
        <w:t>投标标的清单…………………………………………………………………………（页码）</w:t>
      </w:r>
    </w:p>
    <w:p>
      <w:pPr>
        <w:pStyle w:val="235"/>
        <w:numPr>
          <w:ilvl w:val="0"/>
          <w:numId w:val="55"/>
        </w:numPr>
        <w:ind w:firstLineChars="0"/>
        <w:rPr>
          <w:color w:val="auto"/>
        </w:rPr>
      </w:pPr>
      <w:r>
        <w:rPr>
          <w:rFonts w:hint="eastAsia"/>
          <w:color w:val="auto"/>
        </w:rPr>
        <w:t>商务技术偏离表………………………………………………………………………（页码）</w:t>
      </w:r>
    </w:p>
    <w:p>
      <w:pPr>
        <w:pStyle w:val="235"/>
        <w:numPr>
          <w:ilvl w:val="0"/>
          <w:numId w:val="55"/>
        </w:numPr>
        <w:ind w:firstLineChars="0"/>
        <w:rPr>
          <w:color w:val="auto"/>
        </w:rPr>
      </w:pPr>
      <w:r>
        <w:rPr>
          <w:rFonts w:hint="eastAsia"/>
          <w:color w:val="auto"/>
          <w:lang w:val="zh-CN"/>
        </w:rPr>
        <w:t>政府采购供应商廉洁自律承诺书</w:t>
      </w:r>
      <w:r>
        <w:rPr>
          <w:rFonts w:hint="eastAsia"/>
          <w:color w:val="auto"/>
        </w:rPr>
        <w:t>……………………………………………………（页码）</w:t>
      </w: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rPr>
      </w:pPr>
    </w:p>
    <w:p>
      <w:pPr>
        <w:rPr>
          <w:color w:val="auto"/>
        </w:rPr>
      </w:pPr>
    </w:p>
    <w:p>
      <w:pPr>
        <w:rPr>
          <w:color w:val="auto"/>
        </w:rPr>
      </w:pPr>
    </w:p>
    <w:p>
      <w:pPr>
        <w:rPr>
          <w:color w:val="auto"/>
        </w:rPr>
      </w:pPr>
    </w:p>
    <w:p>
      <w:pPr>
        <w:rPr>
          <w:color w:val="auto"/>
        </w:rPr>
      </w:pPr>
    </w:p>
    <w:p>
      <w:pPr>
        <w:pStyle w:val="7"/>
        <w:ind w:firstLine="640"/>
        <w:rPr>
          <w:color w:val="auto"/>
        </w:rPr>
      </w:pPr>
    </w:p>
    <w:p>
      <w:pPr>
        <w:rPr>
          <w:color w:val="auto"/>
        </w:rPr>
      </w:pPr>
    </w:p>
    <w:p>
      <w:pPr>
        <w:rPr>
          <w:color w:val="auto"/>
        </w:rPr>
      </w:pPr>
    </w:p>
    <w:p>
      <w:pPr>
        <w:rPr>
          <w:color w:val="auto"/>
        </w:rPr>
      </w:pPr>
    </w:p>
    <w:p>
      <w:pPr>
        <w:rPr>
          <w:color w:val="auto"/>
        </w:rPr>
      </w:pPr>
    </w:p>
    <w:p>
      <w:pPr>
        <w:pStyle w:val="235"/>
        <w:numPr>
          <w:ilvl w:val="0"/>
          <w:numId w:val="56"/>
        </w:numPr>
        <w:ind w:firstLineChars="0"/>
        <w:rPr>
          <w:color w:val="auto"/>
        </w:rPr>
      </w:pPr>
      <w:r>
        <w:rPr>
          <w:rFonts w:hint="eastAsia"/>
          <w:color w:val="auto"/>
        </w:rPr>
        <w:br w:type="page"/>
      </w:r>
      <w:r>
        <w:rPr>
          <w:rFonts w:hint="eastAsia"/>
          <w:color w:val="auto"/>
        </w:rPr>
        <w:t>投标函</w:t>
      </w:r>
    </w:p>
    <w:p>
      <w:pPr>
        <w:rPr>
          <w:color w:val="auto"/>
        </w:rPr>
      </w:pPr>
    </w:p>
    <w:p>
      <w:pPr>
        <w:rPr>
          <w:color w:val="auto"/>
        </w:rPr>
      </w:pPr>
      <w:r>
        <w:rPr>
          <w:rFonts w:hint="eastAsia"/>
          <w:color w:val="auto"/>
        </w:rPr>
        <w:t>采购人：</w:t>
      </w:r>
    </w:p>
    <w:p>
      <w:pPr>
        <w:rPr>
          <w:color w:val="auto"/>
        </w:rPr>
      </w:pPr>
      <w:r>
        <w:rPr>
          <w:rFonts w:hint="eastAsia"/>
          <w:color w:val="auto"/>
        </w:rPr>
        <w:t>我方参加你方组织的（项目名称：）【</w:t>
      </w:r>
      <w:r>
        <w:rPr>
          <w:rFonts w:hint="eastAsia"/>
          <w:color w:val="auto"/>
          <w:kern w:val="0"/>
          <w:szCs w:val="21"/>
        </w:rPr>
        <w:t>项目</w:t>
      </w:r>
      <w:r>
        <w:rPr>
          <w:rFonts w:hint="eastAsia"/>
          <w:color w:val="auto"/>
        </w:rPr>
        <w:t>编号：】招标的有关活动，并对此项目进行投标。为此：</w:t>
      </w:r>
    </w:p>
    <w:p>
      <w:pPr>
        <w:pStyle w:val="235"/>
        <w:numPr>
          <w:ilvl w:val="0"/>
          <w:numId w:val="57"/>
        </w:numPr>
        <w:ind w:firstLineChars="0"/>
        <w:rPr>
          <w:color w:val="auto"/>
        </w:rPr>
      </w:pPr>
      <w:r>
        <w:rPr>
          <w:rFonts w:hint="eastAsia"/>
          <w:color w:val="auto"/>
        </w:rPr>
        <w:t>我方承诺投标有效期从提交投标文件的截止之日起天</w:t>
      </w:r>
      <w:r>
        <w:rPr>
          <w:rFonts w:hint="eastAsia"/>
          <w:b/>
          <w:bCs/>
          <w:color w:val="auto"/>
        </w:rPr>
        <w:t>（不少于90天）</w:t>
      </w:r>
      <w:r>
        <w:rPr>
          <w:rFonts w:hint="eastAsia"/>
          <w:color w:val="auto"/>
        </w:rPr>
        <w:t>，本投标文件在投标有效期满之前均具有约束力。</w:t>
      </w:r>
    </w:p>
    <w:p>
      <w:pPr>
        <w:pStyle w:val="235"/>
        <w:numPr>
          <w:ilvl w:val="0"/>
          <w:numId w:val="57"/>
        </w:numPr>
        <w:ind w:firstLineChars="0"/>
        <w:rPr>
          <w:color w:val="auto"/>
        </w:rPr>
      </w:pPr>
      <w:r>
        <w:rPr>
          <w:rFonts w:hint="eastAsia"/>
          <w:color w:val="auto"/>
        </w:rPr>
        <w:t>我方的投标文件包括以下内容：</w:t>
      </w:r>
    </w:p>
    <w:p>
      <w:pPr>
        <w:pStyle w:val="235"/>
        <w:numPr>
          <w:ilvl w:val="0"/>
          <w:numId w:val="58"/>
        </w:numPr>
        <w:ind w:firstLineChars="0"/>
        <w:rPr>
          <w:color w:val="auto"/>
        </w:rPr>
      </w:pPr>
      <w:r>
        <w:rPr>
          <w:rFonts w:hint="eastAsia"/>
          <w:color w:val="auto"/>
        </w:rPr>
        <w:t>资格证明文件：</w:t>
      </w:r>
    </w:p>
    <w:p>
      <w:pPr>
        <w:pStyle w:val="235"/>
        <w:numPr>
          <w:ilvl w:val="0"/>
          <w:numId w:val="59"/>
        </w:numPr>
        <w:ind w:firstLineChars="0"/>
        <w:rPr>
          <w:color w:val="auto"/>
        </w:rPr>
      </w:pPr>
      <w:r>
        <w:rPr>
          <w:rFonts w:hint="eastAsia"/>
          <w:color w:val="auto"/>
        </w:rPr>
        <w:t>承诺函；</w:t>
      </w:r>
    </w:p>
    <w:p>
      <w:pPr>
        <w:pStyle w:val="235"/>
        <w:numPr>
          <w:ilvl w:val="0"/>
          <w:numId w:val="59"/>
        </w:numPr>
        <w:ind w:firstLineChars="0"/>
        <w:rPr>
          <w:color w:val="auto"/>
        </w:rPr>
      </w:pPr>
      <w:r>
        <w:rPr>
          <w:rFonts w:hint="eastAsia"/>
          <w:snapToGrid w:val="0"/>
          <w:color w:val="auto"/>
        </w:rPr>
        <w:t>联合协议（如有）；</w:t>
      </w:r>
    </w:p>
    <w:p>
      <w:pPr>
        <w:pStyle w:val="235"/>
        <w:numPr>
          <w:ilvl w:val="0"/>
          <w:numId w:val="59"/>
        </w:numPr>
        <w:ind w:firstLineChars="0"/>
        <w:rPr>
          <w:color w:val="auto"/>
        </w:rPr>
      </w:pPr>
      <w:r>
        <w:rPr>
          <w:rFonts w:hint="eastAsia"/>
          <w:color w:val="auto"/>
        </w:rPr>
        <w:t>落实政府采购政策需满足的资格要求</w:t>
      </w:r>
      <w:r>
        <w:rPr>
          <w:rFonts w:hint="eastAsia"/>
          <w:snapToGrid w:val="0"/>
          <w:color w:val="auto"/>
          <w:kern w:val="28"/>
          <w:szCs w:val="20"/>
        </w:rPr>
        <w:t>（如有）</w:t>
      </w:r>
      <w:r>
        <w:rPr>
          <w:rFonts w:hint="eastAsia"/>
          <w:color w:val="auto"/>
        </w:rPr>
        <w:t>；</w:t>
      </w:r>
    </w:p>
    <w:p>
      <w:pPr>
        <w:pStyle w:val="235"/>
        <w:numPr>
          <w:ilvl w:val="0"/>
          <w:numId w:val="59"/>
        </w:numPr>
        <w:ind w:firstLineChars="0"/>
        <w:rPr>
          <w:color w:val="auto"/>
        </w:rPr>
      </w:pPr>
      <w:r>
        <w:rPr>
          <w:rFonts w:hint="eastAsia"/>
          <w:color w:val="auto"/>
        </w:rPr>
        <w:t>本项目的特定资格要求</w:t>
      </w:r>
      <w:r>
        <w:rPr>
          <w:rFonts w:hint="eastAsia"/>
          <w:snapToGrid w:val="0"/>
          <w:color w:val="auto"/>
          <w:kern w:val="28"/>
          <w:szCs w:val="20"/>
        </w:rPr>
        <w:t>（如有）</w:t>
      </w:r>
      <w:r>
        <w:rPr>
          <w:rFonts w:hint="eastAsia"/>
          <w:color w:val="auto"/>
        </w:rPr>
        <w:t>。</w:t>
      </w:r>
    </w:p>
    <w:p>
      <w:pPr>
        <w:pStyle w:val="235"/>
        <w:numPr>
          <w:ilvl w:val="0"/>
          <w:numId w:val="58"/>
        </w:numPr>
        <w:ind w:firstLineChars="0"/>
        <w:rPr>
          <w:color w:val="auto"/>
          <w:lang w:val="zh-CN"/>
        </w:rPr>
      </w:pPr>
      <w:r>
        <w:rPr>
          <w:rFonts w:hint="eastAsia"/>
          <w:color w:val="auto"/>
        </w:rPr>
        <w:t>商务技术</w:t>
      </w:r>
      <w:r>
        <w:rPr>
          <w:rFonts w:hint="eastAsia"/>
          <w:color w:val="auto"/>
          <w:lang w:val="zh-CN"/>
        </w:rPr>
        <w:t>文件：</w:t>
      </w:r>
    </w:p>
    <w:p>
      <w:pPr>
        <w:pStyle w:val="235"/>
        <w:numPr>
          <w:ilvl w:val="0"/>
          <w:numId w:val="60"/>
        </w:numPr>
        <w:ind w:firstLineChars="0"/>
        <w:rPr>
          <w:color w:val="auto"/>
        </w:rPr>
      </w:pPr>
      <w:r>
        <w:rPr>
          <w:rFonts w:hint="eastAsia"/>
          <w:color w:val="auto"/>
        </w:rPr>
        <w:t>投标函；</w:t>
      </w:r>
    </w:p>
    <w:p>
      <w:pPr>
        <w:pStyle w:val="235"/>
        <w:numPr>
          <w:ilvl w:val="0"/>
          <w:numId w:val="60"/>
        </w:numPr>
        <w:ind w:firstLineChars="0"/>
        <w:rPr>
          <w:color w:val="auto"/>
        </w:rPr>
      </w:pPr>
      <w:r>
        <w:rPr>
          <w:rFonts w:hint="eastAsia"/>
          <w:color w:val="auto"/>
        </w:rPr>
        <w:t>授权委托书或法定代表人（单位负责人）身份证明；</w:t>
      </w:r>
    </w:p>
    <w:p>
      <w:pPr>
        <w:pStyle w:val="235"/>
        <w:numPr>
          <w:ilvl w:val="0"/>
          <w:numId w:val="60"/>
        </w:numPr>
        <w:ind w:firstLineChars="0"/>
        <w:rPr>
          <w:color w:val="auto"/>
        </w:rPr>
      </w:pPr>
      <w:r>
        <w:rPr>
          <w:rFonts w:hint="eastAsia"/>
          <w:color w:val="auto"/>
        </w:rPr>
        <w:t>分包意向协议</w:t>
      </w:r>
      <w:r>
        <w:rPr>
          <w:rFonts w:hint="eastAsia"/>
          <w:snapToGrid w:val="0"/>
          <w:color w:val="auto"/>
          <w:kern w:val="28"/>
          <w:szCs w:val="20"/>
        </w:rPr>
        <w:t>（如有）</w:t>
      </w:r>
      <w:r>
        <w:rPr>
          <w:rFonts w:hint="eastAsia"/>
          <w:color w:val="auto"/>
        </w:rPr>
        <w:t>；</w:t>
      </w:r>
    </w:p>
    <w:p>
      <w:pPr>
        <w:pStyle w:val="235"/>
        <w:numPr>
          <w:ilvl w:val="0"/>
          <w:numId w:val="60"/>
        </w:numPr>
        <w:ind w:firstLineChars="0"/>
        <w:rPr>
          <w:color w:val="auto"/>
        </w:rPr>
      </w:pPr>
      <w:r>
        <w:rPr>
          <w:rFonts w:hint="eastAsia"/>
          <w:color w:val="auto"/>
        </w:rPr>
        <w:t>符合性审查资料；</w:t>
      </w:r>
    </w:p>
    <w:p>
      <w:pPr>
        <w:pStyle w:val="235"/>
        <w:numPr>
          <w:ilvl w:val="0"/>
          <w:numId w:val="60"/>
        </w:numPr>
        <w:ind w:firstLineChars="0"/>
        <w:rPr>
          <w:color w:val="auto"/>
        </w:rPr>
      </w:pPr>
      <w:r>
        <w:rPr>
          <w:rFonts w:hint="eastAsia"/>
          <w:color w:val="auto"/>
        </w:rPr>
        <w:t>评标标准相应的商务技术资料；</w:t>
      </w:r>
    </w:p>
    <w:p>
      <w:pPr>
        <w:pStyle w:val="235"/>
        <w:numPr>
          <w:ilvl w:val="0"/>
          <w:numId w:val="60"/>
        </w:numPr>
        <w:ind w:firstLineChars="0"/>
        <w:rPr>
          <w:color w:val="auto"/>
        </w:rPr>
      </w:pPr>
      <w:r>
        <w:rPr>
          <w:rFonts w:hint="eastAsia"/>
          <w:color w:val="auto"/>
        </w:rPr>
        <w:t>投标标的清单；</w:t>
      </w:r>
    </w:p>
    <w:p>
      <w:pPr>
        <w:pStyle w:val="235"/>
        <w:numPr>
          <w:ilvl w:val="0"/>
          <w:numId w:val="60"/>
        </w:numPr>
        <w:ind w:firstLineChars="0"/>
        <w:rPr>
          <w:color w:val="auto"/>
          <w:lang w:val="zh-CN"/>
        </w:rPr>
      </w:pPr>
      <w:r>
        <w:rPr>
          <w:rFonts w:hint="eastAsia"/>
          <w:color w:val="auto"/>
        </w:rPr>
        <w:t>商务技术偏离表；</w:t>
      </w:r>
    </w:p>
    <w:p>
      <w:pPr>
        <w:pStyle w:val="235"/>
        <w:numPr>
          <w:ilvl w:val="0"/>
          <w:numId w:val="60"/>
        </w:numPr>
        <w:ind w:firstLineChars="0"/>
        <w:rPr>
          <w:color w:val="auto"/>
          <w:lang w:val="zh-CN"/>
        </w:rPr>
      </w:pPr>
      <w:r>
        <w:rPr>
          <w:rFonts w:hint="eastAsia"/>
          <w:color w:val="auto"/>
          <w:lang w:val="zh-CN"/>
        </w:rPr>
        <w:t>政府采购供应商廉洁自律承诺书。</w:t>
      </w:r>
    </w:p>
    <w:p>
      <w:pPr>
        <w:pStyle w:val="235"/>
        <w:numPr>
          <w:ilvl w:val="0"/>
          <w:numId w:val="58"/>
        </w:numPr>
        <w:ind w:firstLineChars="0"/>
        <w:rPr>
          <w:color w:val="auto"/>
        </w:rPr>
      </w:pPr>
      <w:r>
        <w:rPr>
          <w:rFonts w:hint="eastAsia"/>
          <w:color w:val="auto"/>
        </w:rPr>
        <w:t>报价文件</w:t>
      </w:r>
    </w:p>
    <w:p>
      <w:pPr>
        <w:pStyle w:val="235"/>
        <w:numPr>
          <w:ilvl w:val="0"/>
          <w:numId w:val="61"/>
        </w:numPr>
        <w:ind w:firstLineChars="0"/>
        <w:rPr>
          <w:color w:val="auto"/>
        </w:rPr>
      </w:pPr>
      <w:r>
        <w:rPr>
          <w:rFonts w:hint="eastAsia"/>
          <w:color w:val="auto"/>
        </w:rPr>
        <w:t>开标一览表（报价表）；</w:t>
      </w:r>
    </w:p>
    <w:p>
      <w:pPr>
        <w:pStyle w:val="235"/>
        <w:numPr>
          <w:ilvl w:val="0"/>
          <w:numId w:val="61"/>
        </w:numPr>
        <w:ind w:firstLineChars="0"/>
        <w:rPr>
          <w:color w:val="auto"/>
        </w:rPr>
      </w:pPr>
      <w:r>
        <w:rPr>
          <w:rFonts w:hint="eastAsia"/>
          <w:color w:val="auto"/>
        </w:rPr>
        <w:t>中小企业声明函（如有）。</w:t>
      </w:r>
    </w:p>
    <w:p>
      <w:pPr>
        <w:pStyle w:val="235"/>
        <w:numPr>
          <w:ilvl w:val="0"/>
          <w:numId w:val="57"/>
        </w:numPr>
        <w:ind w:firstLineChars="0"/>
        <w:rPr>
          <w:color w:val="auto"/>
        </w:rPr>
      </w:pPr>
      <w:r>
        <w:rPr>
          <w:rFonts w:hint="eastAsia"/>
          <w:color w:val="auto"/>
        </w:rPr>
        <w:t>我方承诺除商务技术偏离表列出的偏离外，我方响应采购文件的全部要求。</w:t>
      </w:r>
    </w:p>
    <w:p>
      <w:pPr>
        <w:pStyle w:val="235"/>
        <w:numPr>
          <w:ilvl w:val="0"/>
          <w:numId w:val="57"/>
        </w:numPr>
        <w:ind w:firstLineChars="0"/>
        <w:rPr>
          <w:color w:val="auto"/>
        </w:rPr>
      </w:pPr>
      <w:r>
        <w:rPr>
          <w:rFonts w:hint="eastAsia"/>
          <w:color w:val="auto"/>
        </w:rPr>
        <w:t>如我方中标，我方承诺：</w:t>
      </w:r>
    </w:p>
    <w:p>
      <w:pPr>
        <w:pStyle w:val="235"/>
        <w:numPr>
          <w:ilvl w:val="0"/>
          <w:numId w:val="62"/>
        </w:numPr>
        <w:ind w:firstLineChars="0"/>
        <w:rPr>
          <w:color w:val="auto"/>
        </w:rPr>
      </w:pPr>
      <w:r>
        <w:rPr>
          <w:rFonts w:hint="eastAsia"/>
          <w:color w:val="auto"/>
        </w:rPr>
        <w:t>在收到中标通知书后，在中标通知书规定的期限内与你方签订合同；</w:t>
      </w:r>
    </w:p>
    <w:p>
      <w:pPr>
        <w:pStyle w:val="235"/>
        <w:numPr>
          <w:ilvl w:val="0"/>
          <w:numId w:val="62"/>
        </w:numPr>
        <w:ind w:firstLineChars="0"/>
        <w:rPr>
          <w:color w:val="auto"/>
        </w:rPr>
      </w:pPr>
      <w:r>
        <w:rPr>
          <w:rFonts w:hint="eastAsia"/>
          <w:color w:val="auto"/>
        </w:rPr>
        <w:t>在签订合同时不向你方提出附加条件；</w:t>
      </w:r>
    </w:p>
    <w:p>
      <w:pPr>
        <w:pStyle w:val="235"/>
        <w:numPr>
          <w:ilvl w:val="0"/>
          <w:numId w:val="62"/>
        </w:numPr>
        <w:ind w:firstLineChars="0"/>
        <w:rPr>
          <w:color w:val="auto"/>
        </w:rPr>
      </w:pPr>
      <w:r>
        <w:rPr>
          <w:rFonts w:hint="eastAsia"/>
          <w:color w:val="auto"/>
        </w:rPr>
        <w:t>按照采购文件要求提交履约保证金（如有）；</w:t>
      </w:r>
    </w:p>
    <w:p>
      <w:pPr>
        <w:pStyle w:val="235"/>
        <w:numPr>
          <w:ilvl w:val="0"/>
          <w:numId w:val="62"/>
        </w:numPr>
        <w:ind w:firstLineChars="0"/>
        <w:rPr>
          <w:color w:val="auto"/>
        </w:rPr>
      </w:pPr>
      <w:r>
        <w:rPr>
          <w:rFonts w:hint="eastAsia"/>
          <w:color w:val="auto"/>
        </w:rPr>
        <w:t>在合同约定的期限内完成合同规定的全部义务。</w:t>
      </w:r>
    </w:p>
    <w:p>
      <w:pPr>
        <w:pStyle w:val="235"/>
        <w:numPr>
          <w:ilvl w:val="0"/>
          <w:numId w:val="57"/>
        </w:numPr>
        <w:ind w:firstLineChars="0"/>
        <w:rPr>
          <w:color w:val="auto"/>
        </w:rPr>
      </w:pPr>
      <w:r>
        <w:rPr>
          <w:rFonts w:hint="eastAsia"/>
          <w:color w:val="auto"/>
        </w:rPr>
        <w:t>其他补充说明：。</w:t>
      </w:r>
    </w:p>
    <w:p>
      <w:pPr>
        <w:rPr>
          <w:color w:val="auto"/>
        </w:rPr>
      </w:pPr>
      <w:r>
        <w:rPr>
          <w:rFonts w:hint="eastAsia"/>
          <w:color w:val="auto"/>
        </w:rPr>
        <w:t>供应商名称（电子签名）：</w:t>
      </w:r>
    </w:p>
    <w:p>
      <w:pPr>
        <w:rPr>
          <w:color w:val="auto"/>
        </w:rPr>
      </w:pPr>
      <w:r>
        <w:rPr>
          <w:rFonts w:hint="eastAsia"/>
          <w:color w:val="auto"/>
        </w:rPr>
        <w:t>日期：年月日</w:t>
      </w:r>
    </w:p>
    <w:p>
      <w:pPr>
        <w:rPr>
          <w:color w:val="auto"/>
        </w:rPr>
      </w:pPr>
      <w:r>
        <w:rPr>
          <w:rFonts w:hint="eastAsia"/>
          <w:color w:val="auto"/>
        </w:rPr>
        <w:t>注：按本格式和要求提供。</w:t>
      </w:r>
    </w:p>
    <w:p>
      <w:pPr>
        <w:pStyle w:val="235"/>
        <w:numPr>
          <w:ilvl w:val="0"/>
          <w:numId w:val="56"/>
        </w:numPr>
        <w:ind w:firstLineChars="0"/>
        <w:rPr>
          <w:color w:val="auto"/>
          <w:lang w:val="zh-CN"/>
        </w:rPr>
      </w:pPr>
      <w:r>
        <w:rPr>
          <w:rFonts w:hint="eastAsia"/>
          <w:color w:val="auto"/>
        </w:rPr>
        <w:br w:type="page"/>
      </w:r>
      <w:r>
        <w:rPr>
          <w:rFonts w:hint="eastAsia"/>
          <w:color w:val="auto"/>
          <w:lang w:val="zh-CN"/>
        </w:rPr>
        <w:t>授权委托书或法定代表人（单位负责人、自然人本人）身份证明</w:t>
      </w:r>
    </w:p>
    <w:p>
      <w:pPr>
        <w:rPr>
          <w:color w:val="auto"/>
        </w:rPr>
      </w:pPr>
    </w:p>
    <w:p>
      <w:pPr>
        <w:rPr>
          <w:color w:val="auto"/>
          <w:lang w:val="zh-CN"/>
        </w:rPr>
      </w:pPr>
      <w:r>
        <w:rPr>
          <w:rFonts w:hint="eastAsia"/>
          <w:color w:val="auto"/>
          <w:lang w:val="zh-CN"/>
        </w:rPr>
        <w:t>授权委托书</w:t>
      </w:r>
    </w:p>
    <w:p>
      <w:pPr>
        <w:rPr>
          <w:color w:val="auto"/>
        </w:rPr>
      </w:pPr>
      <w:r>
        <w:rPr>
          <w:rFonts w:hint="eastAsia"/>
          <w:color w:val="auto"/>
          <w:lang w:val="zh-CN"/>
        </w:rPr>
        <w:t>（适用于非联合体投标）</w:t>
      </w:r>
    </w:p>
    <w:p>
      <w:pPr>
        <w:rPr>
          <w:color w:val="auto"/>
        </w:rPr>
      </w:pPr>
    </w:p>
    <w:p>
      <w:pPr>
        <w:rPr>
          <w:color w:val="auto"/>
        </w:rPr>
      </w:pPr>
      <w:r>
        <w:rPr>
          <w:rFonts w:hint="eastAsia"/>
          <w:color w:val="auto"/>
        </w:rPr>
        <w:t>采购人、采购代理机构</w:t>
      </w:r>
      <w:r>
        <w:rPr>
          <w:rFonts w:hint="eastAsia"/>
          <w:color w:val="auto"/>
          <w:lang w:val="zh-CN"/>
        </w:rPr>
        <w:t>：</w:t>
      </w:r>
    </w:p>
    <w:p>
      <w:pPr>
        <w:rPr>
          <w:color w:val="auto"/>
          <w:lang w:val="zh-CN"/>
        </w:rPr>
      </w:pPr>
      <w:r>
        <w:rPr>
          <w:rFonts w:hint="eastAsia"/>
          <w:color w:val="auto"/>
        </w:rPr>
        <w:t>现</w:t>
      </w:r>
      <w:r>
        <w:rPr>
          <w:rFonts w:hint="eastAsia"/>
          <w:color w:val="auto"/>
          <w:lang w:val="zh-CN"/>
        </w:rPr>
        <w:t>委托（姓名）为我方代理人（身份证号码：，手机：），以我方名义处理</w:t>
      </w:r>
      <w:r>
        <w:rPr>
          <w:rFonts w:hint="eastAsia"/>
          <w:color w:val="auto"/>
        </w:rPr>
        <w:t>（项目名称：）【项目编号：】</w:t>
      </w:r>
      <w:r>
        <w:rPr>
          <w:rFonts w:hint="eastAsia"/>
          <w:color w:val="auto"/>
          <w:lang w:val="zh-CN"/>
        </w:rPr>
        <w:t>政府采购投标的一切事项，其法律后果由我方承担。</w:t>
      </w:r>
    </w:p>
    <w:p>
      <w:pPr>
        <w:rPr>
          <w:color w:val="auto"/>
          <w:lang w:val="zh-CN"/>
        </w:rPr>
      </w:pPr>
      <w:r>
        <w:rPr>
          <w:rFonts w:hint="eastAsia"/>
          <w:color w:val="auto"/>
          <w:lang w:val="zh-CN"/>
        </w:rPr>
        <w:t>委托期限</w:t>
      </w:r>
      <w:r>
        <w:rPr>
          <w:rFonts w:hint="eastAsia"/>
          <w:color w:val="auto"/>
        </w:rPr>
        <w:t>：</w:t>
      </w:r>
      <w:r>
        <w:rPr>
          <w:rFonts w:hint="eastAsia"/>
          <w:color w:val="auto"/>
          <w:lang w:val="zh-CN"/>
        </w:rPr>
        <w:t>自年月日起至年月日止。</w:t>
      </w:r>
    </w:p>
    <w:p>
      <w:pPr>
        <w:rPr>
          <w:color w:val="auto"/>
        </w:rPr>
      </w:pPr>
      <w:r>
        <w:rPr>
          <w:rFonts w:hint="eastAsia"/>
          <w:color w:val="auto"/>
          <w:lang w:val="zh-CN"/>
        </w:rPr>
        <w:t>特此告知。</w:t>
      </w:r>
    </w:p>
    <w:p>
      <w:pPr>
        <w:rPr>
          <w:color w:val="auto"/>
          <w:lang w:val="zh-CN"/>
        </w:rPr>
      </w:pPr>
    </w:p>
    <w:p>
      <w:pPr>
        <w:rPr>
          <w:color w:val="auto"/>
        </w:rPr>
      </w:pPr>
      <w:r>
        <w:rPr>
          <w:rFonts w:hint="eastAsia"/>
          <w:color w:val="auto"/>
          <w:lang w:val="zh-CN"/>
        </w:rPr>
        <w:t>供应商名称（电子签名）：</w:t>
      </w:r>
    </w:p>
    <w:p>
      <w:pPr>
        <w:rPr>
          <w:color w:val="auto"/>
          <w:lang w:val="zh-CN"/>
        </w:rPr>
      </w:pPr>
      <w:r>
        <w:rPr>
          <w:rFonts w:hint="eastAsia"/>
          <w:color w:val="auto"/>
          <w:lang w:val="zh-CN"/>
        </w:rPr>
        <w:t>签发日期：年月日</w:t>
      </w:r>
    </w:p>
    <w:p>
      <w:pPr>
        <w:rPr>
          <w:color w:val="auto"/>
        </w:rPr>
      </w:pPr>
    </w:p>
    <w:p>
      <w:pPr>
        <w:pStyle w:val="36"/>
        <w:rPr>
          <w:color w:val="auto"/>
        </w:rPr>
      </w:pPr>
    </w:p>
    <w:p>
      <w:pPr>
        <w:rPr>
          <w:color w:val="auto"/>
        </w:rPr>
      </w:pPr>
    </w:p>
    <w:p>
      <w:pPr>
        <w:rPr>
          <w:color w:val="auto"/>
        </w:rPr>
      </w:pPr>
    </w:p>
    <w:p>
      <w:pPr>
        <w:pStyle w:val="36"/>
        <w:rPr>
          <w:color w:val="auto"/>
        </w:rPr>
      </w:pPr>
      <w:r>
        <w:rPr>
          <w:rFonts w:hint="eastAsia"/>
          <w:color w:val="auto"/>
        </w:rPr>
        <w:t>—————————————————————————————————————————————</w:t>
      </w:r>
    </w:p>
    <w:p>
      <w:pPr>
        <w:rPr>
          <w:color w:val="auto"/>
        </w:rPr>
      </w:pPr>
    </w:p>
    <w:p>
      <w:pPr>
        <w:rPr>
          <w:color w:val="auto"/>
        </w:rPr>
      </w:pPr>
    </w:p>
    <w:p>
      <w:pPr>
        <w:pStyle w:val="36"/>
        <w:rPr>
          <w:color w:val="auto"/>
        </w:rPr>
      </w:pPr>
    </w:p>
    <w:p>
      <w:pPr>
        <w:rPr>
          <w:color w:val="auto"/>
          <w:lang w:val="zh-CN"/>
        </w:rPr>
      </w:pPr>
      <w:r>
        <w:rPr>
          <w:rFonts w:hint="eastAsia"/>
          <w:color w:val="auto"/>
          <w:lang w:val="zh-CN"/>
        </w:rPr>
        <w:t>授权委托书</w:t>
      </w:r>
    </w:p>
    <w:p>
      <w:pPr>
        <w:rPr>
          <w:color w:val="auto"/>
          <w:lang w:val="zh-CN"/>
        </w:rPr>
      </w:pPr>
      <w:r>
        <w:rPr>
          <w:rFonts w:hint="eastAsia"/>
          <w:color w:val="auto"/>
          <w:lang w:val="zh-CN"/>
        </w:rPr>
        <w:t>（适用于联合体投标）</w:t>
      </w:r>
    </w:p>
    <w:p>
      <w:pPr>
        <w:pStyle w:val="36"/>
        <w:rPr>
          <w:color w:val="auto"/>
        </w:rPr>
      </w:pPr>
    </w:p>
    <w:p>
      <w:pPr>
        <w:rPr>
          <w:color w:val="auto"/>
          <w:kern w:val="0"/>
        </w:rPr>
      </w:pPr>
      <w:r>
        <w:rPr>
          <w:rFonts w:hint="eastAsia"/>
          <w:color w:val="auto"/>
        </w:rPr>
        <w:t>采购人、采购代理机构</w:t>
      </w:r>
      <w:r>
        <w:rPr>
          <w:rFonts w:hint="eastAsia"/>
          <w:color w:val="auto"/>
          <w:lang w:val="zh-CN"/>
        </w:rPr>
        <w:t>：</w:t>
      </w:r>
    </w:p>
    <w:p>
      <w:pPr>
        <w:rPr>
          <w:color w:val="auto"/>
          <w:lang w:val="zh-CN"/>
        </w:rPr>
      </w:pPr>
      <w:r>
        <w:rPr>
          <w:rFonts w:hint="eastAsia"/>
          <w:color w:val="auto"/>
        </w:rPr>
        <w:t>现</w:t>
      </w:r>
      <w:r>
        <w:rPr>
          <w:rFonts w:hint="eastAsia"/>
          <w:color w:val="auto"/>
          <w:lang w:val="zh-CN"/>
        </w:rPr>
        <w:t>委托（姓名）为我方代理人（身份证号码：，手机：），以我方名义处理</w:t>
      </w:r>
      <w:r>
        <w:rPr>
          <w:rFonts w:hint="eastAsia"/>
          <w:color w:val="auto"/>
        </w:rPr>
        <w:t>（项目名称：）【项目编号：】</w:t>
      </w:r>
      <w:r>
        <w:rPr>
          <w:rFonts w:hint="eastAsia"/>
          <w:color w:val="auto"/>
          <w:lang w:val="zh-CN"/>
        </w:rPr>
        <w:t>政府采购投标的一切事项，其法律后果由我方承担。</w:t>
      </w:r>
    </w:p>
    <w:p>
      <w:pPr>
        <w:rPr>
          <w:color w:val="auto"/>
          <w:lang w:val="zh-CN"/>
        </w:rPr>
      </w:pPr>
      <w:r>
        <w:rPr>
          <w:rFonts w:hint="eastAsia"/>
          <w:color w:val="auto"/>
          <w:lang w:val="zh-CN"/>
        </w:rPr>
        <w:t>委托期限</w:t>
      </w:r>
      <w:r>
        <w:rPr>
          <w:rFonts w:hint="eastAsia"/>
          <w:color w:val="auto"/>
        </w:rPr>
        <w:t>：</w:t>
      </w:r>
      <w:r>
        <w:rPr>
          <w:rFonts w:hint="eastAsia"/>
          <w:color w:val="auto"/>
          <w:lang w:val="zh-CN"/>
        </w:rPr>
        <w:t>自年月日起至年月日止。</w:t>
      </w:r>
    </w:p>
    <w:p>
      <w:pPr>
        <w:rPr>
          <w:color w:val="auto"/>
          <w:lang w:val="zh-CN"/>
        </w:rPr>
      </w:pPr>
      <w:r>
        <w:rPr>
          <w:rFonts w:hint="eastAsia"/>
          <w:color w:val="auto"/>
          <w:lang w:val="zh-CN"/>
        </w:rPr>
        <w:t>特此告知。</w:t>
      </w:r>
    </w:p>
    <w:p>
      <w:pPr>
        <w:rPr>
          <w:color w:val="auto"/>
          <w:lang w:val="zh-CN"/>
        </w:rPr>
      </w:pPr>
    </w:p>
    <w:p>
      <w:pPr>
        <w:rPr>
          <w:color w:val="auto"/>
          <w:lang w:val="zh-CN"/>
        </w:rPr>
      </w:pPr>
      <w:r>
        <w:rPr>
          <w:rFonts w:hint="eastAsia"/>
          <w:color w:val="auto"/>
          <w:lang w:val="zh-CN"/>
        </w:rPr>
        <w:t>联合体成员名称（电子签名/公章）：</w:t>
      </w:r>
    </w:p>
    <w:p>
      <w:pPr>
        <w:rPr>
          <w:color w:val="auto"/>
          <w:lang w:val="zh-CN"/>
        </w:rPr>
      </w:pPr>
      <w:r>
        <w:rPr>
          <w:rFonts w:hint="eastAsia"/>
          <w:color w:val="auto"/>
          <w:lang w:val="zh-CN"/>
        </w:rPr>
        <w:t>联合体成员名称（电子签名/公章）：</w:t>
      </w:r>
    </w:p>
    <w:p>
      <w:pPr>
        <w:rPr>
          <w:color w:val="auto"/>
        </w:rPr>
      </w:pPr>
      <w:r>
        <w:rPr>
          <w:rFonts w:hint="eastAsia"/>
          <w:color w:val="auto"/>
          <w:lang w:val="zh-CN"/>
        </w:rPr>
        <w:t>……</w:t>
      </w:r>
    </w:p>
    <w:p>
      <w:pPr>
        <w:rPr>
          <w:color w:val="auto"/>
          <w:lang w:val="zh-CN"/>
        </w:rPr>
      </w:pPr>
      <w:r>
        <w:rPr>
          <w:rFonts w:hint="eastAsia"/>
          <w:color w:val="auto"/>
          <w:lang w:val="zh-CN"/>
        </w:rPr>
        <w:t>日期：年月日</w:t>
      </w:r>
    </w:p>
    <w:p>
      <w:pPr>
        <w:rPr>
          <w:color w:val="auto"/>
          <w:lang w:val="zh-CN"/>
        </w:rPr>
      </w:pPr>
      <w:r>
        <w:rPr>
          <w:rFonts w:hint="eastAsia"/>
          <w:color w:val="auto"/>
          <w:lang w:val="zh-CN"/>
        </w:rPr>
        <w:br w:type="page"/>
      </w:r>
      <w:r>
        <w:rPr>
          <w:rFonts w:hint="eastAsia"/>
          <w:color w:val="auto"/>
          <w:lang w:val="zh-CN"/>
        </w:rPr>
        <w:t>法定代表人、单位负责人或自然人本人的身份证明</w:t>
      </w:r>
    </w:p>
    <w:p>
      <w:pPr>
        <w:rPr>
          <w:color w:val="auto"/>
          <w:lang w:val="zh-CN"/>
        </w:rPr>
      </w:pPr>
      <w:r>
        <w:rPr>
          <w:rFonts w:hint="eastAsia"/>
          <w:color w:val="auto"/>
          <w:lang w:val="zh-CN"/>
        </w:rPr>
        <w:t>（适用于法定代表人、单位负责人或者自然人本人代表供应商参加投标）</w:t>
      </w:r>
    </w:p>
    <w:p>
      <w:pPr>
        <w:pStyle w:val="78"/>
        <w:snapToGrid w:val="0"/>
        <w:spacing w:line="360" w:lineRule="auto"/>
        <w:rPr>
          <w:rFonts w:ascii="Arial" w:hAnsi="Arial" w:cs="宋体"/>
          <w:bCs/>
          <w:color w:val="auto"/>
        </w:rPr>
      </w:pPr>
    </w:p>
    <w:p>
      <w:pPr>
        <w:pStyle w:val="78"/>
        <w:snapToGrid w:val="0"/>
        <w:spacing w:line="360" w:lineRule="auto"/>
        <w:rPr>
          <w:rFonts w:ascii="Arial" w:hAnsi="Arial" w:cs="宋体"/>
          <w:bCs/>
          <w:color w:val="auto"/>
        </w:rPr>
      </w:pPr>
      <w:r>
        <w:rPr>
          <w:rFonts w:hint="eastAsia" w:ascii="Arial" w:hAnsi="Arial" w:cs="宋体"/>
          <w:bCs/>
          <w:color w:val="auto"/>
        </w:rPr>
        <w:t>身份证件扫描件：</w:t>
      </w:r>
    </w:p>
    <w:tbl>
      <w:tblPr>
        <w:tblStyle w:val="37"/>
        <w:tblW w:w="0" w:type="auto"/>
        <w:tblInd w:w="1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2" w:hRule="atLeast"/>
        </w:trPr>
        <w:tc>
          <w:tcPr>
            <w:tcW w:w="4815" w:type="dxa"/>
            <w:tcBorders>
              <w:right w:val="dashed" w:color="auto" w:sz="4" w:space="0"/>
            </w:tcBorders>
          </w:tcPr>
          <w:p>
            <w:pPr>
              <w:pStyle w:val="78"/>
              <w:snapToGrid w:val="0"/>
              <w:spacing w:line="400" w:lineRule="exact"/>
              <w:rPr>
                <w:rFonts w:ascii="Arial" w:hAnsi="Arial" w:cs="宋体"/>
                <w:bCs/>
                <w:color w:val="auto"/>
                <w:sz w:val="24"/>
              </w:rPr>
            </w:pPr>
            <w:r>
              <w:rPr>
                <w:rFonts w:hint="eastAsia" w:ascii="Arial" w:hAnsi="Arial" w:cs="宋体"/>
                <w:bCs/>
                <w:color w:val="auto"/>
                <w:sz w:val="24"/>
              </w:rPr>
              <w:t>正面：</w:t>
            </w:r>
          </w:p>
          <w:p>
            <w:pPr>
              <w:pStyle w:val="78"/>
              <w:snapToGrid w:val="0"/>
              <w:spacing w:line="400" w:lineRule="exact"/>
              <w:rPr>
                <w:rFonts w:ascii="Arial" w:hAnsi="Arial" w:cs="宋体"/>
                <w:bCs/>
                <w:color w:val="auto"/>
                <w:sz w:val="24"/>
              </w:rPr>
            </w:pPr>
          </w:p>
        </w:tc>
        <w:tc>
          <w:tcPr>
            <w:tcW w:w="4815" w:type="dxa"/>
            <w:tcBorders>
              <w:left w:val="dashed" w:color="auto" w:sz="4" w:space="0"/>
            </w:tcBorders>
          </w:tcPr>
          <w:p>
            <w:pPr>
              <w:pStyle w:val="78"/>
              <w:snapToGrid w:val="0"/>
              <w:spacing w:line="400" w:lineRule="exact"/>
              <w:rPr>
                <w:rFonts w:ascii="Arial" w:hAnsi="Arial" w:cs="宋体"/>
                <w:bCs/>
                <w:color w:val="auto"/>
                <w:sz w:val="24"/>
              </w:rPr>
            </w:pPr>
            <w:r>
              <w:rPr>
                <w:rFonts w:hint="eastAsia" w:ascii="Arial" w:hAnsi="Arial" w:cs="宋体"/>
                <w:bCs/>
                <w:color w:val="auto"/>
                <w:sz w:val="24"/>
              </w:rPr>
              <w:t>反面：</w:t>
            </w:r>
          </w:p>
        </w:tc>
      </w:tr>
    </w:tbl>
    <w:p>
      <w:pPr>
        <w:rPr>
          <w:color w:val="auto"/>
          <w:lang w:val="zh-CN"/>
        </w:rPr>
      </w:pPr>
    </w:p>
    <w:p>
      <w:pPr>
        <w:rPr>
          <w:color w:val="auto"/>
          <w:lang w:val="zh-CN"/>
        </w:rPr>
      </w:pPr>
      <w:r>
        <w:rPr>
          <w:rFonts w:hint="eastAsia"/>
          <w:color w:val="auto"/>
          <w:lang w:val="zh-CN"/>
        </w:rPr>
        <w:t>供应商名称（电子签名）：</w:t>
      </w:r>
    </w:p>
    <w:p>
      <w:pPr>
        <w:rPr>
          <w:color w:val="auto"/>
          <w:lang w:val="zh-CN"/>
        </w:rPr>
      </w:pPr>
      <w:r>
        <w:rPr>
          <w:rFonts w:hint="eastAsia"/>
          <w:color w:val="auto"/>
          <w:lang w:val="zh-CN"/>
        </w:rPr>
        <w:t>日期：年月日</w:t>
      </w:r>
    </w:p>
    <w:p>
      <w:pPr>
        <w:rPr>
          <w:color w:val="auto"/>
        </w:rPr>
      </w:pPr>
    </w:p>
    <w:p>
      <w:pPr>
        <w:rPr>
          <w:color w:val="auto"/>
        </w:rPr>
        <w:sectPr>
          <w:pgSz w:w="11906" w:h="16838"/>
          <w:pgMar w:top="1440" w:right="1080" w:bottom="1440" w:left="1080" w:header="851" w:footer="992" w:gutter="0"/>
          <w:pgNumType w:fmt="decimal"/>
          <w:cols w:space="0" w:num="1"/>
          <w:titlePg/>
          <w:docGrid w:linePitch="312" w:charSpace="0"/>
        </w:sectPr>
      </w:pPr>
    </w:p>
    <w:p>
      <w:pPr>
        <w:pStyle w:val="235"/>
        <w:numPr>
          <w:ilvl w:val="0"/>
          <w:numId w:val="56"/>
        </w:numPr>
        <w:ind w:firstLineChars="0"/>
        <w:rPr>
          <w:color w:val="auto"/>
          <w:lang w:val="zh-CN"/>
        </w:rPr>
      </w:pPr>
      <w:r>
        <w:rPr>
          <w:rFonts w:hint="eastAsia"/>
          <w:color w:val="auto"/>
          <w:lang w:val="zh-CN"/>
        </w:rPr>
        <w:t>分包意向协议（如有）</w:t>
      </w:r>
    </w:p>
    <w:p>
      <w:pPr>
        <w:rPr>
          <w:color w:val="auto"/>
        </w:rPr>
      </w:pPr>
      <w:bookmarkStart w:id="454" w:name="_Hlk101169080"/>
    </w:p>
    <w:p>
      <w:pPr>
        <w:rPr>
          <w:color w:val="auto"/>
        </w:rPr>
      </w:pPr>
      <w:r>
        <w:rPr>
          <w:rFonts w:hint="eastAsia"/>
          <w:color w:val="auto"/>
        </w:rPr>
        <w:t>[中标后以分包方式履行合同的，提供分包意向协议（附件6）；采购人不同意分包或者供应商中标后不以分包方式履行合同的，则不需要提供。]</w:t>
      </w:r>
    </w:p>
    <w:bookmarkEnd w:id="454"/>
    <w:p>
      <w:pPr>
        <w:rPr>
          <w:color w:val="auto"/>
        </w:rPr>
      </w:pPr>
    </w:p>
    <w:p>
      <w:pPr>
        <w:rPr>
          <w:color w:val="auto"/>
        </w:rPr>
      </w:pPr>
    </w:p>
    <w:p>
      <w:pPr>
        <w:pStyle w:val="7"/>
        <w:ind w:firstLine="640"/>
        <w:rPr>
          <w:color w:val="auto"/>
        </w:rPr>
      </w:pPr>
    </w:p>
    <w:p>
      <w:pPr>
        <w:rPr>
          <w:color w:val="auto"/>
        </w:rPr>
      </w:pPr>
    </w:p>
    <w:p>
      <w:pPr>
        <w:pStyle w:val="7"/>
        <w:ind w:firstLine="640"/>
        <w:rPr>
          <w:color w:val="auto"/>
        </w:rPr>
      </w:pPr>
    </w:p>
    <w:p>
      <w:pPr>
        <w:rPr>
          <w:color w:val="auto"/>
        </w:rPr>
      </w:pPr>
    </w:p>
    <w:p>
      <w:pPr>
        <w:pStyle w:val="235"/>
        <w:numPr>
          <w:ilvl w:val="0"/>
          <w:numId w:val="56"/>
        </w:numPr>
        <w:ind w:firstLineChars="0"/>
        <w:rPr>
          <w:color w:val="auto"/>
          <w:lang w:val="zh-CN"/>
        </w:rPr>
      </w:pPr>
      <w:r>
        <w:rPr>
          <w:rFonts w:hint="eastAsia"/>
          <w:color w:val="auto"/>
          <w:lang w:val="zh-CN"/>
        </w:rPr>
        <w:br w:type="page"/>
      </w:r>
      <w:r>
        <w:rPr>
          <w:rFonts w:hint="eastAsia"/>
          <w:color w:val="auto"/>
          <w:lang w:val="zh-CN"/>
        </w:rPr>
        <w:t>符合性审查资料</w:t>
      </w:r>
    </w:p>
    <w:p>
      <w:pPr>
        <w:rPr>
          <w:color w:val="auto"/>
        </w:rPr>
      </w:pPr>
    </w:p>
    <w:tbl>
      <w:tblPr>
        <w:tblStyle w:val="37"/>
        <w:tblW w:w="0" w:type="auto"/>
        <w:tblInd w:w="1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513"/>
        <w:gridCol w:w="2925"/>
        <w:gridCol w:w="24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35" w:type="dxa"/>
            <w:vAlign w:val="center"/>
          </w:tcPr>
          <w:p>
            <w:pPr>
              <w:ind w:firstLine="0" w:firstLineChars="0"/>
              <w:jc w:val="left"/>
              <w:rPr>
                <w:color w:val="auto"/>
              </w:rPr>
            </w:pPr>
            <w:r>
              <w:rPr>
                <w:rFonts w:hint="eastAsia"/>
                <w:color w:val="auto"/>
              </w:rPr>
              <w:t>序号</w:t>
            </w:r>
          </w:p>
        </w:tc>
        <w:tc>
          <w:tcPr>
            <w:tcW w:w="3513" w:type="dxa"/>
            <w:vAlign w:val="center"/>
          </w:tcPr>
          <w:p>
            <w:pPr>
              <w:ind w:firstLine="0" w:firstLineChars="0"/>
              <w:jc w:val="left"/>
              <w:rPr>
                <w:color w:val="auto"/>
              </w:rPr>
            </w:pPr>
            <w:r>
              <w:rPr>
                <w:rFonts w:hint="eastAsia"/>
                <w:color w:val="auto"/>
              </w:rPr>
              <w:t>实质性要求</w:t>
            </w:r>
          </w:p>
        </w:tc>
        <w:tc>
          <w:tcPr>
            <w:tcW w:w="2925" w:type="dxa"/>
            <w:vAlign w:val="center"/>
          </w:tcPr>
          <w:p>
            <w:pPr>
              <w:ind w:firstLine="0" w:firstLineChars="0"/>
              <w:jc w:val="left"/>
              <w:rPr>
                <w:color w:val="auto"/>
              </w:rPr>
            </w:pPr>
            <w:r>
              <w:rPr>
                <w:rFonts w:hint="eastAsia"/>
                <w:color w:val="auto"/>
              </w:rPr>
              <w:t>需要提供的符合性审查资料</w:t>
            </w:r>
          </w:p>
        </w:tc>
        <w:tc>
          <w:tcPr>
            <w:tcW w:w="2475" w:type="dxa"/>
            <w:vAlign w:val="center"/>
          </w:tcPr>
          <w:p>
            <w:pPr>
              <w:ind w:firstLine="0" w:firstLineChars="0"/>
              <w:jc w:val="left"/>
              <w:rPr>
                <w:color w:val="auto"/>
              </w:rPr>
            </w:pPr>
            <w:r>
              <w:rPr>
                <w:rFonts w:hint="eastAsia"/>
                <w:color w:val="auto"/>
              </w:rPr>
              <w:t>投标文件中的页码位置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5" w:type="dxa"/>
            <w:vAlign w:val="center"/>
          </w:tcPr>
          <w:p>
            <w:pPr>
              <w:ind w:firstLine="0" w:firstLineChars="0"/>
              <w:jc w:val="left"/>
              <w:rPr>
                <w:color w:val="auto"/>
              </w:rPr>
            </w:pPr>
            <w:r>
              <w:rPr>
                <w:rFonts w:hint="eastAsia"/>
                <w:color w:val="auto"/>
              </w:rPr>
              <w:t>1</w:t>
            </w:r>
          </w:p>
        </w:tc>
        <w:tc>
          <w:tcPr>
            <w:tcW w:w="3513" w:type="dxa"/>
            <w:vAlign w:val="center"/>
          </w:tcPr>
          <w:p>
            <w:pPr>
              <w:ind w:firstLine="0" w:firstLineChars="0"/>
              <w:jc w:val="left"/>
              <w:rPr>
                <w:color w:val="auto"/>
              </w:rPr>
            </w:pPr>
            <w:r>
              <w:rPr>
                <w:rFonts w:hint="eastAsia"/>
                <w:color w:val="auto"/>
              </w:rPr>
              <w:t>投标文件按照采购文件要求签署、盖章。</w:t>
            </w:r>
          </w:p>
        </w:tc>
        <w:tc>
          <w:tcPr>
            <w:tcW w:w="2925" w:type="dxa"/>
            <w:vAlign w:val="center"/>
          </w:tcPr>
          <w:p>
            <w:pPr>
              <w:ind w:firstLine="0" w:firstLineChars="0"/>
              <w:jc w:val="left"/>
              <w:rPr>
                <w:color w:val="auto"/>
              </w:rPr>
            </w:pPr>
            <w:r>
              <w:rPr>
                <w:rFonts w:hint="eastAsia"/>
                <w:color w:val="auto"/>
              </w:rPr>
              <w:t>需要使用电子签名或者签字盖章的投标文件的组成部分。</w:t>
            </w:r>
          </w:p>
        </w:tc>
        <w:tc>
          <w:tcPr>
            <w:tcW w:w="2475" w:type="dxa"/>
            <w:vAlign w:val="center"/>
          </w:tcPr>
          <w:p>
            <w:pPr>
              <w:ind w:firstLine="0" w:firstLineChars="0"/>
              <w:jc w:val="left"/>
              <w:rPr>
                <w:color w:val="auto"/>
              </w:rPr>
            </w:pPr>
            <w:r>
              <w:rPr>
                <w:rFonts w:hint="eastAsia"/>
                <w:color w:val="auto"/>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5" w:type="dxa"/>
            <w:vAlign w:val="center"/>
          </w:tcPr>
          <w:p>
            <w:pPr>
              <w:ind w:firstLine="0" w:firstLineChars="0"/>
              <w:jc w:val="left"/>
              <w:rPr>
                <w:color w:val="auto"/>
              </w:rPr>
            </w:pPr>
            <w:r>
              <w:rPr>
                <w:rFonts w:hint="eastAsia"/>
                <w:color w:val="auto"/>
              </w:rPr>
              <w:t>2</w:t>
            </w:r>
          </w:p>
        </w:tc>
        <w:tc>
          <w:tcPr>
            <w:tcW w:w="3513" w:type="dxa"/>
            <w:vAlign w:val="center"/>
          </w:tcPr>
          <w:p>
            <w:pPr>
              <w:ind w:firstLine="0" w:firstLineChars="0"/>
              <w:jc w:val="left"/>
              <w:rPr>
                <w:color w:val="auto"/>
              </w:rPr>
            </w:pPr>
            <w:r>
              <w:rPr>
                <w:rFonts w:hint="eastAsia"/>
                <w:color w:val="auto"/>
              </w:rPr>
              <w:t>投标文件中承诺的投标有效期不少于采购文件中载明的投标有效期。</w:t>
            </w:r>
          </w:p>
        </w:tc>
        <w:tc>
          <w:tcPr>
            <w:tcW w:w="2925" w:type="dxa"/>
            <w:vAlign w:val="center"/>
          </w:tcPr>
          <w:p>
            <w:pPr>
              <w:ind w:firstLine="0" w:firstLineChars="0"/>
              <w:jc w:val="left"/>
              <w:rPr>
                <w:color w:val="auto"/>
              </w:rPr>
            </w:pPr>
            <w:r>
              <w:rPr>
                <w:rFonts w:hint="eastAsia"/>
                <w:color w:val="auto"/>
              </w:rPr>
              <w:t>投标函。</w:t>
            </w:r>
          </w:p>
        </w:tc>
        <w:tc>
          <w:tcPr>
            <w:tcW w:w="2475" w:type="dxa"/>
            <w:vAlign w:val="center"/>
          </w:tcPr>
          <w:p>
            <w:pPr>
              <w:ind w:firstLine="0" w:firstLineChars="0"/>
              <w:jc w:val="left"/>
              <w:rPr>
                <w:color w:val="auto"/>
              </w:rPr>
            </w:pPr>
            <w:r>
              <w:rPr>
                <w:rFonts w:hint="eastAsia"/>
                <w:color w:val="auto"/>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5" w:type="dxa"/>
            <w:vAlign w:val="center"/>
          </w:tcPr>
          <w:p>
            <w:pPr>
              <w:ind w:firstLine="0" w:firstLineChars="0"/>
              <w:jc w:val="left"/>
              <w:rPr>
                <w:color w:val="auto"/>
              </w:rPr>
            </w:pPr>
            <w:r>
              <w:rPr>
                <w:rFonts w:hint="eastAsia"/>
                <w:color w:val="auto"/>
              </w:rPr>
              <w:t>3</w:t>
            </w:r>
          </w:p>
        </w:tc>
        <w:tc>
          <w:tcPr>
            <w:tcW w:w="3513" w:type="dxa"/>
            <w:vAlign w:val="center"/>
          </w:tcPr>
          <w:p>
            <w:pPr>
              <w:ind w:firstLine="0" w:firstLineChars="0"/>
              <w:jc w:val="left"/>
              <w:rPr>
                <w:color w:val="auto"/>
              </w:rPr>
            </w:pPr>
            <w:r>
              <w:rPr>
                <w:rFonts w:hint="eastAsia"/>
                <w:color w:val="auto"/>
              </w:rPr>
              <w:t>投标文件满足采购文件的其它实质性要求。</w:t>
            </w:r>
          </w:p>
        </w:tc>
        <w:tc>
          <w:tcPr>
            <w:tcW w:w="2925" w:type="dxa"/>
            <w:vAlign w:val="center"/>
          </w:tcPr>
          <w:p>
            <w:pPr>
              <w:ind w:firstLine="0" w:firstLineChars="0"/>
              <w:jc w:val="left"/>
              <w:rPr>
                <w:color w:val="auto"/>
              </w:rPr>
            </w:pPr>
            <w:r>
              <w:rPr>
                <w:rFonts w:hint="eastAsia"/>
                <w:color w:val="auto"/>
              </w:rPr>
              <w:t>采购文件其它实质性要求相应的材料（“★”系指实质性要求条款，采购文件无其它实质性要求的，无需提供）。</w:t>
            </w:r>
          </w:p>
        </w:tc>
        <w:tc>
          <w:tcPr>
            <w:tcW w:w="2475" w:type="dxa"/>
            <w:vAlign w:val="center"/>
          </w:tcPr>
          <w:p>
            <w:pPr>
              <w:ind w:firstLine="0" w:firstLineChars="0"/>
              <w:jc w:val="left"/>
              <w:rPr>
                <w:color w:val="auto"/>
              </w:rPr>
            </w:pPr>
            <w:r>
              <w:rPr>
                <w:rFonts w:hint="eastAsia"/>
                <w:color w:val="auto"/>
              </w:rPr>
              <w:t>见投标文件第页</w:t>
            </w:r>
          </w:p>
        </w:tc>
      </w:tr>
    </w:tbl>
    <w:p>
      <w:pPr>
        <w:rPr>
          <w:color w:val="auto"/>
        </w:rPr>
      </w:pPr>
      <w:r>
        <w:rPr>
          <w:rFonts w:hint="eastAsia"/>
          <w:color w:val="auto"/>
        </w:rPr>
        <w:t>注：按本格式和要求提供。</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br w:type="page"/>
      </w:r>
    </w:p>
    <w:p>
      <w:pPr>
        <w:pStyle w:val="235"/>
        <w:numPr>
          <w:ilvl w:val="0"/>
          <w:numId w:val="56"/>
        </w:numPr>
        <w:ind w:firstLineChars="0"/>
        <w:rPr>
          <w:color w:val="auto"/>
          <w:lang w:val="zh-CN"/>
        </w:rPr>
      </w:pPr>
      <w:r>
        <w:rPr>
          <w:rFonts w:hint="eastAsia"/>
          <w:color w:val="auto"/>
          <w:lang w:val="zh-CN"/>
        </w:rPr>
        <w:t>评标标准相应的商务技术资料</w:t>
      </w:r>
    </w:p>
    <w:p>
      <w:pPr>
        <w:rPr>
          <w:color w:val="auto"/>
        </w:rPr>
      </w:pPr>
    </w:p>
    <w:p>
      <w:pPr>
        <w:rPr>
          <w:color w:val="auto"/>
        </w:rPr>
      </w:pPr>
      <w:r>
        <w:rPr>
          <w:rFonts w:hint="eastAsia"/>
          <w:color w:val="auto"/>
        </w:rPr>
        <w:t>（按采购文件第四部分评标办法前附表中“投标文件中评标标准相应的商务技术资料目录”提供资料。）</w:t>
      </w:r>
    </w:p>
    <w:p>
      <w:pPr>
        <w:rPr>
          <w:color w:val="auto"/>
        </w:rPr>
      </w:pPr>
    </w:p>
    <w:p>
      <w:pPr>
        <w:rPr>
          <w:color w:val="auto"/>
        </w:rPr>
      </w:pPr>
      <w:r>
        <w:rPr>
          <w:rFonts w:hint="eastAsia"/>
          <w:color w:val="auto"/>
        </w:rPr>
        <w:br w:type="page"/>
      </w:r>
    </w:p>
    <w:p>
      <w:pPr>
        <w:rPr>
          <w:color w:val="auto"/>
          <w:lang w:val="zh-CN"/>
        </w:rPr>
      </w:pPr>
      <w:r>
        <w:rPr>
          <w:rFonts w:hint="eastAsia"/>
          <w:color w:val="auto"/>
        </w:rPr>
        <w:t>五-1、技术条款</w:t>
      </w:r>
      <w:r>
        <w:rPr>
          <w:rFonts w:hint="eastAsia"/>
          <w:color w:val="auto"/>
          <w:lang w:val="zh-CN"/>
        </w:rPr>
        <w:t>偏离表</w:t>
      </w:r>
    </w:p>
    <w:p>
      <w:pPr>
        <w:pStyle w:val="36"/>
        <w:rPr>
          <w:color w:val="auto"/>
        </w:rPr>
      </w:pPr>
    </w:p>
    <w:p>
      <w:pPr>
        <w:rPr>
          <w:rFonts w:cs="宋体"/>
          <w:color w:val="auto"/>
        </w:rPr>
      </w:pPr>
      <w:r>
        <w:rPr>
          <w:rFonts w:hint="eastAsia" w:cs="宋体"/>
          <w:color w:val="auto"/>
        </w:rPr>
        <w:t>（对照采购文件第三部分 采购需求中</w:t>
      </w:r>
      <w:r>
        <w:rPr>
          <w:rFonts w:hint="eastAsia"/>
          <w:color w:val="auto"/>
        </w:rPr>
        <w:t>的内容</w:t>
      </w:r>
      <w:r>
        <w:rPr>
          <w:rFonts w:hint="eastAsia" w:cs="宋体"/>
          <w:color w:val="auto"/>
        </w:rPr>
        <w:t>逐一响应</w:t>
      </w:r>
      <w:r>
        <w:rPr>
          <w:rFonts w:hint="eastAsia"/>
          <w:color w:val="auto"/>
        </w:rPr>
        <w:t>，“偏离情况”栏要求注明“正偏离”、“负偏离”或“无偏离”；若有负偏离，请明确注明负偏离的条款。</w:t>
      </w:r>
      <w:r>
        <w:rPr>
          <w:rFonts w:hint="eastAsia" w:cs="宋体"/>
          <w:color w:val="auto"/>
        </w:rPr>
        <w:t>）</w:t>
      </w:r>
    </w:p>
    <w:tbl>
      <w:tblPr>
        <w:tblStyle w:val="37"/>
        <w:tblW w:w="9618" w:type="dxa"/>
        <w:tblInd w:w="1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683"/>
        <w:gridCol w:w="3753"/>
        <w:gridCol w:w="1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序号</w:t>
            </w:r>
          </w:p>
        </w:tc>
        <w:tc>
          <w:tcPr>
            <w:tcW w:w="3683" w:type="dxa"/>
            <w:vAlign w:val="center"/>
          </w:tcPr>
          <w:p>
            <w:pPr>
              <w:ind w:firstLine="0" w:firstLineChars="0"/>
              <w:rPr>
                <w:color w:val="auto"/>
              </w:rPr>
            </w:pPr>
            <w:r>
              <w:rPr>
                <w:rFonts w:hint="eastAsia"/>
                <w:color w:val="auto"/>
              </w:rPr>
              <w:t>采购文件章节及具体内容</w:t>
            </w:r>
          </w:p>
        </w:tc>
        <w:tc>
          <w:tcPr>
            <w:tcW w:w="3753" w:type="dxa"/>
            <w:vAlign w:val="center"/>
          </w:tcPr>
          <w:p>
            <w:pPr>
              <w:ind w:firstLine="0" w:firstLineChars="0"/>
              <w:rPr>
                <w:color w:val="auto"/>
              </w:rPr>
            </w:pPr>
            <w:r>
              <w:rPr>
                <w:rFonts w:hint="eastAsia"/>
                <w:color w:val="auto"/>
              </w:rPr>
              <w:t>投标文件章节及具体内容</w:t>
            </w:r>
          </w:p>
        </w:tc>
        <w:tc>
          <w:tcPr>
            <w:tcW w:w="1350" w:type="dxa"/>
            <w:vAlign w:val="center"/>
          </w:tcPr>
          <w:p>
            <w:pPr>
              <w:ind w:firstLine="0" w:firstLineChars="0"/>
              <w:rPr>
                <w:color w:val="auto"/>
              </w:rPr>
            </w:pPr>
            <w:r>
              <w:rPr>
                <w:rFonts w:hint="eastAsia"/>
                <w:color w:val="auto"/>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一</w:t>
            </w:r>
          </w:p>
        </w:tc>
        <w:tc>
          <w:tcPr>
            <w:tcW w:w="3683" w:type="dxa"/>
            <w:vAlign w:val="center"/>
          </w:tcPr>
          <w:p>
            <w:pPr>
              <w:ind w:firstLine="0" w:firstLineChars="0"/>
              <w:rPr>
                <w:color w:val="auto"/>
              </w:rPr>
            </w:pPr>
            <w:r>
              <w:rPr>
                <w:rFonts w:hint="eastAsia"/>
                <w:color w:val="auto"/>
              </w:rPr>
              <w:t>★采购标的需实现的功能或者目标</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二</w:t>
            </w:r>
          </w:p>
        </w:tc>
        <w:tc>
          <w:tcPr>
            <w:tcW w:w="3683" w:type="dxa"/>
            <w:vAlign w:val="center"/>
          </w:tcPr>
          <w:p>
            <w:pPr>
              <w:ind w:firstLine="0" w:firstLineChars="0"/>
              <w:rPr>
                <w:color w:val="auto"/>
              </w:rPr>
            </w:pPr>
            <w:r>
              <w:rPr>
                <w:rFonts w:hint="eastAsia"/>
                <w:color w:val="auto"/>
              </w:rPr>
              <w:t>★采购标的需满足的质量、安全、技术规格、物理特性等要求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三</w:t>
            </w:r>
          </w:p>
        </w:tc>
        <w:tc>
          <w:tcPr>
            <w:tcW w:w="3683" w:type="dxa"/>
            <w:vAlign w:val="center"/>
          </w:tcPr>
          <w:p>
            <w:pPr>
              <w:ind w:firstLine="0" w:firstLineChars="0"/>
              <w:rPr>
                <w:color w:val="auto"/>
              </w:rPr>
            </w:pPr>
            <w:r>
              <w:rPr>
                <w:rFonts w:hint="eastAsia"/>
                <w:color w:val="auto"/>
              </w:rPr>
              <w:t>采购标的需满足的服务标准、期限、效率等要求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w:t>
            </w:r>
          </w:p>
        </w:tc>
        <w:tc>
          <w:tcPr>
            <w:tcW w:w="3683" w:type="dxa"/>
            <w:vAlign w:val="center"/>
          </w:tcPr>
          <w:p>
            <w:pPr>
              <w:ind w:firstLine="0" w:firstLineChars="0"/>
              <w:rPr>
                <w:color w:val="auto"/>
              </w:rPr>
            </w:pP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bl>
    <w:p>
      <w:pPr>
        <w:rPr>
          <w:color w:val="auto"/>
          <w:sz w:val="24"/>
        </w:rPr>
      </w:pPr>
      <w:r>
        <w:rPr>
          <w:rFonts w:hint="eastAsia"/>
          <w:color w:val="auto"/>
        </w:rPr>
        <w:t>供应商保证：除技术条款偏离表列出的偏离外，供应商响应采购文件的全部要求。</w:t>
      </w:r>
    </w:p>
    <w:p>
      <w:pPr>
        <w:rPr>
          <w:color w:val="auto"/>
        </w:rPr>
      </w:pPr>
    </w:p>
    <w:p>
      <w:pPr>
        <w:rPr>
          <w:b/>
          <w:bCs/>
          <w:color w:val="auto"/>
          <w:sz w:val="32"/>
          <w:szCs w:val="32"/>
        </w:rPr>
      </w:pPr>
      <w:r>
        <w:rPr>
          <w:rFonts w:hint="eastAsia"/>
          <w:color w:val="auto"/>
        </w:rPr>
        <w:t>注：按本格式和要求提供。</w:t>
      </w:r>
    </w:p>
    <w:p>
      <w:pPr>
        <w:rPr>
          <w:color w:val="auto"/>
        </w:rPr>
      </w:pPr>
    </w:p>
    <w:p>
      <w:pPr>
        <w:pStyle w:val="235"/>
        <w:numPr>
          <w:ilvl w:val="0"/>
          <w:numId w:val="56"/>
        </w:numPr>
        <w:ind w:firstLineChars="0"/>
        <w:rPr>
          <w:color w:val="auto"/>
          <w:lang w:val="zh-CN"/>
        </w:rPr>
      </w:pPr>
      <w:r>
        <w:rPr>
          <w:rFonts w:hint="eastAsia"/>
          <w:color w:val="auto"/>
        </w:rPr>
        <w:br w:type="page"/>
      </w:r>
      <w:r>
        <w:rPr>
          <w:rFonts w:hint="eastAsia"/>
          <w:color w:val="auto"/>
          <w:lang w:val="zh-CN"/>
        </w:rPr>
        <w:t>投标标的清单</w:t>
      </w:r>
    </w:p>
    <w:p>
      <w:pPr>
        <w:pStyle w:val="36"/>
        <w:rPr>
          <w:color w:val="auto"/>
        </w:rPr>
      </w:pPr>
    </w:p>
    <w:tbl>
      <w:tblPr>
        <w:tblStyle w:val="37"/>
        <w:tblW w:w="0" w:type="auto"/>
        <w:tblInd w:w="1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70"/>
        <w:gridCol w:w="1548"/>
        <w:gridCol w:w="1203"/>
        <w:gridCol w:w="1203"/>
        <w:gridCol w:w="1203"/>
        <w:gridCol w:w="1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00" w:type="dxa"/>
            <w:vAlign w:val="center"/>
          </w:tcPr>
          <w:p>
            <w:pPr>
              <w:ind w:firstLine="0" w:firstLineChars="0"/>
              <w:rPr>
                <w:color w:val="auto"/>
              </w:rPr>
            </w:pPr>
            <w:r>
              <w:rPr>
                <w:rFonts w:hint="eastAsia"/>
                <w:color w:val="auto"/>
              </w:rPr>
              <w:t>序号</w:t>
            </w:r>
          </w:p>
        </w:tc>
        <w:tc>
          <w:tcPr>
            <w:tcW w:w="2370" w:type="dxa"/>
            <w:vAlign w:val="center"/>
          </w:tcPr>
          <w:p>
            <w:pPr>
              <w:ind w:firstLine="0" w:firstLineChars="0"/>
              <w:rPr>
                <w:color w:val="auto"/>
              </w:rPr>
            </w:pPr>
            <w:r>
              <w:rPr>
                <w:rFonts w:hint="eastAsia"/>
                <w:color w:val="auto"/>
              </w:rPr>
              <w:t>名称</w:t>
            </w:r>
          </w:p>
        </w:tc>
        <w:tc>
          <w:tcPr>
            <w:tcW w:w="1548" w:type="dxa"/>
            <w:vAlign w:val="center"/>
          </w:tcPr>
          <w:p>
            <w:pPr>
              <w:ind w:firstLine="0" w:firstLineChars="0"/>
              <w:rPr>
                <w:color w:val="auto"/>
              </w:rPr>
            </w:pPr>
            <w:r>
              <w:rPr>
                <w:rFonts w:hint="eastAsia"/>
                <w:color w:val="auto"/>
              </w:rPr>
              <w:t>服务范围</w:t>
            </w:r>
          </w:p>
        </w:tc>
        <w:tc>
          <w:tcPr>
            <w:tcW w:w="1203" w:type="dxa"/>
            <w:vAlign w:val="center"/>
          </w:tcPr>
          <w:p>
            <w:pPr>
              <w:ind w:firstLine="0" w:firstLineChars="0"/>
              <w:rPr>
                <w:color w:val="auto"/>
              </w:rPr>
            </w:pPr>
            <w:r>
              <w:rPr>
                <w:rFonts w:hint="eastAsia"/>
                <w:color w:val="auto"/>
              </w:rPr>
              <w:t>服务要求</w:t>
            </w:r>
          </w:p>
        </w:tc>
        <w:tc>
          <w:tcPr>
            <w:tcW w:w="1203" w:type="dxa"/>
            <w:vAlign w:val="center"/>
          </w:tcPr>
          <w:p>
            <w:pPr>
              <w:ind w:firstLine="0" w:firstLineChars="0"/>
              <w:rPr>
                <w:color w:val="auto"/>
              </w:rPr>
            </w:pPr>
            <w:r>
              <w:rPr>
                <w:rFonts w:hint="eastAsia"/>
                <w:color w:val="auto"/>
              </w:rPr>
              <w:t>服务时间</w:t>
            </w:r>
          </w:p>
        </w:tc>
        <w:tc>
          <w:tcPr>
            <w:tcW w:w="1203" w:type="dxa"/>
            <w:vAlign w:val="center"/>
          </w:tcPr>
          <w:p>
            <w:pPr>
              <w:ind w:firstLine="0" w:firstLineChars="0"/>
              <w:rPr>
                <w:color w:val="auto"/>
              </w:rPr>
            </w:pPr>
            <w:r>
              <w:rPr>
                <w:rFonts w:hint="eastAsia"/>
                <w:color w:val="auto"/>
              </w:rPr>
              <w:t>服务标准</w:t>
            </w:r>
          </w:p>
        </w:tc>
        <w:tc>
          <w:tcPr>
            <w:tcW w:w="1203" w:type="dxa"/>
            <w:vAlign w:val="center"/>
          </w:tcPr>
          <w:p>
            <w:pPr>
              <w:ind w:firstLine="0" w:firstLineChars="0"/>
              <w:rPr>
                <w:color w:val="auto"/>
              </w:rPr>
            </w:pPr>
          </w:p>
          <w:p>
            <w:pPr>
              <w:ind w:firstLine="0" w:firstLineChars="0"/>
              <w:rPr>
                <w:color w:val="auto"/>
              </w:rPr>
            </w:pPr>
            <w:r>
              <w:rPr>
                <w:rFonts w:hint="eastAsia"/>
                <w:color w:val="auto"/>
              </w:rPr>
              <w:t>备注</w:t>
            </w:r>
          </w:p>
          <w:p>
            <w:pPr>
              <w:ind w:firstLine="0" w:firstLineChars="0"/>
              <w:rPr>
                <w:color w:val="auto"/>
              </w:rPr>
            </w:pPr>
            <w:r>
              <w:rPr>
                <w:rFonts w:hint="eastAsia"/>
                <w:color w:val="auto"/>
              </w:rPr>
              <w:t>（如果有）</w:t>
            </w:r>
          </w:p>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00" w:type="dxa"/>
            <w:vAlign w:val="center"/>
          </w:tcPr>
          <w:p>
            <w:pPr>
              <w:ind w:firstLine="0" w:firstLineChars="0"/>
              <w:rPr>
                <w:color w:val="auto"/>
              </w:rPr>
            </w:pPr>
            <w:r>
              <w:rPr>
                <w:rFonts w:hint="eastAsia"/>
                <w:color w:val="auto"/>
              </w:rPr>
              <w:t>1</w:t>
            </w:r>
          </w:p>
        </w:tc>
        <w:tc>
          <w:tcPr>
            <w:tcW w:w="2370" w:type="dxa"/>
            <w:vAlign w:val="center"/>
          </w:tcPr>
          <w:p>
            <w:pPr>
              <w:ind w:firstLine="0" w:firstLineChars="0"/>
              <w:rPr>
                <w:color w:val="auto"/>
              </w:rPr>
            </w:pPr>
          </w:p>
        </w:tc>
        <w:tc>
          <w:tcPr>
            <w:tcW w:w="1548"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00" w:type="dxa"/>
            <w:vAlign w:val="center"/>
          </w:tcPr>
          <w:p>
            <w:pPr>
              <w:ind w:firstLine="0" w:firstLineChars="0"/>
              <w:rPr>
                <w:color w:val="auto"/>
              </w:rPr>
            </w:pPr>
            <w:r>
              <w:rPr>
                <w:rFonts w:hint="eastAsia"/>
                <w:color w:val="auto"/>
              </w:rPr>
              <w:t>…</w:t>
            </w:r>
          </w:p>
        </w:tc>
        <w:tc>
          <w:tcPr>
            <w:tcW w:w="2370" w:type="dxa"/>
            <w:vAlign w:val="center"/>
          </w:tcPr>
          <w:p>
            <w:pPr>
              <w:ind w:firstLine="0" w:firstLineChars="0"/>
              <w:rPr>
                <w:color w:val="auto"/>
              </w:rPr>
            </w:pPr>
          </w:p>
        </w:tc>
        <w:tc>
          <w:tcPr>
            <w:tcW w:w="1548"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c>
          <w:tcPr>
            <w:tcW w:w="1203" w:type="dxa"/>
            <w:vAlign w:val="center"/>
          </w:tcPr>
          <w:p>
            <w:pPr>
              <w:ind w:firstLine="0" w:firstLineChars="0"/>
              <w:rPr>
                <w:color w:val="auto"/>
              </w:rPr>
            </w:pPr>
          </w:p>
        </w:tc>
      </w:tr>
    </w:tbl>
    <w:p>
      <w:pPr>
        <w:rPr>
          <w:color w:val="auto"/>
        </w:rPr>
      </w:pPr>
      <w:r>
        <w:rPr>
          <w:rFonts w:hint="eastAsia"/>
          <w:color w:val="auto"/>
        </w:rPr>
        <w:t>注：按本格式和要求提供。</w:t>
      </w:r>
    </w:p>
    <w:p>
      <w:pPr>
        <w:rPr>
          <w:color w:val="auto"/>
        </w:rPr>
      </w:pPr>
    </w:p>
    <w:p>
      <w:pPr>
        <w:rPr>
          <w:color w:val="auto"/>
        </w:rPr>
      </w:pPr>
    </w:p>
    <w:p>
      <w:pPr>
        <w:pStyle w:val="235"/>
        <w:numPr>
          <w:ilvl w:val="0"/>
          <w:numId w:val="56"/>
        </w:numPr>
        <w:ind w:firstLineChars="0"/>
        <w:rPr>
          <w:color w:val="auto"/>
          <w:lang w:val="zh-CN"/>
        </w:rPr>
      </w:pPr>
      <w:r>
        <w:rPr>
          <w:rFonts w:hint="eastAsia"/>
          <w:color w:val="auto"/>
        </w:rPr>
        <w:br w:type="page"/>
      </w:r>
      <w:r>
        <w:rPr>
          <w:rFonts w:hint="eastAsia"/>
          <w:color w:val="auto"/>
          <w:lang w:val="zh-CN"/>
        </w:rPr>
        <w:t>商务技术偏离表</w:t>
      </w:r>
    </w:p>
    <w:p>
      <w:pPr>
        <w:pStyle w:val="36"/>
        <w:rPr>
          <w:color w:val="auto"/>
        </w:rPr>
      </w:pPr>
    </w:p>
    <w:tbl>
      <w:tblPr>
        <w:tblStyle w:val="37"/>
        <w:tblW w:w="9618" w:type="dxa"/>
        <w:tblInd w:w="1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683"/>
        <w:gridCol w:w="3753"/>
        <w:gridCol w:w="1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序号</w:t>
            </w:r>
          </w:p>
        </w:tc>
        <w:tc>
          <w:tcPr>
            <w:tcW w:w="3683" w:type="dxa"/>
            <w:vAlign w:val="center"/>
          </w:tcPr>
          <w:p>
            <w:pPr>
              <w:ind w:firstLine="0" w:firstLineChars="0"/>
              <w:rPr>
                <w:color w:val="auto"/>
              </w:rPr>
            </w:pPr>
            <w:r>
              <w:rPr>
                <w:rFonts w:hint="eastAsia"/>
                <w:color w:val="auto"/>
              </w:rPr>
              <w:t>采购文件章节及具体内容</w:t>
            </w:r>
          </w:p>
        </w:tc>
        <w:tc>
          <w:tcPr>
            <w:tcW w:w="3753" w:type="dxa"/>
            <w:vAlign w:val="center"/>
          </w:tcPr>
          <w:p>
            <w:pPr>
              <w:ind w:firstLine="0" w:firstLineChars="0"/>
              <w:rPr>
                <w:color w:val="auto"/>
              </w:rPr>
            </w:pPr>
            <w:r>
              <w:rPr>
                <w:rFonts w:hint="eastAsia"/>
                <w:color w:val="auto"/>
              </w:rPr>
              <w:t>投标文件章节及具体内容</w:t>
            </w:r>
          </w:p>
        </w:tc>
        <w:tc>
          <w:tcPr>
            <w:tcW w:w="1350" w:type="dxa"/>
            <w:vAlign w:val="center"/>
          </w:tcPr>
          <w:p>
            <w:pPr>
              <w:ind w:firstLine="0" w:firstLineChars="0"/>
              <w:rPr>
                <w:color w:val="auto"/>
              </w:rPr>
            </w:pPr>
            <w:r>
              <w:rPr>
                <w:rFonts w:hint="eastAsia"/>
                <w:color w:val="auto"/>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1</w:t>
            </w:r>
          </w:p>
        </w:tc>
        <w:tc>
          <w:tcPr>
            <w:tcW w:w="3683" w:type="dxa"/>
            <w:vAlign w:val="center"/>
          </w:tcPr>
          <w:p>
            <w:pPr>
              <w:ind w:firstLine="0" w:firstLineChars="0"/>
              <w:rPr>
                <w:color w:val="auto"/>
              </w:rPr>
            </w:pPr>
            <w:r>
              <w:rPr>
                <w:rFonts w:hint="eastAsia"/>
                <w:color w:val="auto"/>
              </w:rPr>
              <w:t>质保期：详见采购文件第三部分采购需求。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2</w:t>
            </w:r>
          </w:p>
        </w:tc>
        <w:tc>
          <w:tcPr>
            <w:tcW w:w="3683" w:type="dxa"/>
            <w:vAlign w:val="center"/>
          </w:tcPr>
          <w:p>
            <w:pPr>
              <w:ind w:firstLine="0" w:firstLineChars="0"/>
              <w:rPr>
                <w:color w:val="auto"/>
              </w:rPr>
            </w:pPr>
            <w:r>
              <w:rPr>
                <w:rFonts w:hint="eastAsia"/>
                <w:color w:val="auto"/>
              </w:rPr>
              <w:t>合同履约期限（即交付期）及交付地点：详见采购文件第三部分采购需求。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3</w:t>
            </w:r>
          </w:p>
        </w:tc>
        <w:tc>
          <w:tcPr>
            <w:tcW w:w="3683" w:type="dxa"/>
            <w:vAlign w:val="center"/>
          </w:tcPr>
          <w:p>
            <w:pPr>
              <w:ind w:firstLine="0" w:firstLineChars="0"/>
              <w:rPr>
                <w:color w:val="auto"/>
              </w:rPr>
            </w:pPr>
            <w:r>
              <w:rPr>
                <w:rFonts w:hint="eastAsia"/>
                <w:color w:val="auto"/>
              </w:rPr>
              <w:t>付款方式及要求：详见采购文件第三部分采购需求。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32" w:type="dxa"/>
            <w:vAlign w:val="center"/>
          </w:tcPr>
          <w:p>
            <w:pPr>
              <w:ind w:firstLine="0" w:firstLineChars="0"/>
              <w:rPr>
                <w:color w:val="auto"/>
              </w:rPr>
            </w:pPr>
            <w:r>
              <w:rPr>
                <w:rFonts w:hint="eastAsia"/>
                <w:color w:val="auto"/>
              </w:rPr>
              <w:t>4</w:t>
            </w:r>
          </w:p>
        </w:tc>
        <w:tc>
          <w:tcPr>
            <w:tcW w:w="3683" w:type="dxa"/>
            <w:vAlign w:val="center"/>
          </w:tcPr>
          <w:p>
            <w:pPr>
              <w:ind w:firstLine="0" w:firstLineChars="0"/>
              <w:rPr>
                <w:color w:val="auto"/>
              </w:rPr>
            </w:pPr>
            <w:r>
              <w:rPr>
                <w:rFonts w:hint="eastAsia"/>
                <w:color w:val="auto"/>
              </w:rPr>
              <w:t>预付款保函：详见采购文件第三部分采购需求。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5</w:t>
            </w:r>
          </w:p>
        </w:tc>
        <w:tc>
          <w:tcPr>
            <w:tcW w:w="3683" w:type="dxa"/>
            <w:vAlign w:val="center"/>
          </w:tcPr>
          <w:p>
            <w:pPr>
              <w:ind w:firstLine="0" w:firstLineChars="0"/>
              <w:rPr>
                <w:color w:val="auto"/>
              </w:rPr>
            </w:pPr>
            <w:r>
              <w:rPr>
                <w:rFonts w:hint="eastAsia"/>
                <w:color w:val="auto"/>
              </w:rPr>
              <w:t>履约保证金：详见采购文件第三部分采购需求。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6</w:t>
            </w:r>
          </w:p>
        </w:tc>
        <w:tc>
          <w:tcPr>
            <w:tcW w:w="3683" w:type="dxa"/>
            <w:vAlign w:val="center"/>
          </w:tcPr>
          <w:p>
            <w:pPr>
              <w:ind w:firstLine="0" w:firstLineChars="0"/>
              <w:rPr>
                <w:color w:val="auto"/>
              </w:rPr>
            </w:pPr>
            <w:r>
              <w:rPr>
                <w:rFonts w:hint="eastAsia"/>
                <w:color w:val="auto"/>
              </w:rPr>
              <w:t>验收：详见采购文件第三部分采购需求。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7</w:t>
            </w:r>
          </w:p>
        </w:tc>
        <w:tc>
          <w:tcPr>
            <w:tcW w:w="3683" w:type="dxa"/>
            <w:vAlign w:val="center"/>
          </w:tcPr>
          <w:p>
            <w:pPr>
              <w:ind w:firstLine="0" w:firstLineChars="0"/>
              <w:rPr>
                <w:color w:val="auto"/>
              </w:rPr>
            </w:pPr>
            <w:r>
              <w:rPr>
                <w:rFonts w:hint="eastAsia"/>
                <w:color w:val="auto"/>
              </w:rPr>
              <w:t>违约责任：详见采购文件第三部分采购需求。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8</w:t>
            </w:r>
          </w:p>
        </w:tc>
        <w:tc>
          <w:tcPr>
            <w:tcW w:w="3683" w:type="dxa"/>
            <w:vAlign w:val="center"/>
          </w:tcPr>
          <w:p>
            <w:pPr>
              <w:ind w:firstLine="0" w:firstLineChars="0"/>
              <w:rPr>
                <w:color w:val="auto"/>
              </w:rPr>
            </w:pPr>
            <w:r>
              <w:rPr>
                <w:rFonts w:hint="eastAsia"/>
                <w:color w:val="auto"/>
              </w:rPr>
              <w:t>合同终止：详见采购文件第三部分采购需求。</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9</w:t>
            </w:r>
          </w:p>
        </w:tc>
        <w:tc>
          <w:tcPr>
            <w:tcW w:w="3683" w:type="dxa"/>
            <w:vAlign w:val="center"/>
          </w:tcPr>
          <w:p>
            <w:pPr>
              <w:ind w:firstLine="0" w:firstLineChars="0"/>
              <w:rPr>
                <w:color w:val="auto"/>
              </w:rPr>
            </w:pPr>
            <w:r>
              <w:rPr>
                <w:rFonts w:hint="eastAsia"/>
                <w:color w:val="auto"/>
              </w:rPr>
              <w:t>报价要求：详见采购文件第二部分供应商须知前附表。</w:t>
            </w: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10</w:t>
            </w:r>
          </w:p>
        </w:tc>
        <w:tc>
          <w:tcPr>
            <w:tcW w:w="3683" w:type="dxa"/>
            <w:vAlign w:val="center"/>
          </w:tcPr>
          <w:p>
            <w:pPr>
              <w:ind w:firstLine="0" w:firstLineChars="0"/>
              <w:rPr>
                <w:color w:val="auto"/>
              </w:rPr>
            </w:pPr>
            <w:r>
              <w:rPr>
                <w:rFonts w:hint="eastAsia"/>
                <w:color w:val="auto"/>
              </w:rPr>
              <w:t>投标有效期：详见采购文件第二部分供应商须知前附表。</w:t>
            </w:r>
          </w:p>
        </w:tc>
        <w:tc>
          <w:tcPr>
            <w:tcW w:w="3753" w:type="dxa"/>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11</w:t>
            </w:r>
          </w:p>
        </w:tc>
        <w:tc>
          <w:tcPr>
            <w:tcW w:w="3683" w:type="dxa"/>
            <w:vAlign w:val="center"/>
          </w:tcPr>
          <w:p>
            <w:pPr>
              <w:ind w:firstLine="0" w:firstLineChars="0"/>
              <w:rPr>
                <w:color w:val="auto"/>
              </w:rPr>
            </w:pPr>
            <w:r>
              <w:rPr>
                <w:rFonts w:hint="eastAsia"/>
                <w:color w:val="auto"/>
              </w:rPr>
              <w:t>合同的签订：详见采购文件第二部分供应商须知前附表。</w:t>
            </w:r>
          </w:p>
        </w:tc>
        <w:tc>
          <w:tcPr>
            <w:tcW w:w="3753" w:type="dxa"/>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12</w:t>
            </w:r>
          </w:p>
        </w:tc>
        <w:tc>
          <w:tcPr>
            <w:tcW w:w="3683" w:type="dxa"/>
            <w:vAlign w:val="center"/>
          </w:tcPr>
          <w:p>
            <w:pPr>
              <w:ind w:firstLine="0" w:firstLineChars="0"/>
              <w:rPr>
                <w:color w:val="auto"/>
              </w:rPr>
            </w:pPr>
            <w:r>
              <w:rPr>
                <w:rFonts w:hint="eastAsia"/>
                <w:color w:val="auto"/>
              </w:rPr>
              <w:t>合同条款：第五部分拟签订的合同文本。</w:t>
            </w:r>
          </w:p>
        </w:tc>
        <w:tc>
          <w:tcPr>
            <w:tcW w:w="3753" w:type="dxa"/>
          </w:tcPr>
          <w:p>
            <w:pPr>
              <w:ind w:firstLine="0" w:firstLineChars="0"/>
              <w:rPr>
                <w:color w:val="auto"/>
              </w:rPr>
            </w:pPr>
          </w:p>
        </w:tc>
        <w:tc>
          <w:tcPr>
            <w:tcW w:w="1350" w:type="dxa"/>
            <w:vAlign w:val="center"/>
          </w:tcPr>
          <w:p>
            <w:pPr>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2" w:type="dxa"/>
            <w:vAlign w:val="center"/>
          </w:tcPr>
          <w:p>
            <w:pPr>
              <w:ind w:firstLine="0" w:firstLineChars="0"/>
              <w:rPr>
                <w:color w:val="auto"/>
              </w:rPr>
            </w:pPr>
            <w:r>
              <w:rPr>
                <w:rFonts w:hint="eastAsia"/>
                <w:color w:val="auto"/>
              </w:rPr>
              <w:t>……</w:t>
            </w:r>
          </w:p>
        </w:tc>
        <w:tc>
          <w:tcPr>
            <w:tcW w:w="3683" w:type="dxa"/>
            <w:vAlign w:val="center"/>
          </w:tcPr>
          <w:p>
            <w:pPr>
              <w:ind w:firstLine="0" w:firstLineChars="0"/>
              <w:rPr>
                <w:color w:val="auto"/>
              </w:rPr>
            </w:pPr>
          </w:p>
        </w:tc>
        <w:tc>
          <w:tcPr>
            <w:tcW w:w="3753" w:type="dxa"/>
            <w:vAlign w:val="center"/>
          </w:tcPr>
          <w:p>
            <w:pPr>
              <w:ind w:firstLine="0" w:firstLineChars="0"/>
              <w:rPr>
                <w:color w:val="auto"/>
              </w:rPr>
            </w:pPr>
          </w:p>
        </w:tc>
        <w:tc>
          <w:tcPr>
            <w:tcW w:w="1350" w:type="dxa"/>
            <w:vAlign w:val="center"/>
          </w:tcPr>
          <w:p>
            <w:pPr>
              <w:ind w:firstLine="0" w:firstLineChars="0"/>
              <w:rPr>
                <w:color w:val="auto"/>
              </w:rPr>
            </w:pPr>
          </w:p>
        </w:tc>
      </w:tr>
    </w:tbl>
    <w:p>
      <w:pPr>
        <w:rPr>
          <w:color w:val="auto"/>
          <w:sz w:val="24"/>
        </w:rPr>
      </w:pPr>
      <w:r>
        <w:rPr>
          <w:rFonts w:hint="eastAsia"/>
          <w:color w:val="auto"/>
        </w:rPr>
        <w:t>供应商保证：除商务技术偏离表列出的偏离外，供应商响应采购文件的全部要求。</w:t>
      </w:r>
    </w:p>
    <w:p>
      <w:pPr>
        <w:rPr>
          <w:color w:val="auto"/>
        </w:rPr>
      </w:pPr>
    </w:p>
    <w:p>
      <w:pPr>
        <w:rPr>
          <w:b/>
          <w:bCs/>
          <w:color w:val="auto"/>
          <w:sz w:val="32"/>
          <w:szCs w:val="32"/>
        </w:rPr>
      </w:pPr>
      <w:r>
        <w:rPr>
          <w:rFonts w:hint="eastAsia"/>
          <w:color w:val="auto"/>
        </w:rPr>
        <w:t>注：按本格式和要求提供。</w:t>
      </w:r>
    </w:p>
    <w:p>
      <w:pPr>
        <w:rPr>
          <w:color w:val="auto"/>
        </w:rPr>
      </w:pPr>
    </w:p>
    <w:p>
      <w:pPr>
        <w:pStyle w:val="235"/>
        <w:numPr>
          <w:ilvl w:val="0"/>
          <w:numId w:val="56"/>
        </w:numPr>
        <w:ind w:firstLineChars="0"/>
        <w:rPr>
          <w:color w:val="auto"/>
          <w:lang w:val="zh-CN"/>
        </w:rPr>
      </w:pPr>
      <w:r>
        <w:rPr>
          <w:bCs/>
          <w:color w:val="auto"/>
          <w:sz w:val="32"/>
          <w:szCs w:val="32"/>
        </w:rPr>
        <w:br w:type="page"/>
      </w:r>
      <w:r>
        <w:rPr>
          <w:rFonts w:hint="eastAsia"/>
          <w:color w:val="auto"/>
          <w:lang w:val="zh-CN"/>
        </w:rPr>
        <w:t>政府采购供应商廉洁自律承诺书</w:t>
      </w:r>
    </w:p>
    <w:p>
      <w:pPr>
        <w:rPr>
          <w:color w:val="auto"/>
        </w:rPr>
      </w:pPr>
    </w:p>
    <w:p>
      <w:pPr>
        <w:rPr>
          <w:color w:val="auto"/>
          <w:kern w:val="0"/>
        </w:rPr>
      </w:pPr>
      <w:r>
        <w:rPr>
          <w:rFonts w:hint="eastAsia"/>
          <w:color w:val="auto"/>
        </w:rPr>
        <w:t>采购人、采购代理机构</w:t>
      </w:r>
      <w:r>
        <w:rPr>
          <w:rFonts w:hint="eastAsia"/>
          <w:color w:val="auto"/>
          <w:kern w:val="0"/>
          <w:lang w:val="zh-CN"/>
        </w:rPr>
        <w:t>：</w:t>
      </w:r>
    </w:p>
    <w:p>
      <w:pPr>
        <w:rPr>
          <w:color w:val="auto"/>
          <w:lang w:val="zh-CN"/>
        </w:rPr>
      </w:pPr>
      <w:r>
        <w:rPr>
          <w:rFonts w:hint="eastAsia"/>
          <w:color w:val="auto"/>
          <w:lang w:val="zh-CN"/>
        </w:rPr>
        <w:t>我单位响应你</w:t>
      </w:r>
      <w:r>
        <w:rPr>
          <w:rFonts w:hint="eastAsia"/>
          <w:color w:val="auto"/>
        </w:rPr>
        <w:t>单位</w:t>
      </w:r>
      <w:r>
        <w:rPr>
          <w:rFonts w:hint="eastAsia"/>
          <w:color w:val="auto"/>
          <w:lang w:val="zh-CN"/>
        </w:rPr>
        <w:t>项目招标要求参加投标。在这次投标过程中和中标后，我们将严格遵守国家法律法规要求，并郑重承诺：</w:t>
      </w:r>
    </w:p>
    <w:p>
      <w:pPr>
        <w:pStyle w:val="235"/>
        <w:numPr>
          <w:ilvl w:val="0"/>
          <w:numId w:val="63"/>
        </w:numPr>
        <w:ind w:firstLineChars="0"/>
        <w:rPr>
          <w:color w:val="auto"/>
          <w:lang w:val="zh-CN"/>
        </w:rPr>
      </w:pPr>
      <w:r>
        <w:rPr>
          <w:rFonts w:hint="eastAsia"/>
          <w:color w:val="auto"/>
          <w:lang w:val="zh-CN"/>
        </w:rPr>
        <w:t>不向项目有关人员及部门赠送礼金礼物、有价证券、回扣以及中介费、介绍费、咨询费等好处费；</w:t>
      </w:r>
    </w:p>
    <w:p>
      <w:pPr>
        <w:pStyle w:val="235"/>
        <w:numPr>
          <w:ilvl w:val="0"/>
          <w:numId w:val="63"/>
        </w:numPr>
        <w:ind w:firstLineChars="0"/>
        <w:rPr>
          <w:color w:val="auto"/>
          <w:lang w:val="zh-CN"/>
        </w:rPr>
      </w:pPr>
      <w:r>
        <w:rPr>
          <w:rFonts w:hint="eastAsia"/>
          <w:color w:val="auto"/>
          <w:lang w:val="zh-CN"/>
        </w:rPr>
        <w:t>不为项目有关人员及部门报销应由你方单位或个人支付的费用；</w:t>
      </w:r>
    </w:p>
    <w:p>
      <w:pPr>
        <w:pStyle w:val="235"/>
        <w:numPr>
          <w:ilvl w:val="0"/>
          <w:numId w:val="63"/>
        </w:numPr>
        <w:ind w:firstLineChars="0"/>
        <w:rPr>
          <w:color w:val="auto"/>
          <w:lang w:val="zh-CN"/>
        </w:rPr>
      </w:pPr>
      <w:r>
        <w:rPr>
          <w:rFonts w:hint="eastAsia"/>
          <w:color w:val="auto"/>
          <w:lang w:val="zh-CN"/>
        </w:rPr>
        <w:t>不向项目有关人员及部门提供有可能影响公正的宴请和健身娱乐等活动；</w:t>
      </w:r>
    </w:p>
    <w:p>
      <w:pPr>
        <w:pStyle w:val="235"/>
        <w:numPr>
          <w:ilvl w:val="0"/>
          <w:numId w:val="63"/>
        </w:numPr>
        <w:ind w:firstLineChars="0"/>
        <w:rPr>
          <w:color w:val="auto"/>
          <w:lang w:val="zh-CN"/>
        </w:rPr>
      </w:pPr>
      <w:r>
        <w:rPr>
          <w:rFonts w:hint="eastAsia"/>
          <w:color w:val="auto"/>
          <w:lang w:val="zh-CN"/>
        </w:rPr>
        <w:t>不为项目有关人员及部门出国（境）、旅游等提供方便；</w:t>
      </w:r>
    </w:p>
    <w:p>
      <w:pPr>
        <w:pStyle w:val="235"/>
        <w:numPr>
          <w:ilvl w:val="0"/>
          <w:numId w:val="63"/>
        </w:numPr>
        <w:ind w:firstLineChars="0"/>
        <w:rPr>
          <w:color w:val="auto"/>
          <w:lang w:val="zh-CN"/>
        </w:rPr>
      </w:pPr>
      <w:r>
        <w:rPr>
          <w:rFonts w:hint="eastAsia"/>
          <w:color w:val="auto"/>
          <w:lang w:val="zh-CN"/>
        </w:rPr>
        <w:t>不为项目有关人员个人装修住房、婚丧嫁娶、配偶子女工作安排等提供好处；</w:t>
      </w:r>
    </w:p>
    <w:p>
      <w:pPr>
        <w:pStyle w:val="235"/>
        <w:numPr>
          <w:ilvl w:val="0"/>
          <w:numId w:val="63"/>
        </w:numPr>
        <w:ind w:firstLineChars="0"/>
        <w:rPr>
          <w:color w:val="auto"/>
          <w:lang w:val="zh-CN"/>
        </w:rPr>
      </w:pPr>
      <w:r>
        <w:rPr>
          <w:rFonts w:hint="eastAsia"/>
          <w:color w:val="auto"/>
          <w:lang w:val="zh-CN"/>
        </w:rPr>
        <w:t>严格遵守《中华人民共和国政府采购法》、《中华人民共和国民法典》等法律法规，诚实守信，合法经营，坚决抵制各种违法违纪行为。</w:t>
      </w:r>
    </w:p>
    <w:p>
      <w:pPr>
        <w:rPr>
          <w:color w:val="auto"/>
          <w:lang w:val="zh-CN"/>
        </w:rPr>
      </w:pPr>
      <w:r>
        <w:rPr>
          <w:rFonts w:hint="eastAsia"/>
          <w:color w:val="auto"/>
          <w:lang w:val="zh-CN"/>
        </w:rPr>
        <w:t>如违反上述承诺，你</w:t>
      </w:r>
      <w:r>
        <w:rPr>
          <w:rFonts w:hint="eastAsia"/>
          <w:color w:val="auto"/>
        </w:rPr>
        <w:t>方</w:t>
      </w:r>
      <w:r>
        <w:rPr>
          <w:rFonts w:hint="eastAsia"/>
          <w:color w:val="auto"/>
          <w:lang w:val="zh-CN"/>
        </w:rPr>
        <w:t>有权立即取消我单位投标、中标（或在建项目的建设资格），有权拒绝我单位在一定时期内进入你</w:t>
      </w:r>
      <w:r>
        <w:rPr>
          <w:rFonts w:hint="eastAsia"/>
          <w:color w:val="auto"/>
        </w:rPr>
        <w:t>方</w:t>
      </w:r>
      <w:r>
        <w:rPr>
          <w:rFonts w:hint="eastAsia"/>
          <w:color w:val="auto"/>
          <w:lang w:val="zh-CN"/>
        </w:rPr>
        <w:t>进行项目建设或其他经营活动，并通报</w:t>
      </w:r>
      <w:r>
        <w:rPr>
          <w:rFonts w:hint="eastAsia"/>
          <w:color w:val="auto"/>
        </w:rPr>
        <w:t>政府采购监督管理机构</w:t>
      </w:r>
      <w:r>
        <w:rPr>
          <w:rFonts w:hint="eastAsia"/>
          <w:color w:val="auto"/>
          <w:lang w:val="zh-CN"/>
        </w:rPr>
        <w:t>。由此引起的相应损失均由我单位承担。</w:t>
      </w:r>
    </w:p>
    <w:p>
      <w:pPr>
        <w:rPr>
          <w:color w:val="auto"/>
          <w:lang w:val="zh-CN"/>
        </w:rPr>
      </w:pPr>
    </w:p>
    <w:p>
      <w:pPr>
        <w:rPr>
          <w:color w:val="auto"/>
          <w:lang w:val="zh-CN"/>
        </w:rPr>
      </w:pPr>
    </w:p>
    <w:p>
      <w:pPr>
        <w:rPr>
          <w:color w:val="auto"/>
          <w:lang w:val="zh-CN"/>
        </w:rPr>
      </w:pPr>
    </w:p>
    <w:p>
      <w:pPr>
        <w:rPr>
          <w:color w:val="auto"/>
          <w:lang w:val="zh-CN"/>
        </w:rPr>
      </w:pPr>
      <w:r>
        <w:rPr>
          <w:rFonts w:hint="eastAsia"/>
          <w:color w:val="auto"/>
          <w:lang w:val="zh-CN"/>
        </w:rPr>
        <w:t>供应商名称（电子签名）：</w:t>
      </w:r>
    </w:p>
    <w:p>
      <w:pPr>
        <w:rPr>
          <w:color w:val="auto"/>
          <w:lang w:val="zh-CN"/>
        </w:rPr>
      </w:pPr>
      <w:r>
        <w:rPr>
          <w:rFonts w:hint="eastAsia"/>
          <w:color w:val="auto"/>
          <w:lang w:val="zh-CN"/>
        </w:rPr>
        <w:t>日期：年月日</w:t>
      </w:r>
    </w:p>
    <w:p>
      <w:pPr>
        <w:rPr>
          <w:color w:val="auto"/>
          <w:lang w:val="zh-CN"/>
        </w:rPr>
      </w:pPr>
    </w:p>
    <w:p>
      <w:pPr>
        <w:rPr>
          <w:color w:val="auto"/>
          <w:lang w:val="zh-CN"/>
        </w:rPr>
      </w:pPr>
      <w:r>
        <w:rPr>
          <w:rFonts w:hint="eastAsia"/>
          <w:color w:val="auto"/>
          <w:lang w:val="zh-CN"/>
        </w:rPr>
        <w:t>注：按本格式和要求提供。</w:t>
      </w:r>
    </w:p>
    <w:p>
      <w:pPr>
        <w:rPr>
          <w:color w:val="auto"/>
          <w:lang w:val="zh-CN"/>
        </w:rPr>
        <w:sectPr>
          <w:headerReference r:id="rId17" w:type="first"/>
          <w:footerReference r:id="rId19" w:type="first"/>
          <w:headerReference r:id="rId16" w:type="default"/>
          <w:footerReference r:id="rId18" w:type="default"/>
          <w:pgSz w:w="11906" w:h="16838"/>
          <w:pgMar w:top="1440" w:right="1080" w:bottom="1440" w:left="1080" w:header="851" w:footer="992" w:gutter="0"/>
          <w:pgNumType w:fmt="decimal"/>
          <w:cols w:space="0" w:num="1"/>
          <w:titlePg/>
          <w:docGrid w:linePitch="312" w:charSpace="0"/>
        </w:sectPr>
      </w:pPr>
    </w:p>
    <w:p>
      <w:pPr>
        <w:rPr>
          <w:color w:val="auto"/>
        </w:rPr>
      </w:pPr>
      <w:bookmarkStart w:id="455" w:name="_Toc18162"/>
      <w:bookmarkStart w:id="456" w:name="_Toc23512"/>
      <w:r>
        <w:rPr>
          <w:rFonts w:hint="eastAsia"/>
          <w:color w:val="auto"/>
        </w:rPr>
        <w:t>报价文件部分</w:t>
      </w:r>
      <w:bookmarkEnd w:id="455"/>
      <w:bookmarkEnd w:id="456"/>
    </w:p>
    <w:p>
      <w:pPr>
        <w:pStyle w:val="36"/>
        <w:rPr>
          <w:color w:val="auto"/>
        </w:rPr>
      </w:pPr>
    </w:p>
    <w:p>
      <w:pPr>
        <w:rPr>
          <w:color w:val="auto"/>
        </w:rPr>
      </w:pPr>
      <w:bookmarkStart w:id="457" w:name="_Toc17227"/>
      <w:bookmarkStart w:id="458" w:name="_Toc16728"/>
      <w:r>
        <w:rPr>
          <w:rFonts w:hint="eastAsia"/>
          <w:color w:val="auto"/>
        </w:rPr>
        <w:t>目录</w:t>
      </w:r>
      <w:bookmarkEnd w:id="457"/>
      <w:bookmarkEnd w:id="458"/>
    </w:p>
    <w:p>
      <w:pPr>
        <w:rPr>
          <w:color w:val="auto"/>
        </w:rPr>
      </w:pPr>
    </w:p>
    <w:p>
      <w:pPr>
        <w:pStyle w:val="235"/>
        <w:numPr>
          <w:ilvl w:val="0"/>
          <w:numId w:val="64"/>
        </w:numPr>
        <w:ind w:firstLineChars="0"/>
        <w:rPr>
          <w:color w:val="auto"/>
        </w:rPr>
      </w:pPr>
      <w:r>
        <w:rPr>
          <w:rFonts w:hint="eastAsia"/>
          <w:color w:val="auto"/>
        </w:rPr>
        <w:t>开标一览表（报价表）…………………………………………………………………（页码）</w:t>
      </w:r>
    </w:p>
    <w:p>
      <w:pPr>
        <w:pStyle w:val="235"/>
        <w:numPr>
          <w:ilvl w:val="0"/>
          <w:numId w:val="64"/>
        </w:numPr>
        <w:ind w:firstLineChars="0"/>
        <w:rPr>
          <w:color w:val="auto"/>
        </w:rPr>
      </w:pPr>
      <w:r>
        <w:rPr>
          <w:rFonts w:hint="eastAsia"/>
          <w:color w:val="auto"/>
        </w:rPr>
        <w:t>中小企业声明函…………………………………………………………………………（页码）</w:t>
      </w:r>
    </w:p>
    <w:p>
      <w:pPr>
        <w:rPr>
          <w:color w:val="auto"/>
        </w:rPr>
      </w:pPr>
    </w:p>
    <w:p>
      <w:pPr>
        <w:pStyle w:val="77"/>
        <w:ind w:firstLine="720"/>
        <w:rPr>
          <w:color w:val="auto"/>
        </w:rPr>
        <w:sectPr>
          <w:headerReference r:id="rId21" w:type="first"/>
          <w:footerReference r:id="rId23" w:type="first"/>
          <w:headerReference r:id="rId20" w:type="default"/>
          <w:footerReference r:id="rId22" w:type="default"/>
          <w:pgSz w:w="11906" w:h="16838"/>
          <w:pgMar w:top="1440" w:right="1080" w:bottom="1440" w:left="1080" w:header="851" w:footer="992" w:gutter="0"/>
          <w:pgNumType w:fmt="decimal"/>
          <w:cols w:space="0" w:num="1"/>
          <w:titlePg/>
          <w:docGrid w:linePitch="312" w:charSpace="0"/>
        </w:sectPr>
      </w:pPr>
    </w:p>
    <w:p>
      <w:pPr>
        <w:pStyle w:val="235"/>
        <w:numPr>
          <w:ilvl w:val="0"/>
          <w:numId w:val="65"/>
        </w:numPr>
        <w:ind w:firstLineChars="0"/>
        <w:rPr>
          <w:color w:val="auto"/>
          <w:lang w:val="zh-CN"/>
        </w:rPr>
      </w:pPr>
      <w:r>
        <w:rPr>
          <w:rFonts w:hint="eastAsia"/>
          <w:color w:val="auto"/>
          <w:lang w:val="zh-CN"/>
        </w:rPr>
        <w:t>开标一览表（报价表）</w:t>
      </w:r>
    </w:p>
    <w:p>
      <w:pPr>
        <w:rPr>
          <w:color w:val="auto"/>
        </w:rPr>
      </w:pPr>
    </w:p>
    <w:p>
      <w:pPr>
        <w:rPr>
          <w:color w:val="auto"/>
          <w:kern w:val="0"/>
        </w:rPr>
      </w:pPr>
      <w:r>
        <w:rPr>
          <w:rFonts w:hint="eastAsia"/>
          <w:color w:val="auto"/>
        </w:rPr>
        <w:t>采购人、采购代理机构</w:t>
      </w:r>
      <w:r>
        <w:rPr>
          <w:rFonts w:hint="eastAsia"/>
          <w:color w:val="auto"/>
          <w:kern w:val="0"/>
          <w:lang w:val="zh-CN"/>
        </w:rPr>
        <w:t>：</w:t>
      </w:r>
    </w:p>
    <w:p>
      <w:pPr>
        <w:rPr>
          <w:color w:val="auto"/>
          <w:lang w:val="zh-CN"/>
        </w:rPr>
      </w:pPr>
      <w:r>
        <w:rPr>
          <w:rFonts w:hint="eastAsia"/>
          <w:color w:val="auto"/>
          <w:lang w:val="zh-CN"/>
        </w:rPr>
        <w:t>按你方采购文件要求，我们，本投标文件签字方，谨此向你方发出要约如下：如你方接受本投标，我方承诺按照如下开标一览表（报价表）的价格完成</w:t>
      </w:r>
      <w:r>
        <w:rPr>
          <w:rFonts w:hint="eastAsia"/>
          <w:color w:val="auto"/>
        </w:rPr>
        <w:t>（项目名称：）【项目编号：】的实施</w:t>
      </w:r>
      <w:r>
        <w:rPr>
          <w:rFonts w:hint="eastAsia"/>
          <w:color w:val="auto"/>
          <w:lang w:val="zh-CN"/>
        </w:rPr>
        <w:t>。</w:t>
      </w:r>
    </w:p>
    <w:p>
      <w:pPr>
        <w:rPr>
          <w:color w:val="auto"/>
          <w:lang w:val="zh-CN"/>
        </w:rPr>
      </w:pPr>
      <w:r>
        <w:rPr>
          <w:rFonts w:hint="eastAsia"/>
          <w:color w:val="auto"/>
          <w:lang w:val="zh-CN"/>
        </w:rPr>
        <w:t>（单位：人民币元</w:t>
      </w:r>
      <w:r>
        <w:rPr>
          <w:rFonts w:hint="eastAsia"/>
          <w:color w:val="auto"/>
        </w:rPr>
        <w:t>/年</w:t>
      </w:r>
      <w:r>
        <w:rPr>
          <w:rFonts w:hint="eastAsia"/>
          <w:color w:val="auto"/>
          <w:lang w:val="zh-CN"/>
        </w:rPr>
        <w:t>）</w:t>
      </w:r>
    </w:p>
    <w:tbl>
      <w:tblPr>
        <w:tblStyle w:val="37"/>
        <w:tblW w:w="960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427"/>
        <w:gridCol w:w="1143"/>
        <w:gridCol w:w="50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2" w:type="dxa"/>
            <w:vAlign w:val="center"/>
          </w:tcPr>
          <w:p>
            <w:pPr>
              <w:ind w:firstLine="0" w:firstLineChars="0"/>
              <w:rPr>
                <w:color w:val="auto"/>
              </w:rPr>
            </w:pPr>
            <w:r>
              <w:rPr>
                <w:rFonts w:hint="eastAsia"/>
                <w:color w:val="auto"/>
              </w:rPr>
              <w:t>序号</w:t>
            </w:r>
          </w:p>
        </w:tc>
        <w:tc>
          <w:tcPr>
            <w:tcW w:w="2427" w:type="dxa"/>
            <w:vAlign w:val="center"/>
          </w:tcPr>
          <w:p>
            <w:pPr>
              <w:ind w:firstLine="0" w:firstLineChars="0"/>
              <w:rPr>
                <w:color w:val="auto"/>
              </w:rPr>
            </w:pPr>
            <w:r>
              <w:rPr>
                <w:rFonts w:hint="eastAsia"/>
                <w:color w:val="auto"/>
              </w:rPr>
              <w:t>招标内容</w:t>
            </w:r>
          </w:p>
        </w:tc>
        <w:tc>
          <w:tcPr>
            <w:tcW w:w="1143" w:type="dxa"/>
            <w:vAlign w:val="center"/>
          </w:tcPr>
          <w:p>
            <w:pPr>
              <w:ind w:firstLine="0" w:firstLineChars="0"/>
              <w:rPr>
                <w:color w:val="auto"/>
              </w:rPr>
            </w:pPr>
            <w:r>
              <w:rPr>
                <w:rFonts w:hint="eastAsia"/>
                <w:color w:val="auto"/>
              </w:rPr>
              <w:t>数量</w:t>
            </w:r>
          </w:p>
        </w:tc>
        <w:tc>
          <w:tcPr>
            <w:tcW w:w="5048" w:type="dxa"/>
            <w:vAlign w:val="center"/>
          </w:tcPr>
          <w:p>
            <w:pPr>
              <w:ind w:firstLine="0" w:firstLineChars="0"/>
              <w:rPr>
                <w:color w:val="auto"/>
              </w:rPr>
            </w:pPr>
            <w:r>
              <w:rPr>
                <w:rFonts w:hint="eastAsia"/>
                <w:color w:val="auto"/>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982" w:type="dxa"/>
            <w:vAlign w:val="center"/>
          </w:tcPr>
          <w:p>
            <w:pPr>
              <w:ind w:firstLine="0" w:firstLineChars="0"/>
              <w:rPr>
                <w:color w:val="auto"/>
              </w:rPr>
            </w:pPr>
            <w:r>
              <w:rPr>
                <w:color w:val="auto"/>
              </w:rPr>
              <w:t>1</w:t>
            </w:r>
          </w:p>
        </w:tc>
        <w:tc>
          <w:tcPr>
            <w:tcW w:w="2427" w:type="dxa"/>
            <w:vAlign w:val="center"/>
          </w:tcPr>
          <w:p>
            <w:pPr>
              <w:ind w:firstLine="0" w:firstLineChars="0"/>
              <w:rPr>
                <w:color w:val="auto"/>
              </w:rPr>
            </w:pPr>
            <w:r>
              <w:rPr>
                <w:rFonts w:hint="eastAsia"/>
                <w:color w:val="auto"/>
              </w:rPr>
              <w:t>2024－2025年度漏损控制服务</w:t>
            </w:r>
          </w:p>
        </w:tc>
        <w:tc>
          <w:tcPr>
            <w:tcW w:w="1143" w:type="dxa"/>
            <w:vAlign w:val="center"/>
          </w:tcPr>
          <w:p>
            <w:pPr>
              <w:ind w:firstLine="0" w:firstLineChars="0"/>
              <w:rPr>
                <w:color w:val="auto"/>
              </w:rPr>
            </w:pPr>
            <w:r>
              <w:rPr>
                <w:color w:val="auto"/>
              </w:rPr>
              <w:t>1</w:t>
            </w:r>
            <w:r>
              <w:rPr>
                <w:rFonts w:hint="eastAsia"/>
                <w:color w:val="auto"/>
              </w:rPr>
              <w:t>项</w:t>
            </w:r>
          </w:p>
        </w:tc>
        <w:tc>
          <w:tcPr>
            <w:tcW w:w="5048" w:type="dxa"/>
            <w:vAlign w:val="center"/>
          </w:tcPr>
          <w:p>
            <w:pPr>
              <w:ind w:firstLine="0" w:firstLineChars="0"/>
              <w:rPr>
                <w:color w:val="auto"/>
              </w:rPr>
            </w:pPr>
            <w:r>
              <w:rPr>
                <w:rFonts w:hint="eastAsia"/>
                <w:color w:val="auto"/>
              </w:rPr>
              <w:t>大写：</w:t>
            </w:r>
          </w:p>
          <w:p>
            <w:pPr>
              <w:ind w:firstLine="0" w:firstLineChars="0"/>
              <w:rPr>
                <w:color w:val="auto"/>
              </w:rPr>
            </w:pPr>
            <w:r>
              <w:rPr>
                <w:rFonts w:hint="eastAsia"/>
                <w:color w:val="auto"/>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3409" w:type="dxa"/>
            <w:gridSpan w:val="2"/>
            <w:vAlign w:val="center"/>
          </w:tcPr>
          <w:p>
            <w:pPr>
              <w:rPr>
                <w:bCs/>
                <w:color w:val="auto"/>
                <w:kern w:val="0"/>
              </w:rPr>
            </w:pPr>
            <w:r>
              <w:rPr>
                <w:rFonts w:hint="eastAsia"/>
                <w:color w:val="auto"/>
              </w:rPr>
              <w:t>投标声明</w:t>
            </w:r>
          </w:p>
        </w:tc>
        <w:tc>
          <w:tcPr>
            <w:tcW w:w="6191" w:type="dxa"/>
            <w:gridSpan w:val="2"/>
            <w:vAlign w:val="center"/>
          </w:tcPr>
          <w:p>
            <w:pPr>
              <w:rPr>
                <w:color w:val="auto"/>
              </w:rPr>
            </w:pPr>
          </w:p>
        </w:tc>
      </w:tr>
    </w:tbl>
    <w:p>
      <w:pPr>
        <w:rPr>
          <w:color w:val="auto"/>
          <w:kern w:val="0"/>
          <w:lang w:val="zh-CN"/>
        </w:rPr>
      </w:pPr>
      <w:r>
        <w:rPr>
          <w:rFonts w:hint="eastAsia"/>
          <w:color w:val="auto"/>
          <w:kern w:val="0"/>
          <w:lang w:val="zh-CN"/>
        </w:rPr>
        <w:t>注：1、供应商需按本表格式填写，</w:t>
      </w:r>
      <w:r>
        <w:rPr>
          <w:rFonts w:hint="eastAsia"/>
          <w:color w:val="auto"/>
          <w:kern w:val="0"/>
        </w:rPr>
        <w:t>否则视为</w:t>
      </w:r>
      <w:r>
        <w:rPr>
          <w:rFonts w:hint="eastAsia"/>
          <w:color w:val="auto"/>
        </w:rPr>
        <w:t>投标文件含有采购人不能接受的附加条件，投标无效</w:t>
      </w:r>
      <w:r>
        <w:rPr>
          <w:rFonts w:hint="eastAsia"/>
          <w:color w:val="auto"/>
          <w:kern w:val="0"/>
          <w:lang w:val="zh-CN"/>
        </w:rPr>
        <w:t>。</w:t>
      </w:r>
    </w:p>
    <w:p>
      <w:pPr>
        <w:rPr>
          <w:color w:val="auto"/>
        </w:rPr>
      </w:pPr>
      <w:r>
        <w:rPr>
          <w:rFonts w:hint="eastAsia"/>
          <w:color w:val="auto"/>
          <w:lang w:val="zh-CN"/>
        </w:rPr>
        <w:t>2、有关本项目实施所涉及的一切费用均计入</w:t>
      </w:r>
      <w:r>
        <w:rPr>
          <w:rFonts w:hint="eastAsia"/>
          <w:color w:val="auto"/>
        </w:rPr>
        <w:t>投标报价</w:t>
      </w:r>
      <w:r>
        <w:rPr>
          <w:rFonts w:hint="eastAsia"/>
          <w:color w:val="auto"/>
          <w:lang w:val="zh-CN"/>
        </w:rPr>
        <w:t>。采购人将以合同形式有偿取得货物或服务，不接受供应商给予的赠品、回扣或者与采购无关的其他商品、服务。不得出现“0元”、“免费赠送”等形式的无偿报价，</w:t>
      </w:r>
      <w:r>
        <w:rPr>
          <w:rFonts w:hint="eastAsia"/>
          <w:color w:val="auto"/>
        </w:rPr>
        <w:t>否则视为投标文件含有采购人不能接受的附加条件，投标无效</w:t>
      </w:r>
      <w:r>
        <w:rPr>
          <w:rFonts w:hint="eastAsia"/>
          <w:color w:val="auto"/>
          <w:lang w:val="zh-CN"/>
        </w:rPr>
        <w:t>；采购内容未包含在《开标一览表（报价表）》名称栏中，供应商不能作出合理解释的，</w:t>
      </w:r>
      <w:r>
        <w:rPr>
          <w:rFonts w:hint="eastAsia"/>
          <w:color w:val="auto"/>
        </w:rPr>
        <w:t>视为投标文件含有采购人不能接受的附加条件的，投标无效。</w:t>
      </w:r>
    </w:p>
    <w:p>
      <w:pPr>
        <w:rPr>
          <w:color w:val="auto"/>
          <w:lang w:val="zh-CN"/>
        </w:rPr>
      </w:pPr>
      <w:r>
        <w:rPr>
          <w:rFonts w:hint="eastAsia"/>
          <w:color w:val="auto"/>
          <w:lang w:val="zh-CN"/>
        </w:rPr>
        <w:t>3、特别提示：采购代理机构将对项目名称和项目编号，中标供应商名称、地址和中标金额，主要中标标的名称、服务范围、服务要求、服务时间、服务标准等予以公示。</w:t>
      </w:r>
    </w:p>
    <w:p>
      <w:pPr>
        <w:rPr>
          <w:color w:val="auto"/>
        </w:rPr>
      </w:pPr>
      <w:r>
        <w:rPr>
          <w:color w:val="auto"/>
          <w:lang w:val="zh-CN"/>
        </w:rPr>
        <w:t>4</w:t>
      </w:r>
      <w:r>
        <w:rPr>
          <w:rFonts w:hint="eastAsia"/>
          <w:color w:val="auto"/>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77"/>
        <w:ind w:firstLine="720"/>
        <w:rPr>
          <w:color w:val="auto"/>
        </w:rPr>
        <w:sectPr>
          <w:pgSz w:w="11906" w:h="16838"/>
          <w:pgMar w:top="1440" w:right="1080" w:bottom="1440" w:left="1080" w:header="851" w:footer="992" w:gutter="0"/>
          <w:pgNumType w:fmt="decimal"/>
          <w:cols w:space="0" w:num="1"/>
          <w:titlePg/>
          <w:docGrid w:linePitch="312" w:charSpace="0"/>
        </w:sectPr>
      </w:pPr>
    </w:p>
    <w:p>
      <w:pPr>
        <w:pStyle w:val="235"/>
        <w:numPr>
          <w:ilvl w:val="0"/>
          <w:numId w:val="65"/>
        </w:numPr>
        <w:ind w:firstLineChars="0"/>
        <w:rPr>
          <w:color w:val="auto"/>
          <w:lang w:val="zh-CN"/>
        </w:rPr>
      </w:pPr>
      <w:r>
        <w:rPr>
          <w:rFonts w:hint="eastAsia"/>
          <w:color w:val="auto"/>
          <w:lang w:val="zh-CN"/>
        </w:rPr>
        <w:t>中小企业声明函</w:t>
      </w:r>
      <w:bookmarkStart w:id="459" w:name="_Hlk101259491"/>
      <w:r>
        <w:rPr>
          <w:rFonts w:hint="eastAsia"/>
          <w:color w:val="auto"/>
          <w:lang w:val="zh-CN"/>
        </w:rPr>
        <w:t>（如有）</w:t>
      </w:r>
      <w:bookmarkEnd w:id="459"/>
    </w:p>
    <w:p>
      <w:pPr>
        <w:rPr>
          <w:color w:val="auto"/>
        </w:rPr>
      </w:pPr>
    </w:p>
    <w:p>
      <w:pPr>
        <w:rPr>
          <w:color w:val="auto"/>
        </w:rPr>
      </w:pPr>
      <w:r>
        <w:rPr>
          <w:rFonts w:hint="eastAsia"/>
          <w:color w:val="auto"/>
        </w:rPr>
        <w:t>[招标公告落实政府采购政策需满足的资格要求为“无”即本项目或标项未预留份额专门面向中小企业时，符合《政府采购促进中小企业发展管理办法》规定的小微企业拟享受价格扣除政策的，需提供</w:t>
      </w:r>
      <w:r>
        <w:rPr>
          <w:rFonts w:hint="eastAsia"/>
          <w:color w:val="auto"/>
          <w:lang w:eastAsia="zh-CN"/>
        </w:rPr>
        <w:t>中小企业声明函（附件7）</w:t>
      </w:r>
      <w:r>
        <w:rPr>
          <w:rFonts w:hint="eastAsia"/>
          <w:color w:val="auto"/>
        </w:rPr>
        <w:t>。]</w:t>
      </w:r>
    </w:p>
    <w:p>
      <w:pPr>
        <w:rPr>
          <w:color w:val="auto"/>
        </w:rPr>
      </w:pPr>
    </w:p>
    <w:p>
      <w:pPr>
        <w:rPr>
          <w:color w:val="auto"/>
        </w:rPr>
      </w:pPr>
    </w:p>
    <w:p>
      <w:pPr>
        <w:rPr>
          <w:color w:val="auto"/>
        </w:rPr>
      </w:pPr>
    </w:p>
    <w:p>
      <w:pPr>
        <w:ind w:firstLine="0" w:firstLineChars="0"/>
        <w:rPr>
          <w:color w:val="auto"/>
          <w:lang w:val="zh-CN"/>
        </w:rPr>
      </w:pPr>
      <w:bookmarkStart w:id="460" w:name="_Toc465665161"/>
      <w:r>
        <w:rPr>
          <w:rFonts w:hint="eastAsia"/>
          <w:color w:val="auto"/>
          <w:lang w:val="zh-CN"/>
        </w:rPr>
        <w:t>附件</w:t>
      </w:r>
      <w:bookmarkEnd w:id="460"/>
    </w:p>
    <w:p>
      <w:pPr>
        <w:rPr>
          <w:color w:val="auto"/>
        </w:rPr>
      </w:pPr>
      <w:r>
        <w:rPr>
          <w:rFonts w:hint="eastAsia"/>
          <w:color w:val="auto"/>
        </w:rPr>
        <w:t>附件1：残疾人福利性单位声明函</w:t>
      </w:r>
    </w:p>
    <w:p>
      <w:pPr>
        <w:rPr>
          <w:color w:val="auto"/>
        </w:rPr>
      </w:pPr>
      <w:bookmarkStart w:id="461" w:name="OLE_LINK13"/>
      <w:bookmarkStart w:id="462" w:name="OLE_LINK14"/>
      <w:r>
        <w:rPr>
          <w:rFonts w:hint="eastAsia"/>
          <w:color w:val="auto"/>
        </w:rPr>
        <w:t>残疾人福利性单位声明函</w:t>
      </w:r>
    </w:p>
    <w:bookmarkEnd w:id="461"/>
    <w:bookmarkEnd w:id="462"/>
    <w:p>
      <w:pPr>
        <w:rPr>
          <w:color w:val="auto"/>
        </w:rPr>
      </w:pPr>
    </w:p>
    <w:p>
      <w:pPr>
        <w:rPr>
          <w:color w:val="auto"/>
        </w:rPr>
      </w:pPr>
      <w:r>
        <w:rPr>
          <w:rFonts w:hint="eastAsia"/>
          <w:color w:val="auto"/>
        </w:rPr>
        <w:t>本单位郑重声明，根据《财政部民政部中国残疾人联合会关于促进残疾人就业政府采购政策的通知》（财库〔2017〕 141号）的规定，本单位为符合条件的残疾人福利性单位，且本单位参加_</w:t>
      </w:r>
      <w:r>
        <w:rPr>
          <w:rFonts w:hint="eastAsia"/>
          <w:color w:val="auto"/>
          <w:u w:val="single"/>
        </w:rPr>
        <w:t>（采购人）</w:t>
      </w:r>
      <w:r>
        <w:rPr>
          <w:rFonts w:hint="eastAsia"/>
          <w:color w:val="auto"/>
        </w:rPr>
        <w:t>_单位的_</w:t>
      </w:r>
      <w:r>
        <w:rPr>
          <w:rFonts w:hint="eastAsia"/>
          <w:color w:val="auto"/>
          <w:u w:val="single"/>
        </w:rPr>
        <w:t>（项目名称）</w:t>
      </w:r>
      <w:r>
        <w:rPr>
          <w:rFonts w:hint="eastAsia"/>
          <w:color w:val="auto"/>
        </w:rPr>
        <w:t>__项目采购活动提供本单位制造的货物（由本单位承担工程/提供服务），或者提供其他残疾人福利性单位制造的货物（不包括使用非残疾人福利性单位注册商标的货物）。</w:t>
      </w:r>
    </w:p>
    <w:p>
      <w:pPr>
        <w:rPr>
          <w:color w:val="auto"/>
        </w:rPr>
      </w:pPr>
      <w:r>
        <w:rPr>
          <w:rFonts w:hint="eastAsia"/>
          <w:color w:val="auto"/>
        </w:rPr>
        <w:t>本单位对上述声明的真实性负责。如有虚假，将依法承担相应责任。</w:t>
      </w:r>
    </w:p>
    <w:p>
      <w:pPr>
        <w:rPr>
          <w:color w:val="auto"/>
        </w:rPr>
      </w:pPr>
    </w:p>
    <w:p>
      <w:pPr>
        <w:rPr>
          <w:color w:val="auto"/>
        </w:rPr>
      </w:pPr>
      <w:r>
        <w:rPr>
          <w:rFonts w:hint="eastAsia"/>
          <w:color w:val="auto"/>
          <w:lang w:val="zh-CN"/>
        </w:rPr>
        <w:t>供应商名称（电子签名）</w:t>
      </w:r>
      <w:r>
        <w:rPr>
          <w:rFonts w:hint="eastAsia"/>
          <w:color w:val="auto"/>
        </w:rPr>
        <w:t>：</w:t>
      </w:r>
    </w:p>
    <w:p>
      <w:pPr>
        <w:rPr>
          <w:color w:val="auto"/>
        </w:rPr>
      </w:pPr>
      <w:r>
        <w:rPr>
          <w:rFonts w:hint="eastAsia"/>
          <w:color w:val="auto"/>
          <w:lang w:val="zh-CN"/>
        </w:rPr>
        <w:t>日期：年月日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br w:type="page"/>
      </w:r>
      <w:r>
        <w:rPr>
          <w:rFonts w:hint="eastAsia"/>
          <w:color w:val="auto"/>
        </w:rPr>
        <w:t>附件2：质疑函范本及制作说明</w:t>
      </w:r>
    </w:p>
    <w:p>
      <w:pPr>
        <w:rPr>
          <w:color w:val="auto"/>
        </w:rPr>
      </w:pPr>
      <w:r>
        <w:rPr>
          <w:rFonts w:hint="eastAsia"/>
          <w:color w:val="auto"/>
        </w:rPr>
        <w:t>质疑函范本</w:t>
      </w:r>
    </w:p>
    <w:p>
      <w:pPr>
        <w:rPr>
          <w:color w:val="auto"/>
        </w:rPr>
      </w:pPr>
    </w:p>
    <w:p>
      <w:pPr>
        <w:rPr>
          <w:color w:val="auto"/>
        </w:rPr>
      </w:pPr>
      <w:r>
        <w:rPr>
          <w:rFonts w:hint="eastAsia"/>
          <w:color w:val="auto"/>
        </w:rPr>
        <w:t>一、质疑供应商基本信息</w:t>
      </w:r>
    </w:p>
    <w:p>
      <w:pPr>
        <w:rPr>
          <w:color w:val="auto"/>
          <w:u w:val="dotted"/>
        </w:rPr>
      </w:pPr>
      <w:r>
        <w:rPr>
          <w:rFonts w:hint="eastAsia"/>
          <w:color w:val="auto"/>
        </w:rPr>
        <w:t>质疑供应商：</w:t>
      </w:r>
    </w:p>
    <w:p>
      <w:pPr>
        <w:rPr>
          <w:color w:val="auto"/>
        </w:rPr>
      </w:pPr>
      <w:r>
        <w:rPr>
          <w:rFonts w:hint="eastAsia"/>
          <w:color w:val="auto"/>
        </w:rPr>
        <w:t>地址：邮编：</w:t>
      </w:r>
    </w:p>
    <w:p>
      <w:pPr>
        <w:rPr>
          <w:color w:val="auto"/>
        </w:rPr>
      </w:pPr>
      <w:r>
        <w:rPr>
          <w:rFonts w:hint="eastAsia"/>
          <w:color w:val="auto"/>
        </w:rPr>
        <w:t>联系人：联系电话：</w:t>
      </w:r>
    </w:p>
    <w:p>
      <w:pPr>
        <w:rPr>
          <w:color w:val="auto"/>
          <w:u w:val="dotted"/>
        </w:rPr>
      </w:pPr>
      <w:r>
        <w:rPr>
          <w:rFonts w:hint="eastAsia"/>
          <w:color w:val="auto"/>
        </w:rPr>
        <w:t>授权代表：</w:t>
      </w:r>
    </w:p>
    <w:p>
      <w:pPr>
        <w:rPr>
          <w:color w:val="auto"/>
        </w:rPr>
      </w:pPr>
      <w:r>
        <w:rPr>
          <w:rFonts w:hint="eastAsia"/>
          <w:color w:val="auto"/>
        </w:rPr>
        <w:t>联系电话：</w:t>
      </w:r>
    </w:p>
    <w:p>
      <w:pPr>
        <w:rPr>
          <w:color w:val="auto"/>
        </w:rPr>
      </w:pPr>
      <w:r>
        <w:rPr>
          <w:rFonts w:hint="eastAsia"/>
          <w:color w:val="auto"/>
        </w:rPr>
        <w:t>地址：邮编：</w:t>
      </w:r>
    </w:p>
    <w:p>
      <w:pPr>
        <w:rPr>
          <w:color w:val="auto"/>
        </w:rPr>
      </w:pPr>
      <w:r>
        <w:rPr>
          <w:rFonts w:hint="eastAsia"/>
          <w:color w:val="auto"/>
        </w:rPr>
        <w:t>二、质疑项目基本情况</w:t>
      </w:r>
    </w:p>
    <w:p>
      <w:pPr>
        <w:rPr>
          <w:color w:val="auto"/>
        </w:rPr>
      </w:pPr>
      <w:r>
        <w:rPr>
          <w:rFonts w:hint="eastAsia"/>
          <w:color w:val="auto"/>
        </w:rPr>
        <w:t>质疑项目的名称：</w:t>
      </w:r>
    </w:p>
    <w:p>
      <w:pPr>
        <w:rPr>
          <w:color w:val="auto"/>
        </w:rPr>
      </w:pPr>
      <w:r>
        <w:rPr>
          <w:rFonts w:hint="eastAsia"/>
          <w:color w:val="auto"/>
        </w:rPr>
        <w:t>质疑项目的编号：包号：</w:t>
      </w:r>
    </w:p>
    <w:p>
      <w:pPr>
        <w:rPr>
          <w:color w:val="auto"/>
          <w:u w:val="dotted"/>
        </w:rPr>
      </w:pPr>
      <w:r>
        <w:rPr>
          <w:rFonts w:hint="eastAsia"/>
          <w:color w:val="auto"/>
        </w:rPr>
        <w:t>采购人名称：</w:t>
      </w:r>
    </w:p>
    <w:p>
      <w:pPr>
        <w:rPr>
          <w:color w:val="auto"/>
        </w:rPr>
      </w:pPr>
      <w:r>
        <w:rPr>
          <w:rFonts w:hint="eastAsia"/>
          <w:color w:val="auto"/>
        </w:rPr>
        <w:t>采购文件获取日期：</w:t>
      </w:r>
    </w:p>
    <w:p>
      <w:pPr>
        <w:rPr>
          <w:color w:val="auto"/>
        </w:rPr>
      </w:pPr>
      <w:r>
        <w:rPr>
          <w:rFonts w:hint="eastAsia"/>
          <w:color w:val="auto"/>
        </w:rPr>
        <w:t>三、质疑事项具体内容</w:t>
      </w:r>
    </w:p>
    <w:p>
      <w:pPr>
        <w:rPr>
          <w:color w:val="auto"/>
          <w:u w:val="dotted"/>
        </w:rPr>
      </w:pPr>
      <w:r>
        <w:rPr>
          <w:rFonts w:hint="eastAsia"/>
          <w:color w:val="auto"/>
        </w:rPr>
        <w:t>质疑事项1：</w:t>
      </w:r>
    </w:p>
    <w:p>
      <w:pPr>
        <w:rPr>
          <w:color w:val="auto"/>
          <w:u w:val="dotted"/>
        </w:rPr>
      </w:pPr>
      <w:r>
        <w:rPr>
          <w:rFonts w:hint="eastAsia"/>
          <w:color w:val="auto"/>
        </w:rPr>
        <w:t>事实依据：</w:t>
      </w:r>
    </w:p>
    <w:p>
      <w:pPr>
        <w:rPr>
          <w:color w:val="auto"/>
        </w:rPr>
      </w:pPr>
    </w:p>
    <w:p>
      <w:pPr>
        <w:rPr>
          <w:color w:val="auto"/>
          <w:u w:val="dotted"/>
        </w:rPr>
      </w:pPr>
      <w:r>
        <w:rPr>
          <w:rFonts w:hint="eastAsia"/>
          <w:color w:val="auto"/>
        </w:rPr>
        <w:t>法律依据：</w:t>
      </w:r>
    </w:p>
    <w:p>
      <w:pPr>
        <w:rPr>
          <w:color w:val="auto"/>
        </w:rPr>
      </w:pPr>
    </w:p>
    <w:p>
      <w:pPr>
        <w:rPr>
          <w:color w:val="auto"/>
          <w:u w:val="dotted"/>
        </w:rPr>
      </w:pPr>
      <w:r>
        <w:rPr>
          <w:rFonts w:hint="eastAsia"/>
          <w:color w:val="auto"/>
        </w:rPr>
        <w:t>质疑事项2</w:t>
      </w:r>
    </w:p>
    <w:p>
      <w:pPr>
        <w:rPr>
          <w:color w:val="auto"/>
        </w:rPr>
      </w:pPr>
      <w:r>
        <w:rPr>
          <w:rFonts w:hint="eastAsia"/>
          <w:color w:val="auto"/>
        </w:rPr>
        <w:t>……</w:t>
      </w:r>
    </w:p>
    <w:p>
      <w:pPr>
        <w:rPr>
          <w:color w:val="auto"/>
        </w:rPr>
      </w:pPr>
      <w:r>
        <w:rPr>
          <w:rFonts w:hint="eastAsia"/>
          <w:color w:val="auto"/>
        </w:rPr>
        <w:t>四、与质疑事项相关的质疑请求</w:t>
      </w:r>
    </w:p>
    <w:p>
      <w:pPr>
        <w:rPr>
          <w:color w:val="auto"/>
          <w:u w:val="dotted"/>
        </w:rPr>
      </w:pPr>
      <w:r>
        <w:rPr>
          <w:rFonts w:hint="eastAsia"/>
          <w:color w:val="auto"/>
        </w:rPr>
        <w:t>请求：</w:t>
      </w:r>
    </w:p>
    <w:p>
      <w:pPr>
        <w:rPr>
          <w:color w:val="auto"/>
        </w:rPr>
      </w:pPr>
      <w:r>
        <w:rPr>
          <w:rFonts w:hint="eastAsia"/>
          <w:color w:val="auto"/>
        </w:rPr>
        <w:t>签字（签章）：公章：</w:t>
      </w:r>
    </w:p>
    <w:p>
      <w:pPr>
        <w:rPr>
          <w:color w:val="auto"/>
        </w:rPr>
      </w:pPr>
      <w:r>
        <w:rPr>
          <w:rFonts w:hint="eastAsia"/>
          <w:color w:val="auto"/>
        </w:rPr>
        <w:t>日期：</w:t>
      </w:r>
    </w:p>
    <w:p>
      <w:pPr>
        <w:rPr>
          <w:color w:val="auto"/>
        </w:rPr>
      </w:pPr>
    </w:p>
    <w:p>
      <w:pPr>
        <w:rPr>
          <w:color w:val="auto"/>
        </w:rPr>
      </w:pPr>
      <w:r>
        <w:rPr>
          <w:rFonts w:hint="eastAsia"/>
          <w:color w:val="auto"/>
        </w:rPr>
        <w:t>质疑函制作说明：</w:t>
      </w:r>
    </w:p>
    <w:p>
      <w:pPr>
        <w:pStyle w:val="235"/>
        <w:numPr>
          <w:ilvl w:val="0"/>
          <w:numId w:val="66"/>
        </w:numPr>
        <w:ind w:firstLineChars="0"/>
        <w:rPr>
          <w:color w:val="auto"/>
        </w:rPr>
      </w:pPr>
      <w:r>
        <w:rPr>
          <w:rFonts w:hint="eastAsia"/>
          <w:color w:val="auto"/>
        </w:rPr>
        <w:t>供应商提出质疑时，应提交质疑函和必要的证明材料。</w:t>
      </w:r>
    </w:p>
    <w:p>
      <w:pPr>
        <w:pStyle w:val="235"/>
        <w:numPr>
          <w:ilvl w:val="0"/>
          <w:numId w:val="66"/>
        </w:numPr>
        <w:ind w:firstLineChars="0"/>
        <w:rPr>
          <w:color w:val="auto"/>
        </w:rPr>
      </w:pPr>
      <w:r>
        <w:rPr>
          <w:rFonts w:hint="eastAsia"/>
          <w:color w:val="auto"/>
        </w:rPr>
        <w:t>质疑供应商若委托代理人进行质疑的，质疑函应按要求列明“授权代表”的有关内容，并在附件中提交由质疑</w:t>
      </w:r>
      <w:r>
        <w:rPr>
          <w:rFonts w:hint="eastAsia"/>
          <w:color w:val="auto"/>
          <w:kern w:val="0"/>
        </w:rPr>
        <w:t>供应商签署的授权委托书。授权委托书应载明代理人的姓名或者名称、代理事项、具体权限、期限和相关事项。</w:t>
      </w:r>
    </w:p>
    <w:p>
      <w:pPr>
        <w:pStyle w:val="235"/>
        <w:numPr>
          <w:ilvl w:val="0"/>
          <w:numId w:val="66"/>
        </w:numPr>
        <w:ind w:firstLineChars="0"/>
        <w:rPr>
          <w:color w:val="auto"/>
        </w:rPr>
      </w:pPr>
      <w:r>
        <w:rPr>
          <w:rFonts w:hint="eastAsia"/>
          <w:color w:val="auto"/>
        </w:rPr>
        <w:t>质疑供应商若对项目的某一分包进行质疑，质疑函中应列明具体分包号。</w:t>
      </w:r>
    </w:p>
    <w:p>
      <w:pPr>
        <w:pStyle w:val="235"/>
        <w:numPr>
          <w:ilvl w:val="0"/>
          <w:numId w:val="66"/>
        </w:numPr>
        <w:ind w:firstLineChars="0"/>
        <w:rPr>
          <w:color w:val="auto"/>
        </w:rPr>
      </w:pPr>
      <w:r>
        <w:rPr>
          <w:rFonts w:hint="eastAsia"/>
          <w:color w:val="auto"/>
        </w:rPr>
        <w:t>质疑函的质疑事项应具体、明确，并有必要的事实依据和法律依据。</w:t>
      </w:r>
    </w:p>
    <w:p>
      <w:pPr>
        <w:pStyle w:val="235"/>
        <w:numPr>
          <w:ilvl w:val="0"/>
          <w:numId w:val="66"/>
        </w:numPr>
        <w:ind w:firstLineChars="0"/>
        <w:rPr>
          <w:color w:val="auto"/>
        </w:rPr>
      </w:pPr>
      <w:r>
        <w:rPr>
          <w:rFonts w:hint="eastAsia"/>
          <w:color w:val="auto"/>
        </w:rPr>
        <w:t>质疑函的质疑请求应与质疑事项相关。</w:t>
      </w:r>
    </w:p>
    <w:p>
      <w:pPr>
        <w:pStyle w:val="235"/>
        <w:numPr>
          <w:ilvl w:val="0"/>
          <w:numId w:val="66"/>
        </w:numPr>
        <w:ind w:firstLineChars="0"/>
        <w:rPr>
          <w:color w:val="auto"/>
        </w:rPr>
      </w:pPr>
      <w:r>
        <w:rPr>
          <w:rFonts w:hint="eastAsia"/>
          <w:color w:val="auto"/>
        </w:rPr>
        <w:t>质疑供应商为自然人的，质疑函应由本人签字；质疑供应商为法人或者其他组织的，质疑函应由法定代表人、主要负责人，或者其授权代表签字或者盖章，并加盖公章。</w:t>
      </w:r>
    </w:p>
    <w:p>
      <w:pPr>
        <w:rPr>
          <w:color w:val="auto"/>
        </w:rPr>
      </w:pPr>
      <w:r>
        <w:rPr>
          <w:rFonts w:hint="eastAsia"/>
          <w:color w:val="auto"/>
        </w:rPr>
        <w:br w:type="page"/>
      </w:r>
      <w:r>
        <w:rPr>
          <w:rFonts w:hint="eastAsia"/>
          <w:color w:val="auto"/>
        </w:rPr>
        <w:t>附件3：投诉书范本及制作说明</w:t>
      </w:r>
    </w:p>
    <w:p>
      <w:pPr>
        <w:rPr>
          <w:color w:val="auto"/>
        </w:rPr>
      </w:pPr>
      <w:r>
        <w:rPr>
          <w:rFonts w:hint="eastAsia"/>
          <w:color w:val="auto"/>
        </w:rPr>
        <w:t>投诉书范本</w:t>
      </w:r>
    </w:p>
    <w:p>
      <w:pPr>
        <w:rPr>
          <w:color w:val="auto"/>
        </w:rPr>
      </w:pPr>
    </w:p>
    <w:p>
      <w:pPr>
        <w:rPr>
          <w:color w:val="auto"/>
        </w:rPr>
      </w:pPr>
      <w:r>
        <w:rPr>
          <w:rFonts w:hint="eastAsia"/>
          <w:color w:val="auto"/>
        </w:rPr>
        <w:t>一、投诉相关主体基本情况</w:t>
      </w:r>
    </w:p>
    <w:p>
      <w:pPr>
        <w:rPr>
          <w:color w:val="auto"/>
          <w:u w:val="dotted"/>
        </w:rPr>
      </w:pPr>
      <w:r>
        <w:rPr>
          <w:rFonts w:hint="eastAsia"/>
          <w:color w:val="auto"/>
        </w:rPr>
        <w:t>投诉人：</w:t>
      </w:r>
    </w:p>
    <w:p>
      <w:pPr>
        <w:rPr>
          <w:color w:val="auto"/>
          <w:u w:val="single"/>
        </w:rPr>
      </w:pPr>
      <w:r>
        <w:rPr>
          <w:rFonts w:hint="eastAsia"/>
          <w:color w:val="auto"/>
        </w:rPr>
        <w:t>地址：邮编：</w:t>
      </w:r>
    </w:p>
    <w:p>
      <w:pPr>
        <w:rPr>
          <w:color w:val="auto"/>
        </w:rPr>
      </w:pPr>
      <w:r>
        <w:rPr>
          <w:rFonts w:hint="eastAsia"/>
          <w:color w:val="auto"/>
        </w:rPr>
        <w:t>法定代表人/主要负责人：</w:t>
      </w:r>
    </w:p>
    <w:p>
      <w:pPr>
        <w:rPr>
          <w:color w:val="auto"/>
          <w:u w:val="dotted"/>
        </w:rPr>
      </w:pPr>
      <w:r>
        <w:rPr>
          <w:rFonts w:hint="eastAsia"/>
          <w:color w:val="auto"/>
        </w:rPr>
        <w:t>联系电话：</w:t>
      </w:r>
    </w:p>
    <w:p>
      <w:pPr>
        <w:rPr>
          <w:color w:val="auto"/>
          <w:u w:val="dotted"/>
        </w:rPr>
      </w:pPr>
      <w:r>
        <w:rPr>
          <w:rFonts w:hint="eastAsia"/>
          <w:color w:val="auto"/>
        </w:rPr>
        <w:t>授权代表：联系电话</w:t>
      </w:r>
      <w:r>
        <w:rPr>
          <w:rFonts w:hint="eastAsia"/>
          <w:color w:val="auto"/>
          <w:u w:val="dotted"/>
        </w:rPr>
        <w:t>：</w:t>
      </w:r>
    </w:p>
    <w:p>
      <w:pPr>
        <w:rPr>
          <w:color w:val="auto"/>
          <w:u w:val="dotted"/>
        </w:rPr>
      </w:pPr>
      <w:r>
        <w:rPr>
          <w:rFonts w:hint="eastAsia"/>
          <w:color w:val="auto"/>
        </w:rPr>
        <w:t>地址：邮编：</w:t>
      </w:r>
    </w:p>
    <w:p>
      <w:pPr>
        <w:rPr>
          <w:color w:val="auto"/>
          <w:u w:val="single"/>
        </w:rPr>
      </w:pPr>
      <w:r>
        <w:rPr>
          <w:rFonts w:hint="eastAsia"/>
          <w:color w:val="auto"/>
        </w:rPr>
        <w:t>被投诉人1：</w:t>
      </w:r>
    </w:p>
    <w:p>
      <w:pPr>
        <w:rPr>
          <w:color w:val="auto"/>
          <w:u w:val="single"/>
        </w:rPr>
      </w:pPr>
      <w:r>
        <w:rPr>
          <w:rFonts w:hint="eastAsia"/>
          <w:color w:val="auto"/>
        </w:rPr>
        <w:t>地址：邮编：</w:t>
      </w:r>
    </w:p>
    <w:p>
      <w:pPr>
        <w:rPr>
          <w:color w:val="auto"/>
          <w:u w:val="single"/>
        </w:rPr>
      </w:pPr>
      <w:r>
        <w:rPr>
          <w:rFonts w:hint="eastAsia"/>
          <w:color w:val="auto"/>
        </w:rPr>
        <w:t>联系人：联系电话：</w:t>
      </w:r>
    </w:p>
    <w:p>
      <w:pPr>
        <w:rPr>
          <w:color w:val="auto"/>
        </w:rPr>
      </w:pPr>
      <w:r>
        <w:rPr>
          <w:rFonts w:hint="eastAsia"/>
          <w:color w:val="auto"/>
        </w:rPr>
        <w:t>被投诉人2</w:t>
      </w:r>
    </w:p>
    <w:p>
      <w:pPr>
        <w:rPr>
          <w:color w:val="auto"/>
          <w:u w:val="dotted"/>
        </w:rPr>
      </w:pPr>
      <w:r>
        <w:rPr>
          <w:rFonts w:hint="eastAsia"/>
          <w:color w:val="auto"/>
        </w:rPr>
        <w:t>……</w:t>
      </w:r>
    </w:p>
    <w:p>
      <w:pPr>
        <w:rPr>
          <w:color w:val="auto"/>
          <w:u w:val="single"/>
        </w:rPr>
      </w:pPr>
      <w:r>
        <w:rPr>
          <w:rFonts w:hint="eastAsia"/>
          <w:color w:val="auto"/>
        </w:rPr>
        <w:t>相关供应商：</w:t>
      </w:r>
    </w:p>
    <w:p>
      <w:pPr>
        <w:rPr>
          <w:color w:val="auto"/>
          <w:u w:val="single"/>
        </w:rPr>
      </w:pPr>
      <w:r>
        <w:rPr>
          <w:rFonts w:hint="eastAsia"/>
          <w:color w:val="auto"/>
        </w:rPr>
        <w:t>地址：邮编：</w:t>
      </w:r>
    </w:p>
    <w:p>
      <w:pPr>
        <w:rPr>
          <w:color w:val="auto"/>
          <w:u w:val="single"/>
        </w:rPr>
      </w:pPr>
      <w:r>
        <w:rPr>
          <w:rFonts w:hint="eastAsia"/>
          <w:color w:val="auto"/>
        </w:rPr>
        <w:t>联系人：联系电话：</w:t>
      </w:r>
    </w:p>
    <w:p>
      <w:pPr>
        <w:rPr>
          <w:color w:val="auto"/>
        </w:rPr>
      </w:pPr>
      <w:r>
        <w:rPr>
          <w:rFonts w:hint="eastAsia"/>
          <w:color w:val="auto"/>
        </w:rPr>
        <w:t>二、投诉项目基本情况</w:t>
      </w:r>
    </w:p>
    <w:p>
      <w:pPr>
        <w:rPr>
          <w:color w:val="auto"/>
          <w:u w:val="dotted"/>
        </w:rPr>
      </w:pPr>
      <w:r>
        <w:rPr>
          <w:rFonts w:hint="eastAsia"/>
          <w:color w:val="auto"/>
        </w:rPr>
        <w:t>采购项目名称：</w:t>
      </w:r>
    </w:p>
    <w:p>
      <w:pPr>
        <w:rPr>
          <w:color w:val="auto"/>
          <w:u w:val="single"/>
        </w:rPr>
      </w:pPr>
      <w:r>
        <w:rPr>
          <w:rFonts w:hint="eastAsia"/>
          <w:color w:val="auto"/>
        </w:rPr>
        <w:t>采购项目编号：包号：</w:t>
      </w:r>
    </w:p>
    <w:p>
      <w:pPr>
        <w:rPr>
          <w:color w:val="auto"/>
        </w:rPr>
      </w:pPr>
      <w:r>
        <w:rPr>
          <w:rFonts w:hint="eastAsia"/>
          <w:color w:val="auto"/>
        </w:rPr>
        <w:t>采购人名称：</w:t>
      </w:r>
    </w:p>
    <w:p>
      <w:pPr>
        <w:rPr>
          <w:color w:val="auto"/>
          <w:u w:val="single"/>
        </w:rPr>
      </w:pPr>
      <w:r>
        <w:rPr>
          <w:rFonts w:hint="eastAsia"/>
          <w:color w:val="auto"/>
        </w:rPr>
        <w:t>代理机构名称：</w:t>
      </w:r>
    </w:p>
    <w:p>
      <w:pPr>
        <w:rPr>
          <w:color w:val="auto"/>
          <w:u w:val="dotted"/>
        </w:rPr>
      </w:pPr>
      <w:r>
        <w:rPr>
          <w:rFonts w:hint="eastAsia"/>
          <w:color w:val="auto"/>
        </w:rPr>
        <w:t>采购文件公告:</w:t>
      </w:r>
      <w:r>
        <w:rPr>
          <w:rFonts w:hint="eastAsia"/>
          <w:color w:val="auto"/>
          <w:u w:val="dotted"/>
        </w:rPr>
        <w:t>是/否</w:t>
      </w:r>
      <w:r>
        <w:rPr>
          <w:rFonts w:hint="eastAsia"/>
          <w:color w:val="auto"/>
        </w:rPr>
        <w:t>公告期限：</w:t>
      </w:r>
    </w:p>
    <w:p>
      <w:pPr>
        <w:rPr>
          <w:color w:val="auto"/>
          <w:u w:val="single"/>
        </w:rPr>
      </w:pPr>
      <w:r>
        <w:rPr>
          <w:rFonts w:hint="eastAsia"/>
          <w:color w:val="auto"/>
        </w:rPr>
        <w:t>采购结果公告:</w:t>
      </w:r>
      <w:r>
        <w:rPr>
          <w:rFonts w:hint="eastAsia"/>
          <w:color w:val="auto"/>
          <w:u w:val="dotted"/>
        </w:rPr>
        <w:t>是/否</w:t>
      </w:r>
      <w:r>
        <w:rPr>
          <w:rFonts w:hint="eastAsia"/>
          <w:color w:val="auto"/>
        </w:rPr>
        <w:t>公告期限：</w:t>
      </w:r>
    </w:p>
    <w:p>
      <w:pPr>
        <w:rPr>
          <w:color w:val="auto"/>
        </w:rPr>
      </w:pPr>
      <w:r>
        <w:rPr>
          <w:rFonts w:hint="eastAsia"/>
          <w:color w:val="auto"/>
        </w:rPr>
        <w:t>三、质疑基本情况</w:t>
      </w:r>
    </w:p>
    <w:p>
      <w:pPr>
        <w:rPr>
          <w:color w:val="auto"/>
          <w:u w:val="dotted"/>
        </w:rPr>
      </w:pPr>
      <w:r>
        <w:rPr>
          <w:rFonts w:hint="eastAsia"/>
          <w:color w:val="auto"/>
        </w:rPr>
        <w:t>投诉人于年月日,向提出质疑，质疑事项为：</w:t>
      </w:r>
    </w:p>
    <w:p>
      <w:pPr>
        <w:rPr>
          <w:color w:val="auto"/>
        </w:rPr>
      </w:pPr>
    </w:p>
    <w:p>
      <w:pPr>
        <w:rPr>
          <w:color w:val="auto"/>
        </w:rPr>
      </w:pPr>
      <w:r>
        <w:rPr>
          <w:rFonts w:hint="eastAsia"/>
          <w:color w:val="auto"/>
          <w:u w:val="dotted"/>
        </w:rPr>
        <w:t>采购人/代理机构</w:t>
      </w:r>
      <w:r>
        <w:rPr>
          <w:rFonts w:hint="eastAsia"/>
          <w:color w:val="auto"/>
        </w:rPr>
        <w:t>于年月日,就质疑事项作出了答复/没有在法定期限内作出答复。</w:t>
      </w:r>
    </w:p>
    <w:p>
      <w:pPr>
        <w:rPr>
          <w:color w:val="auto"/>
        </w:rPr>
      </w:pPr>
      <w:r>
        <w:rPr>
          <w:rFonts w:hint="eastAsia"/>
          <w:color w:val="auto"/>
        </w:rPr>
        <w:t>四、投诉事项具体内容</w:t>
      </w:r>
    </w:p>
    <w:p>
      <w:pPr>
        <w:rPr>
          <w:color w:val="auto"/>
          <w:u w:val="single"/>
        </w:rPr>
      </w:pPr>
      <w:r>
        <w:rPr>
          <w:rFonts w:hint="eastAsia"/>
          <w:color w:val="auto"/>
        </w:rPr>
        <w:t>投诉事项 1：</w:t>
      </w:r>
    </w:p>
    <w:p>
      <w:pPr>
        <w:rPr>
          <w:color w:val="auto"/>
        </w:rPr>
      </w:pPr>
      <w:r>
        <w:rPr>
          <w:rFonts w:hint="eastAsia"/>
          <w:color w:val="auto"/>
        </w:rPr>
        <w:t>事实依据：</w:t>
      </w:r>
    </w:p>
    <w:p>
      <w:pPr>
        <w:rPr>
          <w:color w:val="auto"/>
        </w:rPr>
      </w:pPr>
    </w:p>
    <w:p>
      <w:pPr>
        <w:rPr>
          <w:color w:val="auto"/>
          <w:u w:val="single"/>
        </w:rPr>
      </w:pPr>
      <w:r>
        <w:rPr>
          <w:rFonts w:hint="eastAsia"/>
          <w:color w:val="auto"/>
        </w:rPr>
        <w:t>法律依据：</w:t>
      </w:r>
    </w:p>
    <w:p>
      <w:pPr>
        <w:rPr>
          <w:color w:val="auto"/>
        </w:rPr>
      </w:pPr>
    </w:p>
    <w:p>
      <w:pPr>
        <w:rPr>
          <w:color w:val="auto"/>
        </w:rPr>
      </w:pPr>
      <w:r>
        <w:rPr>
          <w:rFonts w:hint="eastAsia"/>
          <w:color w:val="auto"/>
        </w:rPr>
        <w:t>投诉事项2</w:t>
      </w:r>
    </w:p>
    <w:p>
      <w:pPr>
        <w:rPr>
          <w:color w:val="auto"/>
          <w:u w:val="dotted"/>
        </w:rPr>
      </w:pPr>
      <w:r>
        <w:rPr>
          <w:rFonts w:hint="eastAsia"/>
          <w:color w:val="auto"/>
        </w:rPr>
        <w:t>……</w:t>
      </w:r>
    </w:p>
    <w:p>
      <w:pPr>
        <w:rPr>
          <w:color w:val="auto"/>
        </w:rPr>
      </w:pPr>
      <w:r>
        <w:rPr>
          <w:rFonts w:hint="eastAsia"/>
          <w:color w:val="auto"/>
        </w:rPr>
        <w:t>五、与投诉事项相关的投诉请求</w:t>
      </w:r>
    </w:p>
    <w:p>
      <w:pPr>
        <w:rPr>
          <w:color w:val="auto"/>
        </w:rPr>
      </w:pPr>
      <w:r>
        <w:rPr>
          <w:rFonts w:hint="eastAsia"/>
          <w:color w:val="auto"/>
        </w:rPr>
        <w:t>请求：</w:t>
      </w:r>
    </w:p>
    <w:p>
      <w:pPr>
        <w:rPr>
          <w:color w:val="auto"/>
        </w:rPr>
      </w:pPr>
    </w:p>
    <w:p>
      <w:pPr>
        <w:rPr>
          <w:color w:val="auto"/>
        </w:rPr>
      </w:pPr>
      <w:r>
        <w:rPr>
          <w:rFonts w:hint="eastAsia"/>
          <w:color w:val="auto"/>
        </w:rPr>
        <w:t>签字（签章）：公章：</w:t>
      </w:r>
    </w:p>
    <w:p>
      <w:pPr>
        <w:rPr>
          <w:color w:val="auto"/>
        </w:rPr>
      </w:pPr>
      <w:r>
        <w:rPr>
          <w:rFonts w:hint="eastAsia"/>
          <w:color w:val="auto"/>
        </w:rPr>
        <w:t>日期：</w:t>
      </w:r>
    </w:p>
    <w:p>
      <w:pPr>
        <w:rPr>
          <w:color w:val="auto"/>
        </w:rPr>
      </w:pPr>
    </w:p>
    <w:p>
      <w:pPr>
        <w:rPr>
          <w:color w:val="auto"/>
        </w:rPr>
      </w:pPr>
    </w:p>
    <w:p>
      <w:pPr>
        <w:rPr>
          <w:color w:val="auto"/>
        </w:rPr>
      </w:pPr>
      <w:r>
        <w:rPr>
          <w:rFonts w:hint="eastAsia"/>
          <w:color w:val="auto"/>
        </w:rPr>
        <w:t>投诉书制作说明：</w:t>
      </w:r>
    </w:p>
    <w:p>
      <w:pPr>
        <w:pStyle w:val="235"/>
        <w:numPr>
          <w:ilvl w:val="0"/>
          <w:numId w:val="4"/>
        </w:numPr>
        <w:ind w:firstLineChars="0"/>
        <w:rPr>
          <w:color w:val="auto"/>
        </w:rPr>
      </w:pPr>
      <w:r>
        <w:rPr>
          <w:rFonts w:hint="eastAsia"/>
          <w:color w:val="auto"/>
        </w:rPr>
        <w:t>投诉人提起投诉时，应当提交投诉书和必要的证明材料，并按照被投诉人和与投诉事项有关的供应商数量提供投诉书副本。</w:t>
      </w:r>
    </w:p>
    <w:p>
      <w:pPr>
        <w:pStyle w:val="235"/>
        <w:numPr>
          <w:ilvl w:val="0"/>
          <w:numId w:val="4"/>
        </w:numPr>
        <w:ind w:firstLineChars="0"/>
        <w:rPr>
          <w:color w:val="auto"/>
        </w:rPr>
      </w:pPr>
      <w:r>
        <w:rPr>
          <w:rFonts w:hint="eastAsia"/>
          <w:color w:val="auto"/>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pStyle w:val="235"/>
        <w:numPr>
          <w:ilvl w:val="0"/>
          <w:numId w:val="4"/>
        </w:numPr>
        <w:ind w:firstLineChars="0"/>
        <w:rPr>
          <w:color w:val="auto"/>
        </w:rPr>
      </w:pPr>
      <w:r>
        <w:rPr>
          <w:rFonts w:hint="eastAsia"/>
          <w:color w:val="auto"/>
        </w:rPr>
        <w:t>投诉人若对项目的某一分包进行投诉，投诉书应列明具体分包号。</w:t>
      </w:r>
    </w:p>
    <w:p>
      <w:pPr>
        <w:pStyle w:val="235"/>
        <w:numPr>
          <w:ilvl w:val="0"/>
          <w:numId w:val="4"/>
        </w:numPr>
        <w:ind w:firstLineChars="0"/>
        <w:rPr>
          <w:color w:val="auto"/>
        </w:rPr>
      </w:pPr>
      <w:r>
        <w:rPr>
          <w:rFonts w:hint="eastAsia"/>
          <w:color w:val="auto"/>
        </w:rPr>
        <w:t>投诉书应简要列明质疑事项，质疑函、质疑答复等作为附件材料提供。</w:t>
      </w:r>
    </w:p>
    <w:p>
      <w:pPr>
        <w:pStyle w:val="235"/>
        <w:numPr>
          <w:ilvl w:val="0"/>
          <w:numId w:val="4"/>
        </w:numPr>
        <w:ind w:firstLineChars="0"/>
        <w:rPr>
          <w:color w:val="auto"/>
        </w:rPr>
      </w:pPr>
      <w:r>
        <w:rPr>
          <w:rFonts w:hint="eastAsia"/>
          <w:color w:val="auto"/>
        </w:rPr>
        <w:t>投诉书的投诉事项应具体、明确，并有必要的事实依据和法律依据。</w:t>
      </w:r>
    </w:p>
    <w:p>
      <w:pPr>
        <w:pStyle w:val="235"/>
        <w:numPr>
          <w:ilvl w:val="0"/>
          <w:numId w:val="4"/>
        </w:numPr>
        <w:ind w:firstLineChars="0"/>
        <w:rPr>
          <w:color w:val="auto"/>
          <w:kern w:val="0"/>
        </w:rPr>
      </w:pPr>
      <w:r>
        <w:rPr>
          <w:rFonts w:hint="eastAsia"/>
          <w:color w:val="auto"/>
        </w:rPr>
        <w:t>投诉书的投诉请求应与投诉事项相关。</w:t>
      </w:r>
    </w:p>
    <w:p>
      <w:pPr>
        <w:pStyle w:val="235"/>
        <w:numPr>
          <w:ilvl w:val="0"/>
          <w:numId w:val="4"/>
        </w:numPr>
        <w:ind w:firstLineChars="0"/>
        <w:rPr>
          <w:color w:val="auto"/>
          <w:kern w:val="0"/>
        </w:rPr>
      </w:pPr>
      <w:r>
        <w:rPr>
          <w:rFonts w:hint="eastAsia"/>
          <w:color w:val="auto"/>
        </w:rPr>
        <w:t>投诉人为自然人的，投诉书应当由本人签字；投诉人为法人或者其他组织的，投诉书应当由法定代表人、主要负责人，或者其授权代表签字或者盖章，并加盖公章。</w:t>
      </w:r>
    </w:p>
    <w:p>
      <w:pPr>
        <w:rPr>
          <w:color w:val="auto"/>
        </w:rPr>
      </w:pPr>
    </w:p>
    <w:p>
      <w:pPr>
        <w:rPr>
          <w:color w:val="auto"/>
        </w:rPr>
      </w:pPr>
    </w:p>
    <w:p>
      <w:pPr>
        <w:rPr>
          <w:color w:val="auto"/>
        </w:rPr>
      </w:pPr>
    </w:p>
    <w:p>
      <w:pPr>
        <w:rPr>
          <w:color w:val="auto"/>
        </w:rPr>
      </w:pPr>
      <w:r>
        <w:rPr>
          <w:rFonts w:hint="eastAsia"/>
          <w:color w:val="auto"/>
        </w:rPr>
        <w:br w:type="page"/>
      </w:r>
      <w:r>
        <w:rPr>
          <w:rFonts w:hint="eastAsia"/>
          <w:color w:val="auto"/>
        </w:rPr>
        <w:t>附件4：业务专用章使用说明函</w:t>
      </w:r>
    </w:p>
    <w:p>
      <w:pPr>
        <w:rPr>
          <w:color w:val="auto"/>
        </w:rPr>
      </w:pPr>
      <w:r>
        <w:rPr>
          <w:rFonts w:hint="eastAsia"/>
          <w:color w:val="auto"/>
        </w:rPr>
        <w:t>业务专用章使用说明函</w:t>
      </w:r>
    </w:p>
    <w:p>
      <w:pPr>
        <w:rPr>
          <w:color w:val="auto"/>
        </w:rPr>
      </w:pPr>
    </w:p>
    <w:p>
      <w:pPr>
        <w:rPr>
          <w:color w:val="auto"/>
        </w:rPr>
      </w:pPr>
      <w:r>
        <w:rPr>
          <w:rFonts w:hint="eastAsia"/>
          <w:color w:val="auto"/>
        </w:rPr>
        <w:t>采购人、采购代理机构：</w:t>
      </w:r>
    </w:p>
    <w:p>
      <w:pPr>
        <w:rPr>
          <w:color w:val="auto"/>
        </w:rPr>
      </w:pPr>
      <w:r>
        <w:rPr>
          <w:rFonts w:hint="eastAsia"/>
          <w:color w:val="auto"/>
          <w:kern w:val="0"/>
          <w:lang w:val="zh-CN"/>
        </w:rPr>
        <w:t>我方</w:t>
      </w:r>
      <w:r>
        <w:rPr>
          <w:rFonts w:hint="eastAsia"/>
          <w:color w:val="auto"/>
          <w:kern w:val="0"/>
          <w:u w:val="single"/>
          <w:lang w:val="zh-CN"/>
        </w:rPr>
        <w:t>（</w:t>
      </w:r>
      <w:r>
        <w:rPr>
          <w:rFonts w:hint="eastAsia"/>
          <w:color w:val="auto"/>
          <w:u w:val="single"/>
        </w:rPr>
        <w:t>供应商全称</w:t>
      </w:r>
      <w:r>
        <w:rPr>
          <w:rFonts w:hint="eastAsia"/>
          <w:color w:val="auto"/>
          <w:kern w:val="0"/>
          <w:u w:val="single"/>
          <w:lang w:val="zh-CN"/>
        </w:rPr>
        <w:t>）</w:t>
      </w:r>
      <w:r>
        <w:rPr>
          <w:rFonts w:hint="eastAsia"/>
          <w:color w:val="auto"/>
        </w:rPr>
        <w:t>是中华人民共和国依法登记注册的合法企业，</w:t>
      </w:r>
      <w:r>
        <w:rPr>
          <w:rFonts w:hint="eastAsia"/>
          <w:bCs/>
          <w:color w:val="auto"/>
        </w:rPr>
        <w:t>在参加</w:t>
      </w:r>
      <w:r>
        <w:rPr>
          <w:rFonts w:hint="eastAsia"/>
          <w:color w:val="auto"/>
        </w:rPr>
        <w:t>你方组织的</w:t>
      </w:r>
      <w:r>
        <w:rPr>
          <w:rFonts w:hint="eastAsia"/>
          <w:color w:val="auto"/>
          <w:szCs w:val="21"/>
        </w:rPr>
        <w:t>（项目名称：）【</w:t>
      </w:r>
      <w:r>
        <w:rPr>
          <w:rFonts w:hint="eastAsia"/>
          <w:color w:val="auto"/>
          <w:kern w:val="0"/>
          <w:szCs w:val="21"/>
        </w:rPr>
        <w:t>项目</w:t>
      </w:r>
      <w:r>
        <w:rPr>
          <w:rFonts w:hint="eastAsia"/>
          <w:color w:val="auto"/>
          <w:szCs w:val="21"/>
        </w:rPr>
        <w:t>编号：】</w:t>
      </w:r>
      <w:r>
        <w:rPr>
          <w:rFonts w:hint="eastAsia"/>
          <w:bCs/>
          <w:color w:val="auto"/>
        </w:rPr>
        <w:t>投标活动中作如下说明：</w:t>
      </w:r>
      <w:r>
        <w:rPr>
          <w:rFonts w:hint="eastAsia"/>
          <w:color w:val="auto"/>
        </w:rPr>
        <w:t>我方所使用的“XX专用章”与法定名称章具有同等的法律效力，对使用“XX专用章”的行为予以完全承认，并愿意承担相应责任。</w:t>
      </w:r>
    </w:p>
    <w:p>
      <w:pPr>
        <w:rPr>
          <w:color w:val="auto"/>
        </w:rPr>
      </w:pPr>
      <w:r>
        <w:rPr>
          <w:rFonts w:hint="eastAsia"/>
          <w:color w:val="auto"/>
        </w:rPr>
        <w:t>特此说明。</w:t>
      </w:r>
    </w:p>
    <w:p>
      <w:pPr>
        <w:rPr>
          <w:color w:val="auto"/>
        </w:rPr>
      </w:pPr>
    </w:p>
    <w:p>
      <w:pPr>
        <w:rPr>
          <w:color w:val="auto"/>
        </w:rPr>
      </w:pPr>
    </w:p>
    <w:p>
      <w:pPr>
        <w:rPr>
          <w:color w:val="auto"/>
        </w:rPr>
      </w:pPr>
      <w:r>
        <w:rPr>
          <w:rFonts w:hint="eastAsia"/>
          <w:color w:val="auto"/>
          <w:lang w:val="zh-CN"/>
        </w:rPr>
        <w:t>供应商名称（电子签名）</w:t>
      </w:r>
      <w:r>
        <w:rPr>
          <w:rFonts w:hint="eastAsia"/>
          <w:color w:val="auto"/>
        </w:rPr>
        <w:t>：</w:t>
      </w:r>
    </w:p>
    <w:p>
      <w:pPr>
        <w:rPr>
          <w:color w:val="auto"/>
        </w:rPr>
      </w:pPr>
      <w:r>
        <w:rPr>
          <w:rFonts w:hint="eastAsia"/>
          <w:color w:val="auto"/>
          <w:lang w:val="zh-CN"/>
        </w:rPr>
        <w:t>日期：年月日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t>附：</w:t>
      </w:r>
    </w:p>
    <w:p>
      <w:pPr>
        <w:rPr>
          <w:color w:val="auto"/>
        </w:rPr>
      </w:pPr>
      <w:r>
        <w:rPr>
          <w:color w:val="auto"/>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矩形 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3"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HP+MHYAAAACgEAAA8AAAAAAAAAAQAgAAAAIgAAAGRy&#10;cy9kb3ducmV2LnhtbFBLAQIUABQAAAAIAIdO4kCRL7TdBQIAADgEAAAOAAAAAAAAAAEAIAAAACcB&#10;AABkcnMvZTJvRG9jLnhtbFBLBQYAAAAABgAGAFkBAACeBQAAAAA=&#10;">
                <v:fill on="t" focussize="0,0"/>
                <v:stroke color="#000000" joinstyle="miter"/>
                <v:imagedata o:title=""/>
                <o:lock v:ext="edit" aspectratio="f"/>
                <v:textbox>
                  <w:txbxContent>
                    <w:p/>
                  </w:txbxContent>
                </v:textbox>
              </v:rect>
            </w:pict>
          </mc:Fallback>
        </mc:AlternateContent>
      </w:r>
      <w:r>
        <w:rPr>
          <w:color w:val="auto"/>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矩形 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4"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dOwWNgAAAAKAQAADwAAAAAAAAABACAAAAAiAAAA&#10;ZHJzL2Rvd25yZXYueG1sUEsBAhQAFAAAAAgAh07iQEFPcLUHAgAAOAQAAA4AAAAAAAAAAQAgAAAA&#10;JwEAAGRycy9lMm9Eb2MueG1sUEsFBgAAAAAGAAYAWQEAAKAFAAAAAA==&#10;">
                <v:fill on="t" focussize="0,0"/>
                <v:stroke color="#000000" joinstyle="miter"/>
                <v:imagedata o:title=""/>
                <o:lock v:ext="edit" aspectratio="f"/>
                <v:textbox>
                  <w:txbxContent>
                    <w:p/>
                  </w:txbxContent>
                </v:textbox>
              </v:rect>
            </w:pict>
          </mc:Fallback>
        </mc:AlternateContent>
      </w:r>
      <w:r>
        <w:rPr>
          <w:rFonts w:hint="eastAsia"/>
          <w:color w:val="auto"/>
        </w:rPr>
        <w:t>供应商法定名称章（印模）供应商“XX专用章”（印模）</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0" w:firstLineChars="0"/>
        <w:rPr>
          <w:color w:val="auto"/>
        </w:rPr>
      </w:pPr>
    </w:p>
    <w:p>
      <w:pPr>
        <w:rPr>
          <w:color w:val="auto"/>
        </w:rPr>
      </w:pPr>
      <w:bookmarkStart w:id="463" w:name="_Toc28821"/>
      <w:bookmarkStart w:id="464" w:name="_Toc1212"/>
      <w:r>
        <w:rPr>
          <w:rFonts w:hint="eastAsia"/>
          <w:color w:val="auto"/>
        </w:rPr>
        <w:br w:type="page"/>
      </w:r>
    </w:p>
    <w:p>
      <w:pPr>
        <w:ind w:firstLine="0" w:firstLineChars="0"/>
        <w:rPr>
          <w:color w:val="auto"/>
        </w:rPr>
      </w:pPr>
      <w:r>
        <w:rPr>
          <w:rFonts w:hint="eastAsia"/>
          <w:color w:val="auto"/>
        </w:rPr>
        <w:t>附件</w:t>
      </w:r>
      <w:r>
        <w:rPr>
          <w:rFonts w:hint="eastAsia"/>
          <w:color w:val="auto"/>
          <w:lang w:val="en-US" w:eastAsia="zh-CN"/>
        </w:rPr>
        <w:t>7</w:t>
      </w:r>
      <w:r>
        <w:rPr>
          <w:rFonts w:hint="eastAsia"/>
          <w:color w:val="auto"/>
        </w:rPr>
        <w:t>：中小企业声明函</w:t>
      </w:r>
      <w:bookmarkEnd w:id="463"/>
      <w:bookmarkEnd w:id="464"/>
    </w:p>
    <w:p>
      <w:pPr>
        <w:rPr>
          <w:color w:val="auto"/>
        </w:rPr>
      </w:pPr>
      <w:bookmarkStart w:id="465" w:name="_Toc24208"/>
      <w:r>
        <w:rPr>
          <w:rFonts w:hint="eastAsia"/>
          <w:color w:val="auto"/>
        </w:rPr>
        <w:t>中小企业声明函（服务）</w:t>
      </w:r>
      <w:bookmarkEnd w:id="465"/>
    </w:p>
    <w:p>
      <w:pPr>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（采购人）</w:t>
      </w:r>
      <w:r>
        <w:rPr>
          <w:rFonts w:hint="eastAsia"/>
          <w:color w:val="auto"/>
        </w:rPr>
        <w:t>的</w:t>
      </w:r>
      <w:r>
        <w:rPr>
          <w:rFonts w:hint="eastAsia"/>
          <w:color w:val="auto"/>
          <w:u w:val="single"/>
        </w:rPr>
        <w:t>（项目名称）</w:t>
      </w:r>
      <w:r>
        <w:rPr>
          <w:rFonts w:hint="eastAsia"/>
          <w:color w:val="auto"/>
        </w:rPr>
        <w:t>采购活动，工程的施工单位全部为符合政策要求的中小企业（或者：服务全部由符合政策要求的中小企业承接）。相关企业（含联合体中的中小企业、签订分包意向协议的中小企业）的具体情况如下：</w:t>
      </w:r>
    </w:p>
    <w:p>
      <w:pPr>
        <w:rPr>
          <w:color w:val="auto"/>
        </w:rPr>
      </w:pPr>
      <w:r>
        <w:rPr>
          <w:rFonts w:hint="eastAsia"/>
          <w:color w:val="auto"/>
        </w:rPr>
        <w:t xml:space="preserve">1. </w:t>
      </w:r>
      <w:r>
        <w:rPr>
          <w:rFonts w:hint="eastAsia"/>
          <w:color w:val="auto"/>
          <w:u w:val="single"/>
        </w:rPr>
        <w:t>（标的名称）</w:t>
      </w:r>
      <w:r>
        <w:rPr>
          <w:rFonts w:hint="eastAsia"/>
          <w:color w:val="auto"/>
        </w:rPr>
        <w:t>，属于</w:t>
      </w:r>
      <w:r>
        <w:rPr>
          <w:rFonts w:hint="eastAsia"/>
          <w:color w:val="auto"/>
          <w:u w:val="single"/>
        </w:rPr>
        <w:t>（采购文件中明确的所属行业）</w:t>
      </w:r>
      <w:r>
        <w:rPr>
          <w:rFonts w:hint="eastAsia"/>
          <w:color w:val="auto"/>
        </w:rPr>
        <w:t>；承建（承接）企业为</w:t>
      </w:r>
      <w:r>
        <w:rPr>
          <w:rFonts w:hint="eastAsia"/>
          <w:color w:val="auto"/>
          <w:u w:val="single"/>
        </w:rPr>
        <w:t>（企业名称）</w:t>
      </w:r>
      <w:r>
        <w:rPr>
          <w:rFonts w:hint="eastAsia"/>
          <w:color w:val="auto"/>
        </w:rPr>
        <w:t>，从业人员人，营业收入为万元，资产总额为万元属于</w:t>
      </w:r>
      <w:r>
        <w:rPr>
          <w:rFonts w:hint="eastAsia"/>
          <w:color w:val="auto"/>
          <w:u w:val="single"/>
        </w:rPr>
        <w:t>（中型企业、小型企业、微型企业）</w:t>
      </w:r>
      <w:r>
        <w:rPr>
          <w:rFonts w:hint="eastAsia"/>
          <w:color w:val="auto"/>
        </w:rPr>
        <w:t>；</w:t>
      </w:r>
    </w:p>
    <w:p>
      <w:pPr>
        <w:rPr>
          <w:color w:val="auto"/>
        </w:rPr>
      </w:pPr>
      <w:r>
        <w:rPr>
          <w:rFonts w:hint="eastAsia"/>
          <w:color w:val="auto"/>
        </w:rPr>
        <w:t>……</w:t>
      </w:r>
    </w:p>
    <w:p>
      <w:pPr>
        <w:rPr>
          <w:color w:val="auto"/>
          <w:lang w:val="zh-CN"/>
        </w:rPr>
      </w:pPr>
    </w:p>
    <w:p>
      <w:pPr>
        <w:rPr>
          <w:color w:val="auto"/>
          <w:lang w:val="zh-CN"/>
        </w:rPr>
      </w:pPr>
    </w:p>
    <w:p>
      <w:pPr>
        <w:rPr>
          <w:color w:val="auto"/>
        </w:rPr>
      </w:pPr>
      <w:r>
        <w:rPr>
          <w:rFonts w:hint="eastAsia"/>
          <w:color w:val="auto"/>
          <w:lang w:val="zh-CN"/>
        </w:rPr>
        <w:t>供应商名称（电子签名）：</w:t>
      </w:r>
    </w:p>
    <w:p>
      <w:pPr>
        <w:rPr>
          <w:color w:val="auto"/>
          <w:lang w:val="zh-CN"/>
        </w:rPr>
      </w:pPr>
      <w:r>
        <w:rPr>
          <w:rFonts w:hint="eastAsia"/>
          <w:color w:val="auto"/>
          <w:lang w:val="zh-CN"/>
        </w:rPr>
        <w:t>日期</w:t>
      </w:r>
      <w:r>
        <w:rPr>
          <w:rFonts w:hint="eastAsia"/>
          <w:color w:val="auto"/>
        </w:rPr>
        <w:t>：年</w:t>
      </w:r>
      <w:r>
        <w:rPr>
          <w:rFonts w:hint="eastAsia"/>
          <w:color w:val="auto"/>
          <w:lang w:val="zh-CN"/>
        </w:rPr>
        <w:t>月日</w:t>
      </w:r>
    </w:p>
    <w:p>
      <w:pPr>
        <w:rPr>
          <w:color w:val="auto"/>
        </w:rPr>
      </w:pPr>
    </w:p>
    <w:p>
      <w:pPr>
        <w:rPr>
          <w:color w:val="auto"/>
        </w:rPr>
      </w:pPr>
      <w:r>
        <w:rPr>
          <w:rFonts w:hint="eastAsia"/>
          <w:color w:val="auto"/>
        </w:rPr>
        <w:t>注：</w:t>
      </w:r>
    </w:p>
    <w:p>
      <w:pPr>
        <w:rPr>
          <w:color w:val="auto"/>
        </w:rPr>
      </w:pPr>
      <w:r>
        <w:rPr>
          <w:rFonts w:hint="eastAsia"/>
          <w:color w:val="auto"/>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rPr>
          <w:color w:val="auto"/>
        </w:rPr>
      </w:pPr>
      <w:r>
        <w:rPr>
          <w:rFonts w:hint="eastAsia"/>
          <w:color w:val="auto"/>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rPr>
          <w:rFonts w:hint="eastAsia"/>
          <w:color w:val="auto"/>
        </w:rPr>
      </w:pPr>
      <w:r>
        <w:rPr>
          <w:rFonts w:hint="eastAsia"/>
          <w:color w:val="auto"/>
        </w:rPr>
        <w:t>3、本项目对应的中小企业划分标准所属行业： 其他未列明行业 。从业人员300人以下为中小微型企业。其中，从业人员100人及以上的为中型企业；从业人员10人及以上的为小型企业；从业人员10人以下的为微型企业。</w:t>
      </w:r>
    </w:p>
    <w:p>
      <w:pPr>
        <w:rPr>
          <w:rFonts w:hint="eastAsia"/>
          <w:color w:val="auto"/>
        </w:rPr>
      </w:pPr>
    </w:p>
    <w:sectPr>
      <w:headerReference r:id="rId25" w:type="first"/>
      <w:footerReference r:id="rId28" w:type="first"/>
      <w:headerReference r:id="rId24" w:type="default"/>
      <w:footerReference r:id="rId26" w:type="default"/>
      <w:footerReference r:id="rId27" w:type="even"/>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MS Mincho">
    <w:altName w:val="Yu Gothic UI"/>
    <w:panose1 w:val="02020609040205080304"/>
    <w:charset w:val="80"/>
    <w:family w:val="auto"/>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819"/>
        <w:tab w:val="clear" w:pos="4153"/>
      </w:tabs>
      <w:ind w:firstLine="360"/>
    </w:pP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rPr>
        <w:rStyle w:val="42"/>
      </w:rPr>
    </w:pPr>
    <w:r>
      <w:fldChar w:fldCharType="begin"/>
    </w:r>
    <w:r>
      <w:rPr>
        <w:rStyle w:val="42"/>
      </w:rPr>
      <w:instrText xml:space="preserve">PAGE  </w:instrText>
    </w:r>
    <w:r>
      <w:fldChar w:fldCharType="separate"/>
    </w:r>
    <w:r>
      <w:rPr>
        <w:rStyle w:val="42"/>
      </w:rPr>
      <w:t>42</w:t>
    </w:r>
    <w:r>
      <w:fldChar w:fldCharType="end"/>
    </w:r>
  </w:p>
  <w:p>
    <w:pPr>
      <w:pStyle w:val="26"/>
      <w:ind w:firstLine="360"/>
    </w:pPr>
  </w:p>
  <w:p/>
  <w:p/>
  <w:p/>
  <w:p/>
  <w:p/>
  <w:p/>
  <w:p/>
  <w:p/>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rPr>
        <w:rStyle w:val="42"/>
      </w:rPr>
    </w:pPr>
    <w:r>
      <w:fldChar w:fldCharType="begin"/>
    </w:r>
    <w:r>
      <w:rPr>
        <w:rStyle w:val="42"/>
      </w:rPr>
      <w:instrText xml:space="preserve">PAGE  </w:instrText>
    </w:r>
    <w:r>
      <w:fldChar w:fldCharType="separate"/>
    </w:r>
    <w:r>
      <w:rPr>
        <w:rStyle w:val="42"/>
      </w:rPr>
      <w:t>80</w:t>
    </w:r>
    <w:r>
      <w:fldChar w:fldCharType="end"/>
    </w:r>
  </w:p>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mc:Fallback>
      </mc:AlternateContent>
    </w:r>
  </w:p>
  <w:p>
    <w:pPr>
      <w:pStyle w:val="2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9685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a:effectLst/>
                    </wps:spPr>
                    <wps:txbx>
                      <w:txbxContent>
                        <w:p>
                          <w:pPr>
                            <w:pStyle w:val="26"/>
                            <w:ind w:firstLine="360"/>
                          </w:pPr>
                          <w:r>
                            <w:fldChar w:fldCharType="begin"/>
                          </w:r>
                          <w:r>
                            <w:instrText xml:space="preserve"> PAGE  \* MERGEFORMAT </w:instrText>
                          </w:r>
                          <w:r>
                            <w:fldChar w:fldCharType="separate"/>
                          </w:r>
                          <w:r>
                            <w:t>43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5.5pt;width:27.05pt;mso-position-horizontal:center;mso-position-horizontal-relative:margin;mso-wrap-style:none;z-index:251661312;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ajrpdEAAAADAQAADwAAAAAAAAABACAAAAAiAAAA&#10;ZHJzL2Rvd25yZXYueG1sUEsBAhQAFAAAAAgAh07iQJPRTt3VAQAApgMAAA4AAAAAAAAAAQAgAAAA&#10;IAEAAGRycy9lMm9Eb2MueG1sUEsFBgAAAAAGAAYAWQEAAGcFAAAAAA==&#10;">
              <v:fill on="f" focussize="0,0"/>
              <v:stroke on="f"/>
              <v:imagedata o:title=""/>
              <o:lock v:ext="edit" aspectratio="f"/>
              <v:textbox inset="0mm,0mm,0mm,0mm" style="mso-fit-shape-to-text:t;">
                <w:txbxContent>
                  <w:p>
                    <w:pPr>
                      <w:pStyle w:val="26"/>
                      <w:ind w:firstLine="36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0EE60"/>
    <w:multiLevelType w:val="singleLevel"/>
    <w:tmpl w:val="C890EE60"/>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4.%1 "/>
      <w:lvlJc w:val="left"/>
      <w:pPr>
        <w:ind w:left="0" w:firstLine="400"/>
      </w:pPr>
      <w:rPr>
        <w:rFonts w:hint="default"/>
      </w:rPr>
    </w:lvl>
  </w:abstractNum>
  <w:abstractNum w:abstractNumId="2">
    <w:nsid w:val="00000003"/>
    <w:multiLevelType w:val="singleLevel"/>
    <w:tmpl w:val="00000003"/>
    <w:lvl w:ilvl="0" w:tentative="0">
      <w:start w:val="1"/>
      <w:numFmt w:val="decimal"/>
      <w:suff w:val="nothing"/>
      <w:lvlText w:val="6.%1 "/>
      <w:lvlJc w:val="left"/>
      <w:pPr>
        <w:ind w:left="0" w:firstLine="400"/>
      </w:pPr>
      <w:rPr>
        <w:rFonts w:hint="default"/>
      </w:rPr>
    </w:lvl>
  </w:abstractNum>
  <w:abstractNum w:abstractNumId="3">
    <w:nsid w:val="00000005"/>
    <w:multiLevelType w:val="singleLevel"/>
    <w:tmpl w:val="00000005"/>
    <w:lvl w:ilvl="0" w:tentative="0">
      <w:start w:val="1"/>
      <w:numFmt w:val="decimal"/>
      <w:suff w:val="nothing"/>
      <w:lvlText w:val="12.%1 "/>
      <w:lvlJc w:val="left"/>
      <w:pPr>
        <w:ind w:left="0" w:firstLine="400"/>
      </w:pPr>
      <w:rPr>
        <w:rFonts w:hint="default"/>
      </w:rPr>
    </w:lvl>
  </w:abstractNum>
  <w:abstractNum w:abstractNumId="4">
    <w:nsid w:val="00000006"/>
    <w:multiLevelType w:val="singleLevel"/>
    <w:tmpl w:val="00000006"/>
    <w:lvl w:ilvl="0" w:tentative="0">
      <w:start w:val="1"/>
      <w:numFmt w:val="decimal"/>
      <w:suff w:val="nothing"/>
      <w:lvlText w:val="4.%1 "/>
      <w:lvlJc w:val="left"/>
      <w:pPr>
        <w:ind w:left="0" w:firstLine="400"/>
      </w:pPr>
      <w:rPr>
        <w:rFonts w:hint="default"/>
      </w:rPr>
    </w:lvl>
  </w:abstractNum>
  <w:abstractNum w:abstractNumId="5">
    <w:nsid w:val="00000007"/>
    <w:multiLevelType w:val="singleLevel"/>
    <w:tmpl w:val="00000007"/>
    <w:lvl w:ilvl="0" w:tentative="0">
      <w:start w:val="1"/>
      <w:numFmt w:val="decimal"/>
      <w:suff w:val="nothing"/>
      <w:lvlText w:val="11.%1 "/>
      <w:lvlJc w:val="left"/>
      <w:pPr>
        <w:ind w:left="0" w:firstLine="400"/>
      </w:pPr>
      <w:rPr>
        <w:rFonts w:hint="default"/>
      </w:rPr>
    </w:lvl>
  </w:abstractNum>
  <w:abstractNum w:abstractNumId="6">
    <w:nsid w:val="00000008"/>
    <w:multiLevelType w:val="singleLevel"/>
    <w:tmpl w:val="00000008"/>
    <w:lvl w:ilvl="0" w:tentative="0">
      <w:start w:val="1"/>
      <w:numFmt w:val="chineseCounting"/>
      <w:suff w:val="nothing"/>
      <w:lvlText w:val="%1、"/>
      <w:lvlJc w:val="left"/>
      <w:pPr>
        <w:ind w:left="0" w:firstLine="420"/>
      </w:pPr>
      <w:rPr>
        <w:rFonts w:hint="eastAsia"/>
      </w:rPr>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000000C"/>
    <w:multiLevelType w:val="singleLevel"/>
    <w:tmpl w:val="0000000C"/>
    <w:lvl w:ilvl="0" w:tentative="0">
      <w:start w:val="1"/>
      <w:numFmt w:val="decimal"/>
      <w:suff w:val="nothing"/>
      <w:lvlText w:val="%1、"/>
      <w:lvlJc w:val="left"/>
    </w:lvl>
  </w:abstractNum>
  <w:abstractNum w:abstractNumId="9">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0">
    <w:nsid w:val="0000000F"/>
    <w:multiLevelType w:val="multilevel"/>
    <w:tmpl w:val="0000000F"/>
    <w:lvl w:ilvl="0" w:tentative="0">
      <w:start w:val="1"/>
      <w:numFmt w:val="decimal"/>
      <w:suff w:val="nothing"/>
      <w:lvlText w:val="17.%1 "/>
      <w:lvlJc w:val="left"/>
      <w:pPr>
        <w:ind w:left="0" w:firstLine="40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1">
    <w:nsid w:val="00000010"/>
    <w:multiLevelType w:val="singleLevel"/>
    <w:tmpl w:val="00000010"/>
    <w:lvl w:ilvl="0" w:tentative="0">
      <w:start w:val="1"/>
      <w:numFmt w:val="decimal"/>
      <w:suff w:val="nothing"/>
      <w:lvlText w:val="3.%1 "/>
      <w:lvlJc w:val="left"/>
      <w:pPr>
        <w:ind w:left="0" w:firstLine="400"/>
      </w:pPr>
      <w:rPr>
        <w:rFonts w:hint="default"/>
      </w:rPr>
    </w:lvl>
  </w:abstractNum>
  <w:abstractNum w:abstractNumId="12">
    <w:nsid w:val="00000011"/>
    <w:multiLevelType w:val="singleLevel"/>
    <w:tmpl w:val="00000011"/>
    <w:lvl w:ilvl="0" w:tentative="0">
      <w:start w:val="1"/>
      <w:numFmt w:val="chineseCounting"/>
      <w:pStyle w:val="95"/>
      <w:suff w:val="nothing"/>
      <w:lvlText w:val="%1、"/>
      <w:lvlJc w:val="left"/>
    </w:lvl>
  </w:abstractNum>
  <w:abstractNum w:abstractNumId="13">
    <w:nsid w:val="00000012"/>
    <w:multiLevelType w:val="singleLevel"/>
    <w:tmpl w:val="00000012"/>
    <w:lvl w:ilvl="0" w:tentative="0">
      <w:start w:val="1"/>
      <w:numFmt w:val="decimal"/>
      <w:suff w:val="nothing"/>
      <w:lvlText w:val="14.%1 "/>
      <w:lvlJc w:val="left"/>
      <w:pPr>
        <w:ind w:left="0" w:firstLine="400"/>
      </w:pPr>
      <w:rPr>
        <w:rFonts w:hint="default"/>
      </w:rPr>
    </w:lvl>
  </w:abstractNum>
  <w:abstractNum w:abstractNumId="14">
    <w:nsid w:val="00000013"/>
    <w:multiLevelType w:val="singleLevel"/>
    <w:tmpl w:val="00000013"/>
    <w:lvl w:ilvl="0" w:tentative="0">
      <w:start w:val="1"/>
      <w:numFmt w:val="decimal"/>
      <w:suff w:val="nothing"/>
      <w:lvlText w:val="3.4.%1 "/>
      <w:lvlJc w:val="left"/>
      <w:pPr>
        <w:ind w:left="0" w:firstLine="400"/>
      </w:pPr>
      <w:rPr>
        <w:rFonts w:hint="default"/>
      </w:rPr>
    </w:lvl>
  </w:abstractNum>
  <w:abstractNum w:abstractNumId="15">
    <w:nsid w:val="00000014"/>
    <w:multiLevelType w:val="singleLevel"/>
    <w:tmpl w:val="00000014"/>
    <w:lvl w:ilvl="0" w:tentative="0">
      <w:start w:val="1"/>
      <w:numFmt w:val="chineseCounting"/>
      <w:suff w:val="nothing"/>
      <w:lvlText w:val="（%1）"/>
      <w:lvlJc w:val="left"/>
      <w:pPr>
        <w:ind w:left="0" w:firstLine="420"/>
      </w:pPr>
      <w:rPr>
        <w:rFonts w:hint="eastAsia"/>
      </w:rPr>
    </w:lvl>
  </w:abstractNum>
  <w:abstractNum w:abstractNumId="16">
    <w:nsid w:val="00000015"/>
    <w:multiLevelType w:val="singleLevel"/>
    <w:tmpl w:val="00000015"/>
    <w:lvl w:ilvl="0" w:tentative="0">
      <w:start w:val="1"/>
      <w:numFmt w:val="decimal"/>
      <w:suff w:val="nothing"/>
      <w:lvlText w:val="4.3.2.%1 "/>
      <w:lvlJc w:val="left"/>
      <w:pPr>
        <w:ind w:left="0" w:firstLine="400"/>
      </w:pPr>
      <w:rPr>
        <w:rFonts w:hint="default"/>
      </w:rPr>
    </w:lvl>
  </w:abstractNum>
  <w:abstractNum w:abstractNumId="17">
    <w:nsid w:val="00000016"/>
    <w:multiLevelType w:val="singleLevel"/>
    <w:tmpl w:val="00000016"/>
    <w:lvl w:ilvl="0" w:tentative="0">
      <w:start w:val="1"/>
      <w:numFmt w:val="decimal"/>
      <w:suff w:val="nothing"/>
      <w:lvlText w:val="%1、"/>
      <w:lvlJc w:val="left"/>
      <w:pPr>
        <w:ind w:left="0" w:firstLine="400"/>
      </w:pPr>
      <w:rPr>
        <w:rFonts w:hint="default"/>
      </w:rPr>
    </w:lvl>
  </w:abstractNum>
  <w:abstractNum w:abstractNumId="18">
    <w:nsid w:val="0000001A"/>
    <w:multiLevelType w:val="singleLevel"/>
    <w:tmpl w:val="0000001A"/>
    <w:lvl w:ilvl="0" w:tentative="0">
      <w:start w:val="1"/>
      <w:numFmt w:val="decimal"/>
      <w:suff w:val="nothing"/>
      <w:lvlText w:val="%1、"/>
      <w:lvlJc w:val="left"/>
    </w:lvl>
  </w:abstractNum>
  <w:abstractNum w:abstractNumId="19">
    <w:nsid w:val="0000001B"/>
    <w:multiLevelType w:val="singleLevel"/>
    <w:tmpl w:val="0000001B"/>
    <w:lvl w:ilvl="0" w:tentative="0">
      <w:start w:val="1"/>
      <w:numFmt w:val="decimal"/>
      <w:suff w:val="nothing"/>
      <w:lvlText w:val="2.%1 "/>
      <w:lvlJc w:val="left"/>
      <w:pPr>
        <w:ind w:left="0" w:firstLine="400"/>
      </w:pPr>
      <w:rPr>
        <w:rFonts w:hint="default"/>
      </w:rPr>
    </w:lvl>
  </w:abstractNum>
  <w:abstractNum w:abstractNumId="20">
    <w:nsid w:val="0000001C"/>
    <w:multiLevelType w:val="singleLevel"/>
    <w:tmpl w:val="0000001C"/>
    <w:lvl w:ilvl="0" w:tentative="0">
      <w:start w:val="1"/>
      <w:numFmt w:val="decimal"/>
      <w:suff w:val="nothing"/>
      <w:lvlText w:val="7.%1 "/>
      <w:lvlJc w:val="left"/>
      <w:pPr>
        <w:ind w:left="0" w:firstLine="400"/>
      </w:pPr>
      <w:rPr>
        <w:rFonts w:hint="default"/>
      </w:rPr>
    </w:lvl>
  </w:abstractNum>
  <w:abstractNum w:abstractNumId="21">
    <w:nsid w:val="0000001D"/>
    <w:multiLevelType w:val="singleLevel"/>
    <w:tmpl w:val="0000001D"/>
    <w:lvl w:ilvl="0" w:tentative="0">
      <w:start w:val="1"/>
      <w:numFmt w:val="decimal"/>
      <w:pStyle w:val="100"/>
      <w:suff w:val="nothing"/>
      <w:lvlText w:val="%1、"/>
      <w:lvlJc w:val="left"/>
      <w:pPr>
        <w:ind w:left="0" w:firstLine="400"/>
      </w:pPr>
      <w:rPr>
        <w:rFonts w:hint="default"/>
      </w:rPr>
    </w:lvl>
  </w:abstractNum>
  <w:abstractNum w:abstractNumId="22">
    <w:nsid w:val="00000021"/>
    <w:multiLevelType w:val="singleLevel"/>
    <w:tmpl w:val="00000021"/>
    <w:lvl w:ilvl="0" w:tentative="0">
      <w:start w:val="1"/>
      <w:numFmt w:val="decimal"/>
      <w:suff w:val="nothing"/>
      <w:lvlText w:val="18.%1 "/>
      <w:lvlJc w:val="left"/>
      <w:pPr>
        <w:ind w:left="0" w:firstLine="400"/>
      </w:pPr>
      <w:rPr>
        <w:rFonts w:hint="default"/>
      </w:rPr>
    </w:lvl>
  </w:abstractNum>
  <w:abstractNum w:abstractNumId="23">
    <w:nsid w:val="00000022"/>
    <w:multiLevelType w:val="singleLevel"/>
    <w:tmpl w:val="00000022"/>
    <w:lvl w:ilvl="0" w:tentative="0">
      <w:start w:val="1"/>
      <w:numFmt w:val="decimal"/>
      <w:suff w:val="nothing"/>
      <w:lvlText w:val="11.3.%1 "/>
      <w:lvlJc w:val="left"/>
      <w:pPr>
        <w:ind w:left="0" w:firstLine="400"/>
      </w:pPr>
      <w:rPr>
        <w:rFonts w:hint="default"/>
      </w:rPr>
    </w:lvl>
  </w:abstractNum>
  <w:abstractNum w:abstractNumId="24">
    <w:nsid w:val="00000023"/>
    <w:multiLevelType w:val="singleLevel"/>
    <w:tmpl w:val="00000023"/>
    <w:lvl w:ilvl="0" w:tentative="0">
      <w:start w:val="1"/>
      <w:numFmt w:val="decimal"/>
      <w:suff w:val="nothing"/>
      <w:lvlText w:val="20.%1 "/>
      <w:lvlJc w:val="left"/>
      <w:pPr>
        <w:ind w:left="0" w:firstLine="400"/>
      </w:pPr>
      <w:rPr>
        <w:rFonts w:hint="default" w:ascii="宋体" w:hAnsi="宋体" w:eastAsia="宋体" w:cs="宋体"/>
        <w:sz w:val="21"/>
        <w:szCs w:val="21"/>
      </w:rPr>
    </w:lvl>
  </w:abstractNum>
  <w:abstractNum w:abstractNumId="25">
    <w:nsid w:val="00000024"/>
    <w:multiLevelType w:val="singleLevel"/>
    <w:tmpl w:val="00000024"/>
    <w:lvl w:ilvl="0" w:tentative="0">
      <w:start w:val="1"/>
      <w:numFmt w:val="decimal"/>
      <w:suff w:val="nothing"/>
      <w:lvlText w:val="4.4.%1 "/>
      <w:lvlJc w:val="left"/>
      <w:pPr>
        <w:ind w:left="0" w:firstLine="400"/>
      </w:pPr>
      <w:rPr>
        <w:rFonts w:hint="default"/>
      </w:rPr>
    </w:lvl>
  </w:abstractNum>
  <w:abstractNum w:abstractNumId="26">
    <w:nsid w:val="00000025"/>
    <w:multiLevelType w:val="singleLevel"/>
    <w:tmpl w:val="00000025"/>
    <w:lvl w:ilvl="0" w:tentative="0">
      <w:start w:val="1"/>
      <w:numFmt w:val="decimal"/>
      <w:suff w:val="nothing"/>
      <w:lvlText w:val="3.2.%1 "/>
      <w:lvlJc w:val="left"/>
      <w:pPr>
        <w:ind w:left="0" w:firstLine="400"/>
      </w:pPr>
      <w:rPr>
        <w:rFonts w:hint="default"/>
      </w:rPr>
    </w:lvl>
  </w:abstractNum>
  <w:abstractNum w:abstractNumId="27">
    <w:nsid w:val="00000026"/>
    <w:multiLevelType w:val="singleLevel"/>
    <w:tmpl w:val="00000026"/>
    <w:lvl w:ilvl="0" w:tentative="0">
      <w:start w:val="1"/>
      <w:numFmt w:val="chineseCounting"/>
      <w:suff w:val="nothing"/>
      <w:lvlText w:val="%1、"/>
      <w:lvlJc w:val="left"/>
      <w:pPr>
        <w:ind w:left="0" w:firstLine="420"/>
      </w:pPr>
      <w:rPr>
        <w:rFonts w:hint="eastAsia"/>
      </w:rPr>
    </w:lvl>
  </w:abstractNum>
  <w:abstractNum w:abstractNumId="28">
    <w:nsid w:val="00000029"/>
    <w:multiLevelType w:val="singleLevel"/>
    <w:tmpl w:val="00000029"/>
    <w:lvl w:ilvl="0" w:tentative="0">
      <w:start w:val="1"/>
      <w:numFmt w:val="chineseCounting"/>
      <w:suff w:val="nothing"/>
      <w:lvlText w:val="%1、"/>
      <w:lvlJc w:val="left"/>
    </w:lvl>
  </w:abstractNum>
  <w:abstractNum w:abstractNumId="29">
    <w:nsid w:val="0000002A"/>
    <w:multiLevelType w:val="singleLevel"/>
    <w:tmpl w:val="0000002A"/>
    <w:lvl w:ilvl="0" w:tentative="0">
      <w:start w:val="1"/>
      <w:numFmt w:val="decimal"/>
      <w:suff w:val="nothing"/>
      <w:lvlText w:val="2.1.%1 "/>
      <w:lvlJc w:val="left"/>
      <w:pPr>
        <w:ind w:left="0" w:firstLine="400"/>
      </w:pPr>
      <w:rPr>
        <w:rFonts w:hint="default"/>
      </w:rPr>
    </w:lvl>
  </w:abstractNum>
  <w:abstractNum w:abstractNumId="30">
    <w:nsid w:val="0000002C"/>
    <w:multiLevelType w:val="singleLevel"/>
    <w:tmpl w:val="0000002C"/>
    <w:lvl w:ilvl="0" w:tentative="0">
      <w:start w:val="1"/>
      <w:numFmt w:val="decimal"/>
      <w:suff w:val="nothing"/>
      <w:lvlText w:val="3.%1 "/>
      <w:lvlJc w:val="left"/>
      <w:pPr>
        <w:ind w:left="0" w:firstLine="400"/>
      </w:pPr>
      <w:rPr>
        <w:rFonts w:hint="default" w:ascii="宋体" w:hAnsi="宋体" w:eastAsia="宋体" w:cs="宋体"/>
        <w:sz w:val="21"/>
        <w:szCs w:val="21"/>
      </w:rPr>
    </w:lvl>
  </w:abstractNum>
  <w:abstractNum w:abstractNumId="31">
    <w:nsid w:val="0000002D"/>
    <w:multiLevelType w:val="singleLevel"/>
    <w:tmpl w:val="0000002D"/>
    <w:lvl w:ilvl="0" w:tentative="0">
      <w:start w:val="1"/>
      <w:numFmt w:val="decimal"/>
      <w:suff w:val="nothing"/>
      <w:lvlText w:val="5.1.%1 "/>
      <w:lvlJc w:val="left"/>
      <w:pPr>
        <w:ind w:left="0" w:firstLine="400"/>
      </w:pPr>
      <w:rPr>
        <w:rFonts w:hint="default"/>
      </w:rPr>
    </w:lvl>
  </w:abstractNum>
  <w:abstractNum w:abstractNumId="32">
    <w:nsid w:val="0000002F"/>
    <w:multiLevelType w:val="singleLevel"/>
    <w:tmpl w:val="0000002F"/>
    <w:lvl w:ilvl="0" w:tentative="0">
      <w:start w:val="1"/>
      <w:numFmt w:val="decimal"/>
      <w:suff w:val="nothing"/>
      <w:lvlText w:val="23.%1 "/>
      <w:lvlJc w:val="left"/>
      <w:pPr>
        <w:ind w:left="0" w:firstLine="400"/>
      </w:pPr>
      <w:rPr>
        <w:rFonts w:hint="default" w:ascii="宋体" w:hAnsi="宋体" w:eastAsia="宋体" w:cs="宋体"/>
        <w:sz w:val="21"/>
        <w:szCs w:val="21"/>
      </w:rPr>
    </w:lvl>
  </w:abstractNum>
  <w:abstractNum w:abstractNumId="33">
    <w:nsid w:val="00000030"/>
    <w:multiLevelType w:val="singleLevel"/>
    <w:tmpl w:val="00000030"/>
    <w:lvl w:ilvl="0" w:tentative="0">
      <w:start w:val="1"/>
      <w:numFmt w:val="decimal"/>
      <w:suff w:val="nothing"/>
      <w:lvlText w:val="4.%1 "/>
      <w:lvlJc w:val="left"/>
      <w:pPr>
        <w:ind w:left="0" w:firstLine="400"/>
      </w:pPr>
      <w:rPr>
        <w:rFonts w:hint="default" w:ascii="宋体" w:hAnsi="宋体" w:eastAsia="宋体" w:cs="宋体"/>
        <w:sz w:val="21"/>
        <w:szCs w:val="21"/>
      </w:rPr>
    </w:lvl>
  </w:abstractNum>
  <w:abstractNum w:abstractNumId="34">
    <w:nsid w:val="00000034"/>
    <w:multiLevelType w:val="singleLevel"/>
    <w:tmpl w:val="00000034"/>
    <w:lvl w:ilvl="0" w:tentative="0">
      <w:start w:val="1"/>
      <w:numFmt w:val="decimal"/>
      <w:suff w:val="nothing"/>
      <w:lvlText w:val="（%1）"/>
      <w:lvlJc w:val="left"/>
    </w:lvl>
  </w:abstractNum>
  <w:abstractNum w:abstractNumId="35">
    <w:nsid w:val="00000036"/>
    <w:multiLevelType w:val="singleLevel"/>
    <w:tmpl w:val="00000036"/>
    <w:lvl w:ilvl="0" w:tentative="0">
      <w:start w:val="1"/>
      <w:numFmt w:val="decimal"/>
      <w:suff w:val="nothing"/>
      <w:lvlText w:val="2.3.%1 "/>
      <w:lvlJc w:val="left"/>
      <w:pPr>
        <w:ind w:left="0" w:firstLine="400"/>
      </w:pPr>
      <w:rPr>
        <w:rFonts w:hint="default"/>
      </w:rPr>
    </w:lvl>
  </w:abstractNum>
  <w:abstractNum w:abstractNumId="36">
    <w:nsid w:val="00000037"/>
    <w:multiLevelType w:val="singleLevel"/>
    <w:tmpl w:val="00000037"/>
    <w:lvl w:ilvl="0" w:tentative="0">
      <w:start w:val="1"/>
      <w:numFmt w:val="chineseCounting"/>
      <w:suff w:val="nothing"/>
      <w:lvlText w:val="%1、"/>
      <w:lvlJc w:val="left"/>
      <w:pPr>
        <w:ind w:left="0" w:firstLine="420"/>
      </w:pPr>
      <w:rPr>
        <w:rFonts w:hint="eastAsia"/>
      </w:rPr>
    </w:lvl>
  </w:abstractNum>
  <w:abstractNum w:abstractNumId="37">
    <w:nsid w:val="00000038"/>
    <w:multiLevelType w:val="singleLevel"/>
    <w:tmpl w:val="00000038"/>
    <w:lvl w:ilvl="0" w:tentative="0">
      <w:start w:val="5"/>
      <w:numFmt w:val="decimal"/>
      <w:suff w:val="nothing"/>
      <w:lvlText w:val="%1、"/>
      <w:lvlJc w:val="left"/>
    </w:lvl>
  </w:abstractNum>
  <w:abstractNum w:abstractNumId="38">
    <w:nsid w:val="0000003B"/>
    <w:multiLevelType w:val="singleLevel"/>
    <w:tmpl w:val="0000003B"/>
    <w:lvl w:ilvl="0" w:tentative="0">
      <w:start w:val="1"/>
      <w:numFmt w:val="chineseCounting"/>
      <w:suff w:val="nothing"/>
      <w:lvlText w:val="%1、"/>
      <w:lvlJc w:val="left"/>
      <w:pPr>
        <w:ind w:left="210" w:firstLine="420"/>
      </w:pPr>
      <w:rPr>
        <w:rFonts w:hint="eastAsia"/>
      </w:rPr>
    </w:lvl>
  </w:abstractNum>
  <w:abstractNum w:abstractNumId="39">
    <w:nsid w:val="0000003D"/>
    <w:multiLevelType w:val="singleLevel"/>
    <w:tmpl w:val="0000003D"/>
    <w:lvl w:ilvl="0" w:tentative="0">
      <w:start w:val="1"/>
      <w:numFmt w:val="decimal"/>
      <w:suff w:val="nothing"/>
      <w:lvlText w:val="11.1.%1 "/>
      <w:lvlJc w:val="left"/>
      <w:pPr>
        <w:ind w:left="0" w:firstLine="400"/>
      </w:pPr>
      <w:rPr>
        <w:rFonts w:hint="default"/>
      </w:rPr>
    </w:lvl>
  </w:abstractNum>
  <w:abstractNum w:abstractNumId="40">
    <w:nsid w:val="00000040"/>
    <w:multiLevelType w:val="singleLevel"/>
    <w:tmpl w:val="00000040"/>
    <w:lvl w:ilvl="0" w:tentative="0">
      <w:start w:val="1"/>
      <w:numFmt w:val="decimal"/>
      <w:suff w:val="nothing"/>
      <w:lvlText w:val="（%1）"/>
      <w:lvlJc w:val="left"/>
      <w:pPr>
        <w:ind w:left="0" w:firstLine="400"/>
      </w:pPr>
      <w:rPr>
        <w:rFonts w:hint="default"/>
      </w:rPr>
    </w:lvl>
  </w:abstractNum>
  <w:abstractNum w:abstractNumId="41">
    <w:nsid w:val="00000041"/>
    <w:multiLevelType w:val="singleLevel"/>
    <w:tmpl w:val="00000041"/>
    <w:lvl w:ilvl="0" w:tentative="0">
      <w:start w:val="1"/>
      <w:numFmt w:val="decimal"/>
      <w:suff w:val="nothing"/>
      <w:lvlText w:val="3.3.%1 "/>
      <w:lvlJc w:val="left"/>
      <w:pPr>
        <w:ind w:left="0" w:firstLine="400"/>
      </w:pPr>
      <w:rPr>
        <w:rFonts w:hint="default"/>
      </w:rPr>
    </w:lvl>
  </w:abstractNum>
  <w:abstractNum w:abstractNumId="42">
    <w:nsid w:val="00000044"/>
    <w:multiLevelType w:val="singleLevel"/>
    <w:tmpl w:val="00000044"/>
    <w:lvl w:ilvl="0" w:tentative="0">
      <w:start w:val="1"/>
      <w:numFmt w:val="decimal"/>
      <w:suff w:val="nothing"/>
      <w:lvlText w:val="%1、"/>
      <w:lvlJc w:val="left"/>
    </w:lvl>
  </w:abstractNum>
  <w:abstractNum w:abstractNumId="43">
    <w:nsid w:val="00000045"/>
    <w:multiLevelType w:val="singleLevel"/>
    <w:tmpl w:val="00000045"/>
    <w:lvl w:ilvl="0" w:tentative="0">
      <w:start w:val="1"/>
      <w:numFmt w:val="decimal"/>
      <w:suff w:val="nothing"/>
      <w:lvlText w:val="2.2.%1 "/>
      <w:lvlJc w:val="left"/>
      <w:pPr>
        <w:ind w:left="0" w:firstLine="400"/>
      </w:pPr>
      <w:rPr>
        <w:rFonts w:hint="default"/>
      </w:rPr>
    </w:lvl>
  </w:abstractNum>
  <w:abstractNum w:abstractNumId="44">
    <w:nsid w:val="00000046"/>
    <w:multiLevelType w:val="singleLevel"/>
    <w:tmpl w:val="00000046"/>
    <w:lvl w:ilvl="0" w:tentative="0">
      <w:start w:val="1"/>
      <w:numFmt w:val="decimal"/>
      <w:suff w:val="nothing"/>
      <w:lvlText w:val="4.3.%1 "/>
      <w:lvlJc w:val="left"/>
      <w:pPr>
        <w:ind w:left="0" w:firstLine="400"/>
      </w:pPr>
      <w:rPr>
        <w:rFonts w:hint="default"/>
      </w:rPr>
    </w:lvl>
  </w:abstractNum>
  <w:abstractNum w:abstractNumId="45">
    <w:nsid w:val="00000047"/>
    <w:multiLevelType w:val="singleLevel"/>
    <w:tmpl w:val="00000047"/>
    <w:lvl w:ilvl="0" w:tentative="0">
      <w:start w:val="1"/>
      <w:numFmt w:val="decimal"/>
      <w:suff w:val="nothing"/>
      <w:lvlText w:val="5.%1 "/>
      <w:lvlJc w:val="left"/>
      <w:pPr>
        <w:ind w:left="0" w:firstLine="400"/>
      </w:pPr>
      <w:rPr>
        <w:rFonts w:hint="default"/>
      </w:rPr>
    </w:lvl>
  </w:abstractNum>
  <w:abstractNum w:abstractNumId="46">
    <w:nsid w:val="00000048"/>
    <w:multiLevelType w:val="singleLevel"/>
    <w:tmpl w:val="00000048"/>
    <w:lvl w:ilvl="0" w:tentative="0">
      <w:start w:val="1"/>
      <w:numFmt w:val="decimal"/>
      <w:suff w:val="nothing"/>
      <w:lvlText w:val="28.%1 "/>
      <w:lvlJc w:val="left"/>
      <w:pPr>
        <w:ind w:left="0" w:firstLine="400"/>
      </w:pPr>
      <w:rPr>
        <w:rFonts w:hint="default"/>
      </w:rPr>
    </w:lvl>
  </w:abstractNum>
  <w:abstractNum w:abstractNumId="47">
    <w:nsid w:val="0000004A"/>
    <w:multiLevelType w:val="singleLevel"/>
    <w:tmpl w:val="0000004A"/>
    <w:lvl w:ilvl="0" w:tentative="0">
      <w:start w:val="1"/>
      <w:numFmt w:val="decimal"/>
      <w:suff w:val="nothing"/>
      <w:lvlText w:val="4.2.%1 "/>
      <w:lvlJc w:val="left"/>
      <w:pPr>
        <w:ind w:left="0" w:firstLine="400"/>
      </w:pPr>
      <w:rPr>
        <w:rFonts w:hint="default" w:ascii="宋体" w:hAnsi="宋体" w:eastAsia="宋体" w:cs="宋体"/>
      </w:rPr>
    </w:lvl>
  </w:abstractNum>
  <w:abstractNum w:abstractNumId="48">
    <w:nsid w:val="0000004B"/>
    <w:multiLevelType w:val="singleLevel"/>
    <w:tmpl w:val="0000004B"/>
    <w:lvl w:ilvl="0" w:tentative="0">
      <w:start w:val="1"/>
      <w:numFmt w:val="decimal"/>
      <w:suff w:val="nothing"/>
      <w:lvlText w:val="2.%1 "/>
      <w:lvlJc w:val="left"/>
      <w:pPr>
        <w:ind w:left="0" w:firstLine="400"/>
      </w:pPr>
      <w:rPr>
        <w:rFonts w:hint="default"/>
      </w:rPr>
    </w:lvl>
  </w:abstractNum>
  <w:abstractNum w:abstractNumId="49">
    <w:nsid w:val="0000004C"/>
    <w:multiLevelType w:val="singleLevel"/>
    <w:tmpl w:val="0000004C"/>
    <w:lvl w:ilvl="0" w:tentative="0">
      <w:start w:val="1"/>
      <w:numFmt w:val="decimal"/>
      <w:suff w:val="nothing"/>
      <w:lvlText w:val="25.%1 "/>
      <w:lvlJc w:val="left"/>
      <w:pPr>
        <w:ind w:left="0" w:firstLine="400"/>
      </w:pPr>
      <w:rPr>
        <w:rFonts w:hint="default" w:ascii="宋体" w:hAnsi="宋体" w:eastAsia="宋体" w:cs="宋体"/>
        <w:sz w:val="21"/>
        <w:szCs w:val="21"/>
      </w:rPr>
    </w:lvl>
  </w:abstractNum>
  <w:abstractNum w:abstractNumId="50">
    <w:nsid w:val="0000004D"/>
    <w:multiLevelType w:val="singleLevel"/>
    <w:tmpl w:val="0000004D"/>
    <w:lvl w:ilvl="0" w:tentative="0">
      <w:start w:val="1"/>
      <w:numFmt w:val="decimal"/>
      <w:suff w:val="nothing"/>
      <w:lvlText w:val="13.%1 "/>
      <w:lvlJc w:val="left"/>
      <w:pPr>
        <w:ind w:left="0" w:firstLine="400"/>
      </w:pPr>
      <w:rPr>
        <w:rFonts w:hint="default"/>
      </w:rPr>
    </w:lvl>
  </w:abstractNum>
  <w:abstractNum w:abstractNumId="51">
    <w:nsid w:val="0000004F"/>
    <w:multiLevelType w:val="singleLevel"/>
    <w:tmpl w:val="0000004F"/>
    <w:lvl w:ilvl="0" w:tentative="0">
      <w:start w:val="1"/>
      <w:numFmt w:val="chineseCounting"/>
      <w:suff w:val="nothing"/>
      <w:lvlText w:val="%1、"/>
      <w:lvlJc w:val="left"/>
      <w:pPr>
        <w:ind w:left="0" w:firstLine="420"/>
      </w:pPr>
      <w:rPr>
        <w:rFonts w:hint="eastAsia"/>
      </w:rPr>
    </w:lvl>
  </w:abstractNum>
  <w:abstractNum w:abstractNumId="52">
    <w:nsid w:val="00000050"/>
    <w:multiLevelType w:val="singleLevel"/>
    <w:tmpl w:val="00000050"/>
    <w:lvl w:ilvl="0" w:tentative="0">
      <w:start w:val="1"/>
      <w:numFmt w:val="chineseCounting"/>
      <w:suff w:val="nothing"/>
      <w:lvlText w:val="%1、"/>
      <w:lvlJc w:val="left"/>
      <w:pPr>
        <w:ind w:left="0" w:firstLine="420"/>
      </w:pPr>
      <w:rPr>
        <w:rFonts w:hint="eastAsia"/>
      </w:rPr>
    </w:lvl>
  </w:abstractNum>
  <w:abstractNum w:abstractNumId="53">
    <w:nsid w:val="00000053"/>
    <w:multiLevelType w:val="singleLevel"/>
    <w:tmpl w:val="00000053"/>
    <w:lvl w:ilvl="0" w:tentative="0">
      <w:start w:val="1"/>
      <w:numFmt w:val="decimal"/>
      <w:suff w:val="nothing"/>
      <w:lvlText w:val="%1、"/>
      <w:lvlJc w:val="left"/>
    </w:lvl>
  </w:abstractNum>
  <w:abstractNum w:abstractNumId="54">
    <w:nsid w:val="00000055"/>
    <w:multiLevelType w:val="singleLevel"/>
    <w:tmpl w:val="00000055"/>
    <w:lvl w:ilvl="0" w:tentative="0">
      <w:start w:val="1"/>
      <w:numFmt w:val="decimal"/>
      <w:suff w:val="nothing"/>
      <w:lvlText w:val="3.4.%1 "/>
      <w:lvlJc w:val="left"/>
      <w:pPr>
        <w:ind w:left="0" w:firstLine="400"/>
      </w:pPr>
      <w:rPr>
        <w:rFonts w:hint="default"/>
      </w:rPr>
    </w:lvl>
  </w:abstractNum>
  <w:abstractNum w:abstractNumId="55">
    <w:nsid w:val="00000056"/>
    <w:multiLevelType w:val="singleLevel"/>
    <w:tmpl w:val="00000056"/>
    <w:lvl w:ilvl="0" w:tentative="0">
      <w:start w:val="1"/>
      <w:numFmt w:val="decimal"/>
      <w:suff w:val="nothing"/>
      <w:lvlText w:val="15.%1 "/>
      <w:lvlJc w:val="left"/>
      <w:pPr>
        <w:ind w:left="0" w:firstLine="400"/>
      </w:pPr>
      <w:rPr>
        <w:rFonts w:hint="default"/>
      </w:rPr>
    </w:lvl>
  </w:abstractNum>
  <w:abstractNum w:abstractNumId="56">
    <w:nsid w:val="0000005A"/>
    <w:multiLevelType w:val="singleLevel"/>
    <w:tmpl w:val="0000005A"/>
    <w:lvl w:ilvl="0" w:tentative="0">
      <w:start w:val="1"/>
      <w:numFmt w:val="decimal"/>
      <w:suff w:val="nothing"/>
      <w:lvlText w:val="%1、"/>
      <w:lvlJc w:val="left"/>
      <w:pPr>
        <w:tabs>
          <w:tab w:val="left" w:pos="0"/>
        </w:tabs>
        <w:ind w:firstLine="403"/>
      </w:pPr>
      <w:rPr>
        <w:rFonts w:hint="default" w:ascii="宋体" w:hAnsi="宋体" w:eastAsia="宋体" w:cs="宋体"/>
        <w:b w:val="0"/>
        <w:bCs w:val="0"/>
        <w:sz w:val="21"/>
        <w:szCs w:val="21"/>
      </w:rPr>
    </w:lvl>
  </w:abstractNum>
  <w:abstractNum w:abstractNumId="57">
    <w:nsid w:val="0000005C"/>
    <w:multiLevelType w:val="singleLevel"/>
    <w:tmpl w:val="0000005C"/>
    <w:lvl w:ilvl="0" w:tentative="0">
      <w:start w:val="1"/>
      <w:numFmt w:val="decimal"/>
      <w:suff w:val="nothing"/>
      <w:lvlText w:val="19.%1 "/>
      <w:lvlJc w:val="left"/>
      <w:pPr>
        <w:ind w:left="0" w:firstLine="400"/>
      </w:pPr>
      <w:rPr>
        <w:rFonts w:hint="default" w:ascii="宋体" w:hAnsi="宋体" w:eastAsia="宋体" w:cs="宋体"/>
        <w:sz w:val="21"/>
        <w:szCs w:val="21"/>
      </w:rPr>
    </w:lvl>
  </w:abstractNum>
  <w:abstractNum w:abstractNumId="58">
    <w:nsid w:val="0000005F"/>
    <w:multiLevelType w:val="singleLevel"/>
    <w:tmpl w:val="0000005F"/>
    <w:lvl w:ilvl="0" w:tentative="0">
      <w:start w:val="1"/>
      <w:numFmt w:val="decimal"/>
      <w:suff w:val="nothing"/>
      <w:lvlText w:val="30.%1 "/>
      <w:lvlJc w:val="left"/>
      <w:pPr>
        <w:ind w:left="0" w:firstLine="400"/>
      </w:pPr>
      <w:rPr>
        <w:rFonts w:hint="default"/>
      </w:rPr>
    </w:lvl>
  </w:abstractNum>
  <w:abstractNum w:abstractNumId="59">
    <w:nsid w:val="00000060"/>
    <w:multiLevelType w:val="singleLevel"/>
    <w:tmpl w:val="00000060"/>
    <w:lvl w:ilvl="0" w:tentative="0">
      <w:start w:val="1"/>
      <w:numFmt w:val="decimal"/>
      <w:suff w:val="nothing"/>
      <w:lvlText w:val="11.2.%1 "/>
      <w:lvlJc w:val="left"/>
      <w:pPr>
        <w:ind w:left="0" w:firstLine="400"/>
      </w:pPr>
      <w:rPr>
        <w:rFonts w:hint="default"/>
      </w:rPr>
    </w:lvl>
  </w:abstractNum>
  <w:abstractNum w:abstractNumId="60">
    <w:nsid w:val="00000062"/>
    <w:multiLevelType w:val="singleLevel"/>
    <w:tmpl w:val="00000062"/>
    <w:lvl w:ilvl="0" w:tentative="0">
      <w:start w:val="1"/>
      <w:numFmt w:val="decimal"/>
      <w:suff w:val="nothing"/>
      <w:lvlText w:val="3.4.1.%1 "/>
      <w:lvlJc w:val="left"/>
      <w:pPr>
        <w:ind w:left="0" w:firstLine="400"/>
      </w:pPr>
      <w:rPr>
        <w:rFonts w:hint="default"/>
      </w:rPr>
    </w:lvl>
  </w:abstractNum>
  <w:abstractNum w:abstractNumId="61">
    <w:nsid w:val="00000064"/>
    <w:multiLevelType w:val="singleLevel"/>
    <w:tmpl w:val="00000064"/>
    <w:lvl w:ilvl="0" w:tentative="0">
      <w:start w:val="1"/>
      <w:numFmt w:val="decimal"/>
      <w:suff w:val="nothing"/>
      <w:lvlText w:val="5.%1 "/>
      <w:lvlJc w:val="left"/>
      <w:pPr>
        <w:ind w:left="0" w:firstLine="400"/>
      </w:pPr>
      <w:rPr>
        <w:rFonts w:hint="default"/>
      </w:rPr>
    </w:lvl>
  </w:abstractNum>
  <w:abstractNum w:abstractNumId="62">
    <w:nsid w:val="209D6A82"/>
    <w:multiLevelType w:val="multilevel"/>
    <w:tmpl w:val="209D6A82"/>
    <w:lvl w:ilvl="0" w:tentative="0">
      <w:start w:val="1"/>
      <w:numFmt w:val="chineseCountingThousand"/>
      <w:lvlText w:val="%1、"/>
      <w:lvlJc w:val="left"/>
      <w:pPr>
        <w:ind w:left="0" w:firstLine="0"/>
      </w:pPr>
      <w:rPr>
        <w:rFonts w:hint="eastAsia"/>
      </w:rPr>
    </w:lvl>
    <w:lvl w:ilvl="1" w:tentative="0">
      <w:start w:val="1"/>
      <w:numFmt w:val="decimal"/>
      <w:lvlRestart w:val="0"/>
      <w:isLgl/>
      <w:lvlText w:val="%1.%2"/>
      <w:lvlJc w:val="left"/>
      <w:pPr>
        <w:ind w:left="0" w:firstLine="0"/>
      </w:pPr>
      <w:rPr>
        <w:rFonts w:hint="eastAsia"/>
      </w:rPr>
    </w:lvl>
    <w:lvl w:ilvl="2" w:tentative="0">
      <w:start w:val="1"/>
      <w:numFmt w:val="decimal"/>
      <w:isLgl/>
      <w:lvlText w:val="%1.%2.%3"/>
      <w:lvlJc w:val="left"/>
      <w:pPr>
        <w:ind w:left="0" w:firstLine="0"/>
      </w:pPr>
      <w:rPr>
        <w:rFonts w:hint="eastAsia"/>
      </w:rPr>
    </w:lvl>
    <w:lvl w:ilvl="3" w:tentative="0">
      <w:start w:val="1"/>
      <w:numFmt w:val="decimal"/>
      <w:pStyle w:val="9"/>
      <w:isLgl/>
      <w:lvlText w:val="%1.%2.%3.%4"/>
      <w:lvlJc w:val="left"/>
      <w:pPr>
        <w:ind w:left="283" w:firstLine="0"/>
      </w:pPr>
      <w:rPr>
        <w:rFonts w:hint="eastAsia"/>
      </w:rPr>
    </w:lvl>
    <w:lvl w:ilvl="4" w:tentative="0">
      <w:start w:val="1"/>
      <w:numFmt w:val="decimal"/>
      <w:pStyle w:val="10"/>
      <w:isLgl/>
      <w:lvlText w:val="%1.%2.%3.%4.%5"/>
      <w:lvlJc w:val="left"/>
      <w:pPr>
        <w:ind w:left="0" w:firstLine="0"/>
      </w:pPr>
      <w:rPr>
        <w:rFonts w:hint="eastAsia"/>
      </w:rPr>
    </w:lvl>
    <w:lvl w:ilvl="5" w:tentative="0">
      <w:start w:val="1"/>
      <w:numFmt w:val="decimal"/>
      <w:pStyle w:val="11"/>
      <w:isLgl/>
      <w:lvlText w:val="%1.%2.%3.%4.%5.%6"/>
      <w:lvlJc w:val="left"/>
      <w:pPr>
        <w:ind w:left="284" w:firstLine="0"/>
      </w:pPr>
      <w:rPr>
        <w:rFonts w:hint="eastAsia"/>
      </w:rPr>
    </w:lvl>
    <w:lvl w:ilvl="6" w:tentative="0">
      <w:start w:val="1"/>
      <w:numFmt w:val="decimal"/>
      <w:pStyle w:val="12"/>
      <w:isLgl/>
      <w:lvlText w:val="%7、"/>
      <w:lvlJc w:val="left"/>
      <w:pPr>
        <w:ind w:left="0" w:firstLine="0"/>
      </w:pPr>
      <w:rPr>
        <w:rFonts w:hint="eastAsia" w:ascii="Times New Roman" w:hAnsi="Times New Roman" w:cs="Times New Roman"/>
        <w:i w:val="0"/>
        <w:iCs w:val="0"/>
        <w:caps w:val="0"/>
        <w:smallCaps w:val="0"/>
        <w:strike w:val="0"/>
        <w:dstrike w:val="0"/>
        <w:vanish w:val="0"/>
        <w:spacing w:val="0"/>
        <w:position w:val="0"/>
        <w:u w:val="none"/>
        <w:vertAlign w:val="baseline"/>
      </w:rPr>
    </w:lvl>
    <w:lvl w:ilvl="7" w:tentative="0">
      <w:start w:val="1"/>
      <w:numFmt w:val="decimal"/>
      <w:isLgl/>
      <w:lvlText w:val="%8）"/>
      <w:lvlJc w:val="left"/>
      <w:pPr>
        <w:ind w:left="0" w:firstLine="0"/>
      </w:pPr>
      <w:rPr>
        <w:rFonts w:hint="eastAsia"/>
      </w:rPr>
    </w:lvl>
    <w:lvl w:ilvl="8" w:tentative="0">
      <w:start w:val="1"/>
      <w:numFmt w:val="decimal"/>
      <w:lvlText w:val="（%9）"/>
      <w:lvlJc w:val="left"/>
      <w:pPr>
        <w:ind w:left="0" w:firstLine="0"/>
      </w:pPr>
      <w:rPr>
        <w:rFonts w:hint="eastAsia"/>
      </w:rPr>
    </w:lvl>
  </w:abstractNum>
  <w:abstractNum w:abstractNumId="63">
    <w:nsid w:val="29086014"/>
    <w:multiLevelType w:val="singleLevel"/>
    <w:tmpl w:val="29086014"/>
    <w:lvl w:ilvl="0" w:tentative="0">
      <w:start w:val="2"/>
      <w:numFmt w:val="decimal"/>
      <w:suff w:val="nothing"/>
      <w:lvlText w:val="%1）"/>
      <w:lvlJc w:val="left"/>
    </w:lvl>
  </w:abstractNum>
  <w:abstractNum w:abstractNumId="64">
    <w:nsid w:val="4E8D7A40"/>
    <w:multiLevelType w:val="singleLevel"/>
    <w:tmpl w:val="4E8D7A40"/>
    <w:lvl w:ilvl="0" w:tentative="0">
      <w:start w:val="1"/>
      <w:numFmt w:val="decimal"/>
      <w:suff w:val="nothing"/>
      <w:lvlText w:val="%1、"/>
      <w:lvlJc w:val="left"/>
      <w:pPr>
        <w:ind w:left="-62"/>
      </w:pPr>
    </w:lvl>
  </w:abstractNum>
  <w:abstractNum w:abstractNumId="65">
    <w:nsid w:val="700CEF7B"/>
    <w:multiLevelType w:val="multilevel"/>
    <w:tmpl w:val="700CEF7B"/>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62"/>
  </w:num>
  <w:num w:numId="2">
    <w:abstractNumId w:val="12"/>
  </w:num>
  <w:num w:numId="3">
    <w:abstractNumId w:val="21"/>
  </w:num>
  <w:num w:numId="4">
    <w:abstractNumId w:val="42"/>
  </w:num>
  <w:num w:numId="5">
    <w:abstractNumId w:val="17"/>
  </w:num>
  <w:num w:numId="6">
    <w:abstractNumId w:val="56"/>
  </w:num>
  <w:num w:numId="7">
    <w:abstractNumId w:val="48"/>
  </w:num>
  <w:num w:numId="8">
    <w:abstractNumId w:val="11"/>
  </w:num>
  <w:num w:numId="9">
    <w:abstractNumId w:val="26"/>
  </w:num>
  <w:num w:numId="10">
    <w:abstractNumId w:val="41"/>
  </w:num>
  <w:num w:numId="11">
    <w:abstractNumId w:val="54"/>
  </w:num>
  <w:num w:numId="12">
    <w:abstractNumId w:val="4"/>
  </w:num>
  <w:num w:numId="13">
    <w:abstractNumId w:val="44"/>
  </w:num>
  <w:num w:numId="14">
    <w:abstractNumId w:val="16"/>
  </w:num>
  <w:num w:numId="15">
    <w:abstractNumId w:val="40"/>
  </w:num>
  <w:num w:numId="16">
    <w:abstractNumId w:val="25"/>
  </w:num>
  <w:num w:numId="17">
    <w:abstractNumId w:val="51"/>
  </w:num>
  <w:num w:numId="18">
    <w:abstractNumId w:val="45"/>
  </w:num>
  <w:num w:numId="19">
    <w:abstractNumId w:val="31"/>
  </w:num>
  <w:num w:numId="20">
    <w:abstractNumId w:val="2"/>
  </w:num>
  <w:num w:numId="21">
    <w:abstractNumId w:val="5"/>
  </w:num>
  <w:num w:numId="22">
    <w:abstractNumId w:val="39"/>
  </w:num>
  <w:num w:numId="23">
    <w:abstractNumId w:val="59"/>
  </w:num>
  <w:num w:numId="24">
    <w:abstractNumId w:val="23"/>
  </w:num>
  <w:num w:numId="25">
    <w:abstractNumId w:val="3"/>
  </w:num>
  <w:num w:numId="26">
    <w:abstractNumId w:val="50"/>
  </w:num>
  <w:num w:numId="27">
    <w:abstractNumId w:val="13"/>
  </w:num>
  <w:num w:numId="28">
    <w:abstractNumId w:val="55"/>
  </w:num>
  <w:num w:numId="29">
    <w:abstractNumId w:val="10"/>
  </w:num>
  <w:num w:numId="30">
    <w:abstractNumId w:val="22"/>
  </w:num>
  <w:num w:numId="31">
    <w:abstractNumId w:val="57"/>
  </w:num>
  <w:num w:numId="32">
    <w:abstractNumId w:val="24"/>
  </w:num>
  <w:num w:numId="33">
    <w:abstractNumId w:val="32"/>
  </w:num>
  <w:num w:numId="34">
    <w:abstractNumId w:val="49"/>
  </w:num>
  <w:num w:numId="35">
    <w:abstractNumId w:val="46"/>
  </w:num>
  <w:num w:numId="36">
    <w:abstractNumId w:val="58"/>
  </w:num>
  <w:num w:numId="37">
    <w:abstractNumId w:val="38"/>
  </w:num>
  <w:num w:numId="38">
    <w:abstractNumId w:val="0"/>
  </w:num>
  <w:num w:numId="39">
    <w:abstractNumId w:val="65"/>
  </w:num>
  <w:num w:numId="40">
    <w:abstractNumId w:val="64"/>
  </w:num>
  <w:num w:numId="41">
    <w:abstractNumId w:val="63"/>
  </w:num>
  <w:num w:numId="42">
    <w:abstractNumId w:val="6"/>
  </w:num>
  <w:num w:numId="43">
    <w:abstractNumId w:val="30"/>
  </w:num>
  <w:num w:numId="44">
    <w:abstractNumId w:val="14"/>
  </w:num>
  <w:num w:numId="45">
    <w:abstractNumId w:val="60"/>
  </w:num>
  <w:num w:numId="46">
    <w:abstractNumId w:val="33"/>
  </w:num>
  <w:num w:numId="47">
    <w:abstractNumId w:val="47"/>
  </w:num>
  <w:num w:numId="48">
    <w:abstractNumId w:val="37"/>
  </w:num>
  <w:num w:numId="49">
    <w:abstractNumId w:val="61"/>
  </w:num>
  <w:num w:numId="50">
    <w:abstractNumId w:val="20"/>
  </w:num>
  <w:num w:numId="51">
    <w:abstractNumId w:val="9"/>
  </w:num>
  <w:num w:numId="52">
    <w:abstractNumId w:val="15"/>
  </w:num>
  <w:num w:numId="53">
    <w:abstractNumId w:val="8"/>
  </w:num>
  <w:num w:numId="54">
    <w:abstractNumId w:val="52"/>
  </w:num>
  <w:num w:numId="55">
    <w:abstractNumId w:val="7"/>
  </w:num>
  <w:num w:numId="56">
    <w:abstractNumId w:val="36"/>
  </w:num>
  <w:num w:numId="57">
    <w:abstractNumId w:val="53"/>
  </w:num>
  <w:num w:numId="58">
    <w:abstractNumId w:val="19"/>
  </w:num>
  <w:num w:numId="59">
    <w:abstractNumId w:val="29"/>
  </w:num>
  <w:num w:numId="60">
    <w:abstractNumId w:val="43"/>
  </w:num>
  <w:num w:numId="61">
    <w:abstractNumId w:val="35"/>
  </w:num>
  <w:num w:numId="62">
    <w:abstractNumId w:val="1"/>
  </w:num>
  <w:num w:numId="63">
    <w:abstractNumId w:val="28"/>
  </w:num>
  <w:num w:numId="64">
    <w:abstractNumId w:val="34"/>
  </w:num>
  <w:num w:numId="65">
    <w:abstractNumId w:val="27"/>
  </w:num>
  <w:num w:numId="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GM3ZjRlNWU1MDVhNzA3NmZmMmEzZjlmYWJlY2YifQ=="/>
  </w:docVars>
  <w:rsids>
    <w:rsidRoot w:val="00172A27"/>
    <w:rsid w:val="000051E7"/>
    <w:rsid w:val="00026337"/>
    <w:rsid w:val="000533D1"/>
    <w:rsid w:val="0007387C"/>
    <w:rsid w:val="000751C6"/>
    <w:rsid w:val="000A47B8"/>
    <w:rsid w:val="000B02A1"/>
    <w:rsid w:val="000D730A"/>
    <w:rsid w:val="000E0CD7"/>
    <w:rsid w:val="000F4753"/>
    <w:rsid w:val="00101AE9"/>
    <w:rsid w:val="00103A20"/>
    <w:rsid w:val="00105E10"/>
    <w:rsid w:val="00110452"/>
    <w:rsid w:val="001264C3"/>
    <w:rsid w:val="0015284D"/>
    <w:rsid w:val="00154855"/>
    <w:rsid w:val="00155DDD"/>
    <w:rsid w:val="00167F62"/>
    <w:rsid w:val="00172A27"/>
    <w:rsid w:val="00180660"/>
    <w:rsid w:val="00182512"/>
    <w:rsid w:val="00192467"/>
    <w:rsid w:val="001D7048"/>
    <w:rsid w:val="001F0B98"/>
    <w:rsid w:val="001F684C"/>
    <w:rsid w:val="00225FFA"/>
    <w:rsid w:val="002506BD"/>
    <w:rsid w:val="00257194"/>
    <w:rsid w:val="00263F07"/>
    <w:rsid w:val="00284C53"/>
    <w:rsid w:val="002857BE"/>
    <w:rsid w:val="0029045A"/>
    <w:rsid w:val="002907EA"/>
    <w:rsid w:val="00291199"/>
    <w:rsid w:val="002C1ADE"/>
    <w:rsid w:val="002C34AC"/>
    <w:rsid w:val="00340F31"/>
    <w:rsid w:val="00346ECF"/>
    <w:rsid w:val="003531AA"/>
    <w:rsid w:val="0036740E"/>
    <w:rsid w:val="003729AB"/>
    <w:rsid w:val="00385A4D"/>
    <w:rsid w:val="00397767"/>
    <w:rsid w:val="003B4A31"/>
    <w:rsid w:val="003D1480"/>
    <w:rsid w:val="003D1617"/>
    <w:rsid w:val="003D3E22"/>
    <w:rsid w:val="003D6E8F"/>
    <w:rsid w:val="003F17BD"/>
    <w:rsid w:val="003F3DD2"/>
    <w:rsid w:val="003F56C2"/>
    <w:rsid w:val="004049FC"/>
    <w:rsid w:val="00433419"/>
    <w:rsid w:val="00447BC6"/>
    <w:rsid w:val="00456408"/>
    <w:rsid w:val="00462B20"/>
    <w:rsid w:val="0046588E"/>
    <w:rsid w:val="004A38AA"/>
    <w:rsid w:val="004A7239"/>
    <w:rsid w:val="004B097B"/>
    <w:rsid w:val="004F3D36"/>
    <w:rsid w:val="00501A26"/>
    <w:rsid w:val="00510895"/>
    <w:rsid w:val="005236F8"/>
    <w:rsid w:val="005408DC"/>
    <w:rsid w:val="00551D82"/>
    <w:rsid w:val="005542FD"/>
    <w:rsid w:val="005725B8"/>
    <w:rsid w:val="005746E2"/>
    <w:rsid w:val="00582008"/>
    <w:rsid w:val="00593C15"/>
    <w:rsid w:val="005C41FC"/>
    <w:rsid w:val="005E3A4F"/>
    <w:rsid w:val="005F3BFE"/>
    <w:rsid w:val="006009DB"/>
    <w:rsid w:val="00601AB7"/>
    <w:rsid w:val="00606E50"/>
    <w:rsid w:val="00606E98"/>
    <w:rsid w:val="0061040F"/>
    <w:rsid w:val="0061317A"/>
    <w:rsid w:val="00621EA1"/>
    <w:rsid w:val="00625C8C"/>
    <w:rsid w:val="00645D69"/>
    <w:rsid w:val="0065310C"/>
    <w:rsid w:val="00655DDD"/>
    <w:rsid w:val="00665669"/>
    <w:rsid w:val="00667642"/>
    <w:rsid w:val="00675068"/>
    <w:rsid w:val="00690A11"/>
    <w:rsid w:val="006A736C"/>
    <w:rsid w:val="006B7A52"/>
    <w:rsid w:val="006C6916"/>
    <w:rsid w:val="006D06A3"/>
    <w:rsid w:val="006D4B35"/>
    <w:rsid w:val="00706D29"/>
    <w:rsid w:val="00711B0B"/>
    <w:rsid w:val="00715287"/>
    <w:rsid w:val="00727C1B"/>
    <w:rsid w:val="00736584"/>
    <w:rsid w:val="00751026"/>
    <w:rsid w:val="00762A9B"/>
    <w:rsid w:val="0076408B"/>
    <w:rsid w:val="00785A09"/>
    <w:rsid w:val="007B4980"/>
    <w:rsid w:val="007B7CB2"/>
    <w:rsid w:val="00815899"/>
    <w:rsid w:val="008321F9"/>
    <w:rsid w:val="00834C32"/>
    <w:rsid w:val="0086075B"/>
    <w:rsid w:val="00861E75"/>
    <w:rsid w:val="008621E0"/>
    <w:rsid w:val="008944AB"/>
    <w:rsid w:val="00896AD2"/>
    <w:rsid w:val="008A1255"/>
    <w:rsid w:val="008D4290"/>
    <w:rsid w:val="008D45F2"/>
    <w:rsid w:val="009214D7"/>
    <w:rsid w:val="00937BFD"/>
    <w:rsid w:val="00944036"/>
    <w:rsid w:val="00952728"/>
    <w:rsid w:val="00954BB8"/>
    <w:rsid w:val="00955D20"/>
    <w:rsid w:val="009600F4"/>
    <w:rsid w:val="00964FC2"/>
    <w:rsid w:val="009708E4"/>
    <w:rsid w:val="00981CC0"/>
    <w:rsid w:val="00994703"/>
    <w:rsid w:val="00995037"/>
    <w:rsid w:val="009D78C5"/>
    <w:rsid w:val="009E2B85"/>
    <w:rsid w:val="009E59E1"/>
    <w:rsid w:val="009E70F5"/>
    <w:rsid w:val="009E7B45"/>
    <w:rsid w:val="00A005FA"/>
    <w:rsid w:val="00A077A8"/>
    <w:rsid w:val="00A12BFE"/>
    <w:rsid w:val="00A23896"/>
    <w:rsid w:val="00A77219"/>
    <w:rsid w:val="00A82850"/>
    <w:rsid w:val="00AA1137"/>
    <w:rsid w:val="00AB0D66"/>
    <w:rsid w:val="00AB3B73"/>
    <w:rsid w:val="00B74AFF"/>
    <w:rsid w:val="00B85959"/>
    <w:rsid w:val="00B87364"/>
    <w:rsid w:val="00BA7ADD"/>
    <w:rsid w:val="00BB47F1"/>
    <w:rsid w:val="00BB7DA9"/>
    <w:rsid w:val="00C02181"/>
    <w:rsid w:val="00C03FA0"/>
    <w:rsid w:val="00C049E8"/>
    <w:rsid w:val="00C2548B"/>
    <w:rsid w:val="00C25AB1"/>
    <w:rsid w:val="00C72812"/>
    <w:rsid w:val="00C97A04"/>
    <w:rsid w:val="00CA45A4"/>
    <w:rsid w:val="00CD1566"/>
    <w:rsid w:val="00D1704D"/>
    <w:rsid w:val="00D23B9C"/>
    <w:rsid w:val="00D27410"/>
    <w:rsid w:val="00D34327"/>
    <w:rsid w:val="00D64DDC"/>
    <w:rsid w:val="00D905D8"/>
    <w:rsid w:val="00D90901"/>
    <w:rsid w:val="00DA3381"/>
    <w:rsid w:val="00DD0F06"/>
    <w:rsid w:val="00DF7221"/>
    <w:rsid w:val="00E10EC8"/>
    <w:rsid w:val="00E32655"/>
    <w:rsid w:val="00E37CB6"/>
    <w:rsid w:val="00E56605"/>
    <w:rsid w:val="00E65EE2"/>
    <w:rsid w:val="00E81C16"/>
    <w:rsid w:val="00E92997"/>
    <w:rsid w:val="00E93BB2"/>
    <w:rsid w:val="00E960ED"/>
    <w:rsid w:val="00E97C10"/>
    <w:rsid w:val="00EA5620"/>
    <w:rsid w:val="00EB2F0F"/>
    <w:rsid w:val="00ED2621"/>
    <w:rsid w:val="00ED6BD6"/>
    <w:rsid w:val="00EE52A8"/>
    <w:rsid w:val="00F042DF"/>
    <w:rsid w:val="00F228F7"/>
    <w:rsid w:val="00F43988"/>
    <w:rsid w:val="00F46A5C"/>
    <w:rsid w:val="00F57ADE"/>
    <w:rsid w:val="00F60134"/>
    <w:rsid w:val="00F72A88"/>
    <w:rsid w:val="00F76697"/>
    <w:rsid w:val="00F96E10"/>
    <w:rsid w:val="00FE1AAD"/>
    <w:rsid w:val="014E4A79"/>
    <w:rsid w:val="015A3B55"/>
    <w:rsid w:val="01661B19"/>
    <w:rsid w:val="017D7DA0"/>
    <w:rsid w:val="01863B5B"/>
    <w:rsid w:val="018C1643"/>
    <w:rsid w:val="02191E9F"/>
    <w:rsid w:val="030E12FE"/>
    <w:rsid w:val="04041965"/>
    <w:rsid w:val="04253956"/>
    <w:rsid w:val="04E670E1"/>
    <w:rsid w:val="05011235"/>
    <w:rsid w:val="052953A8"/>
    <w:rsid w:val="05562AEC"/>
    <w:rsid w:val="05CB7E4D"/>
    <w:rsid w:val="062558EF"/>
    <w:rsid w:val="06565D7C"/>
    <w:rsid w:val="06DA3E3C"/>
    <w:rsid w:val="06E345AC"/>
    <w:rsid w:val="070C023A"/>
    <w:rsid w:val="071A3BB4"/>
    <w:rsid w:val="07364B08"/>
    <w:rsid w:val="079D586A"/>
    <w:rsid w:val="07D9628E"/>
    <w:rsid w:val="08675E72"/>
    <w:rsid w:val="09322AD0"/>
    <w:rsid w:val="09CF6571"/>
    <w:rsid w:val="0ABC2E87"/>
    <w:rsid w:val="0AC64F1E"/>
    <w:rsid w:val="0B1464E9"/>
    <w:rsid w:val="0B363111"/>
    <w:rsid w:val="0B4808AE"/>
    <w:rsid w:val="0B5A1038"/>
    <w:rsid w:val="0B6149B5"/>
    <w:rsid w:val="0B6E7854"/>
    <w:rsid w:val="0BE04A65"/>
    <w:rsid w:val="0C2179F4"/>
    <w:rsid w:val="0C277D83"/>
    <w:rsid w:val="0C7A3C79"/>
    <w:rsid w:val="0CC5678A"/>
    <w:rsid w:val="0CDF2F6F"/>
    <w:rsid w:val="0CFB6FDC"/>
    <w:rsid w:val="0D486C85"/>
    <w:rsid w:val="0ECE18BB"/>
    <w:rsid w:val="0F0A09D0"/>
    <w:rsid w:val="0F504262"/>
    <w:rsid w:val="0F6C5E1D"/>
    <w:rsid w:val="0FFA1E6E"/>
    <w:rsid w:val="10C0256E"/>
    <w:rsid w:val="10EA7C47"/>
    <w:rsid w:val="10FD466C"/>
    <w:rsid w:val="11500729"/>
    <w:rsid w:val="117847DD"/>
    <w:rsid w:val="11F70371"/>
    <w:rsid w:val="127B54E8"/>
    <w:rsid w:val="13612F1C"/>
    <w:rsid w:val="13894344"/>
    <w:rsid w:val="13FB7CDF"/>
    <w:rsid w:val="14214849"/>
    <w:rsid w:val="14C904F8"/>
    <w:rsid w:val="15082475"/>
    <w:rsid w:val="152A3A00"/>
    <w:rsid w:val="153A6355"/>
    <w:rsid w:val="157B4C3A"/>
    <w:rsid w:val="15D87AF7"/>
    <w:rsid w:val="16066C7F"/>
    <w:rsid w:val="165A3666"/>
    <w:rsid w:val="1796190A"/>
    <w:rsid w:val="179624AC"/>
    <w:rsid w:val="17A34B99"/>
    <w:rsid w:val="18133ACD"/>
    <w:rsid w:val="181B6E25"/>
    <w:rsid w:val="185B10D6"/>
    <w:rsid w:val="193E1044"/>
    <w:rsid w:val="1973301A"/>
    <w:rsid w:val="19A4163F"/>
    <w:rsid w:val="19B0217F"/>
    <w:rsid w:val="19D46E1B"/>
    <w:rsid w:val="19EF426C"/>
    <w:rsid w:val="19F31E08"/>
    <w:rsid w:val="1A6C5716"/>
    <w:rsid w:val="1A8E38DF"/>
    <w:rsid w:val="1AA255DC"/>
    <w:rsid w:val="1AA4541A"/>
    <w:rsid w:val="1AD07A42"/>
    <w:rsid w:val="1AE550D8"/>
    <w:rsid w:val="1B530684"/>
    <w:rsid w:val="1C275E99"/>
    <w:rsid w:val="1CCE090A"/>
    <w:rsid w:val="1CF75960"/>
    <w:rsid w:val="1D26397E"/>
    <w:rsid w:val="1D721F27"/>
    <w:rsid w:val="1DA33B2C"/>
    <w:rsid w:val="1DB7314C"/>
    <w:rsid w:val="1E087E4C"/>
    <w:rsid w:val="1E262F5F"/>
    <w:rsid w:val="1E9A18CE"/>
    <w:rsid w:val="1F373E99"/>
    <w:rsid w:val="1F670F05"/>
    <w:rsid w:val="1F6E7E2F"/>
    <w:rsid w:val="1F915979"/>
    <w:rsid w:val="1FF6D736"/>
    <w:rsid w:val="20876645"/>
    <w:rsid w:val="20A21D74"/>
    <w:rsid w:val="217E5989"/>
    <w:rsid w:val="21CA5B44"/>
    <w:rsid w:val="21E25450"/>
    <w:rsid w:val="21FA7AAB"/>
    <w:rsid w:val="22007F67"/>
    <w:rsid w:val="22216D5D"/>
    <w:rsid w:val="226D707F"/>
    <w:rsid w:val="22DB2BCF"/>
    <w:rsid w:val="22EF5A2E"/>
    <w:rsid w:val="233139A1"/>
    <w:rsid w:val="235356C5"/>
    <w:rsid w:val="23B31F24"/>
    <w:rsid w:val="23F549CE"/>
    <w:rsid w:val="23FE59CE"/>
    <w:rsid w:val="242F6132"/>
    <w:rsid w:val="246A716A"/>
    <w:rsid w:val="24781C7B"/>
    <w:rsid w:val="24B37C65"/>
    <w:rsid w:val="250B5AC7"/>
    <w:rsid w:val="2517003B"/>
    <w:rsid w:val="265C1789"/>
    <w:rsid w:val="27093C7A"/>
    <w:rsid w:val="27201D62"/>
    <w:rsid w:val="2827530C"/>
    <w:rsid w:val="28711E90"/>
    <w:rsid w:val="28E868B0"/>
    <w:rsid w:val="29157653"/>
    <w:rsid w:val="2916341D"/>
    <w:rsid w:val="29436843"/>
    <w:rsid w:val="29A8612B"/>
    <w:rsid w:val="2A64640A"/>
    <w:rsid w:val="2AA87F4C"/>
    <w:rsid w:val="2AD93055"/>
    <w:rsid w:val="2B373B1E"/>
    <w:rsid w:val="2B4F63FC"/>
    <w:rsid w:val="2B9D38F9"/>
    <w:rsid w:val="2BAE50BE"/>
    <w:rsid w:val="2BFF288E"/>
    <w:rsid w:val="2C5219A4"/>
    <w:rsid w:val="2CBB7012"/>
    <w:rsid w:val="2D874EE4"/>
    <w:rsid w:val="2DB104EA"/>
    <w:rsid w:val="2E5459DA"/>
    <w:rsid w:val="2E7F1A64"/>
    <w:rsid w:val="2E865790"/>
    <w:rsid w:val="2F2A0293"/>
    <w:rsid w:val="2F4F4680"/>
    <w:rsid w:val="2F666B36"/>
    <w:rsid w:val="2F785A0D"/>
    <w:rsid w:val="30110BFB"/>
    <w:rsid w:val="303F594F"/>
    <w:rsid w:val="304F5466"/>
    <w:rsid w:val="309C68FD"/>
    <w:rsid w:val="31A60F11"/>
    <w:rsid w:val="32434EBC"/>
    <w:rsid w:val="325371CF"/>
    <w:rsid w:val="32974BE6"/>
    <w:rsid w:val="32F3657D"/>
    <w:rsid w:val="34136117"/>
    <w:rsid w:val="34191CF1"/>
    <w:rsid w:val="348A626A"/>
    <w:rsid w:val="34AB7EAE"/>
    <w:rsid w:val="352E3F6F"/>
    <w:rsid w:val="35843E04"/>
    <w:rsid w:val="35CF1523"/>
    <w:rsid w:val="36B92B27"/>
    <w:rsid w:val="36D957C4"/>
    <w:rsid w:val="37D729F2"/>
    <w:rsid w:val="38872141"/>
    <w:rsid w:val="39B8037F"/>
    <w:rsid w:val="39DD3AE3"/>
    <w:rsid w:val="39E97D0F"/>
    <w:rsid w:val="3AA666D3"/>
    <w:rsid w:val="3B83521D"/>
    <w:rsid w:val="3B8540E8"/>
    <w:rsid w:val="3B9137DF"/>
    <w:rsid w:val="3B927248"/>
    <w:rsid w:val="3BC17E93"/>
    <w:rsid w:val="3CF15267"/>
    <w:rsid w:val="3CF33A76"/>
    <w:rsid w:val="3DC70D32"/>
    <w:rsid w:val="3E267279"/>
    <w:rsid w:val="3E331BBC"/>
    <w:rsid w:val="3F394BCD"/>
    <w:rsid w:val="4005305C"/>
    <w:rsid w:val="4095647E"/>
    <w:rsid w:val="41395AA3"/>
    <w:rsid w:val="41594D6D"/>
    <w:rsid w:val="421F738E"/>
    <w:rsid w:val="42265B3F"/>
    <w:rsid w:val="422A5BA4"/>
    <w:rsid w:val="42440BA3"/>
    <w:rsid w:val="42E50411"/>
    <w:rsid w:val="43862855"/>
    <w:rsid w:val="43867E45"/>
    <w:rsid w:val="43A85162"/>
    <w:rsid w:val="43DE6DD5"/>
    <w:rsid w:val="43F80E4F"/>
    <w:rsid w:val="445361E5"/>
    <w:rsid w:val="4533732B"/>
    <w:rsid w:val="45E83F3B"/>
    <w:rsid w:val="460A2104"/>
    <w:rsid w:val="465B295F"/>
    <w:rsid w:val="46820AF5"/>
    <w:rsid w:val="46F30DEA"/>
    <w:rsid w:val="470152B5"/>
    <w:rsid w:val="472520E8"/>
    <w:rsid w:val="474451A1"/>
    <w:rsid w:val="476E6DE7"/>
    <w:rsid w:val="477C0DDF"/>
    <w:rsid w:val="47C167F2"/>
    <w:rsid w:val="47D017F8"/>
    <w:rsid w:val="4802128E"/>
    <w:rsid w:val="480556BF"/>
    <w:rsid w:val="48852288"/>
    <w:rsid w:val="48A635F1"/>
    <w:rsid w:val="48BB1493"/>
    <w:rsid w:val="49086F6A"/>
    <w:rsid w:val="497C0086"/>
    <w:rsid w:val="49A70A30"/>
    <w:rsid w:val="4AB235B5"/>
    <w:rsid w:val="4AE9248C"/>
    <w:rsid w:val="4B9009B5"/>
    <w:rsid w:val="4BE8784A"/>
    <w:rsid w:val="4C231829"/>
    <w:rsid w:val="4C443EC1"/>
    <w:rsid w:val="4C520360"/>
    <w:rsid w:val="4C8158BA"/>
    <w:rsid w:val="4C982217"/>
    <w:rsid w:val="4CBD7ED0"/>
    <w:rsid w:val="4CFE5DF2"/>
    <w:rsid w:val="4D3B2BA3"/>
    <w:rsid w:val="4D513FA5"/>
    <w:rsid w:val="4D8174EC"/>
    <w:rsid w:val="4DAE17D9"/>
    <w:rsid w:val="4DB27662"/>
    <w:rsid w:val="4E3228AB"/>
    <w:rsid w:val="4E4F6905"/>
    <w:rsid w:val="4E9C58C3"/>
    <w:rsid w:val="4F1418FD"/>
    <w:rsid w:val="4F7F51A7"/>
    <w:rsid w:val="4F952A3E"/>
    <w:rsid w:val="4FCE46BD"/>
    <w:rsid w:val="50150DFA"/>
    <w:rsid w:val="501D1BC6"/>
    <w:rsid w:val="503307BF"/>
    <w:rsid w:val="50BE7D72"/>
    <w:rsid w:val="50D10C2C"/>
    <w:rsid w:val="516C0461"/>
    <w:rsid w:val="51BE5D36"/>
    <w:rsid w:val="51D535C6"/>
    <w:rsid w:val="51F07213"/>
    <w:rsid w:val="53AB517C"/>
    <w:rsid w:val="53B7300D"/>
    <w:rsid w:val="53BA6F17"/>
    <w:rsid w:val="53FA37B7"/>
    <w:rsid w:val="540E3AF0"/>
    <w:rsid w:val="542F6E7B"/>
    <w:rsid w:val="544B3A05"/>
    <w:rsid w:val="555B64D8"/>
    <w:rsid w:val="557B26D6"/>
    <w:rsid w:val="55A44331"/>
    <w:rsid w:val="55E77D6B"/>
    <w:rsid w:val="565D002E"/>
    <w:rsid w:val="56B37C4E"/>
    <w:rsid w:val="56D54068"/>
    <w:rsid w:val="56F55813"/>
    <w:rsid w:val="57294ECD"/>
    <w:rsid w:val="57DA769F"/>
    <w:rsid w:val="586373B3"/>
    <w:rsid w:val="586B1561"/>
    <w:rsid w:val="588E18B4"/>
    <w:rsid w:val="58C61DC0"/>
    <w:rsid w:val="58E766AC"/>
    <w:rsid w:val="59375A1D"/>
    <w:rsid w:val="59C213DC"/>
    <w:rsid w:val="5A4D4433"/>
    <w:rsid w:val="5A7459F0"/>
    <w:rsid w:val="5B1E7D8B"/>
    <w:rsid w:val="5C186ED1"/>
    <w:rsid w:val="5C611464"/>
    <w:rsid w:val="5CB5471F"/>
    <w:rsid w:val="5CC04595"/>
    <w:rsid w:val="5CD64696"/>
    <w:rsid w:val="5D1B5590"/>
    <w:rsid w:val="5D25683A"/>
    <w:rsid w:val="5D79574D"/>
    <w:rsid w:val="5DA75F3D"/>
    <w:rsid w:val="5E480C90"/>
    <w:rsid w:val="5E4A56CF"/>
    <w:rsid w:val="5E524F38"/>
    <w:rsid w:val="5E7023DE"/>
    <w:rsid w:val="5E960581"/>
    <w:rsid w:val="5ECE7D1A"/>
    <w:rsid w:val="5EDF37B0"/>
    <w:rsid w:val="5F175824"/>
    <w:rsid w:val="602F5F2B"/>
    <w:rsid w:val="60540661"/>
    <w:rsid w:val="606426A5"/>
    <w:rsid w:val="60DA0BF8"/>
    <w:rsid w:val="60E94998"/>
    <w:rsid w:val="613B0F6B"/>
    <w:rsid w:val="619B39D9"/>
    <w:rsid w:val="61E561AB"/>
    <w:rsid w:val="626B71FE"/>
    <w:rsid w:val="626F3307"/>
    <w:rsid w:val="628A03FC"/>
    <w:rsid w:val="632379EE"/>
    <w:rsid w:val="639A466F"/>
    <w:rsid w:val="63C83361"/>
    <w:rsid w:val="64324B4E"/>
    <w:rsid w:val="64430BA3"/>
    <w:rsid w:val="646212EA"/>
    <w:rsid w:val="647924D6"/>
    <w:rsid w:val="64844831"/>
    <w:rsid w:val="650E31F1"/>
    <w:rsid w:val="659B1479"/>
    <w:rsid w:val="660D1128"/>
    <w:rsid w:val="662C2270"/>
    <w:rsid w:val="663E7534"/>
    <w:rsid w:val="666E052C"/>
    <w:rsid w:val="6682344F"/>
    <w:rsid w:val="66E650D4"/>
    <w:rsid w:val="67466911"/>
    <w:rsid w:val="67762783"/>
    <w:rsid w:val="68277B62"/>
    <w:rsid w:val="6829174D"/>
    <w:rsid w:val="683464C5"/>
    <w:rsid w:val="683C2ED2"/>
    <w:rsid w:val="68633281"/>
    <w:rsid w:val="688F22C8"/>
    <w:rsid w:val="68A97A41"/>
    <w:rsid w:val="68E3497A"/>
    <w:rsid w:val="6990454A"/>
    <w:rsid w:val="6A0801D7"/>
    <w:rsid w:val="6A4842D1"/>
    <w:rsid w:val="6A6C05BF"/>
    <w:rsid w:val="6A781B00"/>
    <w:rsid w:val="6A7B2B14"/>
    <w:rsid w:val="6B043DC3"/>
    <w:rsid w:val="6B350B02"/>
    <w:rsid w:val="6B5259F4"/>
    <w:rsid w:val="6BB07299"/>
    <w:rsid w:val="6BC50EA9"/>
    <w:rsid w:val="6C59342E"/>
    <w:rsid w:val="6C8570ED"/>
    <w:rsid w:val="6CDD1A3E"/>
    <w:rsid w:val="6CFC0030"/>
    <w:rsid w:val="6D0D7C60"/>
    <w:rsid w:val="6E842BCB"/>
    <w:rsid w:val="6EDC401A"/>
    <w:rsid w:val="6EFC32AD"/>
    <w:rsid w:val="6F631C1C"/>
    <w:rsid w:val="6FBB5200"/>
    <w:rsid w:val="7061043A"/>
    <w:rsid w:val="7080699B"/>
    <w:rsid w:val="709E387E"/>
    <w:rsid w:val="70A26DA2"/>
    <w:rsid w:val="70D61BDB"/>
    <w:rsid w:val="70F21EEA"/>
    <w:rsid w:val="70F61FEA"/>
    <w:rsid w:val="715E29F1"/>
    <w:rsid w:val="716E346F"/>
    <w:rsid w:val="71705E05"/>
    <w:rsid w:val="71D61B1F"/>
    <w:rsid w:val="726227FC"/>
    <w:rsid w:val="728E7657"/>
    <w:rsid w:val="733046A8"/>
    <w:rsid w:val="73376D22"/>
    <w:rsid w:val="735A7977"/>
    <w:rsid w:val="742B12F0"/>
    <w:rsid w:val="744570D5"/>
    <w:rsid w:val="748A7409"/>
    <w:rsid w:val="75624234"/>
    <w:rsid w:val="75734D20"/>
    <w:rsid w:val="757E465A"/>
    <w:rsid w:val="75B63F40"/>
    <w:rsid w:val="75DD76E0"/>
    <w:rsid w:val="75E2200E"/>
    <w:rsid w:val="760342F6"/>
    <w:rsid w:val="76951FE6"/>
    <w:rsid w:val="76F0487A"/>
    <w:rsid w:val="77097A11"/>
    <w:rsid w:val="770B2153"/>
    <w:rsid w:val="7758333E"/>
    <w:rsid w:val="775D7A36"/>
    <w:rsid w:val="77880CC9"/>
    <w:rsid w:val="779866E5"/>
    <w:rsid w:val="77B35811"/>
    <w:rsid w:val="79430114"/>
    <w:rsid w:val="79566073"/>
    <w:rsid w:val="79F521A7"/>
    <w:rsid w:val="79FD7560"/>
    <w:rsid w:val="7AA339B1"/>
    <w:rsid w:val="7AB12F63"/>
    <w:rsid w:val="7B2037E2"/>
    <w:rsid w:val="7B2E5971"/>
    <w:rsid w:val="7BA86190"/>
    <w:rsid w:val="7BF41518"/>
    <w:rsid w:val="7C345209"/>
    <w:rsid w:val="7C9F65C6"/>
    <w:rsid w:val="7CAA54CB"/>
    <w:rsid w:val="7CD56961"/>
    <w:rsid w:val="7D366D5F"/>
    <w:rsid w:val="7D8E2059"/>
    <w:rsid w:val="7E7E276B"/>
    <w:rsid w:val="7E856E8D"/>
    <w:rsid w:val="7E972D44"/>
    <w:rsid w:val="7EA03336"/>
    <w:rsid w:val="7F0C364C"/>
    <w:rsid w:val="7F8432B0"/>
    <w:rsid w:val="7FF06C4F"/>
    <w:rsid w:val="7FFFC0A0"/>
    <w:rsid w:val="D6EF5ACF"/>
    <w:rsid w:val="F7FD2457"/>
    <w:rsid w:val="FCFA5B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iPriority="72"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uto"/>
      <w:ind w:firstLine="420" w:firstLineChars="20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7"/>
    <w:autoRedefine/>
    <w:qFormat/>
    <w:uiPriority w:val="9"/>
    <w:pPr>
      <w:keepNext/>
      <w:keepLines/>
      <w:tabs>
        <w:tab w:val="left" w:pos="432"/>
      </w:tabs>
      <w:spacing w:before="340" w:after="330" w:line="576" w:lineRule="auto"/>
      <w:ind w:left="432" w:hanging="432"/>
      <w:outlineLvl w:val="0"/>
    </w:pPr>
    <w:rPr>
      <w:b/>
      <w:bCs/>
      <w:kern w:val="44"/>
      <w:sz w:val="44"/>
      <w:szCs w:val="44"/>
    </w:rPr>
  </w:style>
  <w:style w:type="paragraph" w:styleId="7">
    <w:name w:val="heading 2"/>
    <w:basedOn w:val="1"/>
    <w:next w:val="1"/>
    <w:link w:val="48"/>
    <w:autoRedefine/>
    <w:qFormat/>
    <w:uiPriority w:val="9"/>
    <w:pPr>
      <w:keepNext/>
      <w:keepLines/>
      <w:tabs>
        <w:tab w:val="left" w:pos="432"/>
      </w:tabs>
      <w:adjustRightInd/>
      <w:ind w:left="432" w:hanging="432"/>
      <w:jc w:val="left"/>
      <w:outlineLvl w:val="1"/>
    </w:pPr>
    <w:rPr>
      <w:rFonts w:ascii="仿宋_GB2312" w:hAnsi="仿宋" w:eastAsia="仿宋_GB2312"/>
      <w:b/>
      <w:bCs/>
      <w:sz w:val="32"/>
      <w:szCs w:val="32"/>
      <w:lang w:val="zh-CN"/>
    </w:rPr>
  </w:style>
  <w:style w:type="paragraph" w:styleId="8">
    <w:name w:val="heading 3"/>
    <w:basedOn w:val="1"/>
    <w:next w:val="1"/>
    <w:link w:val="49"/>
    <w:autoRedefine/>
    <w:qFormat/>
    <w:uiPriority w:val="9"/>
    <w:pPr>
      <w:keepNext/>
      <w:keepLines/>
      <w:spacing w:before="260" w:after="260" w:line="416" w:lineRule="atLeast"/>
      <w:textAlignment w:val="baseline"/>
      <w:outlineLvl w:val="2"/>
    </w:pPr>
    <w:rPr>
      <w:b/>
      <w:bCs/>
      <w:kern w:val="0"/>
      <w:sz w:val="32"/>
      <w:szCs w:val="32"/>
    </w:rPr>
  </w:style>
  <w:style w:type="paragraph" w:styleId="9">
    <w:name w:val="heading 4"/>
    <w:basedOn w:val="1"/>
    <w:next w:val="1"/>
    <w:link w:val="50"/>
    <w:autoRedefine/>
    <w:qFormat/>
    <w:uiPriority w:val="9"/>
    <w:pPr>
      <w:keepNext/>
      <w:keepLines/>
      <w:numPr>
        <w:ilvl w:val="3"/>
        <w:numId w:val="1"/>
      </w:numPr>
      <w:tabs>
        <w:tab w:val="left" w:pos="993"/>
      </w:tabs>
      <w:spacing w:before="80" w:after="40"/>
      <w:outlineLvl w:val="3"/>
    </w:pPr>
    <w:rPr>
      <w:rFonts w:ascii="宋体" w:hAnsi="宋体"/>
      <w:b/>
      <w:bCs/>
      <w:sz w:val="28"/>
    </w:rPr>
  </w:style>
  <w:style w:type="paragraph" w:styleId="10">
    <w:name w:val="heading 5"/>
    <w:basedOn w:val="1"/>
    <w:next w:val="1"/>
    <w:link w:val="51"/>
    <w:autoRedefine/>
    <w:qFormat/>
    <w:uiPriority w:val="9"/>
    <w:pPr>
      <w:keepNext/>
      <w:keepLines/>
      <w:numPr>
        <w:ilvl w:val="4"/>
        <w:numId w:val="1"/>
      </w:numPr>
      <w:tabs>
        <w:tab w:val="left" w:pos="1134"/>
      </w:tabs>
      <w:spacing w:before="80" w:after="40"/>
      <w:ind w:left="2064" w:leftChars="100" w:right="100" w:rightChars="100"/>
      <w:outlineLvl w:val="4"/>
    </w:pPr>
    <w:rPr>
      <w:b/>
      <w:bCs/>
      <w:sz w:val="24"/>
      <w:szCs w:val="28"/>
    </w:rPr>
  </w:style>
  <w:style w:type="paragraph" w:styleId="11">
    <w:name w:val="heading 6"/>
    <w:basedOn w:val="1"/>
    <w:next w:val="1"/>
    <w:link w:val="52"/>
    <w:autoRedefine/>
    <w:qFormat/>
    <w:uiPriority w:val="9"/>
    <w:pPr>
      <w:keepNext/>
      <w:keepLines/>
      <w:numPr>
        <w:ilvl w:val="5"/>
        <w:numId w:val="1"/>
      </w:numPr>
      <w:tabs>
        <w:tab w:val="left" w:pos="1418"/>
      </w:tabs>
      <w:spacing w:before="80" w:after="40"/>
      <w:outlineLvl w:val="5"/>
    </w:pPr>
    <w:rPr>
      <w:b/>
      <w:bCs/>
      <w:sz w:val="24"/>
    </w:rPr>
  </w:style>
  <w:style w:type="paragraph" w:styleId="12">
    <w:name w:val="heading 7"/>
    <w:basedOn w:val="1"/>
    <w:next w:val="1"/>
    <w:link w:val="53"/>
    <w:autoRedefine/>
    <w:qFormat/>
    <w:uiPriority w:val="9"/>
    <w:pPr>
      <w:keepNext/>
      <w:keepLines/>
      <w:numPr>
        <w:ilvl w:val="6"/>
        <w:numId w:val="1"/>
      </w:numPr>
      <w:snapToGrid w:val="0"/>
      <w:spacing w:before="240" w:after="64" w:line="320" w:lineRule="auto"/>
      <w:outlineLvl w:val="6"/>
    </w:pPr>
    <w:rPr>
      <w:b/>
      <w:bCs/>
      <w:sz w:val="24"/>
    </w:rPr>
  </w:style>
  <w:style w:type="paragraph" w:styleId="13">
    <w:name w:val="heading 8"/>
    <w:basedOn w:val="1"/>
    <w:next w:val="1"/>
    <w:link w:val="54"/>
    <w:autoRedefine/>
    <w:qFormat/>
    <w:uiPriority w:val="9"/>
    <w:pPr>
      <w:keepNext/>
      <w:keepLines/>
      <w:snapToGrid w:val="0"/>
      <w:spacing w:before="240" w:after="64" w:line="320" w:lineRule="auto"/>
      <w:ind w:left="1440" w:hanging="1440"/>
      <w:outlineLvl w:val="7"/>
    </w:pPr>
    <w:rPr>
      <w:rFonts w:ascii="Calibri Light" w:hAnsi="Calibri Light"/>
      <w:sz w:val="24"/>
    </w:rPr>
  </w:style>
  <w:style w:type="paragraph" w:styleId="14">
    <w:name w:val="heading 9"/>
    <w:basedOn w:val="1"/>
    <w:next w:val="1"/>
    <w:link w:val="55"/>
    <w:autoRedefine/>
    <w:qFormat/>
    <w:uiPriority w:val="9"/>
    <w:pPr>
      <w:keepNext/>
      <w:keepLines/>
      <w:snapToGrid w:val="0"/>
      <w:spacing w:before="240" w:after="64" w:line="320" w:lineRule="auto"/>
      <w:ind w:left="1584" w:hanging="1584"/>
      <w:outlineLvl w:val="8"/>
    </w:pPr>
    <w:rPr>
      <w:rFonts w:ascii="Calibri Light" w:hAnsi="Calibri Light"/>
      <w:szCs w:val="21"/>
    </w:rPr>
  </w:style>
  <w:style w:type="character" w:default="1" w:styleId="40">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66"/>
    <w:autoRedefine/>
    <w:qFormat/>
    <w:uiPriority w:val="0"/>
    <w:rPr>
      <w:rFonts w:ascii="Calibri" w:hAnsi="Calibri"/>
      <w:color w:val="FF0000"/>
    </w:rPr>
  </w:style>
  <w:style w:type="paragraph" w:styleId="3">
    <w:name w:val="Body Text Indent"/>
    <w:basedOn w:val="1"/>
    <w:next w:val="4"/>
    <w:link w:val="59"/>
    <w:autoRedefine/>
    <w:qFormat/>
    <w:uiPriority w:val="99"/>
    <w:pPr>
      <w:spacing w:line="480" w:lineRule="exact"/>
      <w:ind w:firstLine="480"/>
    </w:pPr>
    <w:rPr>
      <w:rFonts w:ascii="宋体" w:hAnsi="宋体"/>
      <w:sz w:val="24"/>
    </w:rPr>
  </w:style>
  <w:style w:type="paragraph" w:styleId="4">
    <w:name w:val="envelope return"/>
    <w:basedOn w:val="1"/>
    <w:autoRedefine/>
    <w:unhideWhenUsed/>
    <w:qFormat/>
    <w:uiPriority w:val="99"/>
    <w:pPr>
      <w:snapToGrid w:val="0"/>
    </w:pPr>
    <w:rPr>
      <w:rFonts w:ascii="Arial" w:hAnsi="Arial"/>
    </w:rPr>
  </w:style>
  <w:style w:type="paragraph" w:styleId="5">
    <w:name w:val="Body Text"/>
    <w:basedOn w:val="1"/>
    <w:next w:val="1"/>
    <w:link w:val="46"/>
    <w:autoRedefine/>
    <w:qFormat/>
    <w:uiPriority w:val="0"/>
    <w:pPr>
      <w:autoSpaceDE w:val="0"/>
      <w:autoSpaceDN w:val="0"/>
    </w:pPr>
    <w:rPr>
      <w:rFonts w:ascii="宋体" w:hAnsi="Arial" w:cs="Arial"/>
      <w:snapToGrid w:val="0"/>
      <w:sz w:val="24"/>
      <w:szCs w:val="21"/>
      <w:lang w:val="zh-CN"/>
    </w:rPr>
  </w:style>
  <w:style w:type="paragraph" w:styleId="15">
    <w:name w:val="toc 7"/>
    <w:basedOn w:val="1"/>
    <w:next w:val="1"/>
    <w:autoRedefine/>
    <w:unhideWhenUsed/>
    <w:qFormat/>
    <w:uiPriority w:val="39"/>
    <w:pPr>
      <w:adjustRightInd/>
      <w:ind w:left="2520" w:leftChars="1200"/>
    </w:pPr>
    <w:rPr>
      <w:rFonts w:ascii="Calibri" w:hAnsi="Calibri"/>
      <w:szCs w:val="22"/>
    </w:rPr>
  </w:style>
  <w:style w:type="paragraph" w:styleId="16">
    <w:name w:val="table of authorities"/>
    <w:basedOn w:val="1"/>
    <w:next w:val="1"/>
    <w:autoRedefine/>
    <w:unhideWhenUsed/>
    <w:qFormat/>
    <w:uiPriority w:val="99"/>
    <w:pPr>
      <w:snapToGrid w:val="0"/>
      <w:ind w:left="420" w:leftChars="200"/>
    </w:pPr>
    <w:rPr>
      <w:sz w:val="24"/>
      <w:szCs w:val="22"/>
    </w:rPr>
  </w:style>
  <w:style w:type="paragraph" w:styleId="17">
    <w:name w:val="Normal Indent"/>
    <w:basedOn w:val="1"/>
    <w:next w:val="1"/>
    <w:link w:val="56"/>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90"/>
    <w:autoRedefine/>
    <w:qFormat/>
    <w:uiPriority w:val="35"/>
    <w:pPr>
      <w:snapToGrid w:val="0"/>
      <w:ind w:firstLine="561"/>
    </w:pPr>
    <w:rPr>
      <w:rFonts w:ascii="Calibri Light" w:hAnsi="Calibri Light" w:eastAsia="黑体"/>
      <w:sz w:val="20"/>
      <w:szCs w:val="20"/>
    </w:rPr>
  </w:style>
  <w:style w:type="paragraph" w:styleId="19">
    <w:name w:val="Document Map"/>
    <w:basedOn w:val="1"/>
    <w:link w:val="57"/>
    <w:autoRedefine/>
    <w:unhideWhenUsed/>
    <w:qFormat/>
    <w:uiPriority w:val="99"/>
    <w:pPr>
      <w:adjustRightInd/>
    </w:pPr>
    <w:rPr>
      <w:rFonts w:ascii="Microsoft YaHei UI" w:eastAsia="Microsoft YaHei UI"/>
      <w:sz w:val="18"/>
      <w:szCs w:val="18"/>
    </w:rPr>
  </w:style>
  <w:style w:type="paragraph" w:styleId="20">
    <w:name w:val="annotation text"/>
    <w:basedOn w:val="1"/>
    <w:link w:val="58"/>
    <w:autoRedefine/>
    <w:qFormat/>
    <w:uiPriority w:val="0"/>
    <w:pPr>
      <w:jc w:val="left"/>
    </w:pPr>
  </w:style>
  <w:style w:type="paragraph" w:styleId="21">
    <w:name w:val="toc 5"/>
    <w:basedOn w:val="1"/>
    <w:next w:val="1"/>
    <w:autoRedefine/>
    <w:unhideWhenUsed/>
    <w:qFormat/>
    <w:uiPriority w:val="39"/>
    <w:pPr>
      <w:adjustRightInd/>
      <w:ind w:left="1680" w:leftChars="800"/>
    </w:pPr>
    <w:rPr>
      <w:rFonts w:ascii="Calibri" w:hAnsi="Calibri"/>
      <w:szCs w:val="22"/>
    </w:rPr>
  </w:style>
  <w:style w:type="paragraph" w:styleId="22">
    <w:name w:val="toc 3"/>
    <w:basedOn w:val="1"/>
    <w:next w:val="1"/>
    <w:autoRedefine/>
    <w:unhideWhenUsed/>
    <w:qFormat/>
    <w:uiPriority w:val="39"/>
    <w:pPr>
      <w:tabs>
        <w:tab w:val="left" w:pos="1680"/>
        <w:tab w:val="right" w:leader="dot" w:pos="8296"/>
      </w:tabs>
      <w:snapToGrid w:val="0"/>
      <w:ind w:firstLine="400" w:firstLineChars="400"/>
    </w:pPr>
    <w:rPr>
      <w:sz w:val="24"/>
      <w:szCs w:val="22"/>
    </w:rPr>
  </w:style>
  <w:style w:type="paragraph" w:styleId="23">
    <w:name w:val="Plain Text"/>
    <w:basedOn w:val="1"/>
    <w:link w:val="60"/>
    <w:autoRedefine/>
    <w:qFormat/>
    <w:uiPriority w:val="99"/>
    <w:rPr>
      <w:rFonts w:ascii="宋体" w:hAnsi="Courier New" w:cs="Arial"/>
      <w:snapToGrid w:val="0"/>
      <w:szCs w:val="21"/>
    </w:rPr>
  </w:style>
  <w:style w:type="paragraph" w:styleId="24">
    <w:name w:val="toc 8"/>
    <w:basedOn w:val="1"/>
    <w:next w:val="1"/>
    <w:autoRedefine/>
    <w:unhideWhenUsed/>
    <w:qFormat/>
    <w:uiPriority w:val="39"/>
    <w:pPr>
      <w:adjustRightInd/>
      <w:ind w:left="2940" w:leftChars="1400"/>
    </w:pPr>
    <w:rPr>
      <w:rFonts w:ascii="Calibri" w:hAnsi="Calibri"/>
      <w:szCs w:val="22"/>
    </w:rPr>
  </w:style>
  <w:style w:type="paragraph" w:styleId="25">
    <w:name w:val="Balloon Text"/>
    <w:basedOn w:val="1"/>
    <w:link w:val="61"/>
    <w:autoRedefine/>
    <w:qFormat/>
    <w:uiPriority w:val="0"/>
    <w:rPr>
      <w:sz w:val="18"/>
      <w:szCs w:val="18"/>
    </w:rPr>
  </w:style>
  <w:style w:type="paragraph" w:styleId="26">
    <w:name w:val="footer"/>
    <w:basedOn w:val="1"/>
    <w:link w:val="62"/>
    <w:autoRedefine/>
    <w:qFormat/>
    <w:uiPriority w:val="99"/>
    <w:pPr>
      <w:tabs>
        <w:tab w:val="center" w:pos="4153"/>
        <w:tab w:val="right" w:pos="8306"/>
      </w:tabs>
      <w:snapToGrid w:val="0"/>
      <w:jc w:val="left"/>
    </w:pPr>
    <w:rPr>
      <w:sz w:val="18"/>
      <w:szCs w:val="18"/>
    </w:rPr>
  </w:style>
  <w:style w:type="paragraph" w:styleId="27">
    <w:name w:val="header"/>
    <w:basedOn w:val="1"/>
    <w:link w:val="63"/>
    <w:autoRedefine/>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autoRedefine/>
    <w:qFormat/>
    <w:uiPriority w:val="39"/>
  </w:style>
  <w:style w:type="paragraph" w:styleId="29">
    <w:name w:val="toc 4"/>
    <w:basedOn w:val="1"/>
    <w:next w:val="1"/>
    <w:autoRedefine/>
    <w:unhideWhenUsed/>
    <w:qFormat/>
    <w:uiPriority w:val="39"/>
    <w:pPr>
      <w:adjustRightInd/>
      <w:ind w:left="1260" w:leftChars="600"/>
    </w:pPr>
    <w:rPr>
      <w:rFonts w:ascii="Calibri" w:hAnsi="Calibri"/>
      <w:szCs w:val="22"/>
    </w:rPr>
  </w:style>
  <w:style w:type="paragraph" w:styleId="30">
    <w:name w:val="toc 6"/>
    <w:basedOn w:val="1"/>
    <w:next w:val="1"/>
    <w:autoRedefine/>
    <w:unhideWhenUsed/>
    <w:qFormat/>
    <w:uiPriority w:val="39"/>
    <w:pPr>
      <w:adjustRightInd/>
      <w:ind w:left="2100" w:leftChars="1000"/>
    </w:pPr>
    <w:rPr>
      <w:rFonts w:ascii="Calibri" w:hAnsi="Calibri"/>
      <w:szCs w:val="22"/>
    </w:rPr>
  </w:style>
  <w:style w:type="paragraph" w:styleId="31">
    <w:name w:val="toc 2"/>
    <w:basedOn w:val="1"/>
    <w:next w:val="1"/>
    <w:autoRedefine/>
    <w:unhideWhenUsed/>
    <w:qFormat/>
    <w:uiPriority w:val="39"/>
    <w:pPr>
      <w:tabs>
        <w:tab w:val="left" w:pos="1680"/>
        <w:tab w:val="right" w:leader="dot" w:pos="8296"/>
      </w:tabs>
      <w:snapToGrid w:val="0"/>
      <w:ind w:firstLine="200"/>
    </w:pPr>
    <w:rPr>
      <w:rFonts w:ascii="宋体" w:hAnsi="宋体"/>
      <w:b/>
      <w:bCs/>
      <w:sz w:val="24"/>
      <w:szCs w:val="22"/>
    </w:rPr>
  </w:style>
  <w:style w:type="paragraph" w:styleId="32">
    <w:name w:val="toc 9"/>
    <w:basedOn w:val="1"/>
    <w:next w:val="1"/>
    <w:autoRedefine/>
    <w:unhideWhenUsed/>
    <w:qFormat/>
    <w:uiPriority w:val="39"/>
    <w:pPr>
      <w:adjustRightInd/>
      <w:ind w:left="3360" w:leftChars="1600"/>
    </w:pPr>
    <w:rPr>
      <w:rFonts w:ascii="Calibri" w:hAnsi="Calibri"/>
      <w:szCs w:val="22"/>
    </w:rPr>
  </w:style>
  <w:style w:type="paragraph" w:styleId="33">
    <w:name w:val="Normal (Web)"/>
    <w:basedOn w:val="1"/>
    <w:autoRedefine/>
    <w:qFormat/>
    <w:uiPriority w:val="99"/>
    <w:pPr>
      <w:snapToGrid w:val="0"/>
      <w:spacing w:beforeAutospacing="1" w:afterAutospacing="1"/>
      <w:ind w:firstLine="561"/>
      <w:jc w:val="left"/>
    </w:pPr>
    <w:rPr>
      <w:kern w:val="0"/>
      <w:sz w:val="24"/>
      <w:szCs w:val="22"/>
    </w:rPr>
  </w:style>
  <w:style w:type="paragraph" w:styleId="34">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35">
    <w:name w:val="annotation subject"/>
    <w:basedOn w:val="20"/>
    <w:next w:val="20"/>
    <w:link w:val="64"/>
    <w:autoRedefine/>
    <w:qFormat/>
    <w:uiPriority w:val="0"/>
    <w:rPr>
      <w:b/>
      <w:bCs/>
    </w:rPr>
  </w:style>
  <w:style w:type="paragraph" w:styleId="36">
    <w:name w:val="Body Text First Indent"/>
    <w:basedOn w:val="5"/>
    <w:next w:val="1"/>
    <w:link w:val="65"/>
    <w:autoRedefine/>
    <w:qFormat/>
    <w:uiPriority w:val="99"/>
    <w:pPr>
      <w:ind w:firstLine="0" w:firstLineChars="0"/>
      <w:jc w:val="left"/>
    </w:pPr>
    <w:rPr>
      <w:rFonts w:hAnsi="Calibri" w:cs="Times New Roman"/>
      <w:snapToGrid/>
      <w:color w:val="FF0000"/>
      <w:sz w:val="21"/>
    </w:rPr>
  </w:style>
  <w:style w:type="table" w:styleId="38">
    <w:name w:val="Table Grid"/>
    <w:basedOn w:val="3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Colorful List"/>
    <w:basedOn w:val="37"/>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character" w:styleId="41">
    <w:name w:val="Strong"/>
    <w:basedOn w:val="40"/>
    <w:autoRedefine/>
    <w:qFormat/>
    <w:uiPriority w:val="0"/>
    <w:rPr>
      <w:b/>
    </w:rPr>
  </w:style>
  <w:style w:type="character" w:styleId="42">
    <w:name w:val="page number"/>
    <w:autoRedefine/>
    <w:qFormat/>
    <w:uiPriority w:val="0"/>
    <w:rPr>
      <w:rFonts w:ascii="Arial" w:hAnsi="Arial" w:eastAsia="黑体" w:cs="Arial"/>
      <w:snapToGrid w:val="0"/>
      <w:kern w:val="0"/>
      <w:szCs w:val="21"/>
    </w:rPr>
  </w:style>
  <w:style w:type="character" w:styleId="43">
    <w:name w:val="FollowedHyperlink"/>
    <w:basedOn w:val="40"/>
    <w:autoRedefine/>
    <w:unhideWhenUsed/>
    <w:qFormat/>
    <w:uiPriority w:val="99"/>
    <w:rPr>
      <w:color w:val="800080"/>
      <w:u w:val="single"/>
    </w:rPr>
  </w:style>
  <w:style w:type="character" w:styleId="44">
    <w:name w:val="Hyperlink"/>
    <w:autoRedefine/>
    <w:qFormat/>
    <w:uiPriority w:val="99"/>
    <w:rPr>
      <w:rFonts w:ascii="Arial" w:hAnsi="Arial" w:eastAsia="黑体" w:cs="Arial"/>
      <w:snapToGrid w:val="0"/>
      <w:color w:val="000000"/>
      <w:kern w:val="0"/>
      <w:sz w:val="18"/>
      <w:szCs w:val="18"/>
      <w:u w:val="none"/>
    </w:rPr>
  </w:style>
  <w:style w:type="character" w:styleId="45">
    <w:name w:val="annotation reference"/>
    <w:autoRedefine/>
    <w:qFormat/>
    <w:uiPriority w:val="0"/>
    <w:rPr>
      <w:sz w:val="21"/>
      <w:szCs w:val="21"/>
    </w:rPr>
  </w:style>
  <w:style w:type="character" w:customStyle="1" w:styleId="46">
    <w:name w:val="正文文本字符"/>
    <w:basedOn w:val="40"/>
    <w:link w:val="5"/>
    <w:autoRedefine/>
    <w:qFormat/>
    <w:uiPriority w:val="0"/>
    <w:rPr>
      <w:rFonts w:ascii="宋体" w:hAnsi="Arial" w:cs="Arial"/>
      <w:snapToGrid w:val="0"/>
      <w:kern w:val="2"/>
      <w:sz w:val="24"/>
      <w:szCs w:val="21"/>
      <w:lang w:val="zh-CN"/>
    </w:rPr>
  </w:style>
  <w:style w:type="character" w:customStyle="1" w:styleId="47">
    <w:name w:val="标题 1字符"/>
    <w:link w:val="6"/>
    <w:autoRedefine/>
    <w:qFormat/>
    <w:uiPriority w:val="9"/>
    <w:rPr>
      <w:b/>
      <w:bCs/>
      <w:kern w:val="44"/>
      <w:sz w:val="44"/>
      <w:szCs w:val="44"/>
    </w:rPr>
  </w:style>
  <w:style w:type="character" w:customStyle="1" w:styleId="48">
    <w:name w:val="标题 2字符"/>
    <w:basedOn w:val="40"/>
    <w:link w:val="7"/>
    <w:autoRedefine/>
    <w:qFormat/>
    <w:uiPriority w:val="9"/>
    <w:rPr>
      <w:rFonts w:ascii="仿宋_GB2312" w:hAnsi="仿宋" w:eastAsia="仿宋_GB2312"/>
      <w:b/>
      <w:bCs/>
      <w:kern w:val="2"/>
      <w:sz w:val="32"/>
      <w:szCs w:val="32"/>
      <w:lang w:val="zh-CN"/>
    </w:rPr>
  </w:style>
  <w:style w:type="character" w:customStyle="1" w:styleId="49">
    <w:name w:val="标题 3字符"/>
    <w:basedOn w:val="40"/>
    <w:link w:val="8"/>
    <w:autoRedefine/>
    <w:qFormat/>
    <w:uiPriority w:val="9"/>
    <w:rPr>
      <w:b/>
      <w:bCs/>
      <w:sz w:val="32"/>
      <w:szCs w:val="32"/>
    </w:rPr>
  </w:style>
  <w:style w:type="character" w:customStyle="1" w:styleId="50">
    <w:name w:val="标题 4字符"/>
    <w:basedOn w:val="40"/>
    <w:link w:val="9"/>
    <w:autoRedefine/>
    <w:qFormat/>
    <w:uiPriority w:val="9"/>
    <w:rPr>
      <w:rFonts w:ascii="宋体" w:hAnsi="宋体"/>
      <w:b/>
      <w:bCs/>
      <w:sz w:val="28"/>
    </w:rPr>
  </w:style>
  <w:style w:type="character" w:customStyle="1" w:styleId="51">
    <w:name w:val="标题 5字符"/>
    <w:basedOn w:val="40"/>
    <w:link w:val="10"/>
    <w:autoRedefine/>
    <w:qFormat/>
    <w:uiPriority w:val="9"/>
    <w:rPr>
      <w:rFonts w:ascii="Times New Roman" w:hAnsi="Times New Roman"/>
      <w:b/>
      <w:bCs/>
      <w:szCs w:val="28"/>
    </w:rPr>
  </w:style>
  <w:style w:type="character" w:customStyle="1" w:styleId="52">
    <w:name w:val="标题 6字符"/>
    <w:basedOn w:val="40"/>
    <w:link w:val="11"/>
    <w:autoRedefine/>
    <w:qFormat/>
    <w:uiPriority w:val="9"/>
    <w:rPr>
      <w:rFonts w:ascii="Times New Roman" w:hAnsi="Times New Roman"/>
      <w:b/>
      <w:bCs/>
    </w:rPr>
  </w:style>
  <w:style w:type="character" w:customStyle="1" w:styleId="53">
    <w:name w:val="标题 7字符"/>
    <w:basedOn w:val="40"/>
    <w:link w:val="12"/>
    <w:autoRedefine/>
    <w:qFormat/>
    <w:uiPriority w:val="9"/>
    <w:rPr>
      <w:rFonts w:ascii="Times New Roman" w:hAnsi="Times New Roman"/>
      <w:b/>
      <w:bCs/>
    </w:rPr>
  </w:style>
  <w:style w:type="character" w:customStyle="1" w:styleId="54">
    <w:name w:val="标题 8字符"/>
    <w:basedOn w:val="40"/>
    <w:link w:val="13"/>
    <w:autoRedefine/>
    <w:qFormat/>
    <w:uiPriority w:val="9"/>
    <w:rPr>
      <w:rFonts w:ascii="Calibri Light" w:hAnsi="Calibri Light"/>
      <w:kern w:val="2"/>
      <w:sz w:val="24"/>
      <w:szCs w:val="24"/>
    </w:rPr>
  </w:style>
  <w:style w:type="character" w:customStyle="1" w:styleId="55">
    <w:name w:val="标题 9字符"/>
    <w:basedOn w:val="40"/>
    <w:link w:val="14"/>
    <w:autoRedefine/>
    <w:qFormat/>
    <w:uiPriority w:val="9"/>
    <w:rPr>
      <w:rFonts w:ascii="Calibri Light" w:hAnsi="Calibri Light"/>
      <w:kern w:val="2"/>
      <w:sz w:val="21"/>
      <w:szCs w:val="21"/>
    </w:rPr>
  </w:style>
  <w:style w:type="character" w:customStyle="1" w:styleId="56">
    <w:name w:val="正文缩进字符"/>
    <w:basedOn w:val="40"/>
    <w:link w:val="17"/>
    <w:autoRedefine/>
    <w:qFormat/>
    <w:uiPriority w:val="0"/>
    <w:rPr>
      <w:rFonts w:ascii="宋体"/>
      <w:snapToGrid w:val="0"/>
      <w:color w:val="000000"/>
      <w:kern w:val="28"/>
      <w:sz w:val="28"/>
    </w:rPr>
  </w:style>
  <w:style w:type="character" w:customStyle="1" w:styleId="57">
    <w:name w:val="文档结构图字符"/>
    <w:link w:val="19"/>
    <w:autoRedefine/>
    <w:qFormat/>
    <w:uiPriority w:val="99"/>
    <w:rPr>
      <w:rFonts w:ascii="Microsoft YaHei UI" w:eastAsia="Microsoft YaHei UI"/>
      <w:kern w:val="2"/>
      <w:sz w:val="18"/>
      <w:szCs w:val="18"/>
    </w:rPr>
  </w:style>
  <w:style w:type="character" w:customStyle="1" w:styleId="58">
    <w:name w:val="批注文字字符"/>
    <w:link w:val="20"/>
    <w:autoRedefine/>
    <w:qFormat/>
    <w:uiPriority w:val="0"/>
    <w:rPr>
      <w:kern w:val="2"/>
      <w:sz w:val="21"/>
      <w:szCs w:val="24"/>
    </w:rPr>
  </w:style>
  <w:style w:type="character" w:customStyle="1" w:styleId="59">
    <w:name w:val="正文文本缩进字符"/>
    <w:basedOn w:val="40"/>
    <w:link w:val="3"/>
    <w:autoRedefine/>
    <w:qFormat/>
    <w:uiPriority w:val="99"/>
    <w:rPr>
      <w:rFonts w:ascii="宋体" w:hAnsi="宋体"/>
      <w:kern w:val="2"/>
      <w:sz w:val="24"/>
      <w:szCs w:val="24"/>
    </w:rPr>
  </w:style>
  <w:style w:type="character" w:customStyle="1" w:styleId="60">
    <w:name w:val="纯文本字符"/>
    <w:basedOn w:val="40"/>
    <w:link w:val="23"/>
    <w:autoRedefine/>
    <w:qFormat/>
    <w:uiPriority w:val="99"/>
    <w:rPr>
      <w:rFonts w:ascii="宋体" w:hAnsi="Courier New" w:cs="Arial"/>
      <w:snapToGrid w:val="0"/>
      <w:kern w:val="2"/>
      <w:sz w:val="21"/>
      <w:szCs w:val="21"/>
    </w:rPr>
  </w:style>
  <w:style w:type="character" w:customStyle="1" w:styleId="61">
    <w:name w:val="批注框文本字符"/>
    <w:link w:val="25"/>
    <w:autoRedefine/>
    <w:qFormat/>
    <w:uiPriority w:val="0"/>
    <w:rPr>
      <w:kern w:val="2"/>
      <w:sz w:val="18"/>
      <w:szCs w:val="18"/>
    </w:rPr>
  </w:style>
  <w:style w:type="character" w:customStyle="1" w:styleId="62">
    <w:name w:val="页脚字符"/>
    <w:basedOn w:val="40"/>
    <w:link w:val="26"/>
    <w:autoRedefine/>
    <w:qFormat/>
    <w:uiPriority w:val="99"/>
    <w:rPr>
      <w:kern w:val="2"/>
      <w:sz w:val="18"/>
      <w:szCs w:val="18"/>
    </w:rPr>
  </w:style>
  <w:style w:type="character" w:customStyle="1" w:styleId="63">
    <w:name w:val="页眉字符"/>
    <w:basedOn w:val="40"/>
    <w:link w:val="27"/>
    <w:autoRedefine/>
    <w:qFormat/>
    <w:uiPriority w:val="99"/>
    <w:rPr>
      <w:kern w:val="2"/>
      <w:sz w:val="18"/>
      <w:szCs w:val="18"/>
    </w:rPr>
  </w:style>
  <w:style w:type="character" w:customStyle="1" w:styleId="64">
    <w:name w:val="批注主题字符"/>
    <w:link w:val="35"/>
    <w:autoRedefine/>
    <w:qFormat/>
    <w:uiPriority w:val="0"/>
  </w:style>
  <w:style w:type="character" w:customStyle="1" w:styleId="65">
    <w:name w:val="正文首行缩进字符"/>
    <w:basedOn w:val="46"/>
    <w:link w:val="36"/>
    <w:autoRedefine/>
    <w:qFormat/>
    <w:uiPriority w:val="99"/>
    <w:rPr>
      <w:rFonts w:ascii="宋体" w:hAnsi="Calibri" w:cs="Arial"/>
      <w:snapToGrid/>
      <w:color w:val="FF0000"/>
      <w:kern w:val="2"/>
      <w:sz w:val="21"/>
      <w:szCs w:val="21"/>
      <w:lang w:val="zh-CN"/>
    </w:rPr>
  </w:style>
  <w:style w:type="character" w:customStyle="1" w:styleId="66">
    <w:name w:val="正文首行缩进 2字符"/>
    <w:basedOn w:val="59"/>
    <w:link w:val="2"/>
    <w:autoRedefine/>
    <w:qFormat/>
    <w:uiPriority w:val="0"/>
    <w:rPr>
      <w:rFonts w:ascii="Calibri" w:hAnsi="Calibri"/>
      <w:color w:val="FF0000"/>
      <w:kern w:val="2"/>
      <w:sz w:val="24"/>
      <w:szCs w:val="24"/>
    </w:rPr>
  </w:style>
  <w:style w:type="paragraph" w:customStyle="1" w:styleId="67">
    <w:name w:val="样式3"/>
    <w:basedOn w:val="23"/>
    <w:next w:val="1"/>
    <w:autoRedefine/>
    <w:qFormat/>
    <w:uiPriority w:val="99"/>
    <w:pPr>
      <w:spacing w:line="0" w:lineRule="atLeast"/>
      <w:outlineLvl w:val="0"/>
    </w:pPr>
    <w:rPr>
      <w:sz w:val="28"/>
    </w:rPr>
  </w:style>
  <w:style w:type="paragraph" w:customStyle="1" w:styleId="68">
    <w:name w:val="正文1"/>
    <w:basedOn w:val="1"/>
    <w:autoRedefine/>
    <w:qFormat/>
    <w:uiPriority w:val="0"/>
    <w:pPr>
      <w:spacing w:line="318" w:lineRule="atLeast"/>
      <w:ind w:left="369" w:firstLine="369"/>
      <w:textAlignment w:val="baseline"/>
    </w:pPr>
    <w:rPr>
      <w:rFonts w:ascii="宋体"/>
      <w:szCs w:val="20"/>
    </w:rPr>
  </w:style>
  <w:style w:type="paragraph" w:customStyle="1" w:styleId="69">
    <w:name w:val="表格用"/>
    <w:basedOn w:val="1"/>
    <w:autoRedefine/>
    <w:qFormat/>
    <w:uiPriority w:val="0"/>
  </w:style>
  <w:style w:type="paragraph" w:customStyle="1" w:styleId="7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2"/>
      <w:sz w:val="24"/>
      <w:szCs w:val="24"/>
      <w:lang w:val="en-US" w:eastAsia="zh-CN" w:bidi="ar-SA"/>
    </w:rPr>
  </w:style>
  <w:style w:type="paragraph" w:customStyle="1" w:styleId="7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
    <w:name w:val="彩色列表1"/>
    <w:basedOn w:val="1"/>
    <w:autoRedefine/>
    <w:qFormat/>
    <w:uiPriority w:val="34"/>
    <w:pPr>
      <w:ind w:firstLine="200"/>
    </w:pPr>
    <w:rPr>
      <w:rFonts w:eastAsia="楷体_GB2312" w:cs="Lucida Sans"/>
      <w:sz w:val="24"/>
    </w:rPr>
  </w:style>
  <w:style w:type="paragraph" w:customStyle="1" w:styleId="73">
    <w:name w:val="正文缩进1"/>
    <w:basedOn w:val="1"/>
    <w:next w:val="3"/>
    <w:autoRedefine/>
    <w:qFormat/>
    <w:uiPriority w:val="0"/>
    <w:pPr>
      <w:autoSpaceDE w:val="0"/>
      <w:autoSpaceDN w:val="0"/>
      <w:snapToGrid w:val="0"/>
      <w:spacing w:after="120"/>
      <w:ind w:left="420" w:leftChars="200" w:firstLine="480"/>
    </w:pPr>
    <w:rPr>
      <w:sz w:val="24"/>
      <w:szCs w:val="21"/>
    </w:rPr>
  </w:style>
  <w:style w:type="paragraph" w:customStyle="1" w:styleId="74">
    <w:name w:val="纯文本1"/>
    <w:basedOn w:val="1"/>
    <w:autoRedefine/>
    <w:qFormat/>
    <w:uiPriority w:val="0"/>
    <w:pPr>
      <w:adjustRightInd/>
    </w:pPr>
    <w:rPr>
      <w:rFonts w:ascii="宋体" w:hAnsi="Courier New"/>
      <w:kern w:val="0"/>
      <w:sz w:val="20"/>
      <w:szCs w:val="20"/>
    </w:rPr>
  </w:style>
  <w:style w:type="paragraph" w:customStyle="1" w:styleId="75">
    <w:name w:val="正文2"/>
    <w:basedOn w:val="1"/>
    <w:autoRedefine/>
    <w:qFormat/>
    <w:uiPriority w:val="0"/>
    <w:pPr>
      <w:spacing w:before="156"/>
      <w:ind w:firstLine="510"/>
    </w:pPr>
    <w:rPr>
      <w:sz w:val="24"/>
      <w:szCs w:val="20"/>
    </w:rPr>
  </w:style>
  <w:style w:type="paragraph" w:customStyle="1" w:styleId="76">
    <w:name w:val="text-ta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
    <w:name w:val="部分1"/>
    <w:basedOn w:val="1"/>
    <w:autoRedefine/>
    <w:qFormat/>
    <w:uiPriority w:val="0"/>
    <w:pPr>
      <w:keepNext/>
      <w:pageBreakBefore/>
      <w:tabs>
        <w:tab w:val="left" w:pos="720"/>
      </w:tabs>
      <w:jc w:val="center"/>
      <w:outlineLvl w:val="0"/>
    </w:pPr>
    <w:rPr>
      <w:rFonts w:eastAsia="黑体"/>
      <w:b/>
      <w:kern w:val="44"/>
      <w:sz w:val="36"/>
      <w:szCs w:val="20"/>
    </w:rPr>
  </w:style>
  <w:style w:type="paragraph" w:customStyle="1" w:styleId="78">
    <w:name w:val="纯文本_0_0"/>
    <w:basedOn w:val="79"/>
    <w:autoRedefine/>
    <w:qFormat/>
    <w:uiPriority w:val="0"/>
    <w:rPr>
      <w:rFonts w:ascii="宋体" w:hAnsi="Courier New"/>
      <w:szCs w:val="21"/>
    </w:rPr>
  </w:style>
  <w:style w:type="paragraph" w:customStyle="1" w:styleId="7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索引 11"/>
    <w:basedOn w:val="1"/>
    <w:next w:val="1"/>
    <w:autoRedefine/>
    <w:qFormat/>
    <w:uiPriority w:val="0"/>
    <w:pPr>
      <w:adjustRightInd/>
    </w:pPr>
    <w:rPr>
      <w:rFonts w:ascii="仿宋_GB2312" w:eastAsia="仿宋_GB2312"/>
      <w:sz w:val="24"/>
      <w:szCs w:val="20"/>
    </w:rPr>
  </w:style>
  <w:style w:type="paragraph" w:customStyle="1" w:styleId="81">
    <w:name w:val="WPSOffice手动目录 1"/>
    <w:autoRedefine/>
    <w:qFormat/>
    <w:uiPriority w:val="0"/>
    <w:rPr>
      <w:rFonts w:ascii="Times New Roman" w:hAnsi="Times New Roman" w:eastAsia="宋体" w:cs="Times New Roman"/>
      <w:kern w:val="2"/>
      <w:sz w:val="24"/>
      <w:szCs w:val="24"/>
      <w:lang w:val="en-US" w:eastAsia="zh-CN" w:bidi="ar-SA"/>
    </w:rPr>
  </w:style>
  <w:style w:type="paragraph" w:customStyle="1" w:styleId="82">
    <w:name w:val="正文 样式"/>
    <w:basedOn w:val="1"/>
    <w:autoRedefine/>
    <w:qFormat/>
    <w:uiPriority w:val="0"/>
    <w:pPr>
      <w:spacing w:line="500" w:lineRule="exact"/>
      <w:ind w:firstLine="480"/>
    </w:pPr>
    <w:rPr>
      <w:sz w:val="24"/>
    </w:rPr>
  </w:style>
  <w:style w:type="paragraph" w:customStyle="1" w:styleId="83">
    <w:name w:val="_Style 145"/>
    <w:basedOn w:val="1"/>
    <w:next w:val="72"/>
    <w:autoRedefine/>
    <w:qFormat/>
    <w:uiPriority w:val="34"/>
    <w:rPr>
      <w:rFonts w:ascii="Calibri" w:hAnsi="Calibri"/>
      <w:szCs w:val="22"/>
    </w:rPr>
  </w:style>
  <w:style w:type="paragraph" w:customStyle="1" w:styleId="84">
    <w:name w:val="_Style 5"/>
    <w:basedOn w:val="1"/>
    <w:autoRedefine/>
    <w:qFormat/>
    <w:uiPriority w:val="34"/>
    <w:rPr>
      <w:szCs w:val="20"/>
    </w:rPr>
  </w:style>
  <w:style w:type="paragraph" w:customStyle="1" w:styleId="85">
    <w:name w:val="[正文]"/>
    <w:basedOn w:val="1"/>
    <w:autoRedefine/>
    <w:qFormat/>
    <w:uiPriority w:val="0"/>
    <w:pPr>
      <w:ind w:firstLine="480"/>
    </w:pPr>
    <w:rPr>
      <w:rFonts w:cs="宋体"/>
      <w:sz w:val="24"/>
    </w:rPr>
  </w:style>
  <w:style w:type="paragraph" w:customStyle="1" w:styleId="86">
    <w:name w:val="d正文"/>
    <w:basedOn w:val="1"/>
    <w:autoRedefine/>
    <w:qFormat/>
    <w:uiPriority w:val="0"/>
    <w:pPr>
      <w:ind w:firstLine="480"/>
    </w:pPr>
    <w:rPr>
      <w:rFonts w:ascii="仿宋_GB2312" w:hAnsi="仿宋_GB2312"/>
      <w:bCs/>
      <w:snapToGrid w:val="0"/>
      <w:sz w:val="24"/>
    </w:rPr>
  </w:style>
  <w:style w:type="paragraph" w:customStyle="1" w:styleId="87">
    <w:name w:val="图片格式及标题"/>
    <w:basedOn w:val="1"/>
    <w:autoRedefine/>
    <w:qFormat/>
    <w:uiPriority w:val="0"/>
    <w:pPr>
      <w:ind w:left="-210" w:leftChars="-100"/>
      <w:jc w:val="center"/>
    </w:pPr>
    <w:rPr>
      <w:rFonts w:ascii="宋体" w:hAnsi="宋体"/>
      <w:b/>
    </w:rPr>
  </w:style>
  <w:style w:type="paragraph" w:customStyle="1" w:styleId="88">
    <w:name w:val="彩色底纹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89">
    <w:name w:val="！正文（四号字）"/>
    <w:autoRedefine/>
    <w:qFormat/>
    <w:uiPriority w:val="0"/>
    <w:pPr>
      <w:snapToGrid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character" w:customStyle="1" w:styleId="90">
    <w:name w:val="题注字符"/>
    <w:link w:val="18"/>
    <w:autoRedefine/>
    <w:qFormat/>
    <w:uiPriority w:val="35"/>
    <w:rPr>
      <w:rFonts w:ascii="Calibri Light" w:hAnsi="Calibri Light" w:eastAsia="黑体"/>
      <w:kern w:val="2"/>
    </w:rPr>
  </w:style>
  <w:style w:type="paragraph" w:customStyle="1" w:styleId="91">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napToGrid w:val="0"/>
      <w:spacing w:before="100" w:beforeAutospacing="1" w:after="100" w:afterAutospacing="1" w:line="100" w:lineRule="exact"/>
      <w:ind w:firstLine="561"/>
      <w:jc w:val="center"/>
    </w:pPr>
    <w:rPr>
      <w:rFonts w:ascii="宋体" w:hAnsi="宋体"/>
      <w:b/>
      <w:bCs/>
      <w:kern w:val="0"/>
      <w:sz w:val="20"/>
      <w:szCs w:val="20"/>
    </w:rPr>
  </w:style>
  <w:style w:type="paragraph" w:customStyle="1" w:styleId="92">
    <w:name w:val="Default"/>
    <w:autoRedefine/>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93">
    <w:name w:val="主标题"/>
    <w:basedOn w:val="1"/>
    <w:autoRedefine/>
    <w:qFormat/>
    <w:uiPriority w:val="0"/>
    <w:pPr>
      <w:snapToGrid w:val="0"/>
      <w:ind w:firstLine="561"/>
      <w:jc w:val="center"/>
    </w:pPr>
    <w:rPr>
      <w:rFonts w:eastAsia="黑体"/>
      <w:b/>
      <w:bCs/>
      <w:sz w:val="52"/>
      <w:szCs w:val="52"/>
    </w:rPr>
  </w:style>
  <w:style w:type="paragraph" w:customStyle="1" w:styleId="94">
    <w:name w:val="TOC 标题1"/>
    <w:basedOn w:val="6"/>
    <w:next w:val="1"/>
    <w:autoRedefine/>
    <w:unhideWhenUsed/>
    <w:qFormat/>
    <w:uiPriority w:val="39"/>
    <w:pPr>
      <w:widowControl/>
      <w:tabs>
        <w:tab w:val="clear" w:pos="432"/>
      </w:tabs>
      <w:adjustRightInd/>
      <w:spacing w:before="240" w:after="0" w:line="259" w:lineRule="auto"/>
      <w:ind w:left="0" w:firstLine="0"/>
      <w:jc w:val="left"/>
      <w:outlineLvl w:val="9"/>
    </w:pPr>
    <w:rPr>
      <w:rFonts w:ascii="Calibri Light" w:hAnsi="Calibri Light"/>
      <w:b w:val="0"/>
      <w:bCs w:val="0"/>
      <w:color w:val="2E75B5"/>
      <w:kern w:val="0"/>
      <w:sz w:val="32"/>
      <w:szCs w:val="32"/>
    </w:rPr>
  </w:style>
  <w:style w:type="paragraph" w:customStyle="1" w:styleId="95">
    <w:name w:val="序号"/>
    <w:basedOn w:val="1"/>
    <w:autoRedefine/>
    <w:qFormat/>
    <w:uiPriority w:val="0"/>
    <w:pPr>
      <w:numPr>
        <w:ilvl w:val="0"/>
        <w:numId w:val="2"/>
      </w:numPr>
      <w:snapToGrid w:val="0"/>
    </w:pPr>
    <w:rPr>
      <w:sz w:val="24"/>
      <w:szCs w:val="22"/>
    </w:rPr>
  </w:style>
  <w:style w:type="paragraph" w:customStyle="1" w:styleId="96">
    <w:name w:val="图表标题及图"/>
    <w:basedOn w:val="18"/>
    <w:autoRedefine/>
    <w:qFormat/>
    <w:uiPriority w:val="0"/>
    <w:pPr>
      <w:spacing w:beforeLines="50"/>
      <w:ind w:firstLine="0"/>
      <w:jc w:val="center"/>
    </w:pPr>
    <w:rPr>
      <w:rFonts w:ascii="宋体" w:hAnsi="宋体" w:eastAsia="宋体"/>
      <w:b/>
      <w:bCs/>
      <w:szCs w:val="21"/>
    </w:rPr>
  </w:style>
  <w:style w:type="paragraph" w:customStyle="1" w:styleId="97">
    <w:name w:val="图表"/>
    <w:basedOn w:val="1"/>
    <w:next w:val="1"/>
    <w:autoRedefine/>
    <w:qFormat/>
    <w:uiPriority w:val="0"/>
    <w:pPr>
      <w:snapToGrid w:val="0"/>
      <w:jc w:val="center"/>
    </w:pPr>
    <w:rPr>
      <w:rFonts w:ascii="宋体" w:hAnsi="宋体"/>
      <w:szCs w:val="21"/>
    </w:rPr>
  </w:style>
  <w:style w:type="paragraph" w:customStyle="1" w:styleId="98">
    <w:name w:val="缩进_正文"/>
    <w:basedOn w:val="1"/>
    <w:link w:val="99"/>
    <w:autoRedefine/>
    <w:qFormat/>
    <w:uiPriority w:val="0"/>
    <w:pPr>
      <w:adjustRightInd/>
      <w:ind w:firstLine="560"/>
    </w:pPr>
    <w:rPr>
      <w:rFonts w:eastAsia="仿宋"/>
      <w:sz w:val="28"/>
      <w:szCs w:val="22"/>
    </w:rPr>
  </w:style>
  <w:style w:type="character" w:customStyle="1" w:styleId="99">
    <w:name w:val="缩进_正文 Char"/>
    <w:basedOn w:val="40"/>
    <w:link w:val="98"/>
    <w:autoRedefine/>
    <w:qFormat/>
    <w:uiPriority w:val="0"/>
    <w:rPr>
      <w:rFonts w:eastAsia="仿宋"/>
      <w:kern w:val="2"/>
      <w:sz w:val="28"/>
      <w:szCs w:val="22"/>
    </w:rPr>
  </w:style>
  <w:style w:type="paragraph" w:customStyle="1" w:styleId="100">
    <w:name w:val="符号"/>
    <w:basedOn w:val="1"/>
    <w:autoRedefine/>
    <w:qFormat/>
    <w:uiPriority w:val="0"/>
    <w:pPr>
      <w:numPr>
        <w:ilvl w:val="0"/>
        <w:numId w:val="3"/>
      </w:numPr>
      <w:snapToGrid w:val="0"/>
      <w:ind w:firstLine="0"/>
    </w:pPr>
    <w:rPr>
      <w:sz w:val="24"/>
      <w:szCs w:val="22"/>
    </w:rPr>
  </w:style>
  <w:style w:type="paragraph" w:customStyle="1" w:styleId="101">
    <w:name w:val="右侧"/>
    <w:basedOn w:val="96"/>
    <w:autoRedefine/>
    <w:qFormat/>
    <w:uiPriority w:val="0"/>
    <w:pPr>
      <w:spacing w:before="190"/>
      <w:jc w:val="right"/>
    </w:pPr>
    <w:rPr>
      <w:b w:val="0"/>
      <w:bCs w:val="0"/>
    </w:rPr>
  </w:style>
  <w:style w:type="paragraph" w:customStyle="1" w:styleId="102">
    <w:name w:val="项目页眉"/>
    <w:basedOn w:val="27"/>
    <w:autoRedefine/>
    <w:qFormat/>
    <w:uiPriority w:val="0"/>
    <w:pPr>
      <w:jc w:val="left"/>
    </w:pPr>
  </w:style>
  <w:style w:type="paragraph" w:customStyle="1" w:styleId="103">
    <w:name w:val="项目页码"/>
    <w:basedOn w:val="104"/>
    <w:autoRedefine/>
    <w:qFormat/>
    <w:uiPriority w:val="0"/>
    <w:rPr>
      <w:szCs w:val="21"/>
    </w:rPr>
  </w:style>
  <w:style w:type="paragraph" w:customStyle="1" w:styleId="104">
    <w:name w:val="封面日期"/>
    <w:basedOn w:val="1"/>
    <w:autoRedefine/>
    <w:qFormat/>
    <w:uiPriority w:val="0"/>
    <w:pPr>
      <w:snapToGrid w:val="0"/>
      <w:spacing w:line="276" w:lineRule="auto"/>
      <w:ind w:firstLine="561"/>
      <w:jc w:val="center"/>
    </w:pPr>
    <w:rPr>
      <w:rFonts w:eastAsia="黑体"/>
      <w:sz w:val="32"/>
      <w:szCs w:val="28"/>
    </w:rPr>
  </w:style>
  <w:style w:type="character" w:customStyle="1" w:styleId="105">
    <w:name w:val="未处理的提及1"/>
    <w:basedOn w:val="40"/>
    <w:autoRedefine/>
    <w:unhideWhenUsed/>
    <w:qFormat/>
    <w:uiPriority w:val="99"/>
    <w:rPr>
      <w:color w:val="605E5C"/>
      <w:shd w:val="clear" w:color="auto" w:fill="E1DFDD"/>
    </w:rPr>
  </w:style>
  <w:style w:type="paragraph" w:customStyle="1" w:styleId="106">
    <w:name w:val="我的正文1"/>
    <w:basedOn w:val="1"/>
    <w:link w:val="107"/>
    <w:autoRedefine/>
    <w:qFormat/>
    <w:uiPriority w:val="0"/>
    <w:pPr>
      <w:widowControl/>
      <w:adjustRightInd/>
      <w:ind w:firstLine="560"/>
    </w:pPr>
    <w:rPr>
      <w:rFonts w:eastAsia="仿宋"/>
      <w:sz w:val="28"/>
      <w:szCs w:val="22"/>
    </w:rPr>
  </w:style>
  <w:style w:type="character" w:customStyle="1" w:styleId="107">
    <w:name w:val="我的正文1 字符"/>
    <w:basedOn w:val="40"/>
    <w:link w:val="106"/>
    <w:autoRedefine/>
    <w:qFormat/>
    <w:uiPriority w:val="0"/>
    <w:rPr>
      <w:rFonts w:eastAsia="仿宋"/>
      <w:kern w:val="2"/>
      <w:sz w:val="28"/>
      <w:szCs w:val="22"/>
    </w:rPr>
  </w:style>
  <w:style w:type="paragraph" w:customStyle="1" w:styleId="108">
    <w:name w:val="缩进"/>
    <w:basedOn w:val="1"/>
    <w:autoRedefine/>
    <w:qFormat/>
    <w:uiPriority w:val="0"/>
    <w:pPr>
      <w:adjustRightInd/>
      <w:ind w:firstLine="640"/>
    </w:pPr>
    <w:rPr>
      <w:rFonts w:ascii="仿宋" w:hAnsi="仿宋" w:eastAsia="仿宋"/>
      <w:sz w:val="32"/>
      <w:szCs w:val="36"/>
    </w:rPr>
  </w:style>
  <w:style w:type="paragraph" w:customStyle="1" w:styleId="109">
    <w:name w:val="正文样式"/>
    <w:basedOn w:val="1"/>
    <w:autoRedefine/>
    <w:qFormat/>
    <w:uiPriority w:val="6"/>
    <w:pPr>
      <w:snapToGrid w:val="0"/>
      <w:spacing w:line="540" w:lineRule="exact"/>
      <w:ind w:firstLine="200"/>
    </w:pPr>
    <w:rPr>
      <w:color w:val="000000"/>
      <w:sz w:val="24"/>
      <w:szCs w:val="22"/>
    </w:rPr>
  </w:style>
  <w:style w:type="paragraph" w:customStyle="1" w:styleId="110">
    <w:name w:val="扬州图名"/>
    <w:basedOn w:val="1"/>
    <w:autoRedefine/>
    <w:qFormat/>
    <w:uiPriority w:val="0"/>
    <w:pPr>
      <w:snapToGrid w:val="0"/>
      <w:spacing w:before="120" w:after="240"/>
      <w:ind w:firstLine="200"/>
      <w:jc w:val="center"/>
    </w:pPr>
    <w:rPr>
      <w:szCs w:val="21"/>
    </w:rPr>
  </w:style>
  <w:style w:type="paragraph" w:customStyle="1" w:styleId="111">
    <w:name w:val="正文``"/>
    <w:basedOn w:val="17"/>
    <w:link w:val="112"/>
    <w:autoRedefine/>
    <w:qFormat/>
    <w:uiPriority w:val="0"/>
    <w:pPr>
      <w:spacing w:line="360" w:lineRule="auto"/>
      <w:ind w:firstLine="480"/>
    </w:pPr>
    <w:rPr>
      <w:rFonts w:ascii="Times New Roman"/>
      <w:snapToGrid/>
      <w:color w:val="auto"/>
      <w:kern w:val="2"/>
      <w:sz w:val="24"/>
      <w:szCs w:val="22"/>
    </w:rPr>
  </w:style>
  <w:style w:type="character" w:customStyle="1" w:styleId="112">
    <w:name w:val="正文`` Char"/>
    <w:basedOn w:val="113"/>
    <w:link w:val="111"/>
    <w:autoRedefine/>
    <w:qFormat/>
    <w:uiPriority w:val="0"/>
    <w:rPr>
      <w:kern w:val="2"/>
      <w:sz w:val="24"/>
      <w:szCs w:val="22"/>
    </w:rPr>
  </w:style>
  <w:style w:type="character" w:customStyle="1" w:styleId="113">
    <w:name w:val="正文缩进 字符"/>
    <w:basedOn w:val="40"/>
    <w:autoRedefine/>
    <w:qFormat/>
    <w:uiPriority w:val="0"/>
  </w:style>
  <w:style w:type="paragraph" w:customStyle="1" w:styleId="114">
    <w:name w:val="论文正文"/>
    <w:link w:val="115"/>
    <w:autoRedefine/>
    <w:qFormat/>
    <w:uiPriority w:val="0"/>
    <w:pPr>
      <w:spacing w:line="400" w:lineRule="exact"/>
      <w:ind w:firstLine="200" w:firstLineChars="200"/>
      <w:jc w:val="both"/>
    </w:pPr>
    <w:rPr>
      <w:rFonts w:eastAsia="宋体" w:cs="Times New Roman" w:asciiTheme="minorHAnsi" w:hAnsiTheme="minorHAnsi"/>
      <w:kern w:val="2"/>
      <w:sz w:val="24"/>
      <w:szCs w:val="24"/>
      <w:lang w:val="en-US" w:eastAsia="zh-CN" w:bidi="ar-SA"/>
    </w:rPr>
  </w:style>
  <w:style w:type="character" w:customStyle="1" w:styleId="115">
    <w:name w:val="论文正文 Char"/>
    <w:basedOn w:val="40"/>
    <w:link w:val="114"/>
    <w:autoRedefine/>
    <w:qFormat/>
    <w:uiPriority w:val="0"/>
    <w:rPr>
      <w:kern w:val="2"/>
      <w:sz w:val="24"/>
      <w:szCs w:val="24"/>
    </w:rPr>
  </w:style>
  <w:style w:type="character" w:customStyle="1" w:styleId="116">
    <w:name w:val="font51"/>
    <w:basedOn w:val="40"/>
    <w:autoRedefine/>
    <w:qFormat/>
    <w:uiPriority w:val="0"/>
    <w:rPr>
      <w:rFonts w:hint="eastAsia" w:ascii="宋体" w:hAnsi="宋体" w:eastAsia="宋体" w:cs="宋体"/>
      <w:color w:val="000000"/>
      <w:sz w:val="22"/>
      <w:szCs w:val="22"/>
      <w:u w:val="none"/>
    </w:rPr>
  </w:style>
  <w:style w:type="character" w:customStyle="1" w:styleId="117">
    <w:name w:val="font31"/>
    <w:basedOn w:val="40"/>
    <w:autoRedefine/>
    <w:qFormat/>
    <w:uiPriority w:val="0"/>
    <w:rPr>
      <w:rFonts w:hint="default" w:ascii="Times New Roman" w:hAnsi="Times New Roman" w:cs="Times New Roman"/>
      <w:b/>
      <w:bCs/>
      <w:color w:val="000000"/>
      <w:sz w:val="21"/>
      <w:szCs w:val="21"/>
      <w:u w:val="none"/>
    </w:rPr>
  </w:style>
  <w:style w:type="character" w:customStyle="1" w:styleId="118">
    <w:name w:val="font21"/>
    <w:basedOn w:val="40"/>
    <w:autoRedefine/>
    <w:qFormat/>
    <w:uiPriority w:val="0"/>
    <w:rPr>
      <w:rFonts w:hint="eastAsia" w:ascii="宋体" w:hAnsi="宋体" w:eastAsia="宋体" w:cs="宋体"/>
      <w:b/>
      <w:bCs/>
      <w:color w:val="000000"/>
      <w:sz w:val="21"/>
      <w:szCs w:val="21"/>
      <w:u w:val="none"/>
    </w:rPr>
  </w:style>
  <w:style w:type="character" w:customStyle="1" w:styleId="119">
    <w:name w:val="样式1 Char"/>
    <w:basedOn w:val="40"/>
    <w:link w:val="120"/>
    <w:autoRedefine/>
    <w:qFormat/>
    <w:uiPriority w:val="0"/>
  </w:style>
  <w:style w:type="paragraph" w:customStyle="1" w:styleId="120">
    <w:name w:val="样式1"/>
    <w:basedOn w:val="1"/>
    <w:link w:val="119"/>
    <w:autoRedefine/>
    <w:qFormat/>
    <w:uiPriority w:val="0"/>
    <w:pPr>
      <w:snapToGrid w:val="0"/>
      <w:ind w:firstLine="480"/>
    </w:pPr>
    <w:rPr>
      <w:kern w:val="0"/>
      <w:sz w:val="20"/>
      <w:szCs w:val="20"/>
    </w:rPr>
  </w:style>
  <w:style w:type="character" w:customStyle="1" w:styleId="121">
    <w:name w:val="font11"/>
    <w:basedOn w:val="40"/>
    <w:autoRedefine/>
    <w:qFormat/>
    <w:uiPriority w:val="0"/>
    <w:rPr>
      <w:rFonts w:hint="default" w:ascii="Times New Roman" w:hAnsi="Times New Roman" w:cs="Times New Roman"/>
      <w:b/>
      <w:bCs/>
      <w:color w:val="000000"/>
      <w:sz w:val="21"/>
      <w:szCs w:val="21"/>
      <w:u w:val="none"/>
    </w:rPr>
  </w:style>
  <w:style w:type="paragraph" w:customStyle="1" w:styleId="122">
    <w:name w:val="图标"/>
    <w:basedOn w:val="23"/>
    <w:autoRedefine/>
    <w:qFormat/>
    <w:uiPriority w:val="0"/>
    <w:pPr>
      <w:adjustRightInd/>
      <w:jc w:val="center"/>
    </w:pPr>
    <w:rPr>
      <w:rFonts w:hAnsi="宋体" w:cs="Times New Roman"/>
      <w:b/>
      <w:snapToGrid/>
      <w:kern w:val="0"/>
      <w:sz w:val="28"/>
      <w:szCs w:val="20"/>
      <w:lang w:val="zh-CN"/>
    </w:rPr>
  </w:style>
  <w:style w:type="paragraph" w:customStyle="1" w:styleId="123">
    <w:name w:val="bg_zw"/>
    <w:basedOn w:val="23"/>
    <w:autoRedefine/>
    <w:qFormat/>
    <w:uiPriority w:val="0"/>
    <w:pPr>
      <w:adjustRightInd/>
      <w:ind w:firstLine="200"/>
    </w:pPr>
    <w:rPr>
      <w:rFonts w:hAnsi="宋体" w:cs="Times New Roman"/>
      <w:snapToGrid/>
      <w:kern w:val="0"/>
      <w:sz w:val="28"/>
      <w:szCs w:val="20"/>
      <w:lang w:val="zh-CN"/>
    </w:rPr>
  </w:style>
  <w:style w:type="paragraph" w:customStyle="1" w:styleId="124">
    <w:name w:val="图名"/>
    <w:basedOn w:val="1"/>
    <w:next w:val="1"/>
    <w:autoRedefine/>
    <w:qFormat/>
    <w:uiPriority w:val="0"/>
    <w:pPr>
      <w:snapToGrid w:val="0"/>
      <w:spacing w:line="540" w:lineRule="exact"/>
      <w:jc w:val="center"/>
    </w:pPr>
    <w:rPr>
      <w:rFonts w:eastAsia="黑体"/>
      <w:color w:val="000000"/>
      <w:sz w:val="24"/>
      <w:szCs w:val="22"/>
    </w:rPr>
  </w:style>
  <w:style w:type="paragraph" w:customStyle="1" w:styleId="125">
    <w:name w:val="表名"/>
    <w:basedOn w:val="1"/>
    <w:next w:val="1"/>
    <w:autoRedefine/>
    <w:qFormat/>
    <w:uiPriority w:val="7"/>
    <w:pPr>
      <w:keepNext/>
      <w:snapToGrid w:val="0"/>
      <w:spacing w:line="540" w:lineRule="exact"/>
      <w:jc w:val="center"/>
    </w:pPr>
    <w:rPr>
      <w:rFonts w:eastAsia="黑体"/>
      <w:color w:val="000000"/>
      <w:sz w:val="24"/>
      <w:szCs w:val="22"/>
    </w:rPr>
  </w:style>
  <w:style w:type="paragraph" w:customStyle="1" w:styleId="126">
    <w:name w:val="第一章"/>
    <w:basedOn w:val="1"/>
    <w:autoRedefine/>
    <w:qFormat/>
    <w:uiPriority w:val="0"/>
    <w:pPr>
      <w:snapToGrid w:val="0"/>
    </w:pPr>
    <w:rPr>
      <w:sz w:val="24"/>
      <w:szCs w:val="22"/>
    </w:rPr>
  </w:style>
  <w:style w:type="paragraph" w:customStyle="1" w:styleId="127">
    <w:name w:val="1.1"/>
    <w:basedOn w:val="1"/>
    <w:autoRedefine/>
    <w:qFormat/>
    <w:uiPriority w:val="0"/>
    <w:pPr>
      <w:snapToGrid w:val="0"/>
    </w:pPr>
    <w:rPr>
      <w:sz w:val="24"/>
      <w:szCs w:val="22"/>
    </w:rPr>
  </w:style>
  <w:style w:type="paragraph" w:customStyle="1" w:styleId="128">
    <w:name w:val="1.1.1"/>
    <w:basedOn w:val="1"/>
    <w:autoRedefine/>
    <w:qFormat/>
    <w:uiPriority w:val="0"/>
    <w:pPr>
      <w:snapToGrid w:val="0"/>
    </w:pPr>
    <w:rPr>
      <w:sz w:val="24"/>
      <w:szCs w:val="22"/>
    </w:rPr>
  </w:style>
  <w:style w:type="paragraph" w:customStyle="1" w:styleId="129">
    <w:name w:val="1.1.1.1"/>
    <w:basedOn w:val="1"/>
    <w:autoRedefine/>
    <w:qFormat/>
    <w:uiPriority w:val="0"/>
    <w:pPr>
      <w:snapToGrid w:val="0"/>
    </w:pPr>
    <w:rPr>
      <w:sz w:val="24"/>
      <w:szCs w:val="22"/>
    </w:rPr>
  </w:style>
  <w:style w:type="paragraph" w:customStyle="1" w:styleId="130">
    <w:name w:val="1.1.1.1.1"/>
    <w:basedOn w:val="1"/>
    <w:autoRedefine/>
    <w:qFormat/>
    <w:uiPriority w:val="0"/>
    <w:pPr>
      <w:snapToGrid w:val="0"/>
    </w:pPr>
    <w:rPr>
      <w:sz w:val="24"/>
      <w:szCs w:val="22"/>
    </w:rPr>
  </w:style>
  <w:style w:type="paragraph" w:customStyle="1" w:styleId="131">
    <w:name w:val="1.*6"/>
    <w:basedOn w:val="109"/>
    <w:autoRedefine/>
    <w:qFormat/>
    <w:uiPriority w:val="0"/>
  </w:style>
  <w:style w:type="character" w:customStyle="1" w:styleId="132">
    <w:name w:val="font01"/>
    <w:basedOn w:val="40"/>
    <w:autoRedefine/>
    <w:qFormat/>
    <w:uiPriority w:val="0"/>
    <w:rPr>
      <w:rFonts w:hint="default" w:ascii="Times New Roman" w:hAnsi="Times New Roman" w:cs="Times New Roman"/>
      <w:b/>
      <w:bCs/>
      <w:color w:val="000000"/>
      <w:sz w:val="22"/>
      <w:szCs w:val="22"/>
      <w:u w:val="none"/>
    </w:rPr>
  </w:style>
  <w:style w:type="character" w:customStyle="1" w:styleId="133">
    <w:name w:val="font61"/>
    <w:basedOn w:val="40"/>
    <w:autoRedefine/>
    <w:qFormat/>
    <w:uiPriority w:val="0"/>
    <w:rPr>
      <w:rFonts w:hint="eastAsia" w:ascii="宋体" w:hAnsi="宋体" w:eastAsia="宋体" w:cs="宋体"/>
      <w:color w:val="000000"/>
      <w:sz w:val="20"/>
      <w:szCs w:val="20"/>
      <w:u w:val="none"/>
    </w:rPr>
  </w:style>
  <w:style w:type="character" w:customStyle="1" w:styleId="134">
    <w:name w:val="font71"/>
    <w:basedOn w:val="40"/>
    <w:autoRedefine/>
    <w:qFormat/>
    <w:uiPriority w:val="0"/>
    <w:rPr>
      <w:rFonts w:hint="eastAsia" w:ascii="宋体" w:hAnsi="宋体" w:eastAsia="宋体" w:cs="宋体"/>
      <w:color w:val="000000"/>
      <w:sz w:val="22"/>
      <w:szCs w:val="22"/>
      <w:u w:val="none"/>
    </w:rPr>
  </w:style>
  <w:style w:type="character" w:customStyle="1" w:styleId="135">
    <w:name w:val="未处理的提及2"/>
    <w:basedOn w:val="40"/>
    <w:autoRedefine/>
    <w:unhideWhenUsed/>
    <w:qFormat/>
    <w:uiPriority w:val="99"/>
    <w:rPr>
      <w:color w:val="605E5C"/>
      <w:shd w:val="clear" w:color="auto" w:fill="E1DFDD"/>
    </w:rPr>
  </w:style>
  <w:style w:type="paragraph" w:customStyle="1" w:styleId="136">
    <w:name w:val="标题 3（奇安信）"/>
    <w:basedOn w:val="8"/>
    <w:next w:val="1"/>
    <w:link w:val="137"/>
    <w:autoRedefine/>
    <w:qFormat/>
    <w:uiPriority w:val="0"/>
    <w:pPr>
      <w:tabs>
        <w:tab w:val="left" w:pos="720"/>
        <w:tab w:val="left" w:pos="960"/>
      </w:tabs>
      <w:snapToGrid w:val="0"/>
      <w:spacing w:before="400" w:after="320" w:line="415" w:lineRule="auto"/>
      <w:ind w:firstLine="400"/>
      <w:jc w:val="left"/>
      <w:textAlignment w:val="auto"/>
    </w:pPr>
    <w:rPr>
      <w:rFonts w:ascii="Arial" w:hAnsi="Arial" w:eastAsia="黑体"/>
      <w:bCs w:val="0"/>
      <w:sz w:val="30"/>
      <w:szCs w:val="30"/>
      <w:lang w:val="zh-CN"/>
    </w:rPr>
  </w:style>
  <w:style w:type="character" w:customStyle="1" w:styleId="137">
    <w:name w:val="标题 3（奇安信） 字符"/>
    <w:link w:val="136"/>
    <w:autoRedefine/>
    <w:qFormat/>
    <w:uiPriority w:val="0"/>
    <w:rPr>
      <w:rFonts w:ascii="Arial" w:hAnsi="Arial" w:eastAsia="黑体"/>
      <w:b/>
      <w:kern w:val="0"/>
      <w:sz w:val="30"/>
      <w:szCs w:val="30"/>
      <w:lang w:val="zh-CN"/>
    </w:rPr>
  </w:style>
  <w:style w:type="paragraph" w:customStyle="1" w:styleId="138">
    <w:name w:val="正文（奇安信）"/>
    <w:autoRedefine/>
    <w:qFormat/>
    <w:uiPriority w:val="0"/>
    <w:pPr>
      <w:spacing w:line="300" w:lineRule="auto"/>
    </w:pPr>
    <w:rPr>
      <w:rFonts w:ascii="Arial" w:hAnsi="Arial" w:eastAsia="宋体" w:cs="Times New Roman"/>
      <w:kern w:val="2"/>
      <w:sz w:val="21"/>
      <w:szCs w:val="21"/>
      <w:lang w:val="en-US" w:eastAsia="zh-CN" w:bidi="ar-SA"/>
    </w:rPr>
  </w:style>
  <w:style w:type="paragraph" w:customStyle="1" w:styleId="139">
    <w:name w:val="标题 2（奇安信）"/>
    <w:basedOn w:val="7"/>
    <w:next w:val="1"/>
    <w:autoRedefine/>
    <w:qFormat/>
    <w:uiPriority w:val="0"/>
    <w:pPr>
      <w:tabs>
        <w:tab w:val="left" w:pos="576"/>
        <w:tab w:val="clear" w:pos="432"/>
      </w:tabs>
      <w:adjustRightInd w:val="0"/>
      <w:snapToGrid w:val="0"/>
      <w:spacing w:before="480" w:after="360" w:line="415" w:lineRule="auto"/>
      <w:ind w:left="0" w:firstLine="400"/>
    </w:pPr>
    <w:rPr>
      <w:rFonts w:ascii="Arial" w:hAnsi="Arial" w:eastAsia="黑体"/>
      <w:bCs w:val="0"/>
      <w:lang w:val="en-US"/>
    </w:rPr>
  </w:style>
  <w:style w:type="character" w:customStyle="1" w:styleId="140">
    <w:name w:val="*正文 Char"/>
    <w:link w:val="141"/>
    <w:autoRedefine/>
    <w:qFormat/>
    <w:uiPriority w:val="0"/>
    <w:rPr>
      <w:rFonts w:ascii="宋体"/>
      <w:sz w:val="28"/>
      <w:szCs w:val="24"/>
      <w:lang w:bidi="en-US"/>
    </w:rPr>
  </w:style>
  <w:style w:type="paragraph" w:customStyle="1" w:styleId="141">
    <w:name w:val="*正文"/>
    <w:basedOn w:val="1"/>
    <w:link w:val="140"/>
    <w:autoRedefine/>
    <w:qFormat/>
    <w:uiPriority w:val="0"/>
    <w:pPr>
      <w:widowControl/>
      <w:snapToGrid w:val="0"/>
      <w:spacing w:before="156" w:after="156"/>
      <w:ind w:firstLine="200"/>
    </w:pPr>
    <w:rPr>
      <w:rFonts w:ascii="宋体"/>
      <w:kern w:val="0"/>
      <w:sz w:val="28"/>
      <w:lang w:bidi="en-US"/>
    </w:rPr>
  </w:style>
  <w:style w:type="paragraph" w:customStyle="1" w:styleId="142">
    <w:name w:val="标题 4（奇安信）"/>
    <w:basedOn w:val="9"/>
    <w:next w:val="1"/>
    <w:autoRedefine/>
    <w:qFormat/>
    <w:uiPriority w:val="0"/>
    <w:pPr>
      <w:widowControl/>
      <w:numPr>
        <w:ilvl w:val="0"/>
        <w:numId w:val="0"/>
      </w:numPr>
      <w:tabs>
        <w:tab w:val="left" w:pos="864"/>
        <w:tab w:val="clear" w:pos="993"/>
      </w:tabs>
      <w:snapToGrid w:val="0"/>
      <w:spacing w:before="320" w:after="156" w:line="240" w:lineRule="auto"/>
      <w:ind w:firstLine="400"/>
      <w:jc w:val="left"/>
    </w:pPr>
    <w:rPr>
      <w:rFonts w:ascii="Arial" w:hAnsi="Arial" w:eastAsia="黑体"/>
      <w:bCs w:val="0"/>
      <w:kern w:val="0"/>
      <w:szCs w:val="28"/>
    </w:rPr>
  </w:style>
  <w:style w:type="paragraph" w:customStyle="1" w:styleId="143">
    <w:name w:val="标题 5（有编号）"/>
    <w:basedOn w:val="1"/>
    <w:next w:val="1"/>
    <w:autoRedefine/>
    <w:qFormat/>
    <w:uiPriority w:val="0"/>
    <w:pPr>
      <w:keepNext/>
      <w:keepLines/>
      <w:snapToGrid w:val="0"/>
      <w:spacing w:before="280" w:after="156" w:line="377" w:lineRule="auto"/>
      <w:ind w:firstLine="400"/>
      <w:jc w:val="left"/>
      <w:outlineLvl w:val="4"/>
    </w:pPr>
    <w:rPr>
      <w:rFonts w:ascii="Arial" w:hAnsi="Arial" w:eastAsia="黑体"/>
      <w:b/>
      <w:kern w:val="0"/>
      <w:sz w:val="24"/>
      <w:szCs w:val="28"/>
    </w:rPr>
  </w:style>
  <w:style w:type="character" w:customStyle="1" w:styleId="144">
    <w:name w:val="未处理的提及3"/>
    <w:basedOn w:val="40"/>
    <w:autoRedefine/>
    <w:unhideWhenUsed/>
    <w:qFormat/>
    <w:uiPriority w:val="99"/>
    <w:rPr>
      <w:color w:val="605E5C"/>
      <w:shd w:val="clear" w:color="auto" w:fill="E1DFDD"/>
    </w:rPr>
  </w:style>
  <w:style w:type="character" w:customStyle="1" w:styleId="145">
    <w:name w:val="font41"/>
    <w:basedOn w:val="40"/>
    <w:autoRedefine/>
    <w:qFormat/>
    <w:uiPriority w:val="0"/>
    <w:rPr>
      <w:rFonts w:hint="default" w:ascii="Times New Roman" w:hAnsi="Times New Roman" w:cs="Times New Roman"/>
      <w:color w:val="000000"/>
      <w:sz w:val="20"/>
      <w:szCs w:val="20"/>
      <w:u w:val="none"/>
    </w:rPr>
  </w:style>
  <w:style w:type="character" w:customStyle="1" w:styleId="146">
    <w:name w:val="font13"/>
    <w:basedOn w:val="40"/>
    <w:autoRedefine/>
    <w:qFormat/>
    <w:uiPriority w:val="0"/>
    <w:rPr>
      <w:rFonts w:hint="eastAsia" w:ascii="宋体" w:hAnsi="宋体" w:eastAsia="宋体" w:cs="宋体"/>
      <w:b/>
      <w:bCs/>
      <w:color w:val="000000"/>
      <w:sz w:val="22"/>
      <w:szCs w:val="22"/>
      <w:u w:val="none"/>
    </w:rPr>
  </w:style>
  <w:style w:type="character" w:customStyle="1" w:styleId="147">
    <w:name w:val="font132"/>
    <w:basedOn w:val="40"/>
    <w:autoRedefine/>
    <w:qFormat/>
    <w:uiPriority w:val="0"/>
    <w:rPr>
      <w:rFonts w:hint="eastAsia" w:ascii="宋体" w:hAnsi="宋体" w:eastAsia="宋体" w:cs="宋体"/>
      <w:color w:val="000000"/>
      <w:sz w:val="22"/>
      <w:szCs w:val="22"/>
      <w:u w:val="none"/>
    </w:rPr>
  </w:style>
  <w:style w:type="character" w:customStyle="1" w:styleId="148">
    <w:name w:val="font141"/>
    <w:basedOn w:val="40"/>
    <w:autoRedefine/>
    <w:qFormat/>
    <w:uiPriority w:val="0"/>
    <w:rPr>
      <w:rFonts w:hint="eastAsia" w:ascii="宋体" w:hAnsi="宋体" w:eastAsia="宋体" w:cs="宋体"/>
      <w:b/>
      <w:bCs/>
      <w:color w:val="000000"/>
      <w:sz w:val="22"/>
      <w:szCs w:val="22"/>
      <w:u w:val="none"/>
    </w:rPr>
  </w:style>
  <w:style w:type="character" w:customStyle="1" w:styleId="149">
    <w:name w:val="font171"/>
    <w:basedOn w:val="40"/>
    <w:autoRedefine/>
    <w:qFormat/>
    <w:uiPriority w:val="0"/>
    <w:rPr>
      <w:rFonts w:hint="eastAsia" w:ascii="宋体" w:hAnsi="宋体" w:eastAsia="宋体" w:cs="宋体"/>
      <w:b/>
      <w:bCs/>
      <w:color w:val="000000"/>
      <w:sz w:val="22"/>
      <w:szCs w:val="22"/>
      <w:u w:val="none"/>
    </w:rPr>
  </w:style>
  <w:style w:type="character" w:customStyle="1" w:styleId="150">
    <w:name w:val="font101"/>
    <w:basedOn w:val="40"/>
    <w:autoRedefine/>
    <w:qFormat/>
    <w:uiPriority w:val="0"/>
    <w:rPr>
      <w:rFonts w:hint="default" w:ascii="Times New Roman" w:hAnsi="Times New Roman" w:cs="Times New Roman"/>
      <w:b/>
      <w:bCs/>
      <w:color w:val="FF0000"/>
      <w:sz w:val="22"/>
      <w:szCs w:val="22"/>
      <w:u w:val="none"/>
    </w:rPr>
  </w:style>
  <w:style w:type="character" w:customStyle="1" w:styleId="151">
    <w:name w:val="font181"/>
    <w:basedOn w:val="40"/>
    <w:autoRedefine/>
    <w:qFormat/>
    <w:uiPriority w:val="0"/>
    <w:rPr>
      <w:rFonts w:hint="eastAsia" w:ascii="宋体" w:hAnsi="宋体" w:eastAsia="宋体" w:cs="宋体"/>
      <w:b/>
      <w:bCs/>
      <w:color w:val="FF0000"/>
      <w:sz w:val="22"/>
      <w:szCs w:val="22"/>
      <w:u w:val="none"/>
    </w:rPr>
  </w:style>
  <w:style w:type="character" w:customStyle="1" w:styleId="152">
    <w:name w:val="font191"/>
    <w:basedOn w:val="40"/>
    <w:autoRedefine/>
    <w:qFormat/>
    <w:uiPriority w:val="0"/>
    <w:rPr>
      <w:rFonts w:hint="eastAsia" w:ascii="宋体" w:hAnsi="宋体" w:eastAsia="宋体" w:cs="宋体"/>
      <w:color w:val="FF0000"/>
      <w:sz w:val="22"/>
      <w:szCs w:val="22"/>
      <w:u w:val="none"/>
    </w:rPr>
  </w:style>
  <w:style w:type="character" w:customStyle="1" w:styleId="153">
    <w:name w:val="font81"/>
    <w:basedOn w:val="40"/>
    <w:autoRedefine/>
    <w:qFormat/>
    <w:uiPriority w:val="0"/>
    <w:rPr>
      <w:rFonts w:hint="default" w:ascii="Times New Roman" w:hAnsi="Times New Roman" w:cs="Times New Roman"/>
      <w:color w:val="000000"/>
      <w:sz w:val="22"/>
      <w:szCs w:val="22"/>
      <w:u w:val="none"/>
    </w:rPr>
  </w:style>
  <w:style w:type="character" w:customStyle="1" w:styleId="154">
    <w:name w:val="font201"/>
    <w:basedOn w:val="40"/>
    <w:autoRedefine/>
    <w:qFormat/>
    <w:uiPriority w:val="0"/>
    <w:rPr>
      <w:rFonts w:hint="eastAsia" w:ascii="宋体" w:hAnsi="宋体" w:eastAsia="宋体" w:cs="宋体"/>
      <w:color w:val="000000"/>
      <w:sz w:val="22"/>
      <w:szCs w:val="22"/>
      <w:u w:val="none"/>
    </w:rPr>
  </w:style>
  <w:style w:type="paragraph" w:customStyle="1" w:styleId="155">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56">
    <w:name w:val="font5"/>
    <w:basedOn w:val="1"/>
    <w:autoRedefine/>
    <w:qFormat/>
    <w:uiPriority w:val="0"/>
    <w:pPr>
      <w:widowControl/>
      <w:adjustRightInd/>
      <w:spacing w:before="100" w:beforeAutospacing="1" w:after="100" w:afterAutospacing="1"/>
      <w:jc w:val="left"/>
    </w:pPr>
    <w:rPr>
      <w:rFonts w:ascii="宋体" w:hAnsi="宋体" w:cs="宋体"/>
      <w:b/>
      <w:bCs/>
      <w:kern w:val="0"/>
      <w:sz w:val="20"/>
      <w:szCs w:val="20"/>
    </w:rPr>
  </w:style>
  <w:style w:type="paragraph" w:customStyle="1" w:styleId="157">
    <w:name w:val="font6"/>
    <w:basedOn w:val="1"/>
    <w:autoRedefine/>
    <w:qFormat/>
    <w:uiPriority w:val="0"/>
    <w:pPr>
      <w:widowControl/>
      <w:adjustRightInd/>
      <w:spacing w:before="100" w:beforeAutospacing="1" w:after="100" w:afterAutospacing="1"/>
      <w:jc w:val="left"/>
    </w:pPr>
    <w:rPr>
      <w:kern w:val="0"/>
      <w:sz w:val="20"/>
      <w:szCs w:val="20"/>
    </w:rPr>
  </w:style>
  <w:style w:type="paragraph" w:customStyle="1" w:styleId="158">
    <w:name w:val="font7"/>
    <w:basedOn w:val="1"/>
    <w:autoRedefine/>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159">
    <w:name w:val="font8"/>
    <w:basedOn w:val="1"/>
    <w:autoRedefine/>
    <w:qFormat/>
    <w:uiPriority w:val="0"/>
    <w:pPr>
      <w:widowControl/>
      <w:adjustRightInd/>
      <w:spacing w:before="100" w:beforeAutospacing="1" w:after="100" w:afterAutospacing="1"/>
      <w:jc w:val="left"/>
    </w:pPr>
    <w:rPr>
      <w:b/>
      <w:bCs/>
      <w:kern w:val="0"/>
      <w:sz w:val="20"/>
      <w:szCs w:val="20"/>
    </w:rPr>
  </w:style>
  <w:style w:type="paragraph" w:customStyle="1" w:styleId="160">
    <w:name w:val="font9"/>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16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16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6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64">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rFonts w:ascii="宋体" w:hAnsi="宋体" w:cs="宋体"/>
      <w:b/>
      <w:bCs/>
      <w:kern w:val="0"/>
      <w:sz w:val="20"/>
      <w:szCs w:val="20"/>
    </w:rPr>
  </w:style>
  <w:style w:type="paragraph" w:customStyle="1" w:styleId="16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6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67">
    <w:name w:val="xl7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68">
    <w:name w:val="xl7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6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b/>
      <w:bCs/>
      <w:kern w:val="0"/>
      <w:sz w:val="20"/>
      <w:szCs w:val="20"/>
    </w:rPr>
  </w:style>
  <w:style w:type="paragraph" w:customStyle="1" w:styleId="170">
    <w:name w:val="xl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b/>
      <w:bCs/>
      <w:kern w:val="0"/>
      <w:sz w:val="20"/>
      <w:szCs w:val="20"/>
    </w:rPr>
  </w:style>
  <w:style w:type="paragraph" w:customStyle="1" w:styleId="171">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center"/>
    </w:pPr>
    <w:rPr>
      <w:b/>
      <w:bCs/>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b/>
      <w:bCs/>
      <w:kern w:val="0"/>
      <w:sz w:val="20"/>
      <w:szCs w:val="20"/>
    </w:rPr>
  </w:style>
  <w:style w:type="paragraph" w:customStyle="1" w:styleId="17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kern w:val="0"/>
      <w:sz w:val="20"/>
      <w:szCs w:val="20"/>
    </w:rPr>
  </w:style>
  <w:style w:type="paragraph" w:customStyle="1" w:styleId="174">
    <w:name w:val="xl8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kern w:val="0"/>
      <w:sz w:val="20"/>
      <w:szCs w:val="20"/>
    </w:rPr>
  </w:style>
  <w:style w:type="paragraph" w:customStyle="1" w:styleId="175">
    <w:name w:val="xl8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7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77">
    <w:name w:val="xl8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78">
    <w:name w:val="xl8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179">
    <w:name w:val="xl8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180">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81">
    <w:name w:val="xl8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8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8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18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CE4D6"/>
      <w:adjustRightInd/>
      <w:spacing w:before="100" w:beforeAutospacing="1" w:after="100" w:afterAutospacing="1"/>
      <w:jc w:val="center"/>
    </w:pPr>
    <w:rPr>
      <w:rFonts w:ascii="宋体" w:hAnsi="宋体" w:cs="宋体"/>
      <w:b/>
      <w:bCs/>
      <w:kern w:val="0"/>
      <w:sz w:val="20"/>
      <w:szCs w:val="20"/>
    </w:rPr>
  </w:style>
  <w:style w:type="paragraph" w:customStyle="1" w:styleId="185">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CE4D6"/>
      <w:adjustRightInd/>
      <w:spacing w:before="100" w:beforeAutospacing="1" w:after="100" w:afterAutospacing="1"/>
      <w:jc w:val="center"/>
    </w:pPr>
    <w:rPr>
      <w:rFonts w:ascii="宋体" w:hAnsi="宋体" w:cs="宋体"/>
      <w:b/>
      <w:bCs/>
      <w:kern w:val="0"/>
      <w:sz w:val="20"/>
      <w:szCs w:val="20"/>
    </w:rPr>
  </w:style>
  <w:style w:type="paragraph" w:customStyle="1" w:styleId="186">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CE4D6"/>
      <w:adjustRightInd/>
      <w:spacing w:before="100" w:beforeAutospacing="1" w:after="100" w:afterAutospacing="1"/>
      <w:jc w:val="center"/>
    </w:pPr>
    <w:rPr>
      <w:rFonts w:ascii="宋体" w:hAnsi="宋体" w:cs="宋体"/>
      <w:b/>
      <w:bCs/>
      <w:kern w:val="0"/>
      <w:sz w:val="20"/>
      <w:szCs w:val="20"/>
    </w:rPr>
  </w:style>
  <w:style w:type="paragraph" w:customStyle="1" w:styleId="187">
    <w:name w:val="xl93"/>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189">
    <w:name w:val="font12"/>
    <w:basedOn w:val="1"/>
    <w:autoRedefine/>
    <w:qFormat/>
    <w:uiPriority w:val="0"/>
    <w:pPr>
      <w:widowControl/>
      <w:adjustRightInd/>
      <w:spacing w:before="100" w:beforeAutospacing="1" w:after="100" w:afterAutospacing="1"/>
      <w:jc w:val="left"/>
    </w:pPr>
    <w:rPr>
      <w:rFonts w:ascii="宋体" w:hAnsi="宋体" w:cs="宋体"/>
      <w:color w:val="000000"/>
      <w:kern w:val="0"/>
      <w:sz w:val="22"/>
      <w:szCs w:val="22"/>
    </w:rPr>
  </w:style>
  <w:style w:type="paragraph" w:customStyle="1" w:styleId="190">
    <w:name w:val="font14"/>
    <w:basedOn w:val="1"/>
    <w:autoRedefine/>
    <w:qFormat/>
    <w:uiPriority w:val="0"/>
    <w:pPr>
      <w:widowControl/>
      <w:adjustRightInd/>
      <w:spacing w:before="100" w:beforeAutospacing="1" w:after="100" w:afterAutospacing="1"/>
      <w:jc w:val="left"/>
    </w:pPr>
    <w:rPr>
      <w:rFonts w:ascii="宋体" w:hAnsi="宋体" w:cs="宋体"/>
      <w:b/>
      <w:bCs/>
      <w:color w:val="FF0000"/>
      <w:kern w:val="0"/>
      <w:sz w:val="22"/>
      <w:szCs w:val="22"/>
    </w:rPr>
  </w:style>
  <w:style w:type="paragraph" w:customStyle="1" w:styleId="191">
    <w:name w:val="font15"/>
    <w:basedOn w:val="1"/>
    <w:autoRedefine/>
    <w:qFormat/>
    <w:uiPriority w:val="0"/>
    <w:pPr>
      <w:widowControl/>
      <w:adjustRightInd/>
      <w:spacing w:before="100" w:beforeAutospacing="1" w:after="100" w:afterAutospacing="1"/>
      <w:jc w:val="left"/>
    </w:pPr>
    <w:rPr>
      <w:rFonts w:ascii="宋体" w:hAnsi="宋体" w:cs="宋体"/>
      <w:color w:val="FF0000"/>
      <w:kern w:val="0"/>
      <w:sz w:val="22"/>
      <w:szCs w:val="22"/>
    </w:rPr>
  </w:style>
  <w:style w:type="paragraph" w:customStyle="1" w:styleId="192">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kern w:val="0"/>
      <w:sz w:val="24"/>
    </w:rPr>
  </w:style>
  <w:style w:type="paragraph" w:customStyle="1" w:styleId="193">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b/>
      <w:bCs/>
      <w:kern w:val="0"/>
      <w:sz w:val="24"/>
    </w:rPr>
  </w:style>
  <w:style w:type="paragraph" w:customStyle="1" w:styleId="194">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b/>
      <w:bCs/>
      <w:color w:val="000000"/>
      <w:kern w:val="0"/>
      <w:sz w:val="24"/>
    </w:rPr>
  </w:style>
  <w:style w:type="paragraph" w:customStyle="1" w:styleId="195">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kern w:val="0"/>
      <w:sz w:val="24"/>
    </w:rPr>
  </w:style>
  <w:style w:type="paragraph" w:customStyle="1" w:styleId="196">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kern w:val="0"/>
      <w:sz w:val="24"/>
    </w:rPr>
  </w:style>
  <w:style w:type="paragraph" w:customStyle="1" w:styleId="197">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color w:val="000000"/>
      <w:kern w:val="0"/>
      <w:sz w:val="24"/>
    </w:rPr>
  </w:style>
  <w:style w:type="paragraph" w:customStyle="1" w:styleId="198">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color w:val="000000"/>
      <w:kern w:val="0"/>
      <w:sz w:val="24"/>
    </w:rPr>
  </w:style>
  <w:style w:type="paragraph" w:customStyle="1" w:styleId="199">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b/>
      <w:bCs/>
      <w:color w:val="FF0000"/>
      <w:kern w:val="0"/>
      <w:sz w:val="24"/>
    </w:rPr>
  </w:style>
  <w:style w:type="paragraph" w:customStyle="1" w:styleId="200">
    <w:name w:val="xl1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color w:val="FF0000"/>
      <w:kern w:val="0"/>
      <w:sz w:val="24"/>
    </w:rPr>
  </w:style>
  <w:style w:type="paragraph" w:customStyle="1" w:styleId="201">
    <w:name w:val="xl10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b/>
      <w:bCs/>
      <w:kern w:val="0"/>
      <w:sz w:val="24"/>
    </w:rPr>
  </w:style>
  <w:style w:type="paragraph" w:customStyle="1" w:styleId="202">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bottom"/>
    </w:pPr>
    <w:rPr>
      <w:kern w:val="0"/>
      <w:sz w:val="24"/>
    </w:rPr>
  </w:style>
  <w:style w:type="paragraph" w:customStyle="1" w:styleId="203">
    <w:name w:val="xl105"/>
    <w:basedOn w:val="1"/>
    <w:autoRedefine/>
    <w:qFormat/>
    <w:uiPriority w:val="0"/>
    <w:pPr>
      <w:widowControl/>
      <w:adjustRightInd/>
      <w:spacing w:before="100" w:beforeAutospacing="1" w:after="100" w:afterAutospacing="1"/>
      <w:jc w:val="center"/>
    </w:pPr>
    <w:rPr>
      <w:kern w:val="0"/>
      <w:sz w:val="24"/>
    </w:rPr>
  </w:style>
  <w:style w:type="paragraph" w:customStyle="1" w:styleId="204">
    <w:name w:val="xl106"/>
    <w:basedOn w:val="1"/>
    <w:autoRedefine/>
    <w:qFormat/>
    <w:uiPriority w:val="0"/>
    <w:pPr>
      <w:widowControl/>
      <w:adjustRightInd/>
      <w:spacing w:before="100" w:beforeAutospacing="1" w:after="100" w:afterAutospacing="1"/>
      <w:jc w:val="center"/>
    </w:pPr>
    <w:rPr>
      <w:kern w:val="0"/>
      <w:sz w:val="24"/>
    </w:rPr>
  </w:style>
  <w:style w:type="character" w:customStyle="1" w:styleId="205">
    <w:name w:val="未处理的提及4"/>
    <w:basedOn w:val="40"/>
    <w:autoRedefine/>
    <w:unhideWhenUsed/>
    <w:qFormat/>
    <w:uiPriority w:val="99"/>
    <w:rPr>
      <w:color w:val="605E5C"/>
      <w:shd w:val="clear" w:color="auto" w:fill="E1DFDD"/>
    </w:rPr>
  </w:style>
  <w:style w:type="paragraph" w:customStyle="1" w:styleId="206">
    <w:name w:val="修订3"/>
    <w:autoRedefine/>
    <w:semiHidden/>
    <w:qFormat/>
    <w:uiPriority w:val="99"/>
    <w:rPr>
      <w:rFonts w:eastAsia="宋体" w:cs="Times New Roman" w:asciiTheme="minorHAnsi" w:hAnsiTheme="minorHAnsi"/>
      <w:kern w:val="2"/>
      <w:sz w:val="24"/>
      <w:szCs w:val="22"/>
      <w:lang w:val="en-US" w:eastAsia="zh-CN" w:bidi="ar-SA"/>
    </w:rPr>
  </w:style>
  <w:style w:type="paragraph" w:customStyle="1" w:styleId="207">
    <w:name w:val="修订4"/>
    <w:autoRedefine/>
    <w:semiHidden/>
    <w:qFormat/>
    <w:uiPriority w:val="99"/>
    <w:rPr>
      <w:rFonts w:eastAsia="宋体" w:cs="Times New Roman" w:asciiTheme="minorHAnsi" w:hAnsiTheme="minorHAnsi"/>
      <w:kern w:val="2"/>
      <w:sz w:val="24"/>
      <w:szCs w:val="22"/>
      <w:lang w:val="en-US" w:eastAsia="zh-CN" w:bidi="ar-SA"/>
    </w:rPr>
  </w:style>
  <w:style w:type="paragraph" w:customStyle="1" w:styleId="208">
    <w:name w:val="报告表名"/>
    <w:next w:val="1"/>
    <w:link w:val="209"/>
    <w:autoRedefine/>
    <w:qFormat/>
    <w:uiPriority w:val="0"/>
    <w:pPr>
      <w:spacing w:line="540" w:lineRule="exact"/>
      <w:jc w:val="center"/>
    </w:pPr>
    <w:rPr>
      <w:rFonts w:eastAsia="黑体" w:cs="Times New Roman" w:asciiTheme="minorHAnsi" w:hAnsiTheme="minorHAnsi"/>
      <w:kern w:val="2"/>
      <w:sz w:val="24"/>
      <w:szCs w:val="24"/>
      <w:lang w:val="en-US" w:eastAsia="zh-CN" w:bidi="ar-SA"/>
    </w:rPr>
  </w:style>
  <w:style w:type="character" w:customStyle="1" w:styleId="209">
    <w:name w:val="报告表名 Char"/>
    <w:link w:val="208"/>
    <w:autoRedefine/>
    <w:qFormat/>
    <w:uiPriority w:val="0"/>
    <w:rPr>
      <w:rFonts w:eastAsia="黑体"/>
      <w:szCs w:val="24"/>
    </w:rPr>
  </w:style>
  <w:style w:type="character" w:customStyle="1" w:styleId="210">
    <w:name w:val="未处理的提及5"/>
    <w:basedOn w:val="40"/>
    <w:autoRedefine/>
    <w:unhideWhenUsed/>
    <w:qFormat/>
    <w:uiPriority w:val="99"/>
    <w:rPr>
      <w:color w:val="605E5C"/>
      <w:shd w:val="clear" w:color="auto" w:fill="E1DFDD"/>
    </w:rPr>
  </w:style>
  <w:style w:type="character" w:customStyle="1" w:styleId="211">
    <w:name w:val="font131"/>
    <w:basedOn w:val="40"/>
    <w:autoRedefine/>
    <w:qFormat/>
    <w:uiPriority w:val="0"/>
    <w:rPr>
      <w:rFonts w:hint="default" w:ascii="Times New Roman" w:hAnsi="Times New Roman" w:cs="Times New Roman"/>
      <w:color w:val="000000"/>
      <w:sz w:val="22"/>
      <w:szCs w:val="22"/>
      <w:u w:val="none"/>
    </w:rPr>
  </w:style>
  <w:style w:type="character" w:customStyle="1" w:styleId="212">
    <w:name w:val="font112"/>
    <w:basedOn w:val="40"/>
    <w:autoRedefine/>
    <w:qFormat/>
    <w:uiPriority w:val="0"/>
    <w:rPr>
      <w:rFonts w:hint="eastAsia" w:ascii="宋体" w:hAnsi="宋体" w:eastAsia="宋体" w:cs="宋体"/>
      <w:b/>
      <w:bCs/>
      <w:color w:val="000000"/>
      <w:sz w:val="22"/>
      <w:szCs w:val="22"/>
      <w:u w:val="none"/>
    </w:rPr>
  </w:style>
  <w:style w:type="character" w:customStyle="1" w:styleId="213">
    <w:name w:val="font121"/>
    <w:basedOn w:val="40"/>
    <w:autoRedefine/>
    <w:qFormat/>
    <w:uiPriority w:val="0"/>
    <w:rPr>
      <w:rFonts w:hint="eastAsia" w:ascii="宋体" w:hAnsi="宋体" w:eastAsia="宋体" w:cs="宋体"/>
      <w:color w:val="FF0000"/>
      <w:sz w:val="22"/>
      <w:szCs w:val="22"/>
      <w:u w:val="none"/>
    </w:rPr>
  </w:style>
  <w:style w:type="character" w:customStyle="1" w:styleId="214">
    <w:name w:val="font211"/>
    <w:basedOn w:val="40"/>
    <w:autoRedefine/>
    <w:qFormat/>
    <w:uiPriority w:val="0"/>
    <w:rPr>
      <w:rFonts w:hint="eastAsia" w:ascii="宋体" w:hAnsi="宋体" w:eastAsia="宋体" w:cs="宋体"/>
      <w:b/>
      <w:bCs/>
      <w:color w:val="000000"/>
      <w:sz w:val="22"/>
      <w:szCs w:val="22"/>
      <w:u w:val="none"/>
    </w:rPr>
  </w:style>
  <w:style w:type="character" w:customStyle="1" w:styleId="215">
    <w:name w:val="font222"/>
    <w:basedOn w:val="40"/>
    <w:autoRedefine/>
    <w:qFormat/>
    <w:uiPriority w:val="0"/>
    <w:rPr>
      <w:rFonts w:hint="eastAsia" w:ascii="宋体" w:hAnsi="宋体" w:eastAsia="宋体" w:cs="宋体"/>
      <w:color w:val="000000"/>
      <w:sz w:val="22"/>
      <w:szCs w:val="22"/>
      <w:u w:val="none"/>
    </w:rPr>
  </w:style>
  <w:style w:type="character" w:customStyle="1" w:styleId="216">
    <w:name w:val="font111"/>
    <w:basedOn w:val="40"/>
    <w:autoRedefine/>
    <w:qFormat/>
    <w:uiPriority w:val="0"/>
    <w:rPr>
      <w:rFonts w:hint="default" w:ascii="Times New Roman" w:hAnsi="Times New Roman" w:cs="Times New Roman"/>
      <w:b/>
      <w:bCs/>
      <w:color w:val="000000"/>
      <w:sz w:val="22"/>
      <w:szCs w:val="22"/>
      <w:u w:val="none"/>
    </w:rPr>
  </w:style>
  <w:style w:type="paragraph" w:customStyle="1" w:styleId="217">
    <w:name w:val="表格"/>
    <w:basedOn w:val="1"/>
    <w:autoRedefine/>
    <w:qFormat/>
    <w:uiPriority w:val="0"/>
    <w:pPr>
      <w:adjustRightInd/>
      <w:ind w:firstLine="200"/>
    </w:pPr>
    <w:rPr>
      <w:sz w:val="24"/>
    </w:rPr>
  </w:style>
  <w:style w:type="paragraph" w:customStyle="1" w:styleId="218">
    <w:name w:val="报告段落"/>
    <w:autoRedefine/>
    <w:qFormat/>
    <w:uiPriority w:val="0"/>
    <w:pPr>
      <w:spacing w:line="360" w:lineRule="auto"/>
      <w:ind w:firstLine="200" w:firstLineChars="200"/>
      <w:jc w:val="both"/>
    </w:pPr>
    <w:rPr>
      <w:rFonts w:eastAsia="宋体" w:cs="Times New Roman" w:asciiTheme="minorHAnsi" w:hAnsiTheme="minorHAnsi"/>
      <w:kern w:val="2"/>
      <w:sz w:val="24"/>
      <w:szCs w:val="21"/>
      <w:lang w:val="en-US" w:eastAsia="zh-CN" w:bidi="ar-SA"/>
    </w:rPr>
  </w:style>
  <w:style w:type="character" w:customStyle="1" w:styleId="219">
    <w:name w:val="font91"/>
    <w:basedOn w:val="40"/>
    <w:autoRedefine/>
    <w:qFormat/>
    <w:uiPriority w:val="0"/>
    <w:rPr>
      <w:rFonts w:hint="eastAsia" w:ascii="宋体" w:hAnsi="宋体" w:eastAsia="宋体" w:cs="宋体"/>
      <w:b/>
      <w:bCs/>
      <w:color w:val="000000"/>
      <w:sz w:val="22"/>
      <w:szCs w:val="22"/>
      <w:u w:val="none"/>
    </w:rPr>
  </w:style>
  <w:style w:type="paragraph" w:customStyle="1" w:styleId="220">
    <w:name w:val="正文-正文"/>
    <w:basedOn w:val="1"/>
    <w:autoRedefine/>
    <w:qFormat/>
    <w:uiPriority w:val="0"/>
    <w:pPr>
      <w:snapToGrid w:val="0"/>
      <w:ind w:firstLine="200"/>
    </w:pPr>
    <w:rPr>
      <w:rFonts w:eastAsia="仿宋_GB2312"/>
      <w:sz w:val="28"/>
      <w:szCs w:val="22"/>
    </w:rPr>
  </w:style>
  <w:style w:type="character" w:customStyle="1" w:styleId="221">
    <w:name w:val="Unresolved Mention"/>
    <w:basedOn w:val="40"/>
    <w:autoRedefine/>
    <w:unhideWhenUsed/>
    <w:qFormat/>
    <w:uiPriority w:val="99"/>
    <w:rPr>
      <w:color w:val="605E5C"/>
      <w:shd w:val="clear" w:color="auto" w:fill="E1DFDD"/>
    </w:rPr>
  </w:style>
  <w:style w:type="paragraph" w:customStyle="1" w:styleId="222">
    <w:name w:val="注释级别 2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3">
    <w:name w:val="表格标题"/>
    <w:basedOn w:val="1"/>
    <w:autoRedefine/>
    <w:qFormat/>
    <w:uiPriority w:val="0"/>
    <w:pPr>
      <w:snapToGrid w:val="0"/>
      <w:ind w:firstLine="561"/>
      <w:jc w:val="center"/>
    </w:pPr>
    <w:rPr>
      <w:b/>
      <w:sz w:val="24"/>
      <w:szCs w:val="22"/>
    </w:rPr>
  </w:style>
  <w:style w:type="paragraph" w:customStyle="1" w:styleId="224">
    <w:name w:val="表格文字（居左）"/>
    <w:basedOn w:val="225"/>
    <w:autoRedefine/>
    <w:qFormat/>
    <w:uiPriority w:val="0"/>
    <w:pPr>
      <w:jc w:val="left"/>
    </w:pPr>
  </w:style>
  <w:style w:type="paragraph" w:customStyle="1" w:styleId="225">
    <w:name w:val="表格文字（居中）"/>
    <w:basedOn w:val="223"/>
    <w:autoRedefine/>
    <w:qFormat/>
    <w:uiPriority w:val="99"/>
    <w:pPr>
      <w:spacing w:line="240" w:lineRule="auto"/>
    </w:pPr>
    <w:rPr>
      <w:b w:val="0"/>
    </w:rPr>
  </w:style>
  <w:style w:type="paragraph" w:customStyle="1" w:styleId="226">
    <w:name w:val="NW正文"/>
    <w:basedOn w:val="3"/>
    <w:autoRedefine/>
    <w:qFormat/>
    <w:uiPriority w:val="0"/>
    <w:pPr>
      <w:snapToGrid w:val="0"/>
      <w:spacing w:before="120" w:line="360" w:lineRule="auto"/>
      <w:ind w:firstLine="425" w:firstLineChars="0"/>
    </w:pPr>
    <w:rPr>
      <w:rFonts w:ascii="Arial" w:hAnsi="Arial"/>
      <w:szCs w:val="20"/>
    </w:rPr>
  </w:style>
  <w:style w:type="paragraph" w:customStyle="1" w:styleId="227">
    <w:name w:val="_Style 36"/>
    <w:basedOn w:val="5"/>
    <w:next w:val="36"/>
    <w:autoRedefine/>
    <w:qFormat/>
    <w:uiPriority w:val="0"/>
    <w:pPr>
      <w:autoSpaceDE/>
      <w:autoSpaceDN/>
      <w:adjustRightInd/>
      <w:spacing w:before="120" w:after="120" w:line="240" w:lineRule="auto"/>
      <w:ind w:left="120" w:firstLine="100" w:firstLineChars="100"/>
    </w:pPr>
    <w:rPr>
      <w:rFonts w:ascii="Times New Roman" w:hAnsi="Times New Roman" w:cs="Times New Roman"/>
      <w:snapToGrid/>
      <w:kern w:val="0"/>
      <w:sz w:val="21"/>
      <w:szCs w:val="20"/>
      <w:lang w:val="en-US"/>
    </w:rPr>
  </w:style>
  <w:style w:type="paragraph" w:customStyle="1" w:styleId="228">
    <w:name w:val="H正文"/>
    <w:basedOn w:val="1"/>
    <w:autoRedefine/>
    <w:qFormat/>
    <w:uiPriority w:val="0"/>
    <w:pPr>
      <w:snapToGrid w:val="0"/>
      <w:ind w:firstLine="480"/>
    </w:pPr>
    <w:rPr>
      <w:rFonts w:ascii="宋体" w:hAnsi="宋体"/>
      <w:sz w:val="24"/>
    </w:rPr>
  </w:style>
  <w:style w:type="paragraph" w:customStyle="1" w:styleId="229">
    <w:name w:val="正文内容"/>
    <w:basedOn w:val="1"/>
    <w:autoRedefine/>
    <w:qFormat/>
    <w:uiPriority w:val="0"/>
    <w:pPr>
      <w:snapToGrid w:val="0"/>
      <w:spacing w:beforeLines="50" w:afterLines="50"/>
      <w:ind w:firstLine="561"/>
      <w:jc w:val="left"/>
    </w:pPr>
    <w:rPr>
      <w:rFonts w:ascii="Arial" w:hAnsi="Arial"/>
      <w:kern w:val="0"/>
      <w:sz w:val="24"/>
      <w:szCs w:val="21"/>
    </w:rPr>
  </w:style>
  <w:style w:type="paragraph" w:customStyle="1" w:styleId="230">
    <w:name w:val="舟式样--正文"/>
    <w:basedOn w:val="1"/>
    <w:autoRedefine/>
    <w:qFormat/>
    <w:uiPriority w:val="99"/>
    <w:pPr>
      <w:snapToGrid w:val="0"/>
      <w:ind w:firstLine="561"/>
    </w:pPr>
    <w:rPr>
      <w:rFonts w:ascii="仿宋_GB2312" w:hAnsi="Calibri"/>
      <w:sz w:val="24"/>
      <w:szCs w:val="22"/>
    </w:rPr>
  </w:style>
  <w:style w:type="paragraph" w:customStyle="1" w:styleId="231">
    <w:name w:val="列表段落1"/>
    <w:basedOn w:val="1"/>
    <w:autoRedefine/>
    <w:unhideWhenUsed/>
    <w:qFormat/>
    <w:uiPriority w:val="34"/>
    <w:pPr>
      <w:snapToGrid w:val="0"/>
    </w:pPr>
    <w:rPr>
      <w:sz w:val="24"/>
      <w:szCs w:val="22"/>
    </w:rPr>
  </w:style>
  <w:style w:type="paragraph" w:customStyle="1" w:styleId="232">
    <w:name w:val="正文（绿盟科技）"/>
    <w:autoRedefine/>
    <w:qFormat/>
    <w:uiPriority w:val="0"/>
    <w:pPr>
      <w:spacing w:line="300" w:lineRule="auto"/>
      <w:ind w:firstLine="200" w:firstLineChars="200"/>
    </w:pPr>
    <w:rPr>
      <w:rFonts w:ascii="Arial" w:hAnsi="Arial" w:eastAsia="宋体" w:cs="Times New Roman"/>
      <w:kern w:val="2"/>
      <w:sz w:val="21"/>
      <w:szCs w:val="21"/>
      <w:lang w:val="en-US" w:eastAsia="zh-CN" w:bidi="ar-SA"/>
    </w:rPr>
  </w:style>
  <w:style w:type="paragraph" w:customStyle="1" w:styleId="233">
    <w:name w:val="中等深浅网格 1 - 强调文字颜色 21"/>
    <w:basedOn w:val="1"/>
    <w:autoRedefine/>
    <w:qFormat/>
    <w:uiPriority w:val="34"/>
  </w:style>
  <w:style w:type="paragraph" w:customStyle="1" w:styleId="234">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5">
    <w:name w:val="List Paragraph"/>
    <w:basedOn w:val="1"/>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37923</Words>
  <Characters>39828</Characters>
  <Lines>36</Lines>
  <Paragraphs>85</Paragraphs>
  <TotalTime>28</TotalTime>
  <ScaleCrop>false</ScaleCrop>
  <LinksUpToDate>false</LinksUpToDate>
  <CharactersWithSpaces>40340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2023-06-05T07:22:00Z</dcterms:created>
  <dc:creator>admin</dc:creator>
  <cp:lastModifiedBy>中基-叶xk</cp:lastModifiedBy>
  <cp:lastPrinted>2024-03-22T02:40:00Z</cp:lastPrinted>
  <dcterms:modified xsi:type="dcterms:W3CDTF">2024-04-24T09:00:13Z</dcterms:modified>
  <dc:title>宁波市眼科医院信息安全提升项目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35137291A92B4E56B468E8DC5217AEA6_13</vt:lpwstr>
  </property>
</Properties>
</file>