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0B61B5EC">
      <w:pPr>
        <w:adjustRightInd/>
        <w:spacing w:line="360"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宁海县公办学校食堂学生餐食品原材料</w:t>
      </w:r>
    </w:p>
    <w:p w14:paraId="4FB13BFD">
      <w:pPr>
        <w:adjustRightInd/>
        <w:spacing w:line="360" w:lineRule="auto"/>
        <w:jc w:val="center"/>
        <w:outlineLvl w:val="0"/>
        <w:rPr>
          <w:rFonts w:ascii="宋体" w:hAnsi="宋体" w:cs="宋体"/>
          <w:color w:val="auto"/>
          <w:sz w:val="48"/>
          <w:szCs w:val="48"/>
          <w:highlight w:val="none"/>
        </w:rPr>
      </w:pPr>
      <w:r>
        <w:rPr>
          <w:rFonts w:hint="eastAsia" w:ascii="宋体" w:hAnsi="宋体" w:cs="宋体"/>
          <w:color w:val="auto"/>
          <w:sz w:val="48"/>
          <w:szCs w:val="48"/>
          <w:highlight w:val="none"/>
          <w:lang w:eastAsia="zh-CN"/>
        </w:rPr>
        <w:t>（非粮油类）定点采购项目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CBZJ-20256096G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宁海县教育服务管理中心</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0FCA9DA0">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459421A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07FAB1AC">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cols w:space="720" w:num="1"/>
          <w:titlePg/>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宁海县公办学校食堂学生餐食品原材料（非粮油类）定点采购项目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CBZJ-20256096G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宁海县公办学校食堂学生餐食品原材料（非粮油类）定点采购项目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预算金额（元）：600000000</w:t>
      </w:r>
      <w:r>
        <w:rPr>
          <w:rFonts w:hint="eastAsia" w:ascii="宋体" w:hAnsi="宋体" w:cs="宋体"/>
          <w:b/>
          <w:color w:val="auto"/>
          <w:sz w:val="24"/>
          <w:highlight w:val="none"/>
          <w:lang w:val="en-US" w:eastAsia="zh-CN"/>
        </w:rPr>
        <w:t>.00</w:t>
      </w:r>
    </w:p>
    <w:p w14:paraId="71ADE3C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最高限价（元）：600000000.00</w:t>
      </w:r>
      <w:r>
        <w:rPr>
          <w:rFonts w:hint="eastAsia" w:ascii="宋体" w:hAnsi="宋体" w:cs="宋体"/>
          <w:b/>
          <w:bCs/>
          <w:color w:val="auto"/>
          <w:sz w:val="24"/>
          <w:highlight w:val="none"/>
          <w:lang w:val="en-US" w:eastAsia="zh-CN"/>
        </w:rPr>
        <w:t xml:space="preserve"> </w:t>
      </w:r>
    </w:p>
    <w:p w14:paraId="3708D84F">
      <w:pPr>
        <w:pStyle w:val="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宁海县公办学校食堂学生餐食品原材料（非粮油类）定点采购</w:t>
      </w:r>
    </w:p>
    <w:p w14:paraId="029D4811">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1项</w:t>
      </w:r>
    </w:p>
    <w:p w14:paraId="66E26F71">
      <w:pPr>
        <w:pStyle w:val="7"/>
        <w:spacing w:line="360" w:lineRule="auto"/>
        <w:ind w:firstLine="480"/>
        <w:rPr>
          <w:rFonts w:hint="default" w:hAnsi="宋体" w:cs="宋体"/>
          <w:bCs/>
          <w:snapToGrid/>
          <w:color w:val="auto"/>
          <w:kern w:val="2"/>
          <w:sz w:val="24"/>
          <w:szCs w:val="24"/>
          <w:highlight w:val="none"/>
          <w:lang w:val="en-US"/>
        </w:rPr>
      </w:pPr>
      <w:r>
        <w:rPr>
          <w:rFonts w:hint="eastAsia" w:hAnsi="宋体" w:cs="宋体"/>
          <w:bCs/>
          <w:snapToGrid/>
          <w:color w:val="auto"/>
          <w:kern w:val="2"/>
          <w:sz w:val="24"/>
          <w:szCs w:val="24"/>
          <w:highlight w:val="none"/>
        </w:rPr>
        <w:t>预算金额（元）：600000000.00</w:t>
      </w:r>
    </w:p>
    <w:p w14:paraId="17DA35E5">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简要规格描述或项目基本概况介绍、用途：定</w:t>
      </w:r>
      <w:bookmarkStart w:id="428" w:name="_GoBack"/>
      <w:bookmarkEnd w:id="428"/>
      <w:r>
        <w:rPr>
          <w:rFonts w:hint="eastAsia" w:hAnsi="宋体" w:cs="宋体"/>
          <w:bCs/>
          <w:snapToGrid/>
          <w:color w:val="auto"/>
          <w:kern w:val="2"/>
          <w:sz w:val="24"/>
          <w:szCs w:val="24"/>
          <w:highlight w:val="none"/>
        </w:rPr>
        <w:t>点采购范围包括宁海县公办学校（宁海县所有公办中小学幼儿园、公办参与管理的民办学校）食堂学生餐所需的鲜肉和蛋类、鲜蔬类、冷冻品、鲜虾类、水产类、豆制品类、佐料类、水果类、牛奶类、其他类（除以上种类外的其他食品）；具体以招标文件第三部分采购需求为准，供应商可点击本公告下方“浏览采购文件”查看采购需求。</w:t>
      </w:r>
    </w:p>
    <w:p w14:paraId="295255A1">
      <w:pPr>
        <w:pStyle w:val="7"/>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1）本次定点采购家数为11家。2）如为联合体投标，组成联合体的成员数（含联合体牵头人）不得超过2家。</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自2025年9月1日至2028年8月25日，合同一年一签。采购人根据中标人在上一年度合同履约情况及学生就餐政策情况决定是否续签。供应商如不能按时、按质、按量提供采购人所需货物，由此造成的一切相关损失全部由供应商承担。</w:t>
      </w:r>
    </w:p>
    <w:p w14:paraId="170799DA">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4DBA8A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084F0FF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24E24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0E0AA72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9BC1ED9">
      <w:pPr>
        <w:rPr>
          <w:rFonts w:ascii="宋体" w:hAnsi="宋体" w:cs="宋体"/>
          <w:color w:val="auto"/>
          <w:highlight w:val="none"/>
        </w:rPr>
      </w:pPr>
    </w:p>
    <w:p w14:paraId="50F838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DA9209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541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4.本项目的特定资格要求：供应商具有有效的食品经营许可证[主体业态：食品销售经营者；经营项目：至少包含散装食品和预包装食品销售]。</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日09点00分00秒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称：宁海县教育服务管理中心</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址：宁海县跃龙街道人民路290号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3F6DA2F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项目联系人（询问）：石老师 </w:t>
      </w:r>
    </w:p>
    <w:p w14:paraId="11C47996">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项目联系方式（询问）：0574-65259033</w:t>
      </w:r>
    </w:p>
    <w:p w14:paraId="68B4150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质疑联系人：张老师  </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质疑联系方式：0574-65259630</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朱贤东、史宇骁</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5583</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王近娜</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5279</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473"/>
        <w:gridCol w:w="691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1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1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1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（1）本项目服务专门面向中小企业。</w:t>
            </w:r>
          </w:p>
          <w:p w14:paraId="49BC20F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lang w:eastAsia="zh-CN"/>
              </w:rPr>
              <w:t>宁海县公办学校食堂学生餐食品原材料（非粮油类）定点采购项目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批发业</w:t>
            </w:r>
            <w:r>
              <w:rPr>
                <w:rFonts w:hint="eastAsia" w:ascii="宋体" w:hAnsi="宋体" w:cs="宋体"/>
                <w:color w:val="auto"/>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18" w:type="dxa"/>
            <w:tcBorders>
              <w:top w:val="single" w:color="000000" w:sz="8" w:space="0"/>
              <w:left w:val="single" w:color="000000" w:sz="2" w:space="0"/>
              <w:bottom w:val="single" w:color="000000" w:sz="8" w:space="0"/>
              <w:right w:val="single" w:color="000000" w:sz="8"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辅助</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7816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1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1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1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1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color w:val="auto"/>
                <w:sz w:val="24"/>
                <w:highlight w:val="none"/>
              </w:rPr>
            </w:pPr>
          </w:p>
        </w:tc>
        <w:tc>
          <w:tcPr>
            <w:tcW w:w="691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473" w:type="dxa"/>
            <w:vMerge w:val="restart"/>
            <w:tcBorders>
              <w:top w:val="single" w:color="000000" w:sz="8" w:space="0"/>
              <w:left w:val="single" w:color="000000" w:sz="2" w:space="0"/>
              <w:right w:val="single" w:color="000000" w:sz="8"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18" w:type="dxa"/>
            <w:tcBorders>
              <w:top w:val="single" w:color="000000" w:sz="8" w:space="0"/>
              <w:left w:val="single" w:color="000000" w:sz="2" w:space="0"/>
              <w:bottom w:val="single" w:color="000000" w:sz="8" w:space="0"/>
              <w:right w:val="single" w:color="000000" w:sz="8" w:space="0"/>
            </w:tcBorders>
            <w:vAlign w:val="center"/>
          </w:tcPr>
          <w:p w14:paraId="43D4C409">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14F6AD51">
            <w:pPr>
              <w:snapToGrid w:val="0"/>
              <w:spacing w:line="360" w:lineRule="auto"/>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 xml:space="preserve">本项目采用投标折扣系数形式报价，要求分别报出鲜肉类、蛋类、鲜蔬类、冷冻品、鲜虾类、水产类、豆制品类、佐料类、水果类、其他类（除以上种类外的其他食品）的投标折扣系数。产品所报投标折扣系数依据的基准价为：市场实际零售指导单价，该价格由各学校采价组采集确定。禁止配送无市场实际零售商品或专供产品。     </w:t>
            </w:r>
          </w:p>
          <w:p w14:paraId="181A3EEE">
            <w:pPr>
              <w:snapToGrid w:val="0"/>
              <w:spacing w:line="360" w:lineRule="auto"/>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投标折扣系数</w:t>
            </w:r>
            <w:r>
              <w:rPr>
                <w:rFonts w:hint="eastAsia" w:ascii="宋体" w:hAnsi="宋体" w:cs="宋体"/>
                <w:b/>
                <w:bCs/>
                <w:color w:val="auto"/>
                <w:kern w:val="0"/>
                <w:sz w:val="24"/>
                <w:highlight w:val="none"/>
                <w:lang w:val="en-US" w:eastAsia="zh-CN"/>
              </w:rPr>
              <w:t>报价区间</w:t>
            </w:r>
            <w:r>
              <w:rPr>
                <w:rFonts w:hint="eastAsia" w:ascii="宋体" w:hAnsi="宋体" w:cs="宋体"/>
                <w:b/>
                <w:bCs/>
                <w:color w:val="auto"/>
                <w:kern w:val="0"/>
                <w:sz w:val="24"/>
                <w:highlight w:val="none"/>
                <w:lang w:val="zh-CN"/>
              </w:rPr>
              <w:t>：鲜肉类：</w:t>
            </w:r>
            <w:r>
              <w:rPr>
                <w:rFonts w:hint="eastAsia" w:ascii="宋体" w:hAnsi="宋体" w:cs="宋体"/>
                <w:b/>
                <w:bCs/>
                <w:color w:val="auto"/>
                <w:kern w:val="0"/>
                <w:sz w:val="24"/>
                <w:highlight w:val="none"/>
                <w:lang w:val="en-US" w:eastAsia="zh-CN"/>
              </w:rPr>
              <w:t>90%-96%</w:t>
            </w:r>
            <w:r>
              <w:rPr>
                <w:rFonts w:hint="eastAsia" w:ascii="宋体" w:hAnsi="宋体" w:cs="宋体"/>
                <w:b/>
                <w:bCs/>
                <w:color w:val="auto"/>
                <w:kern w:val="0"/>
                <w:sz w:val="24"/>
                <w:highlight w:val="none"/>
                <w:lang w:val="zh-CN"/>
              </w:rPr>
              <w:t>；蛋类：</w:t>
            </w:r>
            <w:r>
              <w:rPr>
                <w:rFonts w:hint="eastAsia" w:ascii="宋体" w:hAnsi="宋体" w:cs="宋体"/>
                <w:b/>
                <w:bCs/>
                <w:color w:val="auto"/>
                <w:kern w:val="0"/>
                <w:sz w:val="24"/>
                <w:highlight w:val="none"/>
                <w:lang w:val="en-US" w:eastAsia="zh-CN"/>
              </w:rPr>
              <w:t>91%-99</w:t>
            </w:r>
            <w:r>
              <w:rPr>
                <w:rFonts w:hint="eastAsia" w:ascii="宋体" w:hAnsi="宋体" w:cs="宋体"/>
                <w:b/>
                <w:bCs/>
                <w:color w:val="auto"/>
                <w:kern w:val="0"/>
                <w:sz w:val="24"/>
                <w:highlight w:val="none"/>
                <w:lang w:val="zh-CN"/>
              </w:rPr>
              <w:t>%；鲜蔬类：</w:t>
            </w:r>
            <w:r>
              <w:rPr>
                <w:rFonts w:hint="eastAsia" w:ascii="宋体" w:hAnsi="宋体" w:cs="宋体"/>
                <w:b/>
                <w:bCs/>
                <w:color w:val="auto"/>
                <w:kern w:val="0"/>
                <w:sz w:val="24"/>
                <w:highlight w:val="none"/>
                <w:lang w:val="en-US" w:eastAsia="zh-CN"/>
              </w:rPr>
              <w:t>74%-84%</w:t>
            </w:r>
            <w:r>
              <w:rPr>
                <w:rFonts w:hint="eastAsia" w:ascii="宋体" w:hAnsi="宋体" w:cs="宋体"/>
                <w:b/>
                <w:bCs/>
                <w:color w:val="auto"/>
                <w:kern w:val="0"/>
                <w:sz w:val="24"/>
                <w:highlight w:val="none"/>
                <w:lang w:val="zh-CN"/>
              </w:rPr>
              <w:t>；鲜虾类：</w:t>
            </w:r>
            <w:r>
              <w:rPr>
                <w:rFonts w:hint="eastAsia" w:ascii="宋体" w:hAnsi="宋体" w:cs="宋体"/>
                <w:b/>
                <w:bCs/>
                <w:color w:val="auto"/>
                <w:kern w:val="0"/>
                <w:sz w:val="24"/>
                <w:highlight w:val="none"/>
                <w:lang w:val="en-US" w:eastAsia="zh-CN"/>
              </w:rPr>
              <w:t>94%-100%</w:t>
            </w:r>
            <w:r>
              <w:rPr>
                <w:rFonts w:hint="eastAsia" w:ascii="宋体" w:hAnsi="宋体" w:cs="宋体"/>
                <w:b/>
                <w:bCs/>
                <w:color w:val="auto"/>
                <w:kern w:val="0"/>
                <w:sz w:val="24"/>
                <w:highlight w:val="none"/>
                <w:lang w:val="zh-CN"/>
              </w:rPr>
              <w:t>；水产类：</w:t>
            </w:r>
            <w:r>
              <w:rPr>
                <w:rFonts w:hint="eastAsia" w:ascii="宋体" w:hAnsi="宋体" w:cs="宋体"/>
                <w:b/>
                <w:bCs/>
                <w:color w:val="auto"/>
                <w:kern w:val="0"/>
                <w:sz w:val="24"/>
                <w:highlight w:val="none"/>
                <w:lang w:val="en-US" w:eastAsia="zh-CN"/>
              </w:rPr>
              <w:t>82%-89%</w:t>
            </w:r>
            <w:r>
              <w:rPr>
                <w:rFonts w:hint="eastAsia" w:ascii="宋体" w:hAnsi="宋体" w:cs="宋体"/>
                <w:b/>
                <w:bCs/>
                <w:color w:val="auto"/>
                <w:kern w:val="0"/>
                <w:sz w:val="24"/>
                <w:highlight w:val="none"/>
                <w:lang w:val="zh-CN"/>
              </w:rPr>
              <w:t>；豆制品类：</w:t>
            </w:r>
            <w:r>
              <w:rPr>
                <w:rFonts w:hint="eastAsia" w:ascii="宋体" w:hAnsi="宋体" w:cs="宋体"/>
                <w:b/>
                <w:bCs/>
                <w:color w:val="auto"/>
                <w:kern w:val="0"/>
                <w:sz w:val="24"/>
                <w:highlight w:val="none"/>
                <w:lang w:val="en-US" w:eastAsia="zh-CN"/>
              </w:rPr>
              <w:t>84%-92%</w:t>
            </w:r>
            <w:r>
              <w:rPr>
                <w:rFonts w:hint="eastAsia" w:ascii="宋体" w:hAnsi="宋体" w:cs="宋体"/>
                <w:b/>
                <w:bCs/>
                <w:color w:val="auto"/>
                <w:kern w:val="0"/>
                <w:sz w:val="24"/>
                <w:highlight w:val="none"/>
                <w:lang w:val="zh-CN"/>
              </w:rPr>
              <w:t>；佐料类：</w:t>
            </w:r>
            <w:r>
              <w:rPr>
                <w:rFonts w:hint="eastAsia" w:ascii="宋体" w:hAnsi="宋体" w:cs="宋体"/>
                <w:b/>
                <w:bCs/>
                <w:color w:val="auto"/>
                <w:kern w:val="0"/>
                <w:sz w:val="24"/>
                <w:highlight w:val="none"/>
                <w:lang w:val="en-US" w:eastAsia="zh-CN"/>
              </w:rPr>
              <w:t>92%-99%</w:t>
            </w:r>
            <w:r>
              <w:rPr>
                <w:rFonts w:hint="eastAsia" w:ascii="宋体" w:hAnsi="宋体" w:cs="宋体"/>
                <w:b/>
                <w:bCs/>
                <w:color w:val="auto"/>
                <w:kern w:val="0"/>
                <w:sz w:val="24"/>
                <w:highlight w:val="none"/>
                <w:lang w:val="zh-CN"/>
              </w:rPr>
              <w:t>；水果类：</w:t>
            </w:r>
            <w:r>
              <w:rPr>
                <w:rFonts w:hint="eastAsia" w:ascii="宋体" w:hAnsi="宋体" w:cs="宋体"/>
                <w:b/>
                <w:bCs/>
                <w:color w:val="auto"/>
                <w:kern w:val="0"/>
                <w:sz w:val="24"/>
                <w:highlight w:val="none"/>
                <w:lang w:val="en-US" w:eastAsia="zh-CN"/>
              </w:rPr>
              <w:t>78%-84%</w:t>
            </w:r>
            <w:r>
              <w:rPr>
                <w:rFonts w:hint="eastAsia" w:ascii="宋体" w:hAnsi="宋体" w:cs="宋体"/>
                <w:b/>
                <w:bCs/>
                <w:color w:val="auto"/>
                <w:kern w:val="0"/>
                <w:sz w:val="24"/>
                <w:highlight w:val="none"/>
                <w:lang w:val="zh-CN"/>
              </w:rPr>
              <w:t>；其他类：</w:t>
            </w:r>
            <w:r>
              <w:rPr>
                <w:rFonts w:hint="eastAsia" w:ascii="宋体" w:hAnsi="宋体" w:cs="宋体"/>
                <w:b/>
                <w:bCs/>
                <w:color w:val="auto"/>
                <w:kern w:val="0"/>
                <w:sz w:val="24"/>
                <w:highlight w:val="none"/>
                <w:lang w:val="en-US" w:eastAsia="zh-CN"/>
              </w:rPr>
              <w:t>84%-92%</w:t>
            </w:r>
            <w:r>
              <w:rPr>
                <w:rFonts w:hint="eastAsia" w:ascii="宋体" w:hAnsi="宋体" w:cs="宋体"/>
                <w:b/>
                <w:bCs/>
                <w:color w:val="auto"/>
                <w:kern w:val="0"/>
                <w:sz w:val="24"/>
                <w:highlight w:val="none"/>
                <w:lang w:val="zh-CN"/>
              </w:rPr>
              <w:t>。供应商所报投标折扣系数</w:t>
            </w:r>
            <w:r>
              <w:rPr>
                <w:rFonts w:hint="eastAsia" w:ascii="宋体" w:hAnsi="宋体" w:cs="宋体"/>
                <w:b/>
                <w:bCs/>
                <w:color w:val="auto"/>
                <w:kern w:val="0"/>
                <w:sz w:val="24"/>
                <w:highlight w:val="none"/>
                <w:lang w:val="en-US" w:eastAsia="zh-CN"/>
              </w:rPr>
              <w:t>超出上述报价区间</w:t>
            </w:r>
            <w:r>
              <w:rPr>
                <w:rFonts w:hint="eastAsia" w:ascii="宋体" w:hAnsi="宋体" w:cs="宋体"/>
                <w:b/>
                <w:bCs/>
                <w:color w:val="auto"/>
                <w:kern w:val="0"/>
                <w:sz w:val="24"/>
                <w:highlight w:val="none"/>
                <w:lang w:val="zh-CN"/>
              </w:rPr>
              <w:t>，均作无效标处理。</w:t>
            </w:r>
          </w:p>
          <w:p w14:paraId="4CD2DFA7">
            <w:pPr>
              <w:snapToGrid w:val="0"/>
              <w:spacing w:line="360" w:lineRule="auto"/>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冷冻品、牛奶类商品实施准入机制，准入目录动态调整，冷冻品价格原则上按市场价</w:t>
            </w:r>
            <w:r>
              <w:rPr>
                <w:rFonts w:hint="eastAsia" w:ascii="宋体" w:hAnsi="宋体" w:cs="宋体"/>
                <w:b/>
                <w:bCs/>
                <w:color w:val="auto"/>
                <w:kern w:val="0"/>
                <w:sz w:val="24"/>
                <w:highlight w:val="none"/>
                <w:lang w:val="en-US" w:eastAsia="zh-CN"/>
              </w:rPr>
              <w:t xml:space="preserve">的82% </w:t>
            </w:r>
            <w:r>
              <w:rPr>
                <w:rFonts w:hint="eastAsia" w:ascii="宋体" w:hAnsi="宋体" w:cs="宋体"/>
                <w:b/>
                <w:bCs/>
                <w:color w:val="auto"/>
                <w:kern w:val="0"/>
                <w:sz w:val="24"/>
                <w:highlight w:val="none"/>
                <w:lang w:val="zh-CN"/>
              </w:rPr>
              <w:t>实行，牛奶类价格原则上按市场价</w:t>
            </w:r>
            <w:r>
              <w:rPr>
                <w:rFonts w:hint="eastAsia" w:ascii="宋体" w:hAnsi="宋体" w:cs="宋体"/>
                <w:b/>
                <w:bCs/>
                <w:color w:val="auto"/>
                <w:kern w:val="0"/>
                <w:sz w:val="24"/>
                <w:highlight w:val="none"/>
                <w:lang w:val="en-US" w:eastAsia="zh-CN"/>
              </w:rPr>
              <w:t>92%</w:t>
            </w:r>
            <w:r>
              <w:rPr>
                <w:rFonts w:hint="eastAsia" w:ascii="宋体" w:hAnsi="宋体" w:cs="宋体"/>
                <w:b/>
                <w:bCs/>
                <w:color w:val="auto"/>
                <w:kern w:val="0"/>
                <w:sz w:val="24"/>
                <w:highlight w:val="none"/>
                <w:lang w:val="zh-CN"/>
              </w:rPr>
              <w:t>实行。冷冻品和牛奶类供应商需按上述</w:t>
            </w:r>
            <w:r>
              <w:rPr>
                <w:rFonts w:hint="eastAsia" w:ascii="宋体" w:hAnsi="宋体" w:cs="宋体"/>
                <w:b/>
                <w:bCs/>
                <w:color w:val="auto"/>
                <w:kern w:val="0"/>
                <w:sz w:val="24"/>
                <w:highlight w:val="none"/>
                <w:lang w:val="en-US" w:eastAsia="zh-CN"/>
              </w:rPr>
              <w:t>折扣系数</w:t>
            </w:r>
            <w:r>
              <w:rPr>
                <w:rFonts w:hint="eastAsia" w:ascii="宋体" w:hAnsi="宋体" w:cs="宋体"/>
                <w:b/>
                <w:bCs/>
                <w:color w:val="auto"/>
                <w:kern w:val="0"/>
                <w:sz w:val="24"/>
                <w:highlight w:val="none"/>
                <w:lang w:val="zh-CN"/>
              </w:rPr>
              <w:t>进行报价，不得更改，否则作无效标处理。</w:t>
            </w:r>
          </w:p>
          <w:p w14:paraId="7915086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具体供应食品价格须包含原材料成本、包装、运输费（送货到采购人指定的现场）、保险、上下车、利润、税金、政策性规费、售后服务等所有中标人应承担的全部费用。</w:t>
            </w:r>
          </w:p>
          <w:p w14:paraId="35209329">
            <w:pPr>
              <w:snapToGrid w:val="0"/>
              <w:spacing w:line="360" w:lineRule="auto"/>
              <w:jc w:val="left"/>
              <w:rPr>
                <w:rFonts w:ascii="宋体" w:hAnsi="宋体" w:cs="宋体"/>
                <w:color w:val="auto"/>
                <w:sz w:val="24"/>
                <w:highlight w:val="none"/>
              </w:rPr>
            </w:pPr>
            <w:r>
              <w:rPr>
                <w:rFonts w:hint="eastAsia" w:ascii="宋体" w:hAnsi="宋体" w:cs="宋体"/>
                <w:b/>
                <w:color w:val="auto"/>
                <w:kern w:val="0"/>
                <w:sz w:val="24"/>
                <w:highlight w:val="none"/>
                <w:lang w:val="zh-CN"/>
              </w:rPr>
              <w:t>供应商必须在投标文件中承诺：如获中标，定点采购合同中各类别食品原材料的合同执行</w:t>
            </w:r>
            <w:r>
              <w:rPr>
                <w:rFonts w:hint="eastAsia" w:ascii="宋体" w:hAnsi="宋体" w:cs="宋体"/>
                <w:b/>
                <w:color w:val="auto"/>
                <w:kern w:val="0"/>
                <w:sz w:val="24"/>
                <w:highlight w:val="none"/>
                <w:lang w:val="en-US" w:eastAsia="zh-CN"/>
              </w:rPr>
              <w:t>折扣系数</w:t>
            </w:r>
            <w:r>
              <w:rPr>
                <w:rFonts w:hint="eastAsia" w:ascii="宋体" w:hAnsi="宋体" w:cs="宋体"/>
                <w:b/>
                <w:color w:val="auto"/>
                <w:kern w:val="0"/>
                <w:sz w:val="24"/>
                <w:highlight w:val="none"/>
                <w:lang w:val="zh-CN"/>
              </w:rPr>
              <w:t>以所有中标人中该类别食品原材料的</w:t>
            </w:r>
            <w:r>
              <w:rPr>
                <w:rFonts w:hint="eastAsia" w:ascii="宋体" w:hAnsi="宋体" w:cs="宋体"/>
                <w:b/>
                <w:color w:val="auto"/>
                <w:kern w:val="0"/>
                <w:sz w:val="24"/>
                <w:highlight w:val="none"/>
                <w:lang w:val="en-US" w:eastAsia="zh-CN"/>
              </w:rPr>
              <w:t>最低投标折扣系数</w:t>
            </w:r>
            <w:r>
              <w:rPr>
                <w:rFonts w:hint="eastAsia" w:ascii="宋体" w:hAnsi="宋体" w:cs="宋体"/>
                <w:b/>
                <w:color w:val="auto"/>
                <w:kern w:val="0"/>
                <w:sz w:val="24"/>
                <w:highlight w:val="none"/>
                <w:lang w:val="zh-CN"/>
              </w:rPr>
              <w:t>为准（四舍五入，保留一位小数）。</w:t>
            </w:r>
          </w:p>
        </w:tc>
      </w:tr>
      <w:tr w14:paraId="14BE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258A66">
            <w:pPr>
              <w:snapToGrid w:val="0"/>
              <w:spacing w:line="360" w:lineRule="auto"/>
              <w:jc w:val="center"/>
              <w:rPr>
                <w:rFonts w:hint="eastAsia" w:ascii="宋体" w:hAnsi="宋体" w:cs="宋体"/>
                <w:color w:val="auto"/>
                <w:sz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12D2BF0D">
            <w:pPr>
              <w:snapToGrid w:val="0"/>
              <w:spacing w:line="360" w:lineRule="auto"/>
              <w:jc w:val="center"/>
              <w:rPr>
                <w:rFonts w:hint="eastAsia" w:ascii="宋体" w:hAnsi="宋体" w:cs="宋体"/>
                <w:b/>
                <w:color w:val="auto"/>
                <w:sz w:val="24"/>
                <w:highlight w:val="none"/>
              </w:rPr>
            </w:pPr>
          </w:p>
        </w:tc>
        <w:tc>
          <w:tcPr>
            <w:tcW w:w="6918" w:type="dxa"/>
            <w:tcBorders>
              <w:top w:val="single" w:color="000000" w:sz="8" w:space="0"/>
              <w:left w:val="single" w:color="000000" w:sz="2" w:space="0"/>
              <w:bottom w:val="single" w:color="000000" w:sz="8" w:space="0"/>
              <w:right w:val="single" w:color="000000" w:sz="8" w:space="0"/>
            </w:tcBorders>
            <w:vAlign w:val="center"/>
          </w:tcPr>
          <w:p w14:paraId="1BF6556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3B127D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B9E2F3E">
            <w:pPr>
              <w:spacing w:line="360" w:lineRule="auto"/>
              <w:ind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w:t>
            </w:r>
            <w:r>
              <w:rPr>
                <w:rFonts w:hint="eastAsia" w:ascii="宋体" w:hAnsi="宋体" w:cs="宋体"/>
                <w:b/>
                <w:color w:val="auto"/>
                <w:kern w:val="0"/>
                <w:sz w:val="24"/>
                <w:highlight w:val="none"/>
                <w:lang w:val="en-US" w:eastAsia="zh-CN"/>
              </w:rPr>
              <w:t>或者超出报价区间</w:t>
            </w:r>
            <w:r>
              <w:rPr>
                <w:rFonts w:hint="eastAsia" w:ascii="宋体" w:hAnsi="宋体" w:cs="宋体"/>
                <w:b/>
                <w:color w:val="auto"/>
                <w:kern w:val="0"/>
                <w:sz w:val="24"/>
                <w:highlight w:val="none"/>
                <w:lang w:val="zh-CN"/>
              </w:rPr>
              <w:t>的；</w:t>
            </w:r>
          </w:p>
          <w:p w14:paraId="6E3B9065">
            <w:pPr>
              <w:spacing w:line="360" w:lineRule="auto"/>
              <w:ind w:firstLine="241" w:firstLineChars="100"/>
              <w:rPr>
                <w:rFonts w:hint="eastAsia" w:ascii="宋体" w:hAnsi="宋体" w:cs="宋体"/>
                <w:b/>
                <w:color w:val="auto"/>
                <w:sz w:val="24"/>
                <w:szCs w:val="21"/>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B1931CE">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47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1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47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91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w:t>
            </w:r>
            <w:r>
              <w:rPr>
                <w:rFonts w:hint="eastAsia" w:hAnsi="宋体" w:cs="宋体"/>
                <w:color w:val="auto"/>
                <w:sz w:val="24"/>
                <w:highlight w:val="none"/>
                <w:u w:val="single"/>
                <w:lang w:val="en-US" w:eastAsia="zh-CN"/>
              </w:rPr>
              <w:t>5583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473"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91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47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918" w:type="dxa"/>
            <w:tcBorders>
              <w:top w:val="single" w:color="000000" w:sz="8" w:space="0"/>
              <w:left w:val="single" w:color="auto" w:sz="4" w:space="0"/>
              <w:bottom w:val="single" w:color="000000" w:sz="8" w:space="0"/>
              <w:right w:val="single" w:color="000000" w:sz="8" w:space="0"/>
            </w:tcBorders>
            <w:vAlign w:val="center"/>
          </w:tcPr>
          <w:p w14:paraId="0639842B">
            <w:pPr>
              <w:spacing w:line="360" w:lineRule="auto"/>
              <w:ind w:left="0" w:firstLine="0" w:firstLine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招标代理服务费的收取标准：采购代理机构向每家中标人收取</w:t>
            </w:r>
            <w:r>
              <w:rPr>
                <w:rFonts w:hint="eastAsia" w:ascii="宋体" w:hAnsi="宋体" w:cs="宋体"/>
                <w:snapToGrid w:val="0"/>
                <w:color w:val="auto"/>
                <w:kern w:val="28"/>
                <w:sz w:val="24"/>
                <w:highlight w:val="none"/>
                <w:lang w:val="en-US" w:eastAsia="zh-CN"/>
              </w:rPr>
              <w:t>15000</w:t>
            </w:r>
            <w:r>
              <w:rPr>
                <w:rFonts w:hint="eastAsia" w:ascii="宋体" w:hAnsi="宋体" w:eastAsia="宋体" w:cs="宋体"/>
                <w:snapToGrid w:val="0"/>
                <w:color w:val="auto"/>
                <w:kern w:val="28"/>
                <w:sz w:val="24"/>
                <w:highlight w:val="none"/>
                <w:lang w:eastAsia="zh-CN"/>
              </w:rPr>
              <w:t>元的中标服务费。关于本次采购的服务费汇入以下账户：</w:t>
            </w:r>
          </w:p>
          <w:p w14:paraId="33537D5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宁波银行股份有限公司鄞州中心区支行</w:t>
            </w:r>
          </w:p>
          <w:p w14:paraId="7DD1F49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30010122001229488</w:t>
            </w:r>
          </w:p>
          <w:p w14:paraId="34F0C16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浙江中基正采管理咨询有限公司</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注：中标人接到本公司通知后5个工作日内向本采购代理机构领取中标通知书（根据中标人需求可采用邮寄或到采购代理机构现场领取）。</w:t>
            </w:r>
          </w:p>
        </w:tc>
      </w:tr>
    </w:tbl>
    <w:p w14:paraId="5C1C8E68">
      <w:pPr>
        <w:snapToGrid w:val="0"/>
        <w:spacing w:line="360" w:lineRule="auto"/>
        <w:jc w:val="center"/>
        <w:rPr>
          <w:rFonts w:ascii="宋体" w:hAnsi="宋体" w:cs="宋体"/>
          <w:b/>
          <w:color w:val="auto"/>
          <w:sz w:val="32"/>
          <w:szCs w:val="20"/>
          <w:highlight w:val="none"/>
        </w:rPr>
      </w:pPr>
    </w:p>
    <w:bookmarkEnd w:id="10"/>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_Toc164416483"/>
      <w:bookmarkStart w:id="15" w:name="第三部分"/>
      <w:r>
        <w:rPr>
          <w:rFonts w:hint="eastAsia" w:ascii="宋体" w:hAnsi="宋体" w:cs="宋体"/>
          <w:b/>
          <w:color w:val="auto"/>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6" w:name="_Toc22433"/>
      <w:r>
        <w:rPr>
          <w:rFonts w:hint="eastAsia" w:ascii="宋体" w:hAnsi="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6E4E6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7411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DD195C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D78A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68003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E8C1EB1">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4.2供应商询问</w:t>
      </w:r>
    </w:p>
    <w:p w14:paraId="0B6BA2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4.3供应商质疑</w:t>
      </w:r>
    </w:p>
    <w:p w14:paraId="66B2F96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15EBB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7E57EF">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700291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362DB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584290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260AA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0740CE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F1FB80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EE3FB00">
      <w:pPr>
        <w:pStyle w:val="33"/>
        <w:spacing w:line="360" w:lineRule="auto"/>
        <w:ind w:firstLine="960" w:firstLineChars="400"/>
        <w:rPr>
          <w:rFonts w:hAnsi="宋体" w:cs="宋体"/>
          <w:color w:val="auto"/>
          <w:kern w:val="0"/>
          <w:sz w:val="24"/>
          <w:highlight w:val="none"/>
        </w:rPr>
      </w:pPr>
      <w:r>
        <w:rPr>
          <w:rFonts w:hint="eastAsia" w:hAnsi="宋体" w:cs="宋体"/>
          <w:color w:val="auto"/>
          <w:kern w:val="0"/>
          <w:sz w:val="24"/>
          <w:highlight w:val="none"/>
          <w:lang w:val="zh-CN"/>
        </w:rPr>
        <w:t>4.3.3.6提出质疑的日期。</w:t>
      </w:r>
    </w:p>
    <w:p w14:paraId="4B20FEA6">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质疑函范本及制作说明详见附件2。</w:t>
      </w:r>
    </w:p>
    <w:p w14:paraId="6C4BF78D">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4.3.4对同一采购程序环节的质疑，供应商须在法定质疑期内一次性提出。</w:t>
      </w:r>
    </w:p>
    <w:p w14:paraId="3964C439">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hAnsi="宋体" w:cs="宋体"/>
          <w:color w:val="auto"/>
          <w:sz w:val="24"/>
          <w:highlight w:val="none"/>
          <w:lang w:val="en-US" w:eastAsia="zh-CN"/>
        </w:rPr>
        <w:t>2</w:t>
      </w:r>
      <w:r>
        <w:rPr>
          <w:rFonts w:hint="eastAsia" w:hAnsi="宋体" w:cs="宋体"/>
          <w:color w:val="auto"/>
          <w:sz w:val="24"/>
          <w:highlight w:val="none"/>
        </w:rPr>
        <w:t>号）</w:t>
      </w:r>
      <w:r>
        <w:rPr>
          <w:rFonts w:hint="eastAsia" w:hAnsi="宋体" w:cs="宋体"/>
          <w:color w:val="auto"/>
          <w:sz w:val="24"/>
          <w:highlight w:val="none"/>
          <w:lang w:eastAsia="zh-CN"/>
        </w:rPr>
        <w:t>，</w:t>
      </w:r>
      <w:r>
        <w:rPr>
          <w:rFonts w:hint="eastAsia" w:hAnsi="宋体" w:cs="宋体"/>
          <w:color w:val="auto"/>
          <w:sz w:val="24"/>
          <w:highlight w:val="none"/>
        </w:rPr>
        <w:t>采购人或者采购代理机构在质疑回复后5个工作日内，在浙江政府采购网的“</w:t>
      </w:r>
      <w:r>
        <w:rPr>
          <w:rFonts w:hint="eastAsia" w:hAnsi="宋体" w:cs="宋体"/>
          <w:color w:val="auto"/>
          <w:sz w:val="24"/>
          <w:highlight w:val="none"/>
          <w:lang w:val="en-US" w:eastAsia="zh-CN"/>
        </w:rPr>
        <w:t>质疑回复</w:t>
      </w:r>
      <w:r>
        <w:rPr>
          <w:rFonts w:hint="eastAsia" w:hAnsi="宋体" w:cs="宋体"/>
          <w:color w:val="auto"/>
          <w:sz w:val="24"/>
          <w:highlight w:val="none"/>
        </w:rPr>
        <w:t>公告”栏目公开质疑答复，答复内容应当完整。质疑函作为附件上传。</w:t>
      </w:r>
    </w:p>
    <w:p w14:paraId="69C89D0A">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.6询问或者质疑事项可能影响采购结果的，采购人应当暂停签订合同，已经签订合同的，应当中止履行合同。</w:t>
      </w:r>
    </w:p>
    <w:p w14:paraId="503D7CC5">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61E8803C">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w:t>
      </w:r>
      <w:r>
        <w:rPr>
          <w:rFonts w:hint="eastAsia" w:hAnsi="宋体" w:cs="宋体"/>
          <w:color w:val="auto"/>
          <w:sz w:val="24"/>
          <w:highlight w:val="none"/>
          <w:lang w:val="zh-CN"/>
        </w:rPr>
        <w:t>2</w:t>
      </w:r>
      <w:r>
        <w:rPr>
          <w:rFonts w:hint="eastAsia" w:hAnsi="宋体" w:cs="宋体"/>
          <w:color w:val="auto"/>
          <w:sz w:val="24"/>
          <w:highlight w:val="none"/>
        </w:rPr>
        <w:t>供应商投诉的事项不得超出已质疑事项的范围，基于质疑答复内容提出的投诉事项除外。</w:t>
      </w:r>
    </w:p>
    <w:p w14:paraId="37ABA723">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4.4.3供应商投诉应当有明确的请求和必要的证明材料。</w:t>
      </w:r>
    </w:p>
    <w:p w14:paraId="4F37AD0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4.4.4以联合体形式参加政府采购活动的，其投诉应当由组成联合体的所有供应商共同提出。</w:t>
      </w:r>
    </w:p>
    <w:p w14:paraId="25F4B73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4.4.5投诉材料寄送相关信息详见《第一部分  招标公告》。</w:t>
      </w:r>
    </w:p>
    <w:p w14:paraId="38246C47">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17" w:name="_Toc1367"/>
      <w:r>
        <w:rPr>
          <w:rFonts w:hint="eastAsia" w:ascii="宋体" w:hAnsi="宋体" w:cs="宋体"/>
          <w:b/>
          <w:color w:val="auto"/>
          <w:sz w:val="32"/>
          <w:szCs w:val="20"/>
          <w:highlight w:val="none"/>
        </w:rPr>
        <w:t>二、招标文件的构成、澄清、修改</w:t>
      </w:r>
      <w:bookmarkEnd w:id="17"/>
    </w:p>
    <w:p w14:paraId="7FDF9CA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ascii="宋体" w:hAnsi="宋体" w:cs="宋体"/>
          <w:b/>
          <w:color w:val="auto"/>
          <w:sz w:val="30"/>
          <w:szCs w:val="20"/>
          <w:highlight w:val="none"/>
        </w:rPr>
      </w:pPr>
      <w:bookmarkStart w:id="18" w:name="_Toc14280"/>
      <w:r>
        <w:rPr>
          <w:rFonts w:hint="eastAsia" w:ascii="宋体" w:hAnsi="宋体" w:cs="宋体"/>
          <w:b/>
          <w:color w:val="auto"/>
          <w:sz w:val="30"/>
          <w:szCs w:val="20"/>
          <w:highlight w:val="none"/>
        </w:rPr>
        <w:t>三、投标</w:t>
      </w:r>
      <w:bookmarkEnd w:id="18"/>
    </w:p>
    <w:p w14:paraId="779ECAD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EE6AD46">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E2D7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57C0B96">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11.3.2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5F7D2DC">
      <w:pPr>
        <w:pStyle w:val="133"/>
        <w:snapToGrid w:val="0"/>
        <w:spacing w:before="0"/>
        <w:ind w:firstLine="0" w:firstLineChars="0"/>
        <w:outlineLvl w:val="0"/>
        <w:rPr>
          <w:rFonts w:ascii="宋体" w:hAnsi="宋体" w:cs="宋体"/>
          <w:b/>
          <w:color w:val="auto"/>
          <w:szCs w:val="24"/>
          <w:highlight w:val="none"/>
        </w:rPr>
      </w:pPr>
      <w:bookmarkStart w:id="19" w:name="_Toc25133"/>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7273B0">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w:t>
      </w:r>
      <w:r>
        <w:rPr>
          <w:rFonts w:hint="eastAsia" w:ascii="宋体" w:hAnsi="宋体" w:cs="宋体"/>
          <w:color w:val="auto"/>
          <w:highlight w:val="none"/>
          <w:lang w:val="en-US" w:eastAsia="zh-CN"/>
        </w:rPr>
        <w:t>13</w:t>
      </w:r>
      <w:r>
        <w:rPr>
          <w:rFonts w:hint="eastAsia" w:ascii="宋体" w:hAnsi="宋体" w:cs="宋体"/>
          <w:color w:val="auto"/>
          <w:highlight w:val="none"/>
        </w:rPr>
        <w:t>家的，不再评标。</w:t>
      </w:r>
    </w:p>
    <w:p w14:paraId="5371075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snapToGrid w:val="0"/>
        <w:spacing w:line="360" w:lineRule="auto"/>
        <w:jc w:val="center"/>
        <w:outlineLvl w:val="0"/>
        <w:rPr>
          <w:rFonts w:ascii="宋体" w:hAnsi="宋体" w:cs="宋体"/>
          <w:b/>
          <w:color w:val="auto"/>
          <w:sz w:val="36"/>
          <w:szCs w:val="36"/>
          <w:highlight w:val="none"/>
        </w:rPr>
      </w:pPr>
      <w:bookmarkStart w:id="20" w:name="_Toc132"/>
      <w:r>
        <w:rPr>
          <w:rFonts w:hint="eastAsia" w:ascii="宋体" w:hAnsi="宋体" w:cs="宋体"/>
          <w:b/>
          <w:color w:val="auto"/>
          <w:sz w:val="36"/>
          <w:szCs w:val="36"/>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snapToGrid w:val="0"/>
        <w:spacing w:line="360" w:lineRule="auto"/>
        <w:jc w:val="center"/>
        <w:outlineLvl w:val="0"/>
        <w:rPr>
          <w:rFonts w:ascii="宋体" w:hAnsi="宋体" w:cs="宋体"/>
          <w:b/>
          <w:color w:val="auto"/>
          <w:sz w:val="36"/>
          <w:szCs w:val="36"/>
          <w:highlight w:val="none"/>
        </w:rPr>
      </w:pPr>
      <w:bookmarkStart w:id="22" w:name="_Toc25823"/>
      <w:r>
        <w:rPr>
          <w:rFonts w:hint="eastAsia" w:ascii="宋体" w:hAnsi="宋体" w:cs="宋体"/>
          <w:b/>
          <w:color w:val="auto"/>
          <w:sz w:val="36"/>
          <w:szCs w:val="36"/>
          <w:highlight w:val="none"/>
        </w:rPr>
        <w:t>六、定 标</w:t>
      </w:r>
      <w:bookmarkEnd w:id="22"/>
    </w:p>
    <w:p w14:paraId="7A0BBA42">
      <w:pPr>
        <w:pStyle w:val="25"/>
        <w:spacing w:line="360" w:lineRule="auto"/>
        <w:ind w:left="487" w:hanging="479" w:hangingChars="199"/>
        <w:rPr>
          <w:rFonts w:cs="宋体"/>
          <w:b/>
          <w:color w:val="auto"/>
          <w:highlight w:val="none"/>
        </w:rPr>
      </w:pPr>
      <w:r>
        <w:rPr>
          <w:rFonts w:hint="eastAsia" w:cs="宋体"/>
          <w:b/>
          <w:color w:val="auto"/>
          <w:highlight w:val="none"/>
        </w:rPr>
        <w:t>22. 确定中标人</w:t>
      </w:r>
    </w:p>
    <w:p w14:paraId="2EF566F8">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7ECBBB25">
      <w:pPr>
        <w:pStyle w:val="133"/>
        <w:snapToGrid w:val="0"/>
        <w:spacing w:before="0"/>
        <w:ind w:firstLine="480"/>
        <w:rPr>
          <w:rFonts w:hint="eastAsia" w:ascii="宋体" w:hAnsi="宋体" w:eastAsia="宋体" w:cs="宋体"/>
          <w:b/>
          <w:bCs/>
          <w:color w:val="auto"/>
          <w:szCs w:val="24"/>
          <w:highlight w:val="none"/>
          <w:lang w:eastAsia="zh-CN"/>
        </w:rPr>
      </w:pPr>
      <w:r>
        <w:rPr>
          <w:rFonts w:hint="eastAsia" w:cs="宋体"/>
          <w:b/>
          <w:color w:val="auto"/>
          <w:highlight w:val="none"/>
          <w:lang w:val="en-US" w:eastAsia="zh-CN"/>
        </w:rPr>
        <w:t>本项目</w:t>
      </w:r>
      <w:r>
        <w:rPr>
          <w:rFonts w:hint="eastAsia" w:cs="宋体"/>
          <w:b/>
          <w:color w:val="auto"/>
          <w:highlight w:val="none"/>
        </w:rPr>
        <w:t>确定</w:t>
      </w:r>
      <w:r>
        <w:rPr>
          <w:rFonts w:hint="eastAsia" w:cs="宋体"/>
          <w:b/>
          <w:color w:val="auto"/>
          <w:highlight w:val="none"/>
          <w:lang w:val="en-US" w:eastAsia="zh-CN"/>
        </w:rPr>
        <w:t>11</w:t>
      </w:r>
      <w:r>
        <w:rPr>
          <w:rFonts w:hint="eastAsia" w:cs="宋体"/>
          <w:b/>
          <w:color w:val="auto"/>
          <w:highlight w:val="none"/>
        </w:rPr>
        <w:t>位中标人</w:t>
      </w:r>
      <w:r>
        <w:rPr>
          <w:rFonts w:hint="eastAsia" w:ascii="宋体" w:hAnsi="宋体" w:eastAsia="宋体" w:cs="宋体"/>
          <w:b/>
          <w:bCs/>
          <w:color w:val="auto"/>
          <w:szCs w:val="21"/>
          <w:highlight w:val="none"/>
          <w:lang w:val="en-US" w:eastAsia="zh-CN"/>
        </w:rPr>
        <w:t>。</w:t>
      </w:r>
    </w:p>
    <w:p w14:paraId="177C0EA4">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D4A5531">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w:t>
      </w:r>
    </w:p>
    <w:p w14:paraId="77B2E15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Cs w:val="24"/>
          <w:highlight w:val="none"/>
        </w:rPr>
        <w:t>资格审查情况、评审专家抽取规则、符合性审查情况、</w:t>
      </w:r>
      <w:bookmarkEnd w:id="23"/>
      <w:r>
        <w:rPr>
          <w:rFonts w:hint="eastAsia" w:ascii="宋体" w:hAnsi="宋体" w:cs="宋体"/>
          <w:color w:val="auto"/>
          <w:szCs w:val="24"/>
          <w:highlight w:val="none"/>
        </w:rPr>
        <w:t>未中标情况说明、中标公告期限以及评审专家名单、评分汇总及明细。</w:t>
      </w:r>
    </w:p>
    <w:p w14:paraId="247B8459">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1CF1CA">
      <w:pPr>
        <w:pStyle w:val="25"/>
        <w:spacing w:line="360" w:lineRule="auto"/>
        <w:ind w:left="48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874AE65">
      <w:pPr>
        <w:pStyle w:val="25"/>
        <w:spacing w:line="360" w:lineRule="auto"/>
        <w:ind w:left="487" w:hanging="479" w:hangingChars="199"/>
        <w:rPr>
          <w:rFonts w:cs="宋体"/>
          <w:b/>
          <w:color w:val="auto"/>
          <w:highlight w:val="none"/>
        </w:rPr>
      </w:pPr>
      <w:r>
        <w:rPr>
          <w:rFonts w:hint="eastAsia" w:cs="宋体"/>
          <w:b/>
          <w:color w:val="auto"/>
          <w:highlight w:val="none"/>
        </w:rPr>
        <w:t>25. 合同的签订</w:t>
      </w:r>
    </w:p>
    <w:p w14:paraId="5F5334A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25.1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021CEE4C">
      <w:pPr>
        <w:pStyle w:val="25"/>
        <w:spacing w:line="360" w:lineRule="auto"/>
        <w:ind w:left="487" w:hanging="479" w:hangingChars="199"/>
        <w:rPr>
          <w:rFonts w:cs="宋体"/>
          <w:b/>
          <w:color w:val="auto"/>
          <w:highlight w:val="none"/>
        </w:rPr>
      </w:pPr>
      <w:r>
        <w:rPr>
          <w:rFonts w:hint="eastAsia" w:cs="宋体"/>
          <w:b/>
          <w:color w:val="auto"/>
          <w:highlight w:val="none"/>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rPr>
          <w:color w:val="auto"/>
          <w:highlight w:val="none"/>
        </w:rPr>
      </w:pPr>
    </w:p>
    <w:p w14:paraId="626C522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0986A2C">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371F882">
      <w:pPr>
        <w:pStyle w:val="25"/>
        <w:spacing w:line="360" w:lineRule="auto"/>
        <w:ind w:firstLine="0" w:firstLineChars="0"/>
        <w:rPr>
          <w:rFonts w:cs="宋体"/>
          <w:b/>
          <w:color w:val="auto"/>
          <w:highlight w:val="none"/>
        </w:rPr>
      </w:pPr>
      <w:r>
        <w:rPr>
          <w:rFonts w:hint="eastAsia" w:cs="宋体"/>
          <w:b/>
          <w:color w:val="auto"/>
          <w:highlight w:val="none"/>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B935C1">
      <w:pPr>
        <w:snapToGrid w:val="0"/>
        <w:spacing w:line="360" w:lineRule="auto"/>
        <w:ind w:left="120" w:leftChars="57" w:firstLine="482" w:firstLineChars="150"/>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十</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其他说明</w:t>
      </w:r>
    </w:p>
    <w:p w14:paraId="30C956F4">
      <w:pPr>
        <w:pStyle w:val="25"/>
        <w:spacing w:line="360" w:lineRule="auto"/>
        <w:ind w:firstLine="0" w:firstLineChars="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31.其他说明</w:t>
      </w:r>
    </w:p>
    <w:p w14:paraId="0C46B2AA">
      <w:pPr>
        <w:tabs>
          <w:tab w:val="left" w:pos="0"/>
        </w:tabs>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31.1</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eastAsia="zh-CN"/>
        </w:rPr>
        <w:t>中标人在合同签订前的资料核查过程中被发现存在提供虚假材料的，则取消其中标资格，</w:t>
      </w:r>
      <w:r>
        <w:rPr>
          <w:rFonts w:hint="eastAsia" w:ascii="宋体" w:hAnsi="宋体" w:eastAsia="宋体" w:cs="宋体"/>
          <w:color w:val="auto"/>
          <w:sz w:val="24"/>
          <w:szCs w:val="24"/>
          <w:highlight w:val="none"/>
          <w:lang w:val="en-US" w:eastAsia="zh-CN"/>
        </w:rPr>
        <w:t>不予替补，</w:t>
      </w:r>
      <w:r>
        <w:rPr>
          <w:rFonts w:hint="eastAsia" w:ascii="宋体" w:hAnsi="宋体" w:eastAsia="宋体" w:cs="宋体"/>
          <w:color w:val="auto"/>
          <w:sz w:val="24"/>
          <w:szCs w:val="24"/>
          <w:highlight w:val="none"/>
          <w:lang w:eastAsia="zh-CN"/>
        </w:rPr>
        <w:t>其应承担份额由其余中标人分担。</w:t>
      </w:r>
      <w:r>
        <w:rPr>
          <w:rFonts w:hint="eastAsia" w:ascii="宋体" w:hAnsi="宋体" w:cs="宋体"/>
          <w:color w:val="auto"/>
          <w:sz w:val="24"/>
          <w:szCs w:val="24"/>
          <w:highlight w:val="none"/>
          <w:lang w:val="en-US" w:eastAsia="zh-CN"/>
        </w:rPr>
        <w:t>同时记录在案，并报相关部门。</w:t>
      </w:r>
    </w:p>
    <w:p w14:paraId="29A6AE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kern w:val="0"/>
          <w:sz w:val="24"/>
          <w:highlight w:val="none"/>
          <w:lang w:val="en-US" w:eastAsia="zh-CN"/>
        </w:rPr>
        <w:t>若签订合同前确定的中标人数量少于</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家的，本项目重新组织招标。</w:t>
      </w:r>
    </w:p>
    <w:bookmarkEnd w:id="21"/>
    <w:p w14:paraId="29411383">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68073093"/>
      <w:bookmarkEnd w:id="24"/>
      <w:bookmarkStart w:id="25" w:name="_Hlt75236290"/>
      <w:bookmarkEnd w:id="25"/>
      <w:bookmarkStart w:id="26" w:name="_Hlt75236101"/>
      <w:bookmarkEnd w:id="26"/>
      <w:bookmarkStart w:id="27" w:name="_Hlt74730295"/>
      <w:bookmarkEnd w:id="27"/>
      <w:bookmarkStart w:id="28" w:name="_Hlt68072998"/>
      <w:bookmarkEnd w:id="28"/>
      <w:bookmarkStart w:id="29" w:name="_Hlt75236011"/>
      <w:bookmarkEnd w:id="29"/>
      <w:bookmarkStart w:id="30" w:name="_Hlt74707468"/>
      <w:bookmarkEnd w:id="30"/>
      <w:bookmarkStart w:id="31" w:name="_Hlt74729768"/>
      <w:bookmarkEnd w:id="31"/>
      <w:bookmarkStart w:id="32" w:name="_Hlt68057669"/>
      <w:bookmarkEnd w:id="32"/>
      <w:bookmarkStart w:id="33" w:name="_Hlt68403820"/>
      <w:bookmarkEnd w:id="33"/>
      <w:bookmarkStart w:id="34" w:name="_Hlt74714665"/>
      <w:bookmarkEnd w:id="34"/>
      <w:bookmarkStart w:id="35" w:name="_Hlt68072990"/>
      <w:bookmarkEnd w:id="35"/>
    </w:p>
    <w:bookmarkEnd w:id="14"/>
    <w:bookmarkEnd w:id="15"/>
    <w:p w14:paraId="3E5EBC4A">
      <w:pPr>
        <w:spacing w:line="360" w:lineRule="auto"/>
        <w:jc w:val="center"/>
        <w:outlineLvl w:val="0"/>
        <w:rPr>
          <w:rFonts w:ascii="宋体" w:hAnsi="宋体" w:cs="宋体"/>
          <w:b/>
          <w:color w:val="auto"/>
          <w:sz w:val="36"/>
          <w:szCs w:val="36"/>
          <w:highlight w:val="none"/>
        </w:rPr>
      </w:pPr>
      <w:bookmarkStart w:id="36" w:name="_Toc29147"/>
      <w:bookmarkStart w:id="37" w:name="第四部分"/>
      <w:r>
        <w:rPr>
          <w:rFonts w:hint="eastAsia" w:ascii="宋体" w:hAnsi="宋体" w:cs="宋体"/>
          <w:b/>
          <w:color w:val="auto"/>
          <w:sz w:val="36"/>
          <w:szCs w:val="36"/>
          <w:highlight w:val="none"/>
        </w:rPr>
        <w:t>第三部分   采购需求</w:t>
      </w:r>
      <w:bookmarkEnd w:id="36"/>
    </w:p>
    <w:p w14:paraId="69FBB288">
      <w:pPr>
        <w:widowControl/>
        <w:adjustRightInd/>
        <w:spacing w:line="360" w:lineRule="auto"/>
        <w:jc w:val="left"/>
        <w:rPr>
          <w:rFonts w:hint="eastAsia" w:ascii="宋体" w:hAnsi="宋体" w:cs="宋体"/>
          <w:b/>
          <w:color w:val="auto"/>
          <w:kern w:val="0"/>
          <w:sz w:val="24"/>
          <w:highlight w:val="none"/>
        </w:rPr>
      </w:pPr>
      <w:bookmarkStart w:id="38" w:name="_Toc317685548"/>
      <w:bookmarkStart w:id="39" w:name="_Toc329697494"/>
      <w:r>
        <w:rPr>
          <w:rFonts w:hint="eastAsia" w:ascii="宋体" w:hAnsi="宋体" w:cs="宋体"/>
          <w:b/>
          <w:color w:val="auto"/>
          <w:kern w:val="0"/>
          <w:sz w:val="24"/>
          <w:highlight w:val="none"/>
        </w:rPr>
        <w:t>一、重要商务要求一览表</w:t>
      </w:r>
    </w:p>
    <w:tbl>
      <w:tblPr>
        <w:tblStyle w:val="62"/>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14:paraId="458D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59CADF2B">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bookmarkStart w:id="40" w:name="_Toc513103337"/>
            <w:r>
              <w:rPr>
                <w:rFonts w:hint="eastAsia" w:ascii="宋体" w:hAnsi="宋体" w:eastAsia="宋体" w:cs="宋体"/>
                <w:b/>
                <w:bCs/>
                <w:color w:val="auto"/>
                <w:sz w:val="24"/>
                <w:szCs w:val="24"/>
                <w:highlight w:val="none"/>
              </w:rPr>
              <w:t>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707EE586">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2489C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6CAE545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▲1、合同履行期限</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5D6B94A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w:t>
            </w:r>
            <w:r>
              <w:rPr>
                <w:rFonts w:hint="eastAsia" w:ascii="宋体" w:hAnsi="宋体" w:eastAsia="宋体" w:cs="宋体"/>
                <w:bCs/>
                <w:color w:val="auto"/>
                <w:sz w:val="24"/>
                <w:szCs w:val="24"/>
                <w:highlight w:val="none"/>
              </w:rPr>
              <w:t>第一部分 招标公告</w:t>
            </w:r>
            <w:r>
              <w:rPr>
                <w:rFonts w:hint="eastAsia" w:ascii="宋体" w:hAnsi="宋体" w:eastAsia="宋体" w:cs="宋体"/>
                <w:color w:val="auto"/>
                <w:sz w:val="24"/>
                <w:szCs w:val="24"/>
                <w:highlight w:val="none"/>
                <w:lang w:eastAsia="zh-CN"/>
              </w:rPr>
              <w:t>。</w:t>
            </w:r>
          </w:p>
        </w:tc>
      </w:tr>
      <w:tr w14:paraId="27E13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39E62C45">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2、配送区域与时间</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1E5F2EE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（1）配送区域的划分：根据实际就餐人数平均分配区域。</w:t>
            </w:r>
          </w:p>
          <w:p w14:paraId="00EBAED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货单位选择模式：每一学年为一个周期，采用抽签形式重新分配。且与上一学年分配区域不重复。各单位须按分配结果在每个服务周期与对应的定点采购单位签订宁海县学校食堂学生餐食品原材料定点采购合同和廉政协议。</w:t>
            </w:r>
          </w:p>
          <w:p w14:paraId="46853A1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（3）原材料配送地点：各学校指定地点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符合《宁海县中小学（幼儿园）食堂管理实施意见》第四章第十八条采购验收管理的规定。</w:t>
            </w:r>
          </w:p>
          <w:p w14:paraId="37ACFB4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default"/>
                <w:color w:val="auto"/>
                <w:highlight w:val="none"/>
                <w:lang w:val="en-US" w:eastAsia="zh-CN"/>
              </w:rPr>
            </w:pPr>
            <w:r>
              <w:rPr>
                <w:rFonts w:hint="eastAsia" w:ascii="宋体" w:hAnsi="宋体" w:eastAsia="宋体" w:cs="宋体"/>
                <w:color w:val="auto"/>
                <w:sz w:val="24"/>
                <w:szCs w:val="24"/>
                <w:highlight w:val="none"/>
                <w:lang w:eastAsia="zh-CN"/>
              </w:rPr>
              <w:t>（4）原材料配送时间：自合同签订之日起按学校要求供货，并提供按宁海县教育信息网上公示要求的供货清单。</w:t>
            </w:r>
          </w:p>
        </w:tc>
      </w:tr>
      <w:tr w14:paraId="6308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581F0F28">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1F437E9A">
            <w:pPr>
              <w:widowControl w:val="0"/>
              <w:numPr>
                <w:ilvl w:val="0"/>
                <w:numId w:val="0"/>
              </w:numPr>
              <w:shd w:val="clear"/>
              <w:adjustRightInd/>
              <w:spacing w:before="120" w:beforeLines="50" w:line="360" w:lineRule="auto"/>
              <w:jc w:val="both"/>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本章</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货款结算及调价方式</w:t>
            </w:r>
          </w:p>
          <w:p w14:paraId="7DBA9563">
            <w:pPr>
              <w:pStyle w:val="2"/>
              <w:rPr>
                <w:rFonts w:hint="eastAsia" w:eastAsia="宋体"/>
                <w:color w:val="auto"/>
                <w:highlight w:val="none"/>
                <w:lang w:val="en-US" w:eastAsia="zh-CN"/>
              </w:rPr>
            </w:pP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说明：本项目以人工投入为主且实行按月定期结算支付款项，不设预付款</w:t>
            </w:r>
            <w:r>
              <w:rPr>
                <w:rFonts w:hint="eastAsia" w:hAnsi="宋体" w:cs="宋体"/>
                <w:b/>
                <w:color w:val="auto"/>
                <w:sz w:val="24"/>
                <w:szCs w:val="24"/>
                <w:highlight w:val="none"/>
                <w:lang w:eastAsia="zh-CN"/>
              </w:rPr>
              <w:t>）</w:t>
            </w:r>
          </w:p>
        </w:tc>
      </w:tr>
      <w:tr w14:paraId="3698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71ABEF7A">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、履约保证金</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1BF5BD9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2F36C2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（1）履约保证金金额：</w:t>
            </w:r>
            <w:r>
              <w:rPr>
                <w:rFonts w:hint="eastAsia" w:ascii="宋体" w:hAnsi="宋体" w:cs="宋体"/>
                <w:color w:val="auto"/>
                <w:sz w:val="24"/>
                <w:szCs w:val="24"/>
                <w:highlight w:val="none"/>
                <w:lang w:val="en-US" w:eastAsia="zh-CN"/>
              </w:rPr>
              <w:t>年度暂定合同金额的1%</w:t>
            </w:r>
            <w:r>
              <w:rPr>
                <w:rFonts w:hint="eastAsia" w:ascii="宋体" w:hAnsi="宋体" w:eastAsia="宋体" w:cs="宋体"/>
                <w:color w:val="auto"/>
                <w:sz w:val="24"/>
                <w:szCs w:val="24"/>
                <w:highlight w:val="none"/>
                <w:lang w:eastAsia="zh-CN"/>
              </w:rPr>
              <w:t>。</w:t>
            </w:r>
          </w:p>
          <w:p w14:paraId="33D70C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（2）履约保证金形式：银行汇票（电汇）、银行保函、保险</w:t>
            </w:r>
            <w:r>
              <w:rPr>
                <w:rFonts w:hint="eastAsia" w:ascii="宋体" w:hAnsi="宋体" w:eastAsia="宋体" w:cs="宋体"/>
                <w:color w:val="auto"/>
                <w:sz w:val="24"/>
                <w:szCs w:val="24"/>
                <w:highlight w:val="none"/>
                <w:lang w:val="en-US" w:eastAsia="zh-CN"/>
              </w:rPr>
              <w:t>保单</w:t>
            </w:r>
            <w:r>
              <w:rPr>
                <w:rFonts w:hint="eastAsia" w:ascii="宋体" w:hAnsi="宋体" w:eastAsia="宋体" w:cs="宋体"/>
                <w:color w:val="auto"/>
                <w:sz w:val="24"/>
                <w:szCs w:val="24"/>
                <w:highlight w:val="none"/>
                <w:lang w:eastAsia="zh-CN"/>
              </w:rPr>
              <w:t>或支票（仅限于使用宁波大市区范围内的银行开具的支票）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23AA237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（3）履约保证金在定点配送有效期内配送的货物质量法定的保证期期满前应完全有效。</w:t>
            </w:r>
          </w:p>
          <w:p w14:paraId="20CC6A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）履约保证金在定点采购合同期满30天内或在定点配送有效期内配送的所有货物质量法定的保证期期满后无息退还（但如定点采购单位未能履行合同规定的任何义务，学校有权从履约保证金中得到补偿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履约保证经扣罚后一周内，中标人需补足</w:t>
            </w:r>
            <w:r>
              <w:rPr>
                <w:rFonts w:hint="eastAsia" w:ascii="宋体" w:hAnsi="宋体" w:eastAsia="宋体" w:cs="宋体"/>
                <w:color w:val="auto"/>
                <w:sz w:val="24"/>
                <w:szCs w:val="24"/>
                <w:highlight w:val="none"/>
                <w:lang w:eastAsia="zh-CN"/>
              </w:rPr>
              <w:t>）。</w:t>
            </w:r>
          </w:p>
        </w:tc>
      </w:tr>
      <w:tr w14:paraId="08DE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359C0B95">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、合同终止</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5BACBF03">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在合同有效期内，不得无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bookmarkEnd w:id="38"/>
      <w:bookmarkEnd w:id="39"/>
      <w:bookmarkEnd w:id="40"/>
    </w:tbl>
    <w:p w14:paraId="6F82E46C">
      <w:pPr>
        <w:adjustRightInd/>
        <w:spacing w:line="360" w:lineRule="auto"/>
        <w:rPr>
          <w:rFonts w:hint="eastAsia" w:ascii="宋体" w:hAnsi="宋体" w:eastAsia="宋体" w:cs="宋体"/>
          <w:b/>
          <w:color w:val="auto"/>
          <w:sz w:val="24"/>
          <w:highlight w:val="none"/>
          <w:lang w:val="en-US" w:eastAsia="zh-CN"/>
        </w:rPr>
      </w:pPr>
      <w:bookmarkStart w:id="41" w:name="_Toc17869"/>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lang w:val="en-US" w:eastAsia="zh-CN"/>
        </w:rPr>
        <w:t>、定点采购内容：</w:t>
      </w:r>
    </w:p>
    <w:p w14:paraId="3C49A816">
      <w:pPr>
        <w:adjustRightInd/>
        <w:spacing w:line="360" w:lineRule="auto"/>
        <w:ind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鲜肉。质量要求：排肉是指无骨腿肉和无骨夹心肉，其中腿肉要求剔除大股骨，夹心肉要求割除下懒肉，整方供应。并提供《动物或动物产品分销信息凭证》或《动物检疫合格证》和《肉品品质检验合格证》。</w:t>
      </w:r>
    </w:p>
    <w:p w14:paraId="34134481">
      <w:pPr>
        <w:adjustRightInd/>
        <w:spacing w:line="360" w:lineRule="auto"/>
        <w:ind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蛋类</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禽蛋质量要求：禽蛋必须保证新鲜，且符合《中华人民共和国食品安全法》要求，并提供养殖基地有效证件。</w:t>
      </w:r>
    </w:p>
    <w:p w14:paraId="36A392F9">
      <w:pPr>
        <w:adjustRightInd/>
        <w:spacing w:line="360" w:lineRule="auto"/>
        <w:ind w:firstLine="48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鲜蔬类（土豆、西红柿、青椒、青菜、大白菜、包菜、茭白、芋艿、豆芽等）。质量要求：所提供的蔬菜必须保证新鲜、不腐烂变质，能提供蔬菜农药残留检测报告、产地合格证明，且符合《农产品质量安全法》要求，经过初步处理，没有腐叶和泥土。</w:t>
      </w:r>
    </w:p>
    <w:p w14:paraId="39DDC435">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eastAsia="zh-CN"/>
        </w:rPr>
        <w:t>.</w:t>
      </w:r>
      <w:r>
        <w:rPr>
          <w:rFonts w:hint="eastAsia" w:ascii="宋体" w:hAnsi="宋体" w:eastAsia="宋体" w:cs="宋体"/>
          <w:color w:val="auto"/>
          <w:sz w:val="24"/>
          <w:szCs w:val="24"/>
          <w:highlight w:val="none"/>
        </w:rPr>
        <w:t>冷冻品：鸡腿、鸡翅、贡丸、香肠、青豆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玉米等，供应商须提供产品合格检测文件。</w:t>
      </w:r>
      <w:r>
        <w:rPr>
          <w:rFonts w:hint="eastAsia" w:ascii="宋体" w:hAnsi="宋体" w:eastAsia="宋体" w:cs="Times New Roman"/>
          <w:bCs/>
          <w:color w:val="auto"/>
          <w:sz w:val="24"/>
          <w:szCs w:val="24"/>
          <w:highlight w:val="none"/>
        </w:rPr>
        <w:t>禽肉必须提供《动物或动物产品分销信息凭证》或《动物检疫合格证》，并提供养殖基地有效证件。</w:t>
      </w:r>
    </w:p>
    <w:p w14:paraId="465F26CA">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5</w:t>
      </w:r>
      <w:r>
        <w:rPr>
          <w:rFonts w:hint="eastAsia" w:ascii="宋体" w:hAnsi="宋体" w:cs="Times New Roman"/>
          <w:bCs/>
          <w:color w:val="auto"/>
          <w:sz w:val="24"/>
          <w:szCs w:val="24"/>
          <w:highlight w:val="none"/>
          <w:lang w:eastAsia="zh-CN"/>
        </w:rPr>
        <w:t>.</w:t>
      </w:r>
      <w:r>
        <w:rPr>
          <w:rFonts w:hint="eastAsia" w:ascii="宋体" w:hAnsi="宋体" w:eastAsia="宋体" w:cs="宋体"/>
          <w:color w:val="auto"/>
          <w:sz w:val="24"/>
          <w:szCs w:val="24"/>
          <w:highlight w:val="none"/>
        </w:rPr>
        <w:t>鲜虾类（对虾、小白虾等）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质量要求：</w:t>
      </w:r>
      <w:r>
        <w:rPr>
          <w:rFonts w:hint="eastAsia" w:ascii="宋体" w:hAnsi="宋体" w:eastAsia="宋体" w:cs="Times New Roman"/>
          <w:bCs/>
          <w:color w:val="auto"/>
          <w:sz w:val="24"/>
          <w:szCs w:val="24"/>
          <w:highlight w:val="none"/>
        </w:rPr>
        <w:t>符合水产品定性检测要求。</w:t>
      </w:r>
    </w:p>
    <w:p w14:paraId="4D5B2083">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6</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水产类（鱼、蟹等冷冻水产类）。质量要求：符合水产品定性检测要求。</w:t>
      </w:r>
    </w:p>
    <w:p w14:paraId="56DB048D">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7</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豆制品（豆腐、千张、香干、素鸡、大油豆腐、小油豆腐等）类。质量要求：豆制品成品必须具有“</w:t>
      </w:r>
      <w:r>
        <w:rPr>
          <w:rFonts w:hint="eastAsia" w:ascii="宋体" w:hAnsi="宋体" w:eastAsia="宋体" w:cs="Times New Roman"/>
          <w:bCs/>
          <w:color w:val="auto"/>
          <w:sz w:val="24"/>
          <w:szCs w:val="24"/>
          <w:highlight w:val="none"/>
          <w:lang w:val="en-US" w:eastAsia="zh-CN"/>
        </w:rPr>
        <w:t>SC</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标志</w:t>
      </w:r>
      <w:r>
        <w:rPr>
          <w:rFonts w:hint="eastAsia" w:ascii="宋体" w:hAnsi="宋体" w:cs="Times New Roman"/>
          <w:bCs/>
          <w:color w:val="auto"/>
          <w:sz w:val="24"/>
          <w:szCs w:val="24"/>
          <w:highlight w:val="none"/>
          <w:lang w:val="en-US" w:eastAsia="zh-CN"/>
        </w:rPr>
        <w:t>或“SC”编号</w:t>
      </w:r>
      <w:r>
        <w:rPr>
          <w:rFonts w:hint="eastAsia" w:ascii="宋体" w:hAnsi="宋体" w:eastAsia="宋体" w:cs="Times New Roman"/>
          <w:bCs/>
          <w:color w:val="auto"/>
          <w:sz w:val="24"/>
          <w:szCs w:val="24"/>
          <w:highlight w:val="none"/>
        </w:rPr>
        <w:t>，并提供产品合格证明文件。</w:t>
      </w:r>
    </w:p>
    <w:p w14:paraId="65890BF8">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8</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佐料类（味精、酱油、干货、生粉、食品添加剂等）。质量要求：糖、味精、酱油、醋、生粉等必须具有“</w:t>
      </w:r>
      <w:r>
        <w:rPr>
          <w:rFonts w:hint="eastAsia" w:ascii="宋体" w:hAnsi="宋体" w:eastAsia="宋体" w:cs="Times New Roman"/>
          <w:bCs/>
          <w:color w:val="auto"/>
          <w:sz w:val="24"/>
          <w:szCs w:val="24"/>
          <w:highlight w:val="none"/>
          <w:lang w:eastAsia="zh-CN"/>
        </w:rPr>
        <w:t>SC</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标志或“SC”编号</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并提供进货商有效证件和产品合格证明文件。</w:t>
      </w:r>
    </w:p>
    <w:p w14:paraId="18543410">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9</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水果类。质量要求：</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经营品种齐全，所提供的水果必须保证质量合格。</w:t>
      </w:r>
    </w:p>
    <w:p w14:paraId="5E93A072">
      <w:pPr>
        <w:adjustRightInd/>
        <w:spacing w:line="360" w:lineRule="auto"/>
        <w:ind w:firstLine="42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10</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牛奶类。所有奶制品均符合国家规定（国家标准GB25190、GB25191、GB19302等）选用安全优质奶源，奶品质量、生产工艺、包装和运输等达到国家相关技术标准和有关规定。其中“学生饮用奶”必须达到国家“学生饮用奶”相关技术标准和有关规定。所有奶制品必须为市场流通的知名品牌，各类品种必须在服务区域内的大型超市内均有销售。</w:t>
      </w:r>
    </w:p>
    <w:p w14:paraId="6F8FB3B2">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其他类（除以上种类外的其他食品）。质量要求：所提供的食品必须保证质量合格。</w:t>
      </w:r>
    </w:p>
    <w:p w14:paraId="4FFA709A">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12</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以上所有定点采购原材料均须符合《中华人民共和国食品安全法》及属地相关法律法规要求。</w:t>
      </w:r>
    </w:p>
    <w:p w14:paraId="57F9498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三、采购项目质量要求：</w:t>
      </w:r>
    </w:p>
    <w:p w14:paraId="4C7ED750">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所提供的货物必须符合《宁海县中小学食堂食品原材料定点采购配送管理办法》中有关品牌、规格、质量等方面要求和国家有关食品卫生、安全质量等方面的要求。所提供的货物数量、质量，必须经学校验收，验收合格后才能进入食堂。如验收达不到招标文件要求，则应立刻退回，由此造成的一切损失由供应商承担。若供应商不听劝告，一再坚持错误继续供货，采购人有权拒付货款，并有权终止与供应商的采购合同，由此造成的卫生、安全质量后果，全部由供应商承担。</w:t>
      </w:r>
    </w:p>
    <w:p w14:paraId="0036D968">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提供的各类原料、货物食品必须符合卫生防疫部门检测标准，优质足量，根据学校通知要求按规定时间送到学校食堂并提供相应辅助服务，提供蔬果类食品农药残留检测报告，由于货物质量问题或超过送货时间造成事故的学校有权退货并追究责任，如不能提供规定品牌或要求的货物须提前向学校通报，经学校确认后，无质量问题方可提供。食品原料48小时留样备查。</w:t>
      </w:r>
    </w:p>
    <w:p w14:paraId="0EB0480F">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供货服务提供保证的有关资料如货物来源证明（生产地、厂家销售授权证书）、物资储备条件、运输车辆、职工人数等。</w:t>
      </w:r>
    </w:p>
    <w:p w14:paraId="3DB8526F">
      <w:pPr>
        <w:adjustRightInd/>
        <w:spacing w:line="360" w:lineRule="auto"/>
        <w:ind w:firstLine="448" w:firstLineChars="187"/>
        <w:rPr>
          <w:rFonts w:hint="eastAsia" w:ascii="Times New Roman" w:hAnsi="Times New Roman" w:eastAsia="宋体" w:cs="Times New Roman"/>
          <w:color w:val="auto"/>
          <w:sz w:val="24"/>
          <w:szCs w:val="24"/>
          <w:highlight w:val="none"/>
        </w:rPr>
      </w:pPr>
      <w:r>
        <w:rPr>
          <w:rFonts w:hint="eastAsia" w:ascii="宋体" w:hAnsi="宋体" w:eastAsia="宋体" w:cs="Times New Roman"/>
          <w:bCs/>
          <w:color w:val="auto"/>
          <w:sz w:val="24"/>
          <w:szCs w:val="24"/>
          <w:highlight w:val="none"/>
        </w:rPr>
        <w:t>4</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供应商在签订</w:t>
      </w:r>
      <w:r>
        <w:rPr>
          <w:rFonts w:hint="eastAsia" w:ascii="宋体" w:hAnsi="宋体" w:eastAsia="宋体" w:cs="宋体"/>
          <w:color w:val="auto"/>
          <w:sz w:val="24"/>
          <w:szCs w:val="24"/>
          <w:highlight w:val="none"/>
          <w:lang w:val="en-US" w:eastAsia="zh-CN"/>
        </w:rPr>
        <w:t>定点采购</w:t>
      </w:r>
      <w:r>
        <w:rPr>
          <w:rFonts w:hint="eastAsia" w:ascii="宋体" w:hAnsi="宋体" w:eastAsia="宋体" w:cs="Times New Roman"/>
          <w:bCs/>
          <w:color w:val="auto"/>
          <w:sz w:val="24"/>
          <w:szCs w:val="24"/>
          <w:highlight w:val="none"/>
        </w:rPr>
        <w:t>协议前须提供有效的“食品安全责任险”保单复印件供采购人备案。</w:t>
      </w:r>
    </w:p>
    <w:p w14:paraId="3FA87A51">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四、承包方式</w:t>
      </w:r>
    </w:p>
    <w:p w14:paraId="25D598B0">
      <w:pPr>
        <w:adjustRightInd/>
        <w:spacing w:line="360" w:lineRule="auto"/>
        <w:ind w:firstLine="448" w:firstLineChars="187"/>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包工包料、送货到校。中标后未经采购人书面同意不得转包。确定定点供应商后，无特殊情况，</w:t>
      </w:r>
      <w:r>
        <w:rPr>
          <w:rFonts w:hint="eastAsia" w:ascii="宋体" w:hAnsi="宋体" w:eastAsia="宋体" w:cs="Times New Roman"/>
          <w:color w:val="auto"/>
          <w:sz w:val="24"/>
          <w:szCs w:val="24"/>
          <w:highlight w:val="none"/>
        </w:rPr>
        <w:t>宁海县公办学校食堂学生餐</w:t>
      </w:r>
      <w:r>
        <w:rPr>
          <w:rFonts w:hint="eastAsia" w:ascii="宋体" w:hAnsi="宋体" w:eastAsia="宋体" w:cs="Times New Roman"/>
          <w:bCs/>
          <w:color w:val="auto"/>
          <w:sz w:val="24"/>
          <w:szCs w:val="24"/>
          <w:highlight w:val="none"/>
        </w:rPr>
        <w:t>食品原材料</w:t>
      </w:r>
      <w:r>
        <w:rPr>
          <w:rFonts w:hint="eastAsia" w:ascii="Times New Roman" w:hAnsi="Times New Roman" w:eastAsia="宋体" w:cs="Times New Roman"/>
          <w:color w:val="auto"/>
          <w:sz w:val="24"/>
          <w:szCs w:val="24"/>
          <w:highlight w:val="none"/>
        </w:rPr>
        <w:t>（非粮油类）</w:t>
      </w:r>
      <w:r>
        <w:rPr>
          <w:rFonts w:hint="eastAsia" w:ascii="宋体" w:hAnsi="宋体" w:eastAsia="宋体" w:cs="Times New Roman"/>
          <w:bCs/>
          <w:color w:val="auto"/>
          <w:sz w:val="24"/>
          <w:szCs w:val="24"/>
          <w:highlight w:val="none"/>
        </w:rPr>
        <w:t>采购都要在定点</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内进行。</w:t>
      </w:r>
    </w:p>
    <w:p w14:paraId="2E949ED0">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五、货款结算及调价方式：</w:t>
      </w:r>
    </w:p>
    <w:p w14:paraId="7AE84FA4">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产品价格的约定：</w:t>
      </w:r>
    </w:p>
    <w:p w14:paraId="62ABB86C">
      <w:pPr>
        <w:tabs>
          <w:tab w:val="left" w:pos="0"/>
        </w:tabs>
        <w:spacing w:line="360" w:lineRule="auto"/>
        <w:ind w:leftChars="100"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指导价格：</w:t>
      </w:r>
    </w:p>
    <w:p w14:paraId="43873C19">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本次招标配送项目中所包含的食品原材料价格每周确定一次，该周内的市场价格不论涨跌均按所确定的价格结算。产品所报</w:t>
      </w:r>
      <w:r>
        <w:rPr>
          <w:rFonts w:hint="eastAsia" w:ascii="宋体" w:hAnsi="宋体" w:cs="Times New Roman"/>
          <w:bCs/>
          <w:color w:val="auto"/>
          <w:sz w:val="24"/>
          <w:szCs w:val="24"/>
          <w:highlight w:val="none"/>
          <w:lang w:val="en-US" w:eastAsia="zh-CN"/>
        </w:rPr>
        <w:t>投标折扣系数</w:t>
      </w:r>
      <w:r>
        <w:rPr>
          <w:rFonts w:hint="eastAsia" w:ascii="宋体" w:hAnsi="宋体" w:eastAsia="宋体" w:cs="Times New Roman"/>
          <w:bCs/>
          <w:color w:val="auto"/>
          <w:sz w:val="24"/>
          <w:szCs w:val="24"/>
          <w:highlight w:val="none"/>
        </w:rPr>
        <w:t>依据的基准价为：每周一宁海县教育服务管理中心向供应商和各学校提供本周（本批次）货物市场零售指导价</w:t>
      </w:r>
      <w:r>
        <w:rPr>
          <w:rFonts w:hint="eastAsia" w:ascii="宋体" w:hAnsi="宋体" w:cs="Times New Roman"/>
          <w:bCs/>
          <w:color w:val="auto"/>
          <w:sz w:val="24"/>
          <w:szCs w:val="24"/>
          <w:highlight w:val="none"/>
          <w:lang w:eastAsia="zh-CN"/>
        </w:rPr>
        <w:t>。</w:t>
      </w:r>
    </w:p>
    <w:p w14:paraId="1314D58F">
      <w:pPr>
        <w:tabs>
          <w:tab w:val="left" w:pos="0"/>
        </w:tabs>
        <w:spacing w:line="360" w:lineRule="auto"/>
        <w:ind w:leftChars="100" w:firstLine="480"/>
        <w:rPr>
          <w:rFonts w:hint="eastAsia" w:ascii="宋体" w:hAnsi="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1.2结算价格：</w:t>
      </w:r>
    </w:p>
    <w:p w14:paraId="7A4B0A8F">
      <w:pPr>
        <w:tabs>
          <w:tab w:val="left" w:pos="0"/>
        </w:tabs>
        <w:spacing w:line="360" w:lineRule="auto"/>
        <w:ind w:leftChars="100" w:firstLine="480"/>
        <w:rPr>
          <w:rFonts w:hint="eastAsia" w:ascii="宋体" w:hAnsi="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各学校采价组根据市场实际采集确定本周（本批次）的最终市场零售价，作为结算基准价</w:t>
      </w:r>
      <w:r>
        <w:rPr>
          <w:rFonts w:hint="eastAsia" w:ascii="宋体" w:hAnsi="宋体" w:cs="Times New Roman"/>
          <w:bCs/>
          <w:color w:val="auto"/>
          <w:sz w:val="24"/>
          <w:szCs w:val="24"/>
          <w:highlight w:val="none"/>
          <w:lang w:val="en-US" w:eastAsia="zh-CN"/>
        </w:rPr>
        <w:t>（学校结算基准价不得超过服务中心提供的指导价）</w:t>
      </w:r>
      <w:r>
        <w:rPr>
          <w:rFonts w:hint="eastAsia" w:ascii="宋体" w:hAnsi="宋体" w:eastAsia="宋体" w:cs="Times New Roman"/>
          <w:bCs/>
          <w:color w:val="auto"/>
          <w:sz w:val="24"/>
          <w:szCs w:val="24"/>
          <w:highlight w:val="none"/>
          <w:lang w:val="en-US" w:eastAsia="zh-CN"/>
        </w:rPr>
        <w:t>；如学校与配送企业出现价格纠纷由宁海县教育服务管理中心出面协调确定基准价</w:t>
      </w:r>
      <w:r>
        <w:rPr>
          <w:rFonts w:hint="eastAsia" w:ascii="宋体" w:hAnsi="宋体" w:cs="Times New Roman"/>
          <w:bCs/>
          <w:color w:val="auto"/>
          <w:sz w:val="24"/>
          <w:szCs w:val="24"/>
          <w:highlight w:val="none"/>
          <w:lang w:val="en-US" w:eastAsia="zh-CN"/>
        </w:rPr>
        <w:t>。</w:t>
      </w:r>
    </w:p>
    <w:p w14:paraId="479CE9FE">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1.3市场零售价</w:t>
      </w:r>
      <w:r>
        <w:rPr>
          <w:rFonts w:hint="eastAsia" w:ascii="宋体" w:hAnsi="宋体" w:eastAsia="宋体" w:cs="Times New Roman"/>
          <w:bCs/>
          <w:color w:val="auto"/>
          <w:sz w:val="24"/>
          <w:szCs w:val="24"/>
          <w:highlight w:val="none"/>
          <w:lang w:val="en-US" w:eastAsia="zh-CN"/>
        </w:rPr>
        <w:t>确定方法：以宁海跃龙、兴海、邻里等综合市场的平均零售价为准，如上述市场没有此种商品的，则调查范围扩大为大市范围内。禁止配送无市场实际零售商品或专供产品。</w:t>
      </w:r>
    </w:p>
    <w:p w14:paraId="1D4F161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学校每周四下午2时前向配送企业报送下周的定货清单，各配送企业在每周一（每批次）确定本周（本批次）定货清单中的食品原料的建议零售价目表，同时在货物送达学校的清单上注明各食品原料的建议零售价。</w:t>
      </w:r>
    </w:p>
    <w:p w14:paraId="5E091EC3">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如遇法定节假日，当周配送天数少于3天（含3天）的，按最近一周的结算价进行结算。</w:t>
      </w:r>
    </w:p>
    <w:p w14:paraId="4B0D33EC">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各类食品合同结算价：合同结算价=</w:t>
      </w:r>
      <w:r>
        <w:rPr>
          <w:rFonts w:hint="eastAsia" w:ascii="宋体" w:hAnsi="宋体" w:cs="Times New Roman"/>
          <w:bCs/>
          <w:color w:val="auto"/>
          <w:sz w:val="24"/>
          <w:szCs w:val="24"/>
          <w:highlight w:val="none"/>
          <w:lang w:val="en-US" w:eastAsia="zh-CN"/>
        </w:rPr>
        <w:t>结算基准价（由各学校采集确定）</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eastAsia="zh-CN"/>
        </w:rPr>
        <w:t>合同执行折扣系数</w:t>
      </w:r>
      <w:r>
        <w:rPr>
          <w:rFonts w:hint="eastAsia" w:ascii="宋体" w:hAnsi="宋体" w:eastAsia="宋体" w:cs="Times New Roman"/>
          <w:bCs/>
          <w:color w:val="auto"/>
          <w:sz w:val="24"/>
          <w:szCs w:val="24"/>
          <w:highlight w:val="none"/>
        </w:rPr>
        <w:t>，其中</w:t>
      </w:r>
      <w:r>
        <w:rPr>
          <w:rFonts w:hint="eastAsia" w:ascii="宋体" w:hAnsi="宋体" w:eastAsia="宋体" w:cs="Times New Roman"/>
          <w:bCs/>
          <w:color w:val="auto"/>
          <w:sz w:val="24"/>
          <w:szCs w:val="24"/>
          <w:highlight w:val="none"/>
          <w:lang w:eastAsia="zh-CN"/>
        </w:rPr>
        <w:t>合同执行折扣系数</w:t>
      </w:r>
      <w:r>
        <w:rPr>
          <w:rFonts w:hint="eastAsia" w:ascii="宋体" w:hAnsi="宋体" w:eastAsia="宋体" w:cs="Times New Roman"/>
          <w:bCs/>
          <w:color w:val="auto"/>
          <w:sz w:val="24"/>
          <w:szCs w:val="24"/>
          <w:highlight w:val="none"/>
        </w:rPr>
        <w:t>为：所有中标人中该类别食品原材料的</w:t>
      </w:r>
      <w:r>
        <w:rPr>
          <w:rFonts w:hint="eastAsia" w:ascii="宋体" w:hAnsi="宋体" w:cs="Times New Roman"/>
          <w:bCs/>
          <w:color w:val="auto"/>
          <w:sz w:val="24"/>
          <w:szCs w:val="24"/>
          <w:highlight w:val="none"/>
          <w:lang w:val="en-US" w:eastAsia="zh-CN"/>
        </w:rPr>
        <w:t>最低</w:t>
      </w:r>
      <w:r>
        <w:rPr>
          <w:rFonts w:hint="eastAsia" w:ascii="宋体" w:hAnsi="宋体" w:eastAsia="宋体" w:cs="Times New Roman"/>
          <w:bCs/>
          <w:color w:val="auto"/>
          <w:sz w:val="24"/>
          <w:szCs w:val="24"/>
          <w:highlight w:val="none"/>
        </w:rPr>
        <w:t>投标</w:t>
      </w:r>
      <w:r>
        <w:rPr>
          <w:rFonts w:hint="eastAsia" w:ascii="宋体" w:hAnsi="宋体" w:eastAsia="宋体" w:cs="Times New Roman"/>
          <w:bCs/>
          <w:color w:val="auto"/>
          <w:sz w:val="24"/>
          <w:szCs w:val="24"/>
          <w:highlight w:val="none"/>
          <w:lang w:val="en-US" w:eastAsia="zh-CN"/>
        </w:rPr>
        <w:t>折扣系数</w:t>
      </w:r>
      <w:r>
        <w:rPr>
          <w:rFonts w:hint="eastAsia" w:ascii="宋体" w:hAnsi="宋体" w:eastAsia="宋体" w:cs="Times New Roman"/>
          <w:bCs/>
          <w:color w:val="auto"/>
          <w:sz w:val="24"/>
          <w:szCs w:val="24"/>
          <w:highlight w:val="none"/>
        </w:rPr>
        <w:t>（四舍五入，保留小数点后一位）。</w:t>
      </w:r>
    </w:p>
    <w:p w14:paraId="75D658F0">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货款结算方式：</w:t>
      </w:r>
    </w:p>
    <w:p w14:paraId="5E80D7DF">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2.1货款结算方式：货款每月一结，需提供正式销售发票结算。</w:t>
      </w:r>
    </w:p>
    <w:p w14:paraId="4E496AC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货款结算总金额=各类食品的</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基准价×数量×</w:t>
      </w:r>
      <w:r>
        <w:rPr>
          <w:rFonts w:hint="eastAsia" w:ascii="宋体" w:hAnsi="宋体" w:cs="Times New Roman"/>
          <w:bCs/>
          <w:color w:val="auto"/>
          <w:sz w:val="24"/>
          <w:szCs w:val="24"/>
          <w:highlight w:val="none"/>
          <w:lang w:eastAsia="zh-CN"/>
        </w:rPr>
        <w:t>合同执行折扣系数）</w:t>
      </w:r>
      <w:r>
        <w:rPr>
          <w:rFonts w:hint="eastAsia" w:ascii="宋体" w:hAnsi="宋体" w:eastAsia="宋体" w:cs="Times New Roman"/>
          <w:bCs/>
          <w:color w:val="auto"/>
          <w:sz w:val="24"/>
          <w:szCs w:val="24"/>
          <w:highlight w:val="none"/>
        </w:rPr>
        <w:t>的总和。</w:t>
      </w:r>
    </w:p>
    <w:p w14:paraId="4510DA33">
      <w:pPr>
        <w:adjustRightInd/>
        <w:spacing w:line="360" w:lineRule="auto"/>
        <w:ind w:firstLine="448" w:firstLineChars="187"/>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3.中标人必须在采购人指定的平台（宁海县中小学食堂原材料采购平台）与学校进行商品的报价、议价、结算。</w:t>
      </w:r>
    </w:p>
    <w:p w14:paraId="150A9720">
      <w:pPr>
        <w:adjustRightInd/>
        <w:spacing w:line="360" w:lineRule="auto"/>
        <w:ind w:firstLine="448" w:firstLineChars="187"/>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4.采购人对市场价格进行了解监督（每月不少于一次），若供应商恶意虚报价格，按惩处条款执行。</w:t>
      </w:r>
    </w:p>
    <w:p w14:paraId="58EA824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六、履约保证：</w:t>
      </w:r>
    </w:p>
    <w:p w14:paraId="494B811F">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教育部门和各级各类学校对定点供应商，既要加强管理又要支持其发展，凡文件规定需要定点采购的食品，必须实行定点采购，不得一部分在定点供应商采购，另一</w:t>
      </w:r>
      <w:r>
        <w:rPr>
          <w:rFonts w:hint="eastAsia" w:ascii="宋体" w:hAnsi="宋体" w:eastAsia="宋体" w:cs="Times New Roman"/>
          <w:bCs/>
          <w:color w:val="auto"/>
          <w:sz w:val="24"/>
          <w:szCs w:val="24"/>
          <w:highlight w:val="none"/>
          <w:lang w:val="en-US" w:eastAsia="zh-CN"/>
        </w:rPr>
        <w:t>部分</w:t>
      </w:r>
      <w:r>
        <w:rPr>
          <w:rFonts w:hint="eastAsia" w:ascii="宋体" w:hAnsi="宋体" w:eastAsia="宋体" w:cs="Times New Roman"/>
          <w:bCs/>
          <w:color w:val="auto"/>
          <w:sz w:val="24"/>
          <w:szCs w:val="24"/>
          <w:highlight w:val="none"/>
        </w:rPr>
        <w:t>自行采购，更不得在市场上购买食品，用“定点供应商”的包装，假冒“定点供应商”产品。</w:t>
      </w:r>
    </w:p>
    <w:p w14:paraId="36D3C3F1">
      <w:pPr>
        <w:adjustRightInd/>
        <w:spacing w:line="360" w:lineRule="auto"/>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   2</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被确定为中小学食堂定点采购</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后，应在规定时间内与学校签订合同，合同必须经宁海县教育服务管理中心</w:t>
      </w:r>
      <w:r>
        <w:rPr>
          <w:rFonts w:hint="eastAsia" w:ascii="宋体" w:hAnsi="宋体" w:eastAsia="宋体" w:cs="Times New Roman"/>
          <w:bCs/>
          <w:color w:val="auto"/>
          <w:sz w:val="24"/>
          <w:szCs w:val="24"/>
          <w:highlight w:val="none"/>
          <w:lang w:eastAsia="zh-CN"/>
        </w:rPr>
        <w:t>见证</w:t>
      </w:r>
      <w:r>
        <w:rPr>
          <w:rFonts w:hint="eastAsia" w:ascii="宋体" w:hAnsi="宋体" w:eastAsia="宋体" w:cs="Times New Roman"/>
          <w:bCs/>
          <w:color w:val="auto"/>
          <w:sz w:val="24"/>
          <w:szCs w:val="24"/>
          <w:highlight w:val="none"/>
        </w:rPr>
        <w:t>后生效。</w:t>
      </w:r>
    </w:p>
    <w:p w14:paraId="0DEDF4B8">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若中标人不签订合同或签订合同后未能履行合同的，或中标后有转让合同的，</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履约保证金。</w:t>
      </w:r>
    </w:p>
    <w:p w14:paraId="0443583E">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中标人应严格遵守《中华人民共和国食品安全法》和《中华人民共和国动物防疫法》等相关规定，一经发现供应以下食品，除全部退货外，将取消定点供应商的供货资格，</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全部履约保证金，供应商并承担由此造成的经济责任和法律责任：</w:t>
      </w:r>
    </w:p>
    <w:p w14:paraId="3049FBC0">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4.1</w:t>
      </w:r>
      <w:r>
        <w:rPr>
          <w:rFonts w:hint="eastAsia" w:ascii="宋体" w:hAnsi="宋体" w:eastAsia="宋体" w:cs="Times New Roman"/>
          <w:bCs/>
          <w:color w:val="auto"/>
          <w:sz w:val="24"/>
          <w:szCs w:val="24"/>
          <w:highlight w:val="none"/>
        </w:rPr>
        <w:t>腐败变质、油脂酸败、霉变、生虫、污秽不洁、混有异物或者其他感官性状异常，对人体健康有害的；</w:t>
      </w:r>
    </w:p>
    <w:p w14:paraId="45C2C1B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4.2</w:t>
      </w:r>
      <w:r>
        <w:rPr>
          <w:rFonts w:hint="eastAsia" w:ascii="宋体" w:hAnsi="宋体" w:eastAsia="宋体" w:cs="Times New Roman"/>
          <w:bCs/>
          <w:color w:val="auto"/>
          <w:sz w:val="24"/>
          <w:szCs w:val="24"/>
          <w:highlight w:val="none"/>
        </w:rPr>
        <w:t>含有毒、有害物质或者被有害物质污染，对人体健康有害的；</w:t>
      </w:r>
    </w:p>
    <w:p w14:paraId="1CB0FD62">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4.3</w:t>
      </w:r>
      <w:r>
        <w:rPr>
          <w:rFonts w:hint="eastAsia" w:ascii="宋体" w:hAnsi="宋体" w:eastAsia="宋体" w:cs="Times New Roman"/>
          <w:bCs/>
          <w:color w:val="auto"/>
          <w:sz w:val="24"/>
          <w:szCs w:val="24"/>
          <w:highlight w:val="none"/>
        </w:rPr>
        <w:t>含有致病性寄生虫、微生物或者微生物含量超过国家限定标准的；</w:t>
      </w:r>
    </w:p>
    <w:p w14:paraId="55E1F3EC">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4.4</w:t>
      </w:r>
      <w:r>
        <w:rPr>
          <w:rFonts w:hint="eastAsia" w:ascii="宋体" w:hAnsi="宋体" w:eastAsia="宋体" w:cs="Times New Roman"/>
          <w:bCs/>
          <w:color w:val="auto"/>
          <w:sz w:val="24"/>
          <w:szCs w:val="24"/>
          <w:highlight w:val="none"/>
        </w:rPr>
        <w:t>未经动物检疫部门检疫、检验或者检疫、检验不合格的肉类及其制品；</w:t>
      </w:r>
    </w:p>
    <w:p w14:paraId="491C2638">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4.5</w:t>
      </w:r>
      <w:r>
        <w:rPr>
          <w:rFonts w:hint="eastAsia" w:ascii="宋体" w:hAnsi="宋体" w:eastAsia="宋体" w:cs="Times New Roman"/>
          <w:bCs/>
          <w:color w:val="auto"/>
          <w:sz w:val="24"/>
          <w:szCs w:val="24"/>
          <w:highlight w:val="none"/>
        </w:rPr>
        <w:t>病死、毒死或者死因不明的动物等及其制品；</w:t>
      </w:r>
    </w:p>
    <w:p w14:paraId="07CCB6B0">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4.6</w:t>
      </w:r>
      <w:r>
        <w:rPr>
          <w:rFonts w:hint="eastAsia" w:ascii="宋体" w:hAnsi="宋体" w:eastAsia="宋体" w:cs="Times New Roman"/>
          <w:bCs/>
          <w:color w:val="auto"/>
          <w:sz w:val="24"/>
          <w:szCs w:val="24"/>
          <w:highlight w:val="none"/>
        </w:rPr>
        <w:t>掺假、掺杂、伪造</w:t>
      </w:r>
      <w:r>
        <w:rPr>
          <w:rFonts w:hint="eastAsia" w:ascii="宋体" w:hAnsi="宋体" w:cs="Times New Roman"/>
          <w:bCs/>
          <w:color w:val="auto"/>
          <w:sz w:val="24"/>
          <w:szCs w:val="24"/>
          <w:highlight w:val="none"/>
          <w:lang w:val="en-US" w:eastAsia="zh-CN"/>
        </w:rPr>
        <w:t>以及</w:t>
      </w:r>
      <w:r>
        <w:rPr>
          <w:rFonts w:hint="eastAsia" w:ascii="宋体" w:hAnsi="宋体" w:eastAsia="宋体" w:cs="Times New Roman"/>
          <w:bCs/>
          <w:color w:val="auto"/>
          <w:sz w:val="24"/>
          <w:szCs w:val="24"/>
          <w:highlight w:val="none"/>
        </w:rPr>
        <w:t>影响营养、卫生的；</w:t>
      </w:r>
    </w:p>
    <w:p w14:paraId="2FC93DB5">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4.7</w:t>
      </w:r>
      <w:r>
        <w:rPr>
          <w:rFonts w:hint="eastAsia" w:ascii="宋体" w:hAnsi="宋体" w:eastAsia="宋体" w:cs="Times New Roman"/>
          <w:bCs/>
          <w:color w:val="auto"/>
          <w:sz w:val="24"/>
          <w:szCs w:val="24"/>
          <w:highlight w:val="none"/>
        </w:rPr>
        <w:t>用非食品原料加工的，加入非食品用化学物质或者将非食品当作食品的；</w:t>
      </w:r>
    </w:p>
    <w:p w14:paraId="50938582">
      <w:pPr>
        <w:tabs>
          <w:tab w:val="left" w:pos="0"/>
        </w:tabs>
        <w:spacing w:line="360" w:lineRule="auto"/>
        <w:ind w:leftChars="100" w:firstLine="480"/>
        <w:rPr>
          <w:rFonts w:hint="eastAsia" w:ascii="宋体" w:hAnsi="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val="en-US" w:eastAsia="zh-CN"/>
        </w:rPr>
        <w:t>4.8</w:t>
      </w:r>
      <w:r>
        <w:rPr>
          <w:rFonts w:hint="eastAsia" w:ascii="宋体" w:hAnsi="宋体" w:eastAsia="宋体" w:cs="Times New Roman"/>
          <w:bCs/>
          <w:color w:val="auto"/>
          <w:sz w:val="24"/>
          <w:szCs w:val="24"/>
          <w:highlight w:val="none"/>
        </w:rPr>
        <w:t>超过保质期限的</w:t>
      </w:r>
      <w:r>
        <w:rPr>
          <w:rFonts w:hint="eastAsia" w:ascii="宋体" w:hAnsi="宋体" w:cs="Times New Roman"/>
          <w:bCs/>
          <w:color w:val="auto"/>
          <w:sz w:val="24"/>
          <w:szCs w:val="24"/>
          <w:highlight w:val="none"/>
          <w:lang w:eastAsia="zh-CN"/>
        </w:rPr>
        <w:t>；</w:t>
      </w:r>
    </w:p>
    <w:p w14:paraId="1ACBA42D">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4.9四季豆、鲜黄花菜、亚硝酸盐、野生蘑菇、生乳、裱花蛋糕等高风险食品或食品原料。</w:t>
      </w:r>
    </w:p>
    <w:p w14:paraId="58B99971">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采购人与供应商在投标及履行合同过程中，必须遵守《中华人民共和国反不正当竞争法》、《中华人民共和国消费者权益保护法》、《中华人民共和国</w:t>
      </w:r>
      <w:r>
        <w:rPr>
          <w:rFonts w:hint="eastAsia" w:ascii="宋体" w:hAnsi="宋体" w:eastAsia="宋体" w:cs="Times New Roman"/>
          <w:bCs/>
          <w:color w:val="auto"/>
          <w:sz w:val="24"/>
          <w:szCs w:val="24"/>
          <w:highlight w:val="none"/>
          <w:lang w:eastAsia="zh-CN"/>
        </w:rPr>
        <w:t>民法典</w:t>
      </w:r>
      <w:r>
        <w:rPr>
          <w:rFonts w:hint="eastAsia" w:ascii="宋体" w:hAnsi="宋体" w:eastAsia="宋体" w:cs="Times New Roman"/>
          <w:bCs/>
          <w:color w:val="auto"/>
          <w:sz w:val="24"/>
          <w:szCs w:val="24"/>
          <w:highlight w:val="none"/>
        </w:rPr>
        <w:t>》及相关的国家法律、法规，如有违法行为，按法律法规相关规定予以处罚。</w:t>
      </w:r>
    </w:p>
    <w:p w14:paraId="6B3B3DF6">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供应商应承诺，愿意随时无条件接受宁海县有关监督部门对定点供货产品质量，价格等的抽查和检查。如违反承诺自愿接受处罚；情节严重的，将由采购人</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履约保证金并取消定点供应商资格。</w:t>
      </w:r>
    </w:p>
    <w:p w14:paraId="4D28C7CD">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在合同履行过程中，如中标人可以提供更优的服务解决方案，则以中标人的方案为准。</w:t>
      </w:r>
    </w:p>
    <w:p w14:paraId="003B0109">
      <w:pPr>
        <w:adjustRightInd/>
        <w:spacing w:line="360" w:lineRule="auto"/>
        <w:ind w:firstLine="393" w:firstLineChars="164"/>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rPr>
        <w:t>中标人要有立足于为学校服务的良好思想，对食品生产经营管理有总体设想和</w:t>
      </w:r>
      <w:r>
        <w:rPr>
          <w:rFonts w:hint="eastAsia" w:ascii="宋体" w:hAnsi="宋体" w:eastAsia="宋体" w:cs="Times New Roman"/>
          <w:bCs/>
          <w:color w:val="auto"/>
          <w:sz w:val="24"/>
          <w:szCs w:val="24"/>
          <w:highlight w:val="none"/>
          <w:lang w:val="en-US" w:eastAsia="zh-CN"/>
        </w:rPr>
        <w:t>具体</w:t>
      </w:r>
      <w:r>
        <w:rPr>
          <w:rFonts w:hint="eastAsia" w:ascii="宋体" w:hAnsi="宋体" w:eastAsia="宋体" w:cs="Times New Roman"/>
          <w:bCs/>
          <w:color w:val="auto"/>
          <w:sz w:val="24"/>
          <w:szCs w:val="24"/>
          <w:highlight w:val="none"/>
        </w:rPr>
        <w:t>措施，有健全的规章制度</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如：人事管理工作、安全防患、卫生保障、文明服务、食品来源安全追溯等制度</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w:t>
      </w:r>
    </w:p>
    <w:p w14:paraId="3036B1BF">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中标人必须建立并严格执行各项食品安全管理制度，如食品卫生安全承诺、食品准入质量查验、食品进货检查验收、食品准入</w:t>
      </w:r>
      <w:r>
        <w:rPr>
          <w:rFonts w:hint="eastAsia" w:ascii="宋体" w:hAnsi="宋体" w:eastAsia="宋体" w:cs="Times New Roman"/>
          <w:bCs/>
          <w:color w:val="auto"/>
          <w:sz w:val="24"/>
          <w:szCs w:val="24"/>
          <w:highlight w:val="none"/>
          <w:lang w:eastAsia="zh-CN"/>
        </w:rPr>
        <w:t>台账</w:t>
      </w:r>
      <w:r>
        <w:rPr>
          <w:rFonts w:hint="eastAsia" w:ascii="宋体" w:hAnsi="宋体" w:eastAsia="宋体" w:cs="Times New Roman"/>
          <w:bCs/>
          <w:color w:val="auto"/>
          <w:sz w:val="24"/>
          <w:szCs w:val="24"/>
          <w:highlight w:val="none"/>
        </w:rPr>
        <w:t>登记、从业人员健康管理、消费投诉处理以及不合格食品下柜、召回、销毁等，参与食品配送的工作人员必须持健康证上岗。</w:t>
      </w:r>
    </w:p>
    <w:p w14:paraId="10999487">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10</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中标人必须按规定索取所经销食品的生产企业（或</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）的营业执照、食品经营许可证、食品质量安全有效检验报告、食品包装上所明示的各类荣誉证书等其他有效证明，索证率达100%，建立食品来源安全追溯制度。</w:t>
      </w:r>
    </w:p>
    <w:p w14:paraId="324C02DE">
      <w:pPr>
        <w:widowControl/>
        <w:adjustRightInd w:val="0"/>
        <w:snapToGrid w:val="0"/>
        <w:spacing w:line="360" w:lineRule="auto"/>
        <w:ind w:firstLine="530" w:firstLineChars="221"/>
        <w:jc w:val="left"/>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11</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乳制品企业应实施食品生产许可（SC</w:t>
      </w:r>
      <w:r>
        <w:rPr>
          <w:rFonts w:hint="eastAsia" w:ascii="宋体" w:hAnsi="宋体" w:eastAsia="宋体" w:cs="Times New Roman"/>
          <w:bCs/>
          <w:color w:val="auto"/>
          <w:sz w:val="24"/>
          <w:szCs w:val="24"/>
          <w:highlight w:val="none"/>
          <w:lang w:val="en-US" w:eastAsia="zh-CN"/>
        </w:rPr>
        <w:t>标志）</w:t>
      </w:r>
      <w:r>
        <w:rPr>
          <w:rFonts w:hint="eastAsia" w:ascii="宋体" w:hAnsi="宋体" w:eastAsia="宋体" w:cs="Times New Roman"/>
          <w:bCs/>
          <w:color w:val="auto"/>
          <w:sz w:val="24"/>
          <w:szCs w:val="24"/>
          <w:highlight w:val="none"/>
        </w:rPr>
        <w:t>和通过食品安全管理体系（HACCP管理体系）认证以及学生奶奶源升级计划的要求。按照《乳制品良好生产规范GB 12693-2023》、《灭菌乳GB25190</w:t>
      </w:r>
      <w:r>
        <w:rPr>
          <w:rFonts w:hint="eastAsia" w:ascii="宋体" w:hAnsi="宋体" w:eastAsia="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2010》、《调制乳GB25191-2010》等国家标准和农业部的NY/T939</w:t>
      </w:r>
      <w:r>
        <w:rPr>
          <w:rFonts w:hint="eastAsia" w:ascii="宋体" w:hAnsi="宋体" w:eastAsia="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2016《巴氏杀菌乳和UHT灭菌乳中复原乳的鉴定》农业行业标准组织生产。经乳品加工专家组对技术文件、生产设备、质量管理、卫生管理和人员素质等项测评，取得合格资格。</w:t>
      </w:r>
    </w:p>
    <w:p w14:paraId="5805A51E">
      <w:pPr>
        <w:widowControl/>
        <w:adjustRightInd w:val="0"/>
        <w:snapToGrid w:val="0"/>
        <w:spacing w:line="360" w:lineRule="auto"/>
        <w:ind w:firstLine="530" w:firstLineChars="221"/>
        <w:jc w:val="left"/>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中标人必须保证配送的食品从正规渠道采购，具有工商、质监及卫生部门认可的检验合格</w:t>
      </w:r>
      <w:r>
        <w:rPr>
          <w:rFonts w:hint="eastAsia" w:ascii="宋体" w:hAnsi="宋体" w:cs="Times New Roman"/>
          <w:bCs/>
          <w:color w:val="auto"/>
          <w:sz w:val="24"/>
          <w:szCs w:val="24"/>
          <w:highlight w:val="none"/>
          <w:lang w:val="en-US" w:eastAsia="zh-CN"/>
        </w:rPr>
        <w:t>证明文件</w:t>
      </w:r>
      <w:r>
        <w:rPr>
          <w:rFonts w:hint="eastAsia" w:ascii="宋体" w:hAnsi="宋体" w:eastAsia="宋体" w:cs="Times New Roman"/>
          <w:bCs/>
          <w:color w:val="auto"/>
          <w:sz w:val="24"/>
          <w:szCs w:val="24"/>
          <w:highlight w:val="none"/>
        </w:rPr>
        <w:t>或检测报告；所供肉类必须经农业</w:t>
      </w:r>
      <w:r>
        <w:rPr>
          <w:rFonts w:hint="eastAsia" w:ascii="宋体" w:hAnsi="宋体" w:cs="Times New Roman"/>
          <w:bCs/>
          <w:color w:val="auto"/>
          <w:sz w:val="24"/>
          <w:szCs w:val="24"/>
          <w:highlight w:val="none"/>
          <w:lang w:val="en-US" w:eastAsia="zh-CN"/>
        </w:rPr>
        <w:t>农村</w:t>
      </w:r>
      <w:r>
        <w:rPr>
          <w:rFonts w:hint="eastAsia" w:ascii="宋体" w:hAnsi="宋体" w:eastAsia="宋体" w:cs="Times New Roman"/>
          <w:bCs/>
          <w:color w:val="auto"/>
          <w:sz w:val="24"/>
          <w:szCs w:val="24"/>
          <w:highlight w:val="none"/>
        </w:rPr>
        <w:t>检验部门检验检疫合格，并加盖检验印戳，做到肉色新鲜，无变质现象；所供蔬菜符合国家有关标准，并做到每批次均经检验，四十八小时留样备查；生熟食品必须按照食品卫生安全相关要求分类仓储保鲜，分类包装送货；严禁销售“三无”食品、有毒有害、过期变质、假冒伪劣等不合格食品</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严禁销售区域特供牛奶及其奶制品。</w:t>
      </w:r>
    </w:p>
    <w:p w14:paraId="2A21B770">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中标人必须按各有关学校下达的配送数量，及时保质、保量完成配送任务，并附本次食品安全检测报告及配送单据（使用单据格式、内容由采购人统一指定，一式三联，验收签字后一张留食堂记</w:t>
      </w:r>
      <w:r>
        <w:rPr>
          <w:rFonts w:hint="eastAsia" w:ascii="宋体" w:hAnsi="宋体" w:eastAsia="宋体" w:cs="Times New Roman"/>
          <w:bCs/>
          <w:color w:val="auto"/>
          <w:sz w:val="24"/>
          <w:szCs w:val="24"/>
          <w:highlight w:val="none"/>
          <w:lang w:eastAsia="zh-CN"/>
        </w:rPr>
        <w:t>台账</w:t>
      </w:r>
      <w:r>
        <w:rPr>
          <w:rFonts w:hint="eastAsia" w:ascii="宋体" w:hAnsi="宋体" w:eastAsia="宋体" w:cs="Times New Roman"/>
          <w:bCs/>
          <w:color w:val="auto"/>
          <w:sz w:val="24"/>
          <w:szCs w:val="24"/>
          <w:highlight w:val="none"/>
        </w:rPr>
        <w:t>，一张作为月底</w:t>
      </w:r>
      <w:r>
        <w:rPr>
          <w:rFonts w:hint="eastAsia" w:ascii="宋体" w:hAnsi="宋体" w:eastAsia="宋体" w:cs="Times New Roman"/>
          <w:bCs/>
          <w:color w:val="auto"/>
          <w:sz w:val="24"/>
          <w:szCs w:val="24"/>
          <w:highlight w:val="none"/>
          <w:lang w:eastAsia="zh-CN"/>
        </w:rPr>
        <w:t>结账</w:t>
      </w:r>
      <w:r>
        <w:rPr>
          <w:rFonts w:hint="eastAsia" w:ascii="宋体" w:hAnsi="宋体" w:eastAsia="宋体" w:cs="Times New Roman"/>
          <w:bCs/>
          <w:color w:val="auto"/>
          <w:sz w:val="24"/>
          <w:szCs w:val="24"/>
          <w:highlight w:val="none"/>
        </w:rPr>
        <w:t>凭据），不无故推诿或缓送，确保学校食堂正常运行。</w:t>
      </w:r>
    </w:p>
    <w:p w14:paraId="539FDBF2">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中标人必须根据教育局的统一要求实行食堂财务电子化管理，并按要求做好网络申报、电子结算。</w:t>
      </w:r>
    </w:p>
    <w:p w14:paraId="3B9D9E54">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中标人要加强自律、诚实守信、依法经营，并自觉接受各有关职能部门、学校的监督检查。</w:t>
      </w:r>
    </w:p>
    <w:p w14:paraId="4BB6063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lang w:eastAsia="zh-CN"/>
        </w:rPr>
        <w:t>定点采购单位</w:t>
      </w:r>
      <w:r>
        <w:rPr>
          <w:rFonts w:hint="eastAsia" w:ascii="宋体" w:hAnsi="宋体" w:eastAsia="宋体" w:cs="Times New Roman"/>
          <w:bCs/>
          <w:color w:val="auto"/>
          <w:sz w:val="24"/>
          <w:szCs w:val="24"/>
          <w:highlight w:val="none"/>
        </w:rPr>
        <w:t>应当按照合同约定履行义务，完成中标项目。</w:t>
      </w:r>
    </w:p>
    <w:p w14:paraId="219A05E9">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rPr>
        <w:t>供应商中标后不得将部分标项或全部标项交由他人承担，一经发现有违规现象取消其</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资格，</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其全部履约保证金，并在三年内禁止其参加宁海县学校食堂食品定点采购活动。</w:t>
      </w:r>
    </w:p>
    <w:p w14:paraId="40DD3B0E">
      <w:pPr>
        <w:widowControl/>
        <w:adjustRightInd w:val="0"/>
        <w:snapToGrid w:val="0"/>
        <w:spacing w:line="360" w:lineRule="auto"/>
        <w:ind w:firstLine="530" w:firstLineChars="221"/>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rPr>
        <w:t>实行配送单位退出制度。凡有下列情况之一的，采购人可无条件取消该单位学校食堂食品原材料统一配送资格：</w:t>
      </w:r>
    </w:p>
    <w:p w14:paraId="6FD64C6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18.1</w:t>
      </w:r>
      <w:r>
        <w:rPr>
          <w:rFonts w:hint="eastAsia" w:ascii="宋体" w:hAnsi="宋体" w:eastAsia="宋体" w:cs="Times New Roman"/>
          <w:bCs/>
          <w:color w:val="auto"/>
          <w:sz w:val="24"/>
          <w:szCs w:val="24"/>
          <w:highlight w:val="none"/>
        </w:rPr>
        <w:t xml:space="preserve">因配送食品质量问题引发食品安全事故； </w:t>
      </w:r>
    </w:p>
    <w:p w14:paraId="7F56D55F">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18.2</w:t>
      </w:r>
      <w:r>
        <w:rPr>
          <w:rFonts w:hint="eastAsia" w:ascii="宋体" w:hAnsi="宋体" w:eastAsia="宋体" w:cs="Times New Roman"/>
          <w:bCs/>
          <w:color w:val="auto"/>
          <w:sz w:val="24"/>
          <w:szCs w:val="24"/>
          <w:highlight w:val="none"/>
        </w:rPr>
        <w:t>配送单位存在严重安全隐患整改不到位；</w:t>
      </w:r>
    </w:p>
    <w:p w14:paraId="68D0D399">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18.3</w:t>
      </w:r>
      <w:r>
        <w:rPr>
          <w:rFonts w:hint="default" w:ascii="宋体" w:hAnsi="宋体" w:eastAsia="宋体" w:cs="Times New Roman"/>
          <w:bCs/>
          <w:color w:val="auto"/>
          <w:sz w:val="24"/>
          <w:szCs w:val="24"/>
          <w:highlight w:val="none"/>
        </w:rPr>
        <w:t>在同一年度内</w:t>
      </w:r>
      <w:r>
        <w:rPr>
          <w:rFonts w:hint="eastAsia" w:ascii="宋体" w:hAnsi="宋体" w:eastAsia="宋体" w:cs="Times New Roman"/>
          <w:bCs/>
          <w:color w:val="auto"/>
          <w:sz w:val="24"/>
          <w:szCs w:val="24"/>
          <w:highlight w:val="none"/>
        </w:rPr>
        <w:t>因配送单位配送假冒伪劣食品行为两次以上的；</w:t>
      </w:r>
    </w:p>
    <w:p w14:paraId="79C447B8">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18.4</w:t>
      </w:r>
      <w:r>
        <w:rPr>
          <w:rFonts w:hint="eastAsia" w:ascii="宋体" w:hAnsi="宋体" w:eastAsia="宋体" w:cs="Times New Roman"/>
          <w:bCs/>
          <w:color w:val="auto"/>
          <w:sz w:val="24"/>
          <w:szCs w:val="24"/>
          <w:highlight w:val="none"/>
        </w:rPr>
        <w:t>因存在不廉洁行为等造成不良社会影响的。</w:t>
      </w:r>
    </w:p>
    <w:p w14:paraId="0DC19F04">
      <w:pPr>
        <w:widowControl/>
        <w:adjustRightInd w:val="0"/>
        <w:snapToGrid w:val="0"/>
        <w:spacing w:line="360" w:lineRule="auto"/>
        <w:ind w:firstLine="530" w:firstLineChars="221"/>
        <w:jc w:val="left"/>
        <w:rPr>
          <w:rFonts w:hint="eastAsia" w:ascii="Times New Roman" w:hAnsi="Times New Roman" w:eastAsia="宋体" w:cs="Times New Roman"/>
          <w:color w:val="auto"/>
          <w:sz w:val="24"/>
          <w:szCs w:val="24"/>
          <w:highlight w:val="none"/>
        </w:rPr>
      </w:pPr>
      <w:r>
        <w:rPr>
          <w:rFonts w:hint="eastAsia" w:ascii="宋体" w:hAnsi="宋体" w:cs="Times New Roman"/>
          <w:bCs/>
          <w:color w:val="auto"/>
          <w:sz w:val="24"/>
          <w:szCs w:val="24"/>
          <w:highlight w:val="none"/>
          <w:lang w:val="en-US" w:eastAsia="zh-CN"/>
        </w:rPr>
        <w:t>19.</w:t>
      </w:r>
      <w:r>
        <w:rPr>
          <w:rFonts w:hint="eastAsia" w:ascii="宋体" w:hAnsi="宋体" w:eastAsia="宋体" w:cs="Times New Roman"/>
          <w:bCs/>
          <w:color w:val="auto"/>
          <w:sz w:val="24"/>
          <w:szCs w:val="24"/>
          <w:highlight w:val="none"/>
        </w:rPr>
        <w:t>在定点采购合同有效期内，当出现有配送单位被取消资格或配送单位因故不能履行定点配送服务的，采购人将</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该单位的全部履约保证金（法定免责情形除外），并记录不良行为禁止其三年内参与宁海县教育系统相关采购活动；出现上述情形的，由采购人在其他中标人</w:t>
      </w:r>
      <w:r>
        <w:rPr>
          <w:rFonts w:hint="eastAsia" w:ascii="宋体" w:hAnsi="宋体" w:eastAsia="宋体" w:cs="Times New Roman"/>
          <w:bCs/>
          <w:color w:val="auto"/>
          <w:sz w:val="24"/>
          <w:szCs w:val="24"/>
          <w:highlight w:val="none"/>
          <w:lang w:eastAsia="zh-CN"/>
        </w:rPr>
        <w:t>中</w:t>
      </w:r>
      <w:r>
        <w:rPr>
          <w:rFonts w:hint="eastAsia" w:ascii="宋体" w:hAnsi="宋体" w:eastAsia="宋体" w:cs="Times New Roman"/>
          <w:bCs/>
          <w:color w:val="auto"/>
          <w:sz w:val="24"/>
          <w:szCs w:val="24"/>
          <w:highlight w:val="none"/>
        </w:rPr>
        <w:t>重新自行选择定点配送单位；若出现上述情形导致剩余的定点配送单位不足</w:t>
      </w:r>
      <w:r>
        <w:rPr>
          <w:rFonts w:hint="eastAsia" w:ascii="宋体" w:hAnsi="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rPr>
        <w:t xml:space="preserve">家的，采购人将重新组织招标确定定点配送单位。 </w:t>
      </w:r>
    </w:p>
    <w:p w14:paraId="1AAFBA8B">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七、惩处</w:t>
      </w:r>
    </w:p>
    <w:p w14:paraId="20824FD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1.项目品控：</w:t>
      </w:r>
    </w:p>
    <w:p w14:paraId="64F8E0C0">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1.1质量控制：供应商每周提供的配送商品质量需符合招标文件、《中华人民共和国食品安全法》及属地相关法律法规要求。如果在三年内的抽查中发现配送商品质量不合格的，经宁海县教育服务管理中心核实，第一次扣履约保证金50000元，第二次扣履约保证金80000元，第三次扣履约保证金100000元，第四次扣完所有履约保证金并解除定点采购合同。</w:t>
      </w:r>
    </w:p>
    <w:p w14:paraId="06AA115D">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1.2价格控制：供应商每周提供的配送商品报价不得高于当时当地物价部门提供的同一等级产品市场零售价格，且不得高于其他任何非政府采购及学校执行采购的价格（实际购供价格）。如果在抽查中发现商品报价超出当日市场采价平均价的，每一种商品发现一次扣履约保证金2000元，有二种的扣履约保证金4000元，以此类推。并以市场采价平均价与学校重新结算，经查未重新结算的，按超出部分3倍处罚。</w:t>
      </w:r>
    </w:p>
    <w:p w14:paraId="39F9BC24">
      <w:pPr>
        <w:tabs>
          <w:tab w:val="left" w:pos="0"/>
        </w:tabs>
        <w:spacing w:line="360" w:lineRule="auto"/>
        <w:ind w:leftChars="100" w:firstLine="48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1.3服务控制：供应商提供的配送服务未达到学校配送要求的。经学校上报，并由宁海县教育服务管理中心核实，一经查实，第一次扣履约保证金3000元，第二次扣履约保证金6000元。若二次均发生在同一学校的，采购人有权取消其该学校配送资格。</w:t>
      </w:r>
    </w:p>
    <w:p w14:paraId="452B4B13">
      <w:pPr>
        <w:tabs>
          <w:tab w:val="left" w:pos="0"/>
        </w:tabs>
        <w:spacing w:line="360" w:lineRule="auto"/>
        <w:ind w:leftChars="100" w:firstLine="48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1.4如因品控问题，取消配送资格的学校由采购人从其他中标人中抽签决定配送单位。</w:t>
      </w:r>
    </w:p>
    <w:p w14:paraId="0C4605CE">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2.供应商未在采购人指定的平台（宁海县中小学食堂原材料采购平台）按时与学校进行商品的报价、议价、结算，发现一次扣履约保证金1000元。</w:t>
      </w:r>
    </w:p>
    <w:p w14:paraId="2199B1C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3.供应商每周提供的配送商品报价需严格执行合同</w:t>
      </w:r>
      <w:r>
        <w:rPr>
          <w:rFonts w:hint="eastAsia" w:ascii="宋体" w:hAnsi="宋体" w:cs="Times New Roman"/>
          <w:bCs/>
          <w:color w:val="auto"/>
          <w:sz w:val="24"/>
          <w:szCs w:val="24"/>
          <w:highlight w:val="none"/>
          <w:lang w:val="en-US" w:eastAsia="zh-CN"/>
        </w:rPr>
        <w:t>折扣系数</w:t>
      </w:r>
      <w:r>
        <w:rPr>
          <w:rFonts w:hint="eastAsia" w:ascii="宋体" w:hAnsi="宋体" w:eastAsia="宋体" w:cs="Times New Roman"/>
          <w:bCs/>
          <w:color w:val="auto"/>
          <w:sz w:val="24"/>
          <w:szCs w:val="24"/>
          <w:highlight w:val="none"/>
          <w:lang w:val="en-US" w:eastAsia="zh-CN"/>
        </w:rPr>
        <w:t>，经查未执行的，第一次扣履约保证金10000元，第二次抽查发现有以上现象的扣履约保证金50000元，第三次抽查发现解除定点采购合同。如供应商对惩处有异议的，由宁海县教育服务管理中心组织听证，听证人员由学校代表、家长代表、市场监督部门及纪监部门代表等组成。</w:t>
      </w:r>
    </w:p>
    <w:p w14:paraId="26EC096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宁海县相关监督部门对各定点供应商进行定期或不定期抽查，提高对所供食品的监督检验频率，发现定点供应商有不良行为或违反招标文件和投标文件中的服务承诺规定的，情节严重，一经查实，第一次扣除50%的履约保证金，第二次扣除所有的履约保证金，取消定点供应商资格，三年内不得参加宁海县中小学食堂定点采购招标活动；对所供食品抽验不合格的定点供应商，每种商品扣履约保证金3000元，直至扣完履约保证金，取消定点供应商资格，三年内不得参加宁海县中小学食品定点采购招标活动。</w:t>
      </w:r>
    </w:p>
    <w:p w14:paraId="160F484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5.供应商配送冷冻品、牛奶未在准入目录中的，一经查实，第一次扣履约保证金5000元，第二次扣履约保证金10000元，以此类推。</w:t>
      </w:r>
    </w:p>
    <w:p w14:paraId="291E06F5">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6.如果以上现象导致履约保证金扣完，解除本次定点采购协议。</w:t>
      </w:r>
    </w:p>
    <w:p w14:paraId="7F05B904">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八、其他要求</w:t>
      </w:r>
    </w:p>
    <w:p w14:paraId="0933C75D">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1.服务对象：宁海县所有各类公办中小学（含高中学校）、幼儿园及公办参与管理的民办学校</w:t>
      </w:r>
      <w:r>
        <w:rPr>
          <w:rFonts w:hint="eastAsia" w:hAnsi="宋体" w:cs="宋体"/>
          <w:bCs/>
          <w:snapToGrid/>
          <w:color w:val="auto"/>
          <w:kern w:val="2"/>
          <w:sz w:val="24"/>
          <w:szCs w:val="24"/>
          <w:highlight w:val="none"/>
          <w:lang w:eastAsia="zh-CN"/>
        </w:rPr>
        <w:t>。</w:t>
      </w:r>
    </w:p>
    <w:p w14:paraId="74D67D1F">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2.损失风险：服务中的一切风险由中标人承担。</w:t>
      </w:r>
    </w:p>
    <w:p w14:paraId="5346506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3.中标人应在保证服务质量和服务期限的前提下提供服务。</w:t>
      </w:r>
    </w:p>
    <w:p w14:paraId="34A0F0AA">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4.中标人应保证在学校需要的时间内供货到学校指定地点。</w:t>
      </w:r>
    </w:p>
    <w:p w14:paraId="57BC931A">
      <w:pPr>
        <w:widowControl/>
        <w:snapToGrid w:val="0"/>
        <w:spacing w:line="360" w:lineRule="auto"/>
        <w:ind w:firstLine="530" w:firstLineChars="221"/>
        <w:jc w:val="left"/>
        <w:rPr>
          <w:rFonts w:hint="default" w:ascii="宋体" w:hAnsi="宋体"/>
          <w:bCs/>
          <w:color w:val="auto"/>
          <w:sz w:val="24"/>
          <w:highlight w:val="none"/>
          <w:lang w:val="en-US" w:eastAsia="zh-CN"/>
        </w:rPr>
      </w:pPr>
      <w:r>
        <w:rPr>
          <w:rFonts w:hint="eastAsia" w:ascii="宋体" w:hAnsi="宋体" w:cs="Times New Roman"/>
          <w:bCs/>
          <w:color w:val="auto"/>
          <w:sz w:val="24"/>
          <w:szCs w:val="24"/>
          <w:highlight w:val="none"/>
          <w:lang w:val="en-US" w:eastAsia="zh-CN"/>
        </w:rPr>
        <w:t>▲5.供应商须承诺所有配送车辆在项目实施前安装完成定位系统。</w:t>
      </w:r>
    </w:p>
    <w:p w14:paraId="21C47CA5">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九、验收</w:t>
      </w:r>
    </w:p>
    <w:p w14:paraId="10EF9969">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1.验收单位：由各学校负责验收。</w:t>
      </w:r>
    </w:p>
    <w:p w14:paraId="515A7F7E">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2.验收标准：按照国家及行业相关标准及招标文件规定验收，如验收达不到规定要求，学校可退货，对学校造成一定的影响，中标供应商承担一切责任，并赔偿所造成的损失。</w:t>
      </w:r>
    </w:p>
    <w:p w14:paraId="30725D6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3.验收解决：各学校对服务质量提出异议要求检验或检测的，结果为合格的，费用由各学校承担，结果为不合格或达不到本条标准的，其费用由中标人承担。</w:t>
      </w:r>
    </w:p>
    <w:p w14:paraId="7EBA366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十、不可抗力</w:t>
      </w:r>
    </w:p>
    <w:p w14:paraId="73550295">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1.如一旦有构成不可抗力的事件发生，且签约被认为无力履行全部或部分合同中规定的职责，中标人需以书面形式通知采购人并告知有关细节。</w:t>
      </w:r>
    </w:p>
    <w:p w14:paraId="6B44109B">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2.本条款中的不可抗力应解释为自然灾害、战争（无论是否公开宣战）、入侵、暴动、叛乱、国家政策，或其它具有相似性质的事件。</w:t>
      </w:r>
    </w:p>
    <w:p w14:paraId="6CCBF4D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十一、投诉</w:t>
      </w:r>
    </w:p>
    <w:p w14:paraId="2C286D4D">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为了维护双方的权益，保证合同顺利执行，本合同建立投诉监管制。</w:t>
      </w:r>
    </w:p>
    <w:p w14:paraId="54A95413">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具体方式为：</w:t>
      </w:r>
    </w:p>
    <w:p w14:paraId="6DECDB5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采购人可就中标人提供货物的质量、价格、服务等问题向宁海县采购办、监察委、市场监督管理局、食品安全办公室、商务局及法定检验机构投诉，以上部门将对采购人的投诉进行核查，如情况属实，经有关部门批准后，第一次扣除50%的履约保证金，五日内补足扣除款项；第二次扣除所有的履约保证金，并取消定点供应商资格。</w:t>
      </w:r>
    </w:p>
    <w:p w14:paraId="3FFABDDA">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2.中标人可就采购人的违反合同规定或违纪事项，向相关部门对采购人的投诉进行调查处理。</w:t>
      </w:r>
    </w:p>
    <w:p w14:paraId="49303F85">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十二、转让</w:t>
      </w:r>
    </w:p>
    <w:p w14:paraId="391D26B9">
      <w:pPr>
        <w:adjustRightInd/>
        <w:spacing w:line="360" w:lineRule="auto"/>
        <w:ind w:firstLine="6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中标人不得将合同的任何部分或中标人的任何权利</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利益或责任转让</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委派</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许诺</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安排给其他人，除非有采购人书面同意并报宁海县政府采购管理办公室审核备案。</w:t>
      </w:r>
    </w:p>
    <w:p w14:paraId="69624D3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十三、考核</w:t>
      </w:r>
    </w:p>
    <w:p w14:paraId="0B4A2F57">
      <w:pPr>
        <w:adjustRightInd/>
        <w:spacing w:line="360" w:lineRule="auto"/>
        <w:ind w:firstLine="6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采购人不定期将对供应商进行监督，结合相关职能部门监督结果，对供应商进行综合评定，学期评定结果为差的进行处罚，第一次扣履约保证金10000元，第二次扣履约保证金20000元，第三次取消</w:t>
      </w:r>
      <w:r>
        <w:rPr>
          <w:rFonts w:hint="eastAsia" w:ascii="宋体" w:hAnsi="宋体" w:eastAsia="宋体" w:cs="Times New Roman"/>
          <w:bCs/>
          <w:color w:val="auto"/>
          <w:sz w:val="24"/>
          <w:szCs w:val="24"/>
          <w:highlight w:val="none"/>
          <w:lang w:eastAsia="zh-CN"/>
        </w:rPr>
        <w:t>定点采购</w:t>
      </w:r>
      <w:r>
        <w:rPr>
          <w:rFonts w:hint="eastAsia" w:ascii="宋体" w:hAnsi="宋体" w:eastAsia="宋体" w:cs="Times New Roman"/>
          <w:bCs/>
          <w:color w:val="auto"/>
          <w:sz w:val="24"/>
          <w:szCs w:val="24"/>
          <w:highlight w:val="none"/>
        </w:rPr>
        <w:t>协议。</w:t>
      </w:r>
    </w:p>
    <w:p w14:paraId="2D3207BE">
      <w:pPr>
        <w:adjustRightInd/>
        <w:spacing w:line="360" w:lineRule="auto"/>
        <w:ind w:firstLine="60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学校</w:t>
      </w:r>
      <w:r>
        <w:rPr>
          <w:rFonts w:hint="eastAsia" w:ascii="宋体" w:hAnsi="宋体" w:eastAsia="宋体" w:cs="Times New Roman"/>
          <w:bCs/>
          <w:color w:val="auto"/>
          <w:sz w:val="24"/>
          <w:szCs w:val="24"/>
          <w:highlight w:val="none"/>
        </w:rPr>
        <w:t>不定期将对供应商进行监督，</w:t>
      </w:r>
      <w:r>
        <w:rPr>
          <w:rFonts w:hint="eastAsia" w:ascii="宋体" w:hAnsi="宋体" w:cs="Times New Roman"/>
          <w:bCs/>
          <w:color w:val="auto"/>
          <w:sz w:val="24"/>
          <w:szCs w:val="24"/>
          <w:highlight w:val="none"/>
          <w:lang w:val="en-US" w:eastAsia="zh-CN"/>
        </w:rPr>
        <w:t>具体监督考核内容在合同执行期间由学校提供</w:t>
      </w:r>
      <w:r>
        <w:rPr>
          <w:rFonts w:hint="eastAsia" w:ascii="宋体" w:hAnsi="宋体" w:eastAsia="宋体" w:cs="Times New Roman"/>
          <w:bCs/>
          <w:color w:val="auto"/>
          <w:sz w:val="24"/>
          <w:szCs w:val="24"/>
          <w:highlight w:val="none"/>
        </w:rPr>
        <w:t>。</w:t>
      </w:r>
    </w:p>
    <w:p w14:paraId="1669659C">
      <w:pPr>
        <w:adjustRightInd/>
        <w:spacing w:line="360" w:lineRule="auto"/>
        <w:ind w:firstLine="6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学校每学年度对供应商进行满意度测评，测评结果为差的供应商下一年度原始配送份额减少10%。连续两年测定为差的，下一年度原始配送份额减少20%，连续三年测定为差的，将禁止参与下一轮宁海县食堂原材料招标资格。</w:t>
      </w:r>
    </w:p>
    <w:p w14:paraId="734F1D4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十四、相关要求</w:t>
      </w:r>
    </w:p>
    <w:p w14:paraId="26A21264">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供应商应具有</w:t>
      </w:r>
      <w:r>
        <w:rPr>
          <w:rFonts w:hint="eastAsia" w:ascii="宋体" w:hAnsi="宋体" w:cs="Times New Roman"/>
          <w:bCs/>
          <w:color w:val="auto"/>
          <w:sz w:val="24"/>
          <w:szCs w:val="24"/>
          <w:highlight w:val="none"/>
          <w:lang w:val="en-US" w:eastAsia="zh-CN"/>
        </w:rPr>
        <w:t>综合服务</w:t>
      </w:r>
      <w:r>
        <w:rPr>
          <w:rFonts w:hint="default" w:ascii="宋体" w:hAnsi="宋体" w:eastAsia="宋体" w:cs="Times New Roman"/>
          <w:bCs/>
          <w:color w:val="auto"/>
          <w:sz w:val="24"/>
          <w:szCs w:val="24"/>
          <w:highlight w:val="none"/>
          <w:lang w:val="en-US" w:eastAsia="zh-CN"/>
        </w:rPr>
        <w:t>能力</w:t>
      </w:r>
      <w:r>
        <w:rPr>
          <w:rFonts w:hint="eastAsia" w:ascii="宋体" w:hAnsi="宋体" w:eastAsia="宋体" w:cs="Times New Roman"/>
          <w:bCs/>
          <w:color w:val="auto"/>
          <w:sz w:val="24"/>
          <w:szCs w:val="24"/>
          <w:highlight w:val="none"/>
          <w:lang w:val="en-US" w:eastAsia="zh-CN"/>
        </w:rPr>
        <w:t>：</w:t>
      </w:r>
      <w:r>
        <w:rPr>
          <w:rFonts w:hint="eastAsia" w:ascii="宋体" w:hAnsi="宋体" w:cs="Times New Roman"/>
          <w:bCs/>
          <w:color w:val="auto"/>
          <w:sz w:val="24"/>
          <w:szCs w:val="24"/>
          <w:highlight w:val="none"/>
          <w:lang w:val="en-US" w:eastAsia="zh-CN"/>
        </w:rPr>
        <w:t>投标文件中提供</w:t>
      </w:r>
      <w:r>
        <w:rPr>
          <w:rFonts w:hint="eastAsia" w:ascii="宋体" w:hAnsi="宋体" w:eastAsia="宋体" w:cs="Times New Roman"/>
          <w:bCs/>
          <w:color w:val="auto"/>
          <w:sz w:val="24"/>
          <w:szCs w:val="24"/>
          <w:highlight w:val="none"/>
          <w:lang w:val="en-US" w:eastAsia="zh-CN"/>
        </w:rPr>
        <w:t>配送处理车间、冷库（冷藏、保鲜）、副食品库、</w:t>
      </w:r>
      <w:r>
        <w:rPr>
          <w:rFonts w:hint="default" w:ascii="宋体" w:hAnsi="宋体" w:eastAsia="宋体" w:cs="Times New Roman"/>
          <w:bCs/>
          <w:color w:val="auto"/>
          <w:sz w:val="24"/>
          <w:szCs w:val="24"/>
          <w:highlight w:val="none"/>
          <w:lang w:val="en-US" w:eastAsia="zh-CN"/>
        </w:rPr>
        <w:t>本项目配送中心的地址</w:t>
      </w:r>
      <w:r>
        <w:rPr>
          <w:rFonts w:hint="eastAsia" w:ascii="宋体" w:hAnsi="宋体" w:eastAsia="宋体" w:cs="Times New Roman"/>
          <w:bCs/>
          <w:color w:val="auto"/>
          <w:sz w:val="24"/>
          <w:szCs w:val="24"/>
          <w:highlight w:val="none"/>
          <w:lang w:val="en-US" w:eastAsia="zh-CN"/>
        </w:rPr>
        <w:t>，服务响应速度及措施</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为本项目服务配置的车辆、其他配送能力情况等相关资料。</w:t>
      </w:r>
    </w:p>
    <w:p w14:paraId="691ECB5B">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应具有</w:t>
      </w:r>
      <w:r>
        <w:rPr>
          <w:rFonts w:hint="default" w:ascii="宋体" w:hAnsi="宋体" w:eastAsia="宋体" w:cs="Times New Roman"/>
          <w:bCs/>
          <w:color w:val="auto"/>
          <w:sz w:val="24"/>
          <w:szCs w:val="24"/>
          <w:highlight w:val="none"/>
          <w:lang w:val="en-US" w:eastAsia="zh-CN"/>
        </w:rPr>
        <w:t>质量实际控制能力</w:t>
      </w:r>
      <w:r>
        <w:rPr>
          <w:rFonts w:hint="eastAsia" w:ascii="宋体" w:hAnsi="宋体" w:eastAsia="宋体" w:cs="Times New Roman"/>
          <w:bCs/>
          <w:color w:val="auto"/>
          <w:sz w:val="24"/>
          <w:szCs w:val="24"/>
          <w:highlight w:val="none"/>
          <w:lang w:val="en-US" w:eastAsia="zh-CN"/>
        </w:rPr>
        <w:t>：质检室建设、质检设备、质检结果、质检人员等的相关资料；浙食链数据；其他质量控制措施。</w:t>
      </w:r>
    </w:p>
    <w:p w14:paraId="31EEC6E5">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w:t>
      </w:r>
      <w:r>
        <w:rPr>
          <w:rFonts w:hint="eastAsia" w:ascii="宋体" w:hAnsi="宋体" w:eastAsia="宋体" w:cs="Times New Roman"/>
          <w:bCs/>
          <w:color w:val="auto"/>
          <w:sz w:val="24"/>
          <w:szCs w:val="24"/>
          <w:highlight w:val="none"/>
          <w:lang w:val="en-US" w:eastAsia="zh-CN"/>
        </w:rPr>
        <w:t>提供</w:t>
      </w:r>
      <w:r>
        <w:rPr>
          <w:rFonts w:hint="default" w:ascii="宋体" w:hAnsi="宋体" w:eastAsia="宋体" w:cs="Times New Roman"/>
          <w:bCs/>
          <w:color w:val="auto"/>
          <w:sz w:val="24"/>
          <w:szCs w:val="24"/>
          <w:highlight w:val="none"/>
          <w:lang w:val="en-US" w:eastAsia="zh-CN"/>
        </w:rPr>
        <w:t>本项目人员配备及人员管理方案</w:t>
      </w:r>
      <w:r>
        <w:rPr>
          <w:rFonts w:hint="eastAsia" w:ascii="宋体" w:hAnsi="宋体" w:eastAsia="宋体" w:cs="Times New Roman"/>
          <w:bCs/>
          <w:color w:val="auto"/>
          <w:sz w:val="24"/>
          <w:szCs w:val="24"/>
          <w:highlight w:val="none"/>
          <w:lang w:val="en-US" w:eastAsia="zh-CN"/>
        </w:rPr>
        <w:t>。</w:t>
      </w:r>
    </w:p>
    <w:p w14:paraId="47AE1895">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供应商应提供食品安全保险单</w:t>
      </w:r>
      <w:r>
        <w:rPr>
          <w:rFonts w:hint="eastAsia" w:ascii="宋体" w:hAnsi="宋体" w:eastAsia="宋体" w:cs="Times New Roman"/>
          <w:bCs/>
          <w:color w:val="auto"/>
          <w:sz w:val="24"/>
          <w:szCs w:val="24"/>
          <w:highlight w:val="none"/>
          <w:lang w:val="en-US" w:eastAsia="zh-CN"/>
        </w:rPr>
        <w:t>、食品送达时间保证方案、食品数量保证方案</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质量问题处罚及改进措施</w:t>
      </w:r>
      <w:r>
        <w:rPr>
          <w:rFonts w:hint="eastAsia" w:ascii="宋体" w:hAnsi="宋体" w:cs="Times New Roman"/>
          <w:bCs/>
          <w:color w:val="auto"/>
          <w:sz w:val="24"/>
          <w:szCs w:val="24"/>
          <w:highlight w:val="none"/>
          <w:lang w:val="en-US" w:eastAsia="zh-CN"/>
        </w:rPr>
        <w:t>、针对服务学校的服务保障方案</w:t>
      </w:r>
      <w:r>
        <w:rPr>
          <w:rFonts w:hint="eastAsia" w:ascii="宋体" w:hAnsi="宋体" w:eastAsia="宋体" w:cs="Times New Roman"/>
          <w:bCs/>
          <w:color w:val="auto"/>
          <w:sz w:val="24"/>
          <w:szCs w:val="24"/>
          <w:highlight w:val="none"/>
          <w:lang w:val="en-US" w:eastAsia="zh-CN"/>
        </w:rPr>
        <w:t>。</w:t>
      </w:r>
    </w:p>
    <w:p w14:paraId="65DFBED1">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5.</w:t>
      </w:r>
      <w:r>
        <w:rPr>
          <w:rFonts w:hint="default" w:ascii="宋体" w:hAnsi="宋体" w:eastAsia="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w:t>
      </w:r>
      <w:r>
        <w:rPr>
          <w:rFonts w:hint="default" w:ascii="宋体" w:hAnsi="宋体" w:eastAsia="宋体" w:cs="Times New Roman"/>
          <w:bCs/>
          <w:color w:val="auto"/>
          <w:sz w:val="24"/>
          <w:szCs w:val="24"/>
          <w:highlight w:val="none"/>
          <w:lang w:val="en-US" w:eastAsia="zh-CN"/>
        </w:rPr>
        <w:t>为本项目提供健全的规章制度</w:t>
      </w:r>
      <w:r>
        <w:rPr>
          <w:rFonts w:hint="eastAsia" w:ascii="宋体" w:hAnsi="宋体" w:cs="Times New Roman"/>
          <w:bCs/>
          <w:color w:val="auto"/>
          <w:sz w:val="24"/>
          <w:szCs w:val="24"/>
          <w:highlight w:val="none"/>
          <w:lang w:val="en-US" w:eastAsia="zh-CN"/>
        </w:rPr>
        <w:t>，制定应急保障措施</w:t>
      </w:r>
      <w:r>
        <w:rPr>
          <w:rFonts w:hint="eastAsia" w:ascii="宋体" w:hAnsi="宋体" w:eastAsia="宋体" w:cs="Times New Roman"/>
          <w:bCs/>
          <w:color w:val="auto"/>
          <w:sz w:val="24"/>
          <w:szCs w:val="24"/>
          <w:highlight w:val="none"/>
          <w:lang w:val="en-US" w:eastAsia="zh-CN"/>
        </w:rPr>
        <w:t>。</w:t>
      </w:r>
    </w:p>
    <w:p w14:paraId="5BFA4D31">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6.供应商应对本项目服务区域进行熟悉并提出针对服务区域的</w:t>
      </w:r>
      <w:r>
        <w:rPr>
          <w:rFonts w:hint="default" w:ascii="宋体" w:hAnsi="宋体" w:eastAsia="宋体" w:cs="Times New Roman"/>
          <w:bCs/>
          <w:color w:val="auto"/>
          <w:sz w:val="24"/>
          <w:szCs w:val="24"/>
          <w:highlight w:val="none"/>
          <w:lang w:val="en-US" w:eastAsia="zh-CN"/>
        </w:rPr>
        <w:t>优化配送方案</w:t>
      </w:r>
      <w:r>
        <w:rPr>
          <w:rFonts w:hint="eastAsia" w:ascii="宋体" w:hAnsi="宋体" w:eastAsia="宋体" w:cs="Times New Roman"/>
          <w:bCs/>
          <w:color w:val="auto"/>
          <w:sz w:val="24"/>
          <w:szCs w:val="24"/>
          <w:highlight w:val="none"/>
          <w:lang w:val="en-US" w:eastAsia="zh-CN"/>
        </w:rPr>
        <w:t>。</w:t>
      </w:r>
    </w:p>
    <w:bookmarkEnd w:id="41"/>
    <w:p w14:paraId="48A631BA">
      <w:pPr>
        <w:rPr>
          <w:rFonts w:hint="eastAsia" w:ascii="宋体" w:hAnsi="宋体"/>
          <w:bCs/>
          <w:color w:val="auto"/>
          <w:szCs w:val="21"/>
          <w:highlight w:val="none"/>
        </w:rPr>
        <w:sectPr>
          <w:footerReference r:id="rId8" w:type="default"/>
          <w:pgSz w:w="11907" w:h="16840"/>
          <w:pgMar w:top="1474" w:right="1814" w:bottom="1474" w:left="1814" w:header="851" w:footer="851" w:gutter="0"/>
          <w:cols w:space="720" w:num="1"/>
        </w:sectPr>
      </w:pPr>
    </w:p>
    <w:p w14:paraId="7315F7BA">
      <w:pPr>
        <w:spacing w:line="240" w:lineRule="auto"/>
        <w:rPr>
          <w:rFonts w:hint="eastAsia" w:ascii="宋体" w:hAnsi="宋体"/>
          <w:bCs/>
          <w:color w:val="auto"/>
          <w:szCs w:val="21"/>
          <w:highlight w:val="none"/>
        </w:rPr>
      </w:pPr>
      <w:r>
        <w:rPr>
          <w:rFonts w:hint="eastAsia" w:ascii="宋体" w:hAnsi="宋体"/>
          <w:bCs/>
          <w:color w:val="auto"/>
          <w:szCs w:val="21"/>
          <w:highlight w:val="none"/>
        </w:rPr>
        <w:t>附1：宁海县教育服务管理中心针对配送企业的日常考核表</w:t>
      </w:r>
    </w:p>
    <w:p w14:paraId="7E9FE339">
      <w:pPr>
        <w:tabs>
          <w:tab w:val="left" w:pos="7740"/>
        </w:tabs>
        <w:spacing w:line="360" w:lineRule="auto"/>
        <w:jc w:val="center"/>
        <w:rPr>
          <w:rFonts w:ascii="宋体" w:hAnsi="宋体"/>
          <w:color w:val="auto"/>
          <w:szCs w:val="21"/>
          <w:highlight w:val="none"/>
        </w:rPr>
      </w:pPr>
      <w:r>
        <w:rPr>
          <w:rFonts w:hint="eastAsia" w:ascii="宋体" w:hAnsi="宋体"/>
          <w:bCs/>
          <w:color w:val="auto"/>
          <w:szCs w:val="21"/>
          <w:highlight w:val="none"/>
        </w:rPr>
        <w:t>配送企业日常监督表</w:t>
      </w:r>
      <w:r>
        <w:rPr>
          <w:rFonts w:hint="eastAsia" w:ascii="宋体" w:hAnsi="宋体"/>
          <w:color w:val="auto"/>
          <w:szCs w:val="21"/>
          <w:highlight w:val="none"/>
        </w:rPr>
        <w:t>（暂定）</w:t>
      </w:r>
    </w:p>
    <w:p w14:paraId="42DA1F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时间：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173"/>
        <w:gridCol w:w="1675"/>
        <w:gridCol w:w="1296"/>
      </w:tblGrid>
      <w:tr w14:paraId="2D2D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1999EBBC">
            <w:pPr>
              <w:adjustRightInd w:val="0"/>
              <w:spacing w:line="312" w:lineRule="atLeast"/>
              <w:jc w:val="center"/>
              <w:textAlignment w:val="baseline"/>
              <w:rPr>
                <w:rFonts w:hint="eastAsia" w:ascii="宋体" w:hAnsi="宋体" w:cs="宋体"/>
                <w:color w:val="auto"/>
                <w:szCs w:val="21"/>
                <w:highlight w:val="none"/>
              </w:rPr>
            </w:pPr>
          </w:p>
        </w:tc>
        <w:tc>
          <w:tcPr>
            <w:tcW w:w="4173" w:type="dxa"/>
            <w:noWrap w:val="0"/>
            <w:vAlign w:val="center"/>
          </w:tcPr>
          <w:p w14:paraId="5C840127">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检查内容</w:t>
            </w:r>
          </w:p>
        </w:tc>
        <w:tc>
          <w:tcPr>
            <w:tcW w:w="1675" w:type="dxa"/>
            <w:noWrap w:val="0"/>
            <w:vAlign w:val="center"/>
          </w:tcPr>
          <w:p w14:paraId="70054C70">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检查情况</w:t>
            </w:r>
          </w:p>
        </w:tc>
        <w:tc>
          <w:tcPr>
            <w:tcW w:w="1296" w:type="dxa"/>
            <w:noWrap w:val="0"/>
            <w:vAlign w:val="center"/>
          </w:tcPr>
          <w:p w14:paraId="79CEDAD1">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370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84" w:type="dxa"/>
            <w:vMerge w:val="restart"/>
            <w:noWrap w:val="0"/>
            <w:vAlign w:val="center"/>
          </w:tcPr>
          <w:p w14:paraId="6C8FBA4E">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4173" w:type="dxa"/>
            <w:noWrap w:val="0"/>
            <w:vAlign w:val="center"/>
          </w:tcPr>
          <w:p w14:paraId="5D8217D5">
            <w:pPr>
              <w:adjustRightInd w:val="0"/>
              <w:spacing w:line="312" w:lineRule="atLeast"/>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1、相关进货单位签订的协议</w:t>
            </w:r>
          </w:p>
        </w:tc>
        <w:tc>
          <w:tcPr>
            <w:tcW w:w="1675" w:type="dxa"/>
            <w:noWrap w:val="0"/>
            <w:vAlign w:val="center"/>
          </w:tcPr>
          <w:p w14:paraId="4EDF070C">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1AE3A05C">
            <w:pPr>
              <w:adjustRightInd w:val="0"/>
              <w:spacing w:line="312" w:lineRule="atLeast"/>
              <w:jc w:val="center"/>
              <w:textAlignment w:val="baseline"/>
              <w:rPr>
                <w:rFonts w:hint="eastAsia" w:ascii="宋体" w:hAnsi="宋体" w:cs="宋体"/>
                <w:color w:val="auto"/>
                <w:szCs w:val="21"/>
                <w:highlight w:val="none"/>
              </w:rPr>
            </w:pPr>
          </w:p>
        </w:tc>
      </w:tr>
      <w:tr w14:paraId="200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84" w:type="dxa"/>
            <w:vMerge w:val="continue"/>
            <w:noWrap w:val="0"/>
            <w:vAlign w:val="top"/>
          </w:tcPr>
          <w:p w14:paraId="0D84B254">
            <w:pPr>
              <w:adjustRightInd w:val="0"/>
              <w:spacing w:line="312" w:lineRule="atLeast"/>
              <w:textAlignment w:val="baseline"/>
              <w:rPr>
                <w:rFonts w:hint="eastAsia" w:ascii="宋体" w:hAnsi="宋体" w:cs="宋体"/>
                <w:color w:val="auto"/>
                <w:szCs w:val="21"/>
                <w:highlight w:val="none"/>
              </w:rPr>
            </w:pPr>
          </w:p>
        </w:tc>
        <w:tc>
          <w:tcPr>
            <w:tcW w:w="4173" w:type="dxa"/>
            <w:noWrap w:val="0"/>
            <w:vAlign w:val="center"/>
          </w:tcPr>
          <w:p w14:paraId="632A69CA">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2、产品的合格证、检疫证、检验报告等证件，供货单位的索票索证</w:t>
            </w:r>
          </w:p>
        </w:tc>
        <w:tc>
          <w:tcPr>
            <w:tcW w:w="1675" w:type="dxa"/>
            <w:noWrap w:val="0"/>
            <w:vAlign w:val="center"/>
          </w:tcPr>
          <w:p w14:paraId="76A1ADBF">
            <w:pPr>
              <w:adjustRightInd w:val="0"/>
              <w:spacing w:line="312" w:lineRule="atLeast"/>
              <w:jc w:val="center"/>
              <w:textAlignment w:val="baseline"/>
              <w:rPr>
                <w:rFonts w:hint="eastAsia" w:ascii="宋体" w:hAnsi="宋体" w:cs="宋体"/>
                <w:color w:val="auto"/>
                <w:szCs w:val="21"/>
                <w:highlight w:val="none"/>
              </w:rPr>
            </w:pPr>
          </w:p>
        </w:tc>
        <w:tc>
          <w:tcPr>
            <w:tcW w:w="1296" w:type="dxa"/>
            <w:tcBorders>
              <w:bottom w:val="single" w:color="auto" w:sz="4" w:space="0"/>
            </w:tcBorders>
            <w:noWrap w:val="0"/>
            <w:vAlign w:val="center"/>
          </w:tcPr>
          <w:p w14:paraId="05A5E244">
            <w:pPr>
              <w:adjustRightInd w:val="0"/>
              <w:spacing w:line="312" w:lineRule="atLeast"/>
              <w:jc w:val="center"/>
              <w:textAlignment w:val="baseline"/>
              <w:rPr>
                <w:rFonts w:hint="eastAsia" w:ascii="宋体" w:hAnsi="宋体" w:cs="宋体"/>
                <w:color w:val="auto"/>
                <w:szCs w:val="21"/>
                <w:highlight w:val="none"/>
              </w:rPr>
            </w:pPr>
          </w:p>
        </w:tc>
      </w:tr>
      <w:tr w14:paraId="4453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84" w:type="dxa"/>
            <w:vMerge w:val="continue"/>
            <w:noWrap w:val="0"/>
            <w:vAlign w:val="top"/>
          </w:tcPr>
          <w:p w14:paraId="70095FE0">
            <w:pPr>
              <w:adjustRightInd w:val="0"/>
              <w:spacing w:line="312" w:lineRule="atLeast"/>
              <w:textAlignment w:val="baseline"/>
              <w:rPr>
                <w:rFonts w:hint="eastAsia" w:ascii="宋体" w:hAnsi="宋体" w:cs="宋体"/>
                <w:color w:val="auto"/>
                <w:szCs w:val="21"/>
                <w:highlight w:val="none"/>
              </w:rPr>
            </w:pPr>
          </w:p>
        </w:tc>
        <w:tc>
          <w:tcPr>
            <w:tcW w:w="4173" w:type="dxa"/>
            <w:noWrap w:val="0"/>
            <w:vAlign w:val="center"/>
          </w:tcPr>
          <w:p w14:paraId="1222CA2E">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3、日常质量检测记录</w:t>
            </w:r>
          </w:p>
        </w:tc>
        <w:tc>
          <w:tcPr>
            <w:tcW w:w="1675" w:type="dxa"/>
            <w:noWrap w:val="0"/>
            <w:vAlign w:val="center"/>
          </w:tcPr>
          <w:p w14:paraId="7CC08548">
            <w:pPr>
              <w:adjustRightInd w:val="0"/>
              <w:spacing w:line="312" w:lineRule="atLeast"/>
              <w:jc w:val="center"/>
              <w:textAlignment w:val="baseline"/>
              <w:rPr>
                <w:rFonts w:hint="eastAsia" w:ascii="宋体" w:hAnsi="宋体" w:cs="宋体"/>
                <w:color w:val="auto"/>
                <w:szCs w:val="21"/>
                <w:highlight w:val="none"/>
              </w:rPr>
            </w:pPr>
          </w:p>
        </w:tc>
        <w:tc>
          <w:tcPr>
            <w:tcW w:w="1296" w:type="dxa"/>
            <w:tcBorders>
              <w:bottom w:val="single" w:color="auto" w:sz="4" w:space="0"/>
            </w:tcBorders>
            <w:noWrap w:val="0"/>
            <w:vAlign w:val="center"/>
          </w:tcPr>
          <w:p w14:paraId="12EEED88">
            <w:pPr>
              <w:adjustRightInd w:val="0"/>
              <w:spacing w:line="312" w:lineRule="atLeast"/>
              <w:jc w:val="center"/>
              <w:textAlignment w:val="baseline"/>
              <w:rPr>
                <w:rFonts w:hint="eastAsia" w:ascii="宋体" w:hAnsi="宋体" w:cs="宋体"/>
                <w:color w:val="auto"/>
                <w:szCs w:val="21"/>
                <w:highlight w:val="none"/>
              </w:rPr>
            </w:pPr>
          </w:p>
        </w:tc>
      </w:tr>
      <w:tr w14:paraId="6E35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384" w:type="dxa"/>
            <w:noWrap w:val="0"/>
            <w:vAlign w:val="center"/>
          </w:tcPr>
          <w:p w14:paraId="420C2FA9">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台账</w:t>
            </w:r>
          </w:p>
          <w:p w14:paraId="16E700BD">
            <w:pPr>
              <w:adjustRightInd w:val="0"/>
              <w:spacing w:line="312" w:lineRule="atLeast"/>
              <w:jc w:val="center"/>
              <w:textAlignment w:val="baseline"/>
              <w:rPr>
                <w:rFonts w:hint="eastAsia" w:ascii="宋体" w:hAnsi="宋体" w:cs="宋体"/>
                <w:color w:val="auto"/>
                <w:szCs w:val="21"/>
                <w:highlight w:val="none"/>
              </w:rPr>
            </w:pPr>
          </w:p>
        </w:tc>
        <w:tc>
          <w:tcPr>
            <w:tcW w:w="4173" w:type="dxa"/>
            <w:noWrap w:val="0"/>
            <w:vAlign w:val="center"/>
          </w:tcPr>
          <w:p w14:paraId="49432180">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1、有无退换货记录</w:t>
            </w:r>
          </w:p>
          <w:p w14:paraId="166EF267">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2、有无48小时食品留样记录</w:t>
            </w:r>
          </w:p>
        </w:tc>
        <w:tc>
          <w:tcPr>
            <w:tcW w:w="1675" w:type="dxa"/>
            <w:noWrap w:val="0"/>
            <w:vAlign w:val="center"/>
          </w:tcPr>
          <w:p w14:paraId="04756ACA">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1826A65D">
            <w:pPr>
              <w:adjustRightInd w:val="0"/>
              <w:spacing w:line="312" w:lineRule="atLeast"/>
              <w:jc w:val="center"/>
              <w:textAlignment w:val="baseline"/>
              <w:rPr>
                <w:rFonts w:hint="eastAsia" w:ascii="宋体" w:hAnsi="宋体" w:cs="宋体"/>
                <w:color w:val="auto"/>
                <w:szCs w:val="21"/>
                <w:highlight w:val="none"/>
              </w:rPr>
            </w:pPr>
          </w:p>
        </w:tc>
      </w:tr>
      <w:tr w14:paraId="0E12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384" w:type="dxa"/>
            <w:noWrap w:val="0"/>
            <w:vAlign w:val="center"/>
          </w:tcPr>
          <w:p w14:paraId="66882A0F">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仓储</w:t>
            </w:r>
          </w:p>
        </w:tc>
        <w:tc>
          <w:tcPr>
            <w:tcW w:w="4173" w:type="dxa"/>
            <w:noWrap w:val="0"/>
            <w:vAlign w:val="center"/>
          </w:tcPr>
          <w:p w14:paraId="05CB309B">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1、冷冻库内货物堆放是否整洁、无异味，有无进出库记录</w:t>
            </w:r>
          </w:p>
          <w:p w14:paraId="4EDA6EA5">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2、货物存放是否规范</w:t>
            </w:r>
          </w:p>
          <w:p w14:paraId="6BEF5DB7">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3、仓库内有无防鼠、防蝇、防火等措施</w:t>
            </w:r>
          </w:p>
        </w:tc>
        <w:tc>
          <w:tcPr>
            <w:tcW w:w="1675" w:type="dxa"/>
            <w:noWrap w:val="0"/>
            <w:vAlign w:val="center"/>
          </w:tcPr>
          <w:p w14:paraId="03E4C00F">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4C408C3E">
            <w:pPr>
              <w:adjustRightInd w:val="0"/>
              <w:spacing w:line="312" w:lineRule="atLeast"/>
              <w:jc w:val="center"/>
              <w:textAlignment w:val="baseline"/>
              <w:rPr>
                <w:rFonts w:hint="eastAsia" w:ascii="宋体" w:hAnsi="宋体" w:cs="宋体"/>
                <w:color w:val="auto"/>
                <w:szCs w:val="21"/>
                <w:highlight w:val="none"/>
              </w:rPr>
            </w:pPr>
          </w:p>
        </w:tc>
      </w:tr>
      <w:tr w14:paraId="28EC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84" w:type="dxa"/>
            <w:noWrap w:val="0"/>
            <w:vAlign w:val="center"/>
          </w:tcPr>
          <w:p w14:paraId="263CADD1">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环境卫生</w:t>
            </w:r>
          </w:p>
        </w:tc>
        <w:tc>
          <w:tcPr>
            <w:tcW w:w="4173" w:type="dxa"/>
            <w:noWrap w:val="0"/>
            <w:vAlign w:val="center"/>
          </w:tcPr>
          <w:p w14:paraId="16705B63">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1、配送场地是否整洁卫生</w:t>
            </w:r>
          </w:p>
          <w:p w14:paraId="5828AE1B">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2、各类用具是否干净卫生、有无经常清洗消毒记录</w:t>
            </w:r>
          </w:p>
        </w:tc>
        <w:tc>
          <w:tcPr>
            <w:tcW w:w="1675" w:type="dxa"/>
            <w:noWrap w:val="0"/>
            <w:vAlign w:val="center"/>
          </w:tcPr>
          <w:p w14:paraId="69C4F062">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7AE96C2E">
            <w:pPr>
              <w:adjustRightInd w:val="0"/>
              <w:spacing w:line="312" w:lineRule="atLeast"/>
              <w:jc w:val="center"/>
              <w:textAlignment w:val="baseline"/>
              <w:rPr>
                <w:rFonts w:hint="eastAsia" w:ascii="宋体" w:hAnsi="宋体" w:cs="宋体"/>
                <w:color w:val="auto"/>
                <w:szCs w:val="21"/>
                <w:highlight w:val="none"/>
              </w:rPr>
            </w:pPr>
          </w:p>
        </w:tc>
      </w:tr>
      <w:tr w14:paraId="2592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84" w:type="dxa"/>
            <w:noWrap w:val="0"/>
            <w:vAlign w:val="center"/>
          </w:tcPr>
          <w:p w14:paraId="0CA8781B">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内部制度</w:t>
            </w:r>
          </w:p>
        </w:tc>
        <w:tc>
          <w:tcPr>
            <w:tcW w:w="4173" w:type="dxa"/>
            <w:noWrap w:val="0"/>
            <w:vAlign w:val="center"/>
          </w:tcPr>
          <w:p w14:paraId="0F5AFC46">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1、从业人员有无健康证、检测人员有无操作证件</w:t>
            </w:r>
          </w:p>
          <w:p w14:paraId="1B0E50A0">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2、内部分工是否明确、责任分明</w:t>
            </w:r>
          </w:p>
        </w:tc>
        <w:tc>
          <w:tcPr>
            <w:tcW w:w="1675" w:type="dxa"/>
            <w:noWrap w:val="0"/>
            <w:vAlign w:val="center"/>
          </w:tcPr>
          <w:p w14:paraId="545FEACD">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2522EE22">
            <w:pPr>
              <w:adjustRightInd w:val="0"/>
              <w:spacing w:line="312" w:lineRule="atLeast"/>
              <w:jc w:val="center"/>
              <w:textAlignment w:val="baseline"/>
              <w:rPr>
                <w:rFonts w:hint="eastAsia" w:ascii="宋体" w:hAnsi="宋体" w:cs="宋体"/>
                <w:color w:val="auto"/>
                <w:szCs w:val="21"/>
                <w:highlight w:val="none"/>
              </w:rPr>
            </w:pPr>
          </w:p>
        </w:tc>
      </w:tr>
      <w:tr w14:paraId="7AF0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A5C1F4E">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报价、结算情况</w:t>
            </w:r>
          </w:p>
        </w:tc>
        <w:tc>
          <w:tcPr>
            <w:tcW w:w="4173" w:type="dxa"/>
            <w:noWrap w:val="0"/>
            <w:vAlign w:val="center"/>
          </w:tcPr>
          <w:p w14:paraId="15164F54">
            <w:pPr>
              <w:adjustRightInd w:val="0"/>
              <w:textAlignment w:val="baseline"/>
              <w:rPr>
                <w:rFonts w:hint="eastAsia" w:ascii="宋体" w:hAnsi="宋体" w:cs="宋体"/>
                <w:color w:val="auto"/>
                <w:szCs w:val="21"/>
                <w:highlight w:val="none"/>
              </w:rPr>
            </w:pPr>
            <w:r>
              <w:rPr>
                <w:rFonts w:hint="eastAsia" w:ascii="宋体" w:hAnsi="宋体" w:cs="宋体"/>
                <w:color w:val="auto"/>
                <w:szCs w:val="21"/>
                <w:highlight w:val="none"/>
              </w:rPr>
              <w:t>1、企业报价是否合理</w:t>
            </w:r>
          </w:p>
          <w:p w14:paraId="18272D8E">
            <w:pPr>
              <w:pStyle w:val="61"/>
              <w:adjustRightInd w:val="0"/>
              <w:spacing w:line="240" w:lineRule="auto"/>
              <w:ind w:left="0" w:leftChars="0" w:firstLine="0" w:firstLineChars="0"/>
              <w:textAlignment w:val="baseline"/>
              <w:rPr>
                <w:rFonts w:ascii="宋体" w:hAnsi="宋体" w:cs="宋体"/>
                <w:color w:val="auto"/>
                <w:sz w:val="21"/>
                <w:szCs w:val="21"/>
                <w:highlight w:val="none"/>
                <w:lang w:val="en-US"/>
              </w:rPr>
            </w:pPr>
            <w:r>
              <w:rPr>
                <w:rFonts w:ascii="宋体" w:hAnsi="宋体" w:cs="宋体"/>
                <w:color w:val="auto"/>
                <w:spacing w:val="0"/>
                <w:sz w:val="21"/>
                <w:szCs w:val="21"/>
                <w:highlight w:val="none"/>
                <w:lang w:val="en-US"/>
              </w:rPr>
              <w:t>2、与学校结算是否及时</w:t>
            </w:r>
          </w:p>
        </w:tc>
        <w:tc>
          <w:tcPr>
            <w:tcW w:w="1675" w:type="dxa"/>
            <w:noWrap w:val="0"/>
            <w:vAlign w:val="center"/>
          </w:tcPr>
          <w:p w14:paraId="55ACFAEE">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3DEF5CBD">
            <w:pPr>
              <w:adjustRightInd w:val="0"/>
              <w:spacing w:line="312" w:lineRule="atLeast"/>
              <w:jc w:val="center"/>
              <w:textAlignment w:val="baseline"/>
              <w:rPr>
                <w:rFonts w:hint="eastAsia" w:ascii="宋体" w:hAnsi="宋体" w:cs="宋体"/>
                <w:color w:val="auto"/>
                <w:szCs w:val="21"/>
                <w:highlight w:val="none"/>
              </w:rPr>
            </w:pPr>
          </w:p>
        </w:tc>
      </w:tr>
      <w:tr w14:paraId="66F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384" w:type="dxa"/>
            <w:noWrap w:val="0"/>
            <w:vAlign w:val="center"/>
          </w:tcPr>
          <w:p w14:paraId="4CC01562">
            <w:pPr>
              <w:adjustRightInd w:val="0"/>
              <w:spacing w:line="312" w:lineRule="atLeas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4173" w:type="dxa"/>
            <w:noWrap w:val="0"/>
            <w:vAlign w:val="center"/>
          </w:tcPr>
          <w:p w14:paraId="5A3680AC">
            <w:pPr>
              <w:adjustRightInd w:val="0"/>
              <w:spacing w:line="312" w:lineRule="atLeast"/>
              <w:textAlignment w:val="baseline"/>
              <w:rPr>
                <w:rFonts w:hint="eastAsia" w:ascii="宋体" w:hAnsi="宋体" w:cs="宋体"/>
                <w:color w:val="auto"/>
                <w:szCs w:val="21"/>
                <w:highlight w:val="none"/>
              </w:rPr>
            </w:pPr>
            <w:r>
              <w:rPr>
                <w:rFonts w:hint="eastAsia" w:ascii="宋体" w:hAnsi="宋体" w:cs="宋体"/>
                <w:color w:val="auto"/>
                <w:szCs w:val="21"/>
                <w:highlight w:val="none"/>
              </w:rPr>
              <w:t>有无其他不规范之处</w:t>
            </w:r>
          </w:p>
        </w:tc>
        <w:tc>
          <w:tcPr>
            <w:tcW w:w="1675" w:type="dxa"/>
            <w:noWrap w:val="0"/>
            <w:vAlign w:val="center"/>
          </w:tcPr>
          <w:p w14:paraId="3B736D8E">
            <w:pPr>
              <w:adjustRightInd w:val="0"/>
              <w:spacing w:line="312" w:lineRule="atLeast"/>
              <w:jc w:val="center"/>
              <w:textAlignment w:val="baseline"/>
              <w:rPr>
                <w:rFonts w:hint="eastAsia" w:ascii="宋体" w:hAnsi="宋体" w:cs="宋体"/>
                <w:color w:val="auto"/>
                <w:szCs w:val="21"/>
                <w:highlight w:val="none"/>
              </w:rPr>
            </w:pPr>
          </w:p>
        </w:tc>
        <w:tc>
          <w:tcPr>
            <w:tcW w:w="1296" w:type="dxa"/>
            <w:noWrap w:val="0"/>
            <w:vAlign w:val="center"/>
          </w:tcPr>
          <w:p w14:paraId="4EADFAFF">
            <w:pPr>
              <w:adjustRightInd w:val="0"/>
              <w:spacing w:line="312" w:lineRule="atLeast"/>
              <w:jc w:val="center"/>
              <w:textAlignment w:val="baseline"/>
              <w:rPr>
                <w:rFonts w:hint="eastAsia" w:ascii="宋体" w:hAnsi="宋体" w:cs="宋体"/>
                <w:color w:val="auto"/>
                <w:szCs w:val="21"/>
                <w:highlight w:val="none"/>
              </w:rPr>
            </w:pPr>
          </w:p>
        </w:tc>
      </w:tr>
    </w:tbl>
    <w:p w14:paraId="498D8AE3">
      <w:pPr>
        <w:rPr>
          <w:rFonts w:hint="eastAsia" w:ascii="宋体" w:hAnsi="宋体" w:cs="宋体"/>
          <w:color w:val="auto"/>
          <w:szCs w:val="21"/>
          <w:highlight w:val="none"/>
        </w:rPr>
      </w:pPr>
      <w:r>
        <w:rPr>
          <w:rFonts w:hint="eastAsia" w:ascii="宋体" w:hAnsi="宋体" w:cs="宋体"/>
          <w:color w:val="auto"/>
          <w:szCs w:val="21"/>
          <w:highlight w:val="none"/>
        </w:rPr>
        <w:t>检查人（签字）：</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企业代表（签字）：</w:t>
      </w:r>
    </w:p>
    <w:p w14:paraId="11C9C4B2">
      <w:pPr>
        <w:spacing w:line="360" w:lineRule="auto"/>
        <w:rPr>
          <w:rFonts w:hint="eastAsia" w:ascii="宋体" w:hAnsi="宋体"/>
          <w:bCs/>
          <w:color w:val="auto"/>
          <w:szCs w:val="21"/>
          <w:highlight w:val="none"/>
        </w:rPr>
      </w:pPr>
    </w:p>
    <w:p w14:paraId="5B40C1A9">
      <w:pPr>
        <w:spacing w:line="360" w:lineRule="auto"/>
        <w:rPr>
          <w:rFonts w:hint="eastAsia" w:ascii="宋体" w:hAnsi="宋体"/>
          <w:bCs/>
          <w:color w:val="auto"/>
          <w:szCs w:val="21"/>
          <w:highlight w:val="none"/>
        </w:rPr>
      </w:pPr>
    </w:p>
    <w:p w14:paraId="4C039280">
      <w:pPr>
        <w:spacing w:line="360" w:lineRule="auto"/>
        <w:rPr>
          <w:rFonts w:hint="eastAsia" w:ascii="宋体" w:hAnsi="宋体"/>
          <w:bCs/>
          <w:color w:val="auto"/>
          <w:szCs w:val="21"/>
          <w:highlight w:val="none"/>
        </w:rPr>
      </w:pPr>
    </w:p>
    <w:p w14:paraId="3FA0F09F">
      <w:pPr>
        <w:pStyle w:val="61"/>
        <w:ind w:firstLine="464"/>
        <w:rPr>
          <w:rFonts w:ascii="Tahoma" w:hAnsi="Tahoma"/>
          <w:color w:val="auto"/>
          <w:sz w:val="24"/>
          <w:highlight w:val="none"/>
          <w:lang w:val="en-US"/>
        </w:rPr>
      </w:pPr>
    </w:p>
    <w:p w14:paraId="306E8697">
      <w:pPr>
        <w:pStyle w:val="61"/>
        <w:ind w:firstLine="464"/>
        <w:rPr>
          <w:rFonts w:ascii="Tahoma" w:hAnsi="Tahoma"/>
          <w:color w:val="auto"/>
          <w:sz w:val="24"/>
          <w:highlight w:val="none"/>
          <w:lang w:val="en-US"/>
        </w:rPr>
      </w:pPr>
    </w:p>
    <w:p w14:paraId="471621C4">
      <w:pPr>
        <w:spacing w:line="360" w:lineRule="auto"/>
        <w:rPr>
          <w:rFonts w:hint="eastAsia" w:ascii="宋体" w:hAnsi="宋体"/>
          <w:bCs/>
          <w:color w:val="auto"/>
          <w:szCs w:val="21"/>
          <w:highlight w:val="none"/>
        </w:rPr>
      </w:pPr>
    </w:p>
    <w:p w14:paraId="1C627D75">
      <w:pPr>
        <w:tabs>
          <w:tab w:val="left" w:pos="7740"/>
        </w:tabs>
        <w:spacing w:line="360" w:lineRule="auto"/>
        <w:jc w:val="left"/>
        <w:rPr>
          <w:rFonts w:hint="eastAsia" w:ascii="宋体" w:hAnsi="宋体"/>
          <w:bCs/>
          <w:color w:val="auto"/>
          <w:szCs w:val="21"/>
          <w:highlight w:val="none"/>
        </w:rPr>
        <w:sectPr>
          <w:pgSz w:w="11907" w:h="16840"/>
          <w:pgMar w:top="1474" w:right="1814" w:bottom="1474" w:left="1814" w:header="851" w:footer="851" w:gutter="0"/>
          <w:cols w:space="720" w:num="1"/>
        </w:sectPr>
      </w:pPr>
    </w:p>
    <w:p w14:paraId="47D5B066">
      <w:pPr>
        <w:tabs>
          <w:tab w:val="left" w:pos="7740"/>
        </w:tabs>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附2：宁海县教育服务管理中心针对配送企业的年度考核表</w:t>
      </w:r>
    </w:p>
    <w:p w14:paraId="650F84C3">
      <w:pPr>
        <w:tabs>
          <w:tab w:val="left" w:pos="7740"/>
        </w:tabs>
        <w:spacing w:line="360" w:lineRule="auto"/>
        <w:jc w:val="center"/>
        <w:rPr>
          <w:rFonts w:ascii="宋体" w:hAnsi="宋体"/>
          <w:color w:val="auto"/>
          <w:szCs w:val="21"/>
          <w:highlight w:val="none"/>
        </w:rPr>
      </w:pPr>
      <w:r>
        <w:rPr>
          <w:rFonts w:hint="eastAsia" w:ascii="宋体" w:hAnsi="宋体"/>
          <w:color w:val="auto"/>
          <w:szCs w:val="21"/>
          <w:highlight w:val="none"/>
        </w:rPr>
        <w:t>配送企业考核表（暂定）</w:t>
      </w:r>
    </w:p>
    <w:p w14:paraId="6EC7CD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考核时间：   年   月   日</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66"/>
        <w:gridCol w:w="5386"/>
        <w:gridCol w:w="709"/>
        <w:gridCol w:w="709"/>
        <w:gridCol w:w="734"/>
      </w:tblGrid>
      <w:tr w14:paraId="260D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noWrap w:val="0"/>
            <w:vAlign w:val="center"/>
          </w:tcPr>
          <w:p w14:paraId="406F2D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大项</w:t>
            </w:r>
          </w:p>
        </w:tc>
        <w:tc>
          <w:tcPr>
            <w:tcW w:w="966" w:type="dxa"/>
            <w:noWrap w:val="0"/>
            <w:vAlign w:val="center"/>
          </w:tcPr>
          <w:p w14:paraId="20B425C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小项</w:t>
            </w:r>
          </w:p>
        </w:tc>
        <w:tc>
          <w:tcPr>
            <w:tcW w:w="5386" w:type="dxa"/>
            <w:noWrap w:val="0"/>
            <w:vAlign w:val="center"/>
          </w:tcPr>
          <w:p w14:paraId="576E997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考 评 细 则</w:t>
            </w:r>
          </w:p>
        </w:tc>
        <w:tc>
          <w:tcPr>
            <w:tcW w:w="709" w:type="dxa"/>
            <w:noWrap w:val="0"/>
            <w:vAlign w:val="center"/>
          </w:tcPr>
          <w:p w14:paraId="14671A4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分值</w:t>
            </w:r>
          </w:p>
        </w:tc>
        <w:tc>
          <w:tcPr>
            <w:tcW w:w="709" w:type="dxa"/>
            <w:noWrap w:val="0"/>
            <w:vAlign w:val="center"/>
          </w:tcPr>
          <w:p w14:paraId="302B15E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得分</w:t>
            </w:r>
          </w:p>
        </w:tc>
        <w:tc>
          <w:tcPr>
            <w:tcW w:w="734" w:type="dxa"/>
            <w:noWrap w:val="0"/>
            <w:vAlign w:val="center"/>
          </w:tcPr>
          <w:p w14:paraId="0E953FC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8D0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92" w:type="dxa"/>
            <w:vMerge w:val="restart"/>
            <w:noWrap w:val="0"/>
            <w:textDirection w:val="tbRlV"/>
            <w:vAlign w:val="center"/>
          </w:tcPr>
          <w:p w14:paraId="6B0EA40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综合考核</w:t>
            </w:r>
          </w:p>
        </w:tc>
        <w:tc>
          <w:tcPr>
            <w:tcW w:w="966" w:type="dxa"/>
            <w:noWrap w:val="0"/>
            <w:vAlign w:val="center"/>
          </w:tcPr>
          <w:p w14:paraId="59E1BE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质量保障</w:t>
            </w:r>
          </w:p>
        </w:tc>
        <w:tc>
          <w:tcPr>
            <w:tcW w:w="5386" w:type="dxa"/>
            <w:noWrap w:val="0"/>
            <w:vAlign w:val="center"/>
          </w:tcPr>
          <w:p w14:paraId="138554E5">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1.从符合规定资质的单位进货，有协议和资质证明材料；2.有产品合格证、检疫证、检验报告等证件，包装产品有</w:t>
            </w:r>
            <w:r>
              <w:rPr>
                <w:rFonts w:hint="eastAsia" w:ascii="宋体" w:hAnsi="宋体" w:cs="宋体"/>
                <w:color w:val="auto"/>
                <w:szCs w:val="21"/>
                <w:highlight w:val="none"/>
                <w:lang w:val="en-US" w:eastAsia="zh-CN"/>
              </w:rPr>
              <w:t>SC</w:t>
            </w:r>
            <w:r>
              <w:rPr>
                <w:rFonts w:hint="eastAsia" w:ascii="宋体" w:hAnsi="宋体" w:cs="宋体"/>
                <w:color w:val="auto"/>
                <w:szCs w:val="21"/>
                <w:highlight w:val="none"/>
              </w:rPr>
              <w:t>标志；3.蔬菜、散装食品有检测记录或合格证明。</w:t>
            </w:r>
          </w:p>
        </w:tc>
        <w:tc>
          <w:tcPr>
            <w:tcW w:w="709" w:type="dxa"/>
            <w:noWrap w:val="0"/>
            <w:vAlign w:val="center"/>
          </w:tcPr>
          <w:p w14:paraId="304683A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noWrap w:val="0"/>
            <w:vAlign w:val="center"/>
          </w:tcPr>
          <w:p w14:paraId="7765ED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39E3268F">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4740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noWrap w:val="0"/>
            <w:vAlign w:val="center"/>
          </w:tcPr>
          <w:p w14:paraId="1D5CCEA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47C7544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台账</w:t>
            </w:r>
            <w:r>
              <w:rPr>
                <w:rFonts w:hint="eastAsia" w:ascii="宋体" w:hAnsi="宋体" w:cs="宋体"/>
                <w:color w:val="auto"/>
                <w:szCs w:val="21"/>
                <w:highlight w:val="none"/>
              </w:rPr>
              <w:t>登记</w:t>
            </w:r>
          </w:p>
        </w:tc>
        <w:tc>
          <w:tcPr>
            <w:tcW w:w="5386" w:type="dxa"/>
            <w:noWrap w:val="0"/>
            <w:vAlign w:val="center"/>
          </w:tcPr>
          <w:p w14:paraId="59ADCA05">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1.食品进出库记录齐全，</w:t>
            </w:r>
            <w:r>
              <w:rPr>
                <w:rFonts w:hint="eastAsia" w:ascii="宋体" w:hAnsi="宋体" w:cs="宋体"/>
                <w:color w:val="auto"/>
                <w:szCs w:val="21"/>
                <w:highlight w:val="none"/>
                <w:lang w:eastAsia="zh-CN"/>
              </w:rPr>
              <w:t>账实</w:t>
            </w:r>
            <w:r>
              <w:rPr>
                <w:rFonts w:hint="eastAsia" w:ascii="宋体" w:hAnsi="宋体" w:cs="宋体"/>
                <w:color w:val="auto"/>
                <w:szCs w:val="21"/>
                <w:highlight w:val="none"/>
              </w:rPr>
              <w:t>相符；2.有退换货记录；3.有48小时食品留样记录。</w:t>
            </w:r>
          </w:p>
        </w:tc>
        <w:tc>
          <w:tcPr>
            <w:tcW w:w="709" w:type="dxa"/>
            <w:noWrap w:val="0"/>
            <w:vAlign w:val="center"/>
          </w:tcPr>
          <w:p w14:paraId="4C525EB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6020CAB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3F88799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912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noWrap w:val="0"/>
            <w:vAlign w:val="center"/>
          </w:tcPr>
          <w:p w14:paraId="4DCEC39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446A19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环境卫生</w:t>
            </w:r>
          </w:p>
        </w:tc>
        <w:tc>
          <w:tcPr>
            <w:tcW w:w="5386" w:type="dxa"/>
            <w:noWrap w:val="0"/>
            <w:vAlign w:val="center"/>
          </w:tcPr>
          <w:p w14:paraId="098FB349">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1.配送场地整洁卫生；2.各种用具干净卫生，经常清洗消毒。</w:t>
            </w:r>
          </w:p>
        </w:tc>
        <w:tc>
          <w:tcPr>
            <w:tcW w:w="709" w:type="dxa"/>
            <w:noWrap w:val="0"/>
            <w:vAlign w:val="center"/>
          </w:tcPr>
          <w:p w14:paraId="77DED9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noWrap w:val="0"/>
            <w:vAlign w:val="center"/>
          </w:tcPr>
          <w:p w14:paraId="7468617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28C10A0C">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669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Merge w:val="continue"/>
            <w:noWrap w:val="0"/>
            <w:vAlign w:val="center"/>
          </w:tcPr>
          <w:p w14:paraId="1E557E7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7D54330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食品储存</w:t>
            </w:r>
          </w:p>
        </w:tc>
        <w:tc>
          <w:tcPr>
            <w:tcW w:w="5386" w:type="dxa"/>
            <w:noWrap w:val="0"/>
            <w:vAlign w:val="center"/>
          </w:tcPr>
          <w:p w14:paraId="7B4D7006">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1.冷冻库内货物堆放整齐清洁，无异味；2.货物存放离墙、离地，有货架、垫仓板；3.库内防鼠、防蝇、防火、防盗。</w:t>
            </w:r>
          </w:p>
        </w:tc>
        <w:tc>
          <w:tcPr>
            <w:tcW w:w="709" w:type="dxa"/>
            <w:noWrap w:val="0"/>
            <w:vAlign w:val="center"/>
          </w:tcPr>
          <w:p w14:paraId="3D3FF8A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5D61B7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5B57E6C2">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2DFA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2" w:type="dxa"/>
            <w:vMerge w:val="continue"/>
            <w:noWrap w:val="0"/>
            <w:vAlign w:val="center"/>
          </w:tcPr>
          <w:p w14:paraId="24C5FE1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6906F85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配送车辆</w:t>
            </w:r>
          </w:p>
        </w:tc>
        <w:tc>
          <w:tcPr>
            <w:tcW w:w="5386" w:type="dxa"/>
            <w:noWrap w:val="0"/>
            <w:vAlign w:val="center"/>
          </w:tcPr>
          <w:p w14:paraId="06FB8FF9">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1.配送车辆及驾驶员证照齐全有效.2.配送车辆整洁，经常清洗消毒；3.车辆为食品配送专用车，不混用。</w:t>
            </w:r>
          </w:p>
        </w:tc>
        <w:tc>
          <w:tcPr>
            <w:tcW w:w="709" w:type="dxa"/>
            <w:noWrap w:val="0"/>
            <w:vAlign w:val="center"/>
          </w:tcPr>
          <w:p w14:paraId="507B4AA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21564FE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68FD750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15E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noWrap w:val="0"/>
            <w:vAlign w:val="center"/>
          </w:tcPr>
          <w:p w14:paraId="1A2D314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0700A9F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财务管理</w:t>
            </w:r>
          </w:p>
        </w:tc>
        <w:tc>
          <w:tcPr>
            <w:tcW w:w="5386" w:type="dxa"/>
            <w:noWrap w:val="0"/>
            <w:vAlign w:val="center"/>
          </w:tcPr>
          <w:p w14:paraId="37FECB58">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会计人员持证，财务制度</w:t>
            </w:r>
            <w:r>
              <w:rPr>
                <w:rFonts w:hint="eastAsia" w:ascii="宋体" w:hAnsi="宋体" w:cs="宋体"/>
                <w:color w:val="auto"/>
                <w:szCs w:val="21"/>
                <w:highlight w:val="none"/>
                <w:lang w:eastAsia="zh-CN"/>
              </w:rPr>
              <w:t>健全</w:t>
            </w:r>
            <w:r>
              <w:rPr>
                <w:rFonts w:hint="eastAsia" w:ascii="宋体" w:hAnsi="宋体" w:cs="宋体"/>
                <w:color w:val="auto"/>
                <w:szCs w:val="21"/>
                <w:highlight w:val="none"/>
              </w:rPr>
              <w:t>，与学校结算及时差错少。</w:t>
            </w:r>
          </w:p>
        </w:tc>
        <w:tc>
          <w:tcPr>
            <w:tcW w:w="709" w:type="dxa"/>
            <w:noWrap w:val="0"/>
            <w:vAlign w:val="center"/>
          </w:tcPr>
          <w:p w14:paraId="44BF863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5BBA5EF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001A4522">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256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noWrap w:val="0"/>
            <w:vAlign w:val="center"/>
          </w:tcPr>
          <w:p w14:paraId="1BD18CB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141D11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服务管理</w:t>
            </w:r>
          </w:p>
        </w:tc>
        <w:tc>
          <w:tcPr>
            <w:tcW w:w="5386" w:type="dxa"/>
            <w:noWrap w:val="0"/>
            <w:vAlign w:val="center"/>
          </w:tcPr>
          <w:p w14:paraId="50CFF544">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1.从业人员健康证，检测人员有证照。2.内部分工明确，责任分明。3.配送工作合理有序。</w:t>
            </w:r>
          </w:p>
        </w:tc>
        <w:tc>
          <w:tcPr>
            <w:tcW w:w="709" w:type="dxa"/>
            <w:noWrap w:val="0"/>
            <w:vAlign w:val="center"/>
          </w:tcPr>
          <w:p w14:paraId="64E5B76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21B8A77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4EF43530">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408B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noWrap w:val="0"/>
            <w:vAlign w:val="center"/>
          </w:tcPr>
          <w:p w14:paraId="19D4547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43599B0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部门评价</w:t>
            </w:r>
          </w:p>
        </w:tc>
        <w:tc>
          <w:tcPr>
            <w:tcW w:w="5386" w:type="dxa"/>
            <w:noWrap w:val="0"/>
            <w:vAlign w:val="center"/>
          </w:tcPr>
          <w:p w14:paraId="153F9C0B">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由教育局相关管理部门对配送企业一学期以来的整体服务作出一个评价并进行汇总计分。</w:t>
            </w:r>
          </w:p>
        </w:tc>
        <w:tc>
          <w:tcPr>
            <w:tcW w:w="709" w:type="dxa"/>
            <w:noWrap w:val="0"/>
            <w:vAlign w:val="center"/>
          </w:tcPr>
          <w:p w14:paraId="178EE27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204EA50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7570C1B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910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noWrap w:val="0"/>
            <w:vAlign w:val="center"/>
          </w:tcPr>
          <w:p w14:paraId="1338F3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531F93E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资料报送完整真实性</w:t>
            </w:r>
          </w:p>
        </w:tc>
        <w:tc>
          <w:tcPr>
            <w:tcW w:w="5386" w:type="dxa"/>
            <w:noWrap w:val="0"/>
            <w:vAlign w:val="center"/>
          </w:tcPr>
          <w:p w14:paraId="44EE98F6">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rPr>
              <w:t>1.配送车辆与驾驶员更新登记；2.从业人员更替后信息登记与健康证信息的更新。</w:t>
            </w:r>
          </w:p>
        </w:tc>
        <w:tc>
          <w:tcPr>
            <w:tcW w:w="709" w:type="dxa"/>
            <w:noWrap w:val="0"/>
            <w:vAlign w:val="center"/>
          </w:tcPr>
          <w:p w14:paraId="0B19E01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1FCE50A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p>
        </w:tc>
        <w:tc>
          <w:tcPr>
            <w:tcW w:w="734" w:type="dxa"/>
            <w:noWrap w:val="0"/>
            <w:vAlign w:val="center"/>
          </w:tcPr>
          <w:p w14:paraId="37EBF15C">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color w:val="auto"/>
                <w:szCs w:val="21"/>
                <w:highlight w:val="none"/>
              </w:rPr>
            </w:pPr>
          </w:p>
        </w:tc>
      </w:tr>
      <w:tr w14:paraId="753D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92" w:type="dxa"/>
            <w:vMerge w:val="continue"/>
            <w:noWrap w:val="0"/>
            <w:vAlign w:val="center"/>
          </w:tcPr>
          <w:p w14:paraId="26A57F3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966" w:type="dxa"/>
            <w:noWrap w:val="0"/>
            <w:vAlign w:val="center"/>
          </w:tcPr>
          <w:p w14:paraId="2827A58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会议、培训参会情况</w:t>
            </w:r>
          </w:p>
        </w:tc>
        <w:tc>
          <w:tcPr>
            <w:tcW w:w="5386" w:type="dxa"/>
            <w:noWrap w:val="0"/>
            <w:vAlign w:val="center"/>
          </w:tcPr>
          <w:p w14:paraId="7AE6BDF6">
            <w:pPr>
              <w:keepNext w:val="0"/>
              <w:keepLines w:val="0"/>
              <w:pageBreakBefore w:val="0"/>
              <w:widowControl/>
              <w:kinsoku/>
              <w:wordWrap/>
              <w:overflowPunct/>
              <w:topLinePunct w:val="0"/>
              <w:autoSpaceDE/>
              <w:autoSpaceDN/>
              <w:bidi w:val="0"/>
              <w:adjustRightInd w:val="0"/>
              <w:snapToGrid/>
              <w:spacing w:line="240" w:lineRule="auto"/>
              <w:ind w:firstLine="210" w:firstLineChars="100"/>
              <w:textAlignment w:val="auto"/>
              <w:rPr>
                <w:rFonts w:hint="eastAsia" w:ascii="宋体" w:hAnsi="宋体" w:cs="宋体"/>
                <w:color w:val="auto"/>
                <w:szCs w:val="21"/>
                <w:highlight w:val="none"/>
              </w:rPr>
            </w:pPr>
            <w:r>
              <w:rPr>
                <w:rFonts w:hint="eastAsia" w:ascii="宋体" w:hAnsi="宋体" w:cs="宋体"/>
                <w:color w:val="auto"/>
                <w:szCs w:val="21"/>
                <w:highlight w:val="none"/>
              </w:rPr>
              <w:t>1.是否</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会议通知人员如实参加；2.每次参会是否按时。</w:t>
            </w:r>
          </w:p>
        </w:tc>
        <w:tc>
          <w:tcPr>
            <w:tcW w:w="709" w:type="dxa"/>
            <w:noWrap w:val="0"/>
            <w:vAlign w:val="center"/>
          </w:tcPr>
          <w:p w14:paraId="7E4D4C8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709" w:type="dxa"/>
            <w:noWrap w:val="0"/>
            <w:vAlign w:val="center"/>
          </w:tcPr>
          <w:p w14:paraId="19A4AD3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p>
        </w:tc>
        <w:tc>
          <w:tcPr>
            <w:tcW w:w="734" w:type="dxa"/>
            <w:noWrap w:val="0"/>
            <w:vAlign w:val="center"/>
          </w:tcPr>
          <w:p w14:paraId="26EFC8A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color w:val="auto"/>
                <w:szCs w:val="21"/>
                <w:highlight w:val="none"/>
              </w:rPr>
            </w:pPr>
          </w:p>
        </w:tc>
      </w:tr>
      <w:tr w14:paraId="65BF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restart"/>
            <w:noWrap w:val="0"/>
            <w:vAlign w:val="center"/>
          </w:tcPr>
          <w:p w14:paraId="400D910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现场抽查考核</w:t>
            </w:r>
          </w:p>
        </w:tc>
        <w:tc>
          <w:tcPr>
            <w:tcW w:w="6352" w:type="dxa"/>
            <w:gridSpan w:val="2"/>
            <w:noWrap w:val="0"/>
            <w:vAlign w:val="center"/>
          </w:tcPr>
          <w:p w14:paraId="00AC995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食品质量情况</w:t>
            </w:r>
          </w:p>
        </w:tc>
        <w:tc>
          <w:tcPr>
            <w:tcW w:w="709" w:type="dxa"/>
            <w:noWrap w:val="0"/>
            <w:vAlign w:val="center"/>
          </w:tcPr>
          <w:p w14:paraId="14D769C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noWrap w:val="0"/>
            <w:vAlign w:val="center"/>
          </w:tcPr>
          <w:p w14:paraId="4B2ED36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noWrap w:val="0"/>
            <w:vAlign w:val="center"/>
          </w:tcPr>
          <w:p w14:paraId="641ABB28">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2492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noWrap w:val="0"/>
            <w:vAlign w:val="center"/>
          </w:tcPr>
          <w:p w14:paraId="62A15FC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noWrap w:val="0"/>
            <w:vAlign w:val="center"/>
          </w:tcPr>
          <w:p w14:paraId="1BAFFC8E">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食品价格情况</w:t>
            </w:r>
          </w:p>
        </w:tc>
        <w:tc>
          <w:tcPr>
            <w:tcW w:w="709" w:type="dxa"/>
            <w:noWrap w:val="0"/>
            <w:vAlign w:val="center"/>
          </w:tcPr>
          <w:p w14:paraId="25A7015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noWrap w:val="0"/>
            <w:vAlign w:val="center"/>
          </w:tcPr>
          <w:p w14:paraId="4B5005E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noWrap w:val="0"/>
            <w:vAlign w:val="center"/>
          </w:tcPr>
          <w:p w14:paraId="3788B0B8">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3356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noWrap w:val="0"/>
            <w:vAlign w:val="center"/>
          </w:tcPr>
          <w:p w14:paraId="34AEE33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noWrap w:val="0"/>
            <w:vAlign w:val="center"/>
          </w:tcPr>
          <w:p w14:paraId="701822D8">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配送时效情况</w:t>
            </w:r>
          </w:p>
        </w:tc>
        <w:tc>
          <w:tcPr>
            <w:tcW w:w="709" w:type="dxa"/>
            <w:noWrap w:val="0"/>
            <w:vAlign w:val="center"/>
          </w:tcPr>
          <w:p w14:paraId="214588A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noWrap w:val="0"/>
            <w:vAlign w:val="center"/>
          </w:tcPr>
          <w:p w14:paraId="6751B6D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noWrap w:val="0"/>
            <w:vAlign w:val="center"/>
          </w:tcPr>
          <w:p w14:paraId="3ED7AEFB">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4274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noWrap w:val="0"/>
            <w:vAlign w:val="center"/>
          </w:tcPr>
          <w:p w14:paraId="57286F9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noWrap w:val="0"/>
            <w:vAlign w:val="center"/>
          </w:tcPr>
          <w:p w14:paraId="1F7CEE5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服务态度</w:t>
            </w:r>
          </w:p>
        </w:tc>
        <w:tc>
          <w:tcPr>
            <w:tcW w:w="709" w:type="dxa"/>
            <w:noWrap w:val="0"/>
            <w:vAlign w:val="center"/>
          </w:tcPr>
          <w:p w14:paraId="549D31C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noWrap w:val="0"/>
            <w:vAlign w:val="center"/>
          </w:tcPr>
          <w:p w14:paraId="778764D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noWrap w:val="0"/>
            <w:vAlign w:val="center"/>
          </w:tcPr>
          <w:p w14:paraId="0F4EF943">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5AC6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044" w:type="dxa"/>
            <w:gridSpan w:val="3"/>
            <w:noWrap w:val="0"/>
            <w:vAlign w:val="center"/>
          </w:tcPr>
          <w:p w14:paraId="204E411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合计得分</w:t>
            </w:r>
          </w:p>
        </w:tc>
        <w:tc>
          <w:tcPr>
            <w:tcW w:w="709" w:type="dxa"/>
            <w:noWrap w:val="0"/>
            <w:vAlign w:val="center"/>
          </w:tcPr>
          <w:p w14:paraId="565DBDE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100　</w:t>
            </w:r>
          </w:p>
        </w:tc>
        <w:tc>
          <w:tcPr>
            <w:tcW w:w="709" w:type="dxa"/>
            <w:noWrap w:val="0"/>
            <w:vAlign w:val="center"/>
          </w:tcPr>
          <w:p w14:paraId="166EDFF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noWrap w:val="0"/>
            <w:vAlign w:val="center"/>
          </w:tcPr>
          <w:p w14:paraId="603F1CAB">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bl>
    <w:p w14:paraId="4F037456">
      <w:pPr>
        <w:pStyle w:val="3"/>
        <w:rPr>
          <w:rFonts w:hint="eastAsia"/>
          <w:color w:val="auto"/>
          <w:highlight w:val="none"/>
        </w:rPr>
        <w:sectPr>
          <w:pgSz w:w="11907" w:h="16840"/>
          <w:pgMar w:top="1474" w:right="1814" w:bottom="1474" w:left="1814" w:header="851" w:footer="851" w:gutter="0"/>
          <w:cols w:space="720" w:num="1"/>
        </w:sectPr>
      </w:pPr>
    </w:p>
    <w:p w14:paraId="7C661038">
      <w:pPr>
        <w:tabs>
          <w:tab w:val="left" w:pos="7740"/>
        </w:tabs>
        <w:jc w:val="left"/>
        <w:rPr>
          <w:rFonts w:hint="eastAsia" w:ascii="宋体" w:hAnsi="宋体"/>
          <w:bCs/>
          <w:color w:val="auto"/>
          <w:szCs w:val="21"/>
          <w:highlight w:val="none"/>
          <w:lang w:eastAsia="zh-CN"/>
        </w:rPr>
      </w:pPr>
      <w:r>
        <w:rPr>
          <w:rFonts w:hint="eastAsia" w:ascii="宋体" w:hAnsi="宋体"/>
          <w:bCs/>
          <w:color w:val="auto"/>
          <w:szCs w:val="21"/>
          <w:highlight w:val="none"/>
          <w:lang w:eastAsia="zh-CN"/>
        </w:rPr>
        <w:t>附3：学校食堂原材料供应商考核表（满意度测评）</w:t>
      </w:r>
    </w:p>
    <w:p w14:paraId="54F53EB3">
      <w:pPr>
        <w:adjustRightInd/>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lang w:val="en-US" w:eastAsia="zh-CN"/>
        </w:rPr>
        <w:t>学年学校食堂原材料供应商考核表（非粮油）</w:t>
      </w:r>
    </w:p>
    <w:p w14:paraId="4185A569">
      <w:pPr>
        <w:adjustRightInd/>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 xml:space="preserve">                                                                                </w:t>
      </w:r>
    </w:p>
    <w:tbl>
      <w:tblPr>
        <w:tblStyle w:val="63"/>
        <w:tblW w:w="13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10"/>
        <w:gridCol w:w="840"/>
        <w:gridCol w:w="2197"/>
        <w:gridCol w:w="2198"/>
        <w:gridCol w:w="3150"/>
        <w:gridCol w:w="1860"/>
        <w:gridCol w:w="1410"/>
      </w:tblGrid>
      <w:tr w14:paraId="35C0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60" w:type="dxa"/>
            <w:gridSpan w:val="3"/>
            <w:tcBorders>
              <w:top w:val="nil"/>
              <w:left w:val="nil"/>
              <w:bottom w:val="single" w:color="auto" w:sz="4" w:space="0"/>
              <w:right w:val="nil"/>
            </w:tcBorders>
            <w:vAlign w:val="top"/>
          </w:tcPr>
          <w:p w14:paraId="571AEEA9">
            <w:pPr>
              <w:adjustRightInd/>
              <w:jc w:val="center"/>
              <w:rPr>
                <w:rFonts w:hint="eastAsia" w:ascii="Calibri" w:hAnsi="Calibri" w:eastAsia="宋体" w:cs="Times New Roman"/>
                <w:color w:val="auto"/>
                <w:sz w:val="28"/>
                <w:szCs w:val="36"/>
                <w:highlight w:val="none"/>
                <w:vertAlign w:val="baseline"/>
                <w:lang w:val="en-US" w:eastAsia="zh-CN"/>
              </w:rPr>
            </w:pPr>
            <w:r>
              <w:rPr>
                <w:rFonts w:hint="eastAsia" w:ascii="Calibri" w:hAnsi="Calibri" w:eastAsia="宋体" w:cs="Times New Roman"/>
                <w:color w:val="auto"/>
                <w:sz w:val="28"/>
                <w:szCs w:val="36"/>
                <w:highlight w:val="none"/>
                <w:vertAlign w:val="baseline"/>
                <w:lang w:val="en-US" w:eastAsia="zh-CN"/>
              </w:rPr>
              <w:t>参评学校（盖章）：</w:t>
            </w:r>
          </w:p>
        </w:tc>
        <w:tc>
          <w:tcPr>
            <w:tcW w:w="2197" w:type="dxa"/>
            <w:tcBorders>
              <w:top w:val="nil"/>
              <w:left w:val="nil"/>
              <w:bottom w:val="single" w:color="auto" w:sz="4" w:space="0"/>
              <w:right w:val="nil"/>
            </w:tcBorders>
            <w:vAlign w:val="top"/>
          </w:tcPr>
          <w:p w14:paraId="5E18C98F">
            <w:pPr>
              <w:adjustRightInd/>
              <w:jc w:val="center"/>
              <w:rPr>
                <w:rFonts w:hint="eastAsia" w:ascii="Calibri" w:hAnsi="Calibri" w:eastAsia="宋体" w:cs="Times New Roman"/>
                <w:color w:val="auto"/>
                <w:sz w:val="28"/>
                <w:szCs w:val="36"/>
                <w:highlight w:val="none"/>
                <w:vertAlign w:val="baseline"/>
                <w:lang w:val="en-US" w:eastAsia="zh-CN"/>
              </w:rPr>
            </w:pPr>
            <w:r>
              <w:rPr>
                <w:rFonts w:hint="eastAsia" w:ascii="Calibri" w:hAnsi="Calibri" w:eastAsia="宋体" w:cs="Times New Roman"/>
                <w:color w:val="auto"/>
                <w:sz w:val="28"/>
                <w:szCs w:val="36"/>
                <w:highlight w:val="none"/>
                <w:vertAlign w:val="baseline"/>
                <w:lang w:val="en-US" w:eastAsia="zh-CN"/>
              </w:rPr>
              <w:t xml:space="preserve">               </w:t>
            </w:r>
          </w:p>
        </w:tc>
        <w:tc>
          <w:tcPr>
            <w:tcW w:w="2198" w:type="dxa"/>
            <w:tcBorders>
              <w:top w:val="nil"/>
              <w:left w:val="nil"/>
              <w:bottom w:val="single" w:color="auto" w:sz="4" w:space="0"/>
              <w:right w:val="nil"/>
            </w:tcBorders>
            <w:vAlign w:val="top"/>
          </w:tcPr>
          <w:p w14:paraId="40669A14">
            <w:pPr>
              <w:adjustRightInd/>
              <w:jc w:val="center"/>
              <w:rPr>
                <w:rFonts w:hint="eastAsia" w:ascii="Calibri" w:hAnsi="Calibri" w:eastAsia="宋体" w:cs="Times New Roman"/>
                <w:color w:val="auto"/>
                <w:sz w:val="28"/>
                <w:szCs w:val="36"/>
                <w:highlight w:val="none"/>
                <w:vertAlign w:val="baseline"/>
                <w:lang w:val="en-US" w:eastAsia="zh-CN"/>
              </w:rPr>
            </w:pPr>
            <w:r>
              <w:rPr>
                <w:rFonts w:hint="eastAsia" w:ascii="Calibri" w:hAnsi="Calibri" w:eastAsia="宋体" w:cs="Times New Roman"/>
                <w:color w:val="auto"/>
                <w:sz w:val="28"/>
                <w:szCs w:val="36"/>
                <w:highlight w:val="none"/>
                <w:vertAlign w:val="baseline"/>
                <w:lang w:val="en-US" w:eastAsia="zh-CN"/>
              </w:rPr>
              <w:t>测评供应商：</w:t>
            </w:r>
          </w:p>
        </w:tc>
        <w:tc>
          <w:tcPr>
            <w:tcW w:w="3150" w:type="dxa"/>
            <w:tcBorders>
              <w:top w:val="nil"/>
              <w:left w:val="nil"/>
              <w:bottom w:val="single" w:color="auto" w:sz="4" w:space="0"/>
              <w:right w:val="nil"/>
            </w:tcBorders>
            <w:vAlign w:val="top"/>
          </w:tcPr>
          <w:p w14:paraId="496F215F">
            <w:pPr>
              <w:adjustRightInd/>
              <w:jc w:val="center"/>
              <w:rPr>
                <w:rFonts w:hint="eastAsia" w:ascii="Calibri" w:hAnsi="Calibri" w:eastAsia="宋体" w:cs="Times New Roman"/>
                <w:color w:val="auto"/>
                <w:sz w:val="28"/>
                <w:szCs w:val="36"/>
                <w:highlight w:val="none"/>
                <w:vertAlign w:val="baseline"/>
                <w:lang w:val="en-US" w:eastAsia="zh-CN"/>
              </w:rPr>
            </w:pPr>
          </w:p>
        </w:tc>
        <w:tc>
          <w:tcPr>
            <w:tcW w:w="1860" w:type="dxa"/>
            <w:tcBorders>
              <w:top w:val="nil"/>
              <w:left w:val="nil"/>
              <w:bottom w:val="single" w:color="auto" w:sz="4" w:space="0"/>
              <w:right w:val="nil"/>
            </w:tcBorders>
            <w:vAlign w:val="top"/>
          </w:tcPr>
          <w:p w14:paraId="562936BA">
            <w:pPr>
              <w:adjustRightInd/>
              <w:jc w:val="center"/>
              <w:rPr>
                <w:rFonts w:hint="eastAsia" w:ascii="Calibri" w:hAnsi="Calibri" w:eastAsia="宋体" w:cs="Times New Roman"/>
                <w:color w:val="auto"/>
                <w:sz w:val="28"/>
                <w:szCs w:val="36"/>
                <w:highlight w:val="none"/>
                <w:vertAlign w:val="baseline"/>
                <w:lang w:val="en-US" w:eastAsia="zh-CN"/>
              </w:rPr>
            </w:pPr>
            <w:r>
              <w:rPr>
                <w:rFonts w:hint="eastAsia" w:ascii="Calibri" w:hAnsi="Calibri" w:eastAsia="宋体" w:cs="Times New Roman"/>
                <w:color w:val="auto"/>
                <w:sz w:val="28"/>
                <w:szCs w:val="36"/>
                <w:highlight w:val="none"/>
                <w:vertAlign w:val="baseline"/>
                <w:lang w:val="en-US" w:eastAsia="zh-CN"/>
              </w:rPr>
              <w:t>测评时间：</w:t>
            </w:r>
          </w:p>
        </w:tc>
        <w:tc>
          <w:tcPr>
            <w:tcW w:w="1410" w:type="dxa"/>
            <w:tcBorders>
              <w:top w:val="nil"/>
              <w:left w:val="nil"/>
              <w:bottom w:val="single" w:color="auto" w:sz="4" w:space="0"/>
              <w:right w:val="nil"/>
            </w:tcBorders>
            <w:vAlign w:val="top"/>
          </w:tcPr>
          <w:p w14:paraId="5D2F9695">
            <w:pPr>
              <w:adjustRightInd/>
              <w:jc w:val="center"/>
              <w:rPr>
                <w:rFonts w:hint="eastAsia" w:ascii="Calibri" w:hAnsi="Calibri" w:eastAsia="宋体" w:cs="Times New Roman"/>
                <w:color w:val="auto"/>
                <w:sz w:val="28"/>
                <w:szCs w:val="36"/>
                <w:highlight w:val="none"/>
                <w:vertAlign w:val="baseline"/>
                <w:lang w:val="en-US" w:eastAsia="zh-CN"/>
              </w:rPr>
            </w:pPr>
          </w:p>
        </w:tc>
      </w:tr>
      <w:tr w14:paraId="25E5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0" w:type="dxa"/>
            <w:tcBorders>
              <w:top w:val="single" w:color="auto" w:sz="4" w:space="0"/>
            </w:tcBorders>
            <w:vAlign w:val="top"/>
          </w:tcPr>
          <w:p w14:paraId="469C72E7">
            <w:pPr>
              <w:adjustRightInd/>
              <w:jc w:val="center"/>
              <w:rPr>
                <w:rFonts w:hint="eastAsia" w:ascii="仿宋" w:hAnsi="仿宋" w:eastAsia="仿宋" w:cs="仿宋"/>
                <w:color w:val="auto"/>
                <w:sz w:val="28"/>
                <w:szCs w:val="36"/>
                <w:highlight w:val="none"/>
                <w:vertAlign w:val="baseline"/>
                <w:lang w:val="en-US" w:eastAsia="zh-CN"/>
              </w:rPr>
            </w:pPr>
            <w:r>
              <w:rPr>
                <w:rFonts w:hint="eastAsia" w:ascii="仿宋" w:hAnsi="仿宋" w:eastAsia="仿宋" w:cs="仿宋"/>
                <w:color w:val="auto"/>
                <w:sz w:val="28"/>
                <w:szCs w:val="36"/>
                <w:highlight w:val="none"/>
                <w:vertAlign w:val="baseline"/>
                <w:lang w:val="en-US" w:eastAsia="zh-CN"/>
              </w:rPr>
              <w:t>序号</w:t>
            </w:r>
          </w:p>
        </w:tc>
        <w:tc>
          <w:tcPr>
            <w:tcW w:w="1410" w:type="dxa"/>
            <w:tcBorders>
              <w:top w:val="single" w:color="auto" w:sz="4" w:space="0"/>
            </w:tcBorders>
            <w:vAlign w:val="top"/>
          </w:tcPr>
          <w:p w14:paraId="5B5A2658">
            <w:pPr>
              <w:adjustRightInd/>
              <w:jc w:val="center"/>
              <w:rPr>
                <w:rFonts w:hint="eastAsia" w:ascii="仿宋" w:hAnsi="仿宋" w:eastAsia="仿宋" w:cs="仿宋"/>
                <w:color w:val="auto"/>
                <w:sz w:val="28"/>
                <w:szCs w:val="36"/>
                <w:highlight w:val="none"/>
                <w:vertAlign w:val="baseline"/>
                <w:lang w:val="en-US" w:eastAsia="zh-CN"/>
              </w:rPr>
            </w:pPr>
            <w:r>
              <w:rPr>
                <w:rFonts w:hint="eastAsia" w:ascii="仿宋" w:hAnsi="仿宋" w:eastAsia="仿宋" w:cs="仿宋"/>
                <w:color w:val="auto"/>
                <w:sz w:val="28"/>
                <w:szCs w:val="36"/>
                <w:highlight w:val="none"/>
                <w:vertAlign w:val="baseline"/>
                <w:lang w:val="en-US" w:eastAsia="zh-CN"/>
              </w:rPr>
              <w:t>考核项目</w:t>
            </w:r>
          </w:p>
        </w:tc>
        <w:tc>
          <w:tcPr>
            <w:tcW w:w="840" w:type="dxa"/>
            <w:tcBorders>
              <w:top w:val="single" w:color="auto" w:sz="4" w:space="0"/>
            </w:tcBorders>
            <w:vAlign w:val="top"/>
          </w:tcPr>
          <w:p w14:paraId="5BD3D27F">
            <w:pPr>
              <w:adjustRightInd/>
              <w:jc w:val="center"/>
              <w:rPr>
                <w:rFonts w:hint="eastAsia" w:ascii="仿宋" w:hAnsi="仿宋" w:eastAsia="仿宋" w:cs="仿宋"/>
                <w:color w:val="auto"/>
                <w:sz w:val="28"/>
                <w:szCs w:val="36"/>
                <w:highlight w:val="none"/>
                <w:vertAlign w:val="baseline"/>
                <w:lang w:val="en-US" w:eastAsia="zh-CN"/>
              </w:rPr>
            </w:pPr>
            <w:r>
              <w:rPr>
                <w:rFonts w:hint="eastAsia" w:ascii="仿宋" w:hAnsi="仿宋" w:eastAsia="仿宋" w:cs="仿宋"/>
                <w:color w:val="auto"/>
                <w:sz w:val="28"/>
                <w:szCs w:val="36"/>
                <w:highlight w:val="none"/>
                <w:vertAlign w:val="baseline"/>
                <w:lang w:val="en-US" w:eastAsia="zh-CN"/>
              </w:rPr>
              <w:t>分数</w:t>
            </w:r>
          </w:p>
        </w:tc>
        <w:tc>
          <w:tcPr>
            <w:tcW w:w="9405" w:type="dxa"/>
            <w:gridSpan w:val="4"/>
            <w:tcBorders>
              <w:top w:val="single" w:color="auto" w:sz="4" w:space="0"/>
            </w:tcBorders>
            <w:vAlign w:val="top"/>
          </w:tcPr>
          <w:p w14:paraId="12B7A529">
            <w:pPr>
              <w:adjustRightInd/>
              <w:jc w:val="center"/>
              <w:rPr>
                <w:rFonts w:hint="eastAsia" w:ascii="仿宋" w:hAnsi="仿宋" w:eastAsia="仿宋" w:cs="仿宋"/>
                <w:color w:val="auto"/>
                <w:sz w:val="28"/>
                <w:szCs w:val="36"/>
                <w:highlight w:val="none"/>
                <w:vertAlign w:val="baseline"/>
                <w:lang w:val="en-US" w:eastAsia="zh-CN"/>
              </w:rPr>
            </w:pPr>
            <w:r>
              <w:rPr>
                <w:rFonts w:hint="eastAsia" w:ascii="仿宋" w:hAnsi="仿宋" w:eastAsia="仿宋" w:cs="仿宋"/>
                <w:color w:val="auto"/>
                <w:sz w:val="28"/>
                <w:szCs w:val="36"/>
                <w:highlight w:val="none"/>
                <w:vertAlign w:val="baseline"/>
                <w:lang w:val="en-US" w:eastAsia="zh-CN"/>
              </w:rPr>
              <w:t>评分标准</w:t>
            </w:r>
          </w:p>
        </w:tc>
        <w:tc>
          <w:tcPr>
            <w:tcW w:w="1410" w:type="dxa"/>
            <w:tcBorders>
              <w:top w:val="single" w:color="auto" w:sz="4" w:space="0"/>
            </w:tcBorders>
            <w:vAlign w:val="top"/>
          </w:tcPr>
          <w:p w14:paraId="1443A98B">
            <w:pPr>
              <w:adjustRightInd/>
              <w:jc w:val="center"/>
              <w:rPr>
                <w:rFonts w:hint="eastAsia" w:ascii="仿宋" w:hAnsi="仿宋" w:eastAsia="仿宋" w:cs="仿宋"/>
                <w:color w:val="auto"/>
                <w:sz w:val="28"/>
                <w:szCs w:val="36"/>
                <w:highlight w:val="none"/>
                <w:vertAlign w:val="baseline"/>
                <w:lang w:val="en-US" w:eastAsia="zh-CN"/>
              </w:rPr>
            </w:pPr>
            <w:r>
              <w:rPr>
                <w:rFonts w:hint="eastAsia" w:ascii="仿宋" w:hAnsi="仿宋" w:eastAsia="仿宋" w:cs="仿宋"/>
                <w:color w:val="auto"/>
                <w:sz w:val="28"/>
                <w:szCs w:val="36"/>
                <w:highlight w:val="none"/>
                <w:vertAlign w:val="baseline"/>
                <w:lang w:val="en-US" w:eastAsia="zh-CN"/>
              </w:rPr>
              <w:t>评价得分</w:t>
            </w:r>
          </w:p>
        </w:tc>
      </w:tr>
      <w:tr w14:paraId="7EF6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02EC162">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一</w:t>
            </w:r>
          </w:p>
        </w:tc>
        <w:tc>
          <w:tcPr>
            <w:tcW w:w="1410" w:type="dxa"/>
            <w:vAlign w:val="center"/>
          </w:tcPr>
          <w:p w14:paraId="73C5C381">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食品</w:t>
            </w:r>
          </w:p>
          <w:p w14:paraId="456E1700">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质量</w:t>
            </w:r>
          </w:p>
        </w:tc>
        <w:tc>
          <w:tcPr>
            <w:tcW w:w="840" w:type="dxa"/>
            <w:vAlign w:val="center"/>
          </w:tcPr>
          <w:p w14:paraId="0F0D531D">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30</w:t>
            </w:r>
          </w:p>
        </w:tc>
        <w:tc>
          <w:tcPr>
            <w:tcW w:w="9405" w:type="dxa"/>
            <w:gridSpan w:val="4"/>
          </w:tcPr>
          <w:p w14:paraId="4CF20256">
            <w:pPr>
              <w:adjustRightInd/>
              <w:jc w:val="both"/>
              <w:rPr>
                <w:rFonts w:hint="default"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1.原材料到校后没有初加工的（蔬菜去泥等操作）、有腐败发霉现象的、不够新鲜的、其他不符合卫生安全要求的，每项发现一次扣2分。</w:t>
            </w:r>
          </w:p>
          <w:p w14:paraId="5512D754">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2.发现预包装食品无“SC”食品质量安全认证，每例扣2分。</w:t>
            </w:r>
          </w:p>
          <w:p w14:paraId="6BA12159">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3.散装食品未提供货物来源证明的（生产地、生产人等），每例扣2分。</w:t>
            </w:r>
          </w:p>
        </w:tc>
        <w:tc>
          <w:tcPr>
            <w:tcW w:w="1410" w:type="dxa"/>
          </w:tcPr>
          <w:p w14:paraId="29FA14BE">
            <w:pPr>
              <w:adjustRightInd/>
              <w:jc w:val="both"/>
              <w:rPr>
                <w:rFonts w:hint="eastAsia" w:ascii="仿宋" w:hAnsi="仿宋" w:eastAsia="仿宋" w:cs="仿宋"/>
                <w:color w:val="auto"/>
                <w:sz w:val="24"/>
                <w:szCs w:val="32"/>
                <w:highlight w:val="none"/>
                <w:vertAlign w:val="baseline"/>
                <w:lang w:val="en-US" w:eastAsia="zh-CN"/>
              </w:rPr>
            </w:pPr>
          </w:p>
        </w:tc>
      </w:tr>
      <w:tr w14:paraId="3759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2C4459A">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二</w:t>
            </w:r>
          </w:p>
        </w:tc>
        <w:tc>
          <w:tcPr>
            <w:tcW w:w="1410" w:type="dxa"/>
            <w:vAlign w:val="center"/>
          </w:tcPr>
          <w:p w14:paraId="7BA9F376">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价格</w:t>
            </w:r>
          </w:p>
        </w:tc>
        <w:tc>
          <w:tcPr>
            <w:tcW w:w="840" w:type="dxa"/>
            <w:vAlign w:val="center"/>
          </w:tcPr>
          <w:p w14:paraId="11A1C4BC">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30</w:t>
            </w:r>
          </w:p>
        </w:tc>
        <w:tc>
          <w:tcPr>
            <w:tcW w:w="9405" w:type="dxa"/>
            <w:gridSpan w:val="4"/>
          </w:tcPr>
          <w:p w14:paraId="47410B2F">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1.供应商未按学校要求每月结算的，每例扣2分。</w:t>
            </w:r>
          </w:p>
          <w:p w14:paraId="75377CCC">
            <w:pPr>
              <w:adjustRightInd/>
              <w:jc w:val="both"/>
              <w:rPr>
                <w:rFonts w:hint="default"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2.商品报价超出市场零售价或“参考平均价”的，每种商品扣2分。</w:t>
            </w:r>
          </w:p>
          <w:p w14:paraId="79670505">
            <w:pPr>
              <w:adjustRightInd/>
              <w:jc w:val="both"/>
              <w:rPr>
                <w:rFonts w:hint="default"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3.商品结算未按下浮率进行结算的，每次扣2分。</w:t>
            </w:r>
          </w:p>
          <w:p w14:paraId="3B91F5B9">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4.有商品出现恶意虚假报价的，发现一次扣2分。</w:t>
            </w:r>
          </w:p>
        </w:tc>
        <w:tc>
          <w:tcPr>
            <w:tcW w:w="1410" w:type="dxa"/>
          </w:tcPr>
          <w:p w14:paraId="21213C1B">
            <w:pPr>
              <w:adjustRightInd/>
              <w:jc w:val="both"/>
              <w:rPr>
                <w:rFonts w:hint="eastAsia" w:ascii="仿宋" w:hAnsi="仿宋" w:eastAsia="仿宋" w:cs="仿宋"/>
                <w:color w:val="auto"/>
                <w:sz w:val="24"/>
                <w:szCs w:val="32"/>
                <w:highlight w:val="none"/>
                <w:vertAlign w:val="baseline"/>
                <w:lang w:val="en-US" w:eastAsia="zh-CN"/>
              </w:rPr>
            </w:pPr>
          </w:p>
        </w:tc>
      </w:tr>
      <w:tr w14:paraId="7379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65A1CA5">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三</w:t>
            </w:r>
          </w:p>
        </w:tc>
        <w:tc>
          <w:tcPr>
            <w:tcW w:w="1410" w:type="dxa"/>
            <w:vAlign w:val="center"/>
          </w:tcPr>
          <w:p w14:paraId="7F4819B4">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配送</w:t>
            </w:r>
          </w:p>
          <w:p w14:paraId="67259447">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时效</w:t>
            </w:r>
          </w:p>
        </w:tc>
        <w:tc>
          <w:tcPr>
            <w:tcW w:w="840" w:type="dxa"/>
            <w:vAlign w:val="center"/>
          </w:tcPr>
          <w:p w14:paraId="12C3A521">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10</w:t>
            </w:r>
          </w:p>
        </w:tc>
        <w:tc>
          <w:tcPr>
            <w:tcW w:w="9405" w:type="dxa"/>
            <w:gridSpan w:val="4"/>
          </w:tcPr>
          <w:p w14:paraId="55AE1D79">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1.供应商未按学校要求在规定时间内送达指定地点的，每次扣2分。</w:t>
            </w:r>
          </w:p>
          <w:p w14:paraId="6ECA41F5">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2.原材料送到学校后未按规定进行验收的，每次扣2分。</w:t>
            </w:r>
          </w:p>
        </w:tc>
        <w:tc>
          <w:tcPr>
            <w:tcW w:w="1410" w:type="dxa"/>
          </w:tcPr>
          <w:p w14:paraId="14EC1F84">
            <w:pPr>
              <w:adjustRightInd/>
              <w:jc w:val="both"/>
              <w:rPr>
                <w:rFonts w:hint="eastAsia" w:ascii="仿宋" w:hAnsi="仿宋" w:eastAsia="仿宋" w:cs="仿宋"/>
                <w:color w:val="auto"/>
                <w:sz w:val="24"/>
                <w:szCs w:val="32"/>
                <w:highlight w:val="none"/>
                <w:vertAlign w:val="baseline"/>
                <w:lang w:val="en-US" w:eastAsia="zh-CN"/>
              </w:rPr>
            </w:pPr>
          </w:p>
        </w:tc>
      </w:tr>
      <w:tr w14:paraId="2443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86BBBE0">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四</w:t>
            </w:r>
          </w:p>
        </w:tc>
        <w:tc>
          <w:tcPr>
            <w:tcW w:w="1410" w:type="dxa"/>
            <w:vAlign w:val="center"/>
          </w:tcPr>
          <w:p w14:paraId="419ED380">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服务</w:t>
            </w:r>
          </w:p>
          <w:p w14:paraId="1F3A7D11">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态度</w:t>
            </w:r>
          </w:p>
        </w:tc>
        <w:tc>
          <w:tcPr>
            <w:tcW w:w="840" w:type="dxa"/>
            <w:vAlign w:val="center"/>
          </w:tcPr>
          <w:p w14:paraId="5EF91AB3">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10</w:t>
            </w:r>
          </w:p>
        </w:tc>
        <w:tc>
          <w:tcPr>
            <w:tcW w:w="9405" w:type="dxa"/>
            <w:gridSpan w:val="4"/>
          </w:tcPr>
          <w:p w14:paraId="12A4A233">
            <w:pPr>
              <w:adjustRightInd/>
              <w:jc w:val="both"/>
              <w:rPr>
                <w:rFonts w:hint="default"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1.双方协商供应商态度恶劣的，每例扣2分。</w:t>
            </w:r>
          </w:p>
          <w:p w14:paraId="3EB4AB63">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2.出现商品质量、卫生问题供应商不予处理的，每例扣2分。</w:t>
            </w:r>
          </w:p>
        </w:tc>
        <w:tc>
          <w:tcPr>
            <w:tcW w:w="1410" w:type="dxa"/>
          </w:tcPr>
          <w:p w14:paraId="42BAC013">
            <w:pPr>
              <w:adjustRightInd/>
              <w:jc w:val="both"/>
              <w:rPr>
                <w:rFonts w:hint="eastAsia" w:ascii="仿宋" w:hAnsi="仿宋" w:eastAsia="仿宋" w:cs="仿宋"/>
                <w:color w:val="auto"/>
                <w:sz w:val="24"/>
                <w:szCs w:val="32"/>
                <w:highlight w:val="none"/>
                <w:vertAlign w:val="baseline"/>
                <w:lang w:val="en-US" w:eastAsia="zh-CN"/>
              </w:rPr>
            </w:pPr>
          </w:p>
        </w:tc>
      </w:tr>
      <w:tr w14:paraId="4418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FD8602F">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五</w:t>
            </w:r>
          </w:p>
        </w:tc>
        <w:tc>
          <w:tcPr>
            <w:tcW w:w="1410" w:type="dxa"/>
            <w:vAlign w:val="center"/>
          </w:tcPr>
          <w:p w14:paraId="30B45263">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应急</w:t>
            </w:r>
          </w:p>
          <w:p w14:paraId="005F46C1">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处理</w:t>
            </w:r>
          </w:p>
        </w:tc>
        <w:tc>
          <w:tcPr>
            <w:tcW w:w="840" w:type="dxa"/>
            <w:vAlign w:val="center"/>
          </w:tcPr>
          <w:p w14:paraId="35922764">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20</w:t>
            </w:r>
          </w:p>
        </w:tc>
        <w:tc>
          <w:tcPr>
            <w:tcW w:w="9405" w:type="dxa"/>
            <w:gridSpan w:val="4"/>
          </w:tcPr>
          <w:p w14:paraId="2C3DCCDD">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出现应急情况有如下情况的：</w:t>
            </w:r>
          </w:p>
          <w:p w14:paraId="4528ADB8">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1.供应商未能在规定时效内处理的，每例扣2分。</w:t>
            </w:r>
          </w:p>
          <w:p w14:paraId="1D4D4187">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2.供应商有叫第三方代配送现象的，每例扣2分。</w:t>
            </w:r>
          </w:p>
          <w:p w14:paraId="76423BF1">
            <w:pPr>
              <w:adjustRightInd/>
              <w:jc w:val="both"/>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3.供应商未按学校要求友好协商解决问题的，每例扣2分。</w:t>
            </w:r>
          </w:p>
        </w:tc>
        <w:tc>
          <w:tcPr>
            <w:tcW w:w="1410" w:type="dxa"/>
          </w:tcPr>
          <w:p w14:paraId="086F6151">
            <w:pPr>
              <w:adjustRightInd/>
              <w:jc w:val="both"/>
              <w:rPr>
                <w:rFonts w:hint="eastAsia" w:ascii="仿宋" w:hAnsi="仿宋" w:eastAsia="仿宋" w:cs="仿宋"/>
                <w:color w:val="auto"/>
                <w:sz w:val="24"/>
                <w:szCs w:val="32"/>
                <w:highlight w:val="none"/>
                <w:vertAlign w:val="baseline"/>
                <w:lang w:val="en-US" w:eastAsia="zh-CN"/>
              </w:rPr>
            </w:pPr>
          </w:p>
        </w:tc>
      </w:tr>
      <w:tr w14:paraId="4176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76A8FBD5">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六</w:t>
            </w:r>
          </w:p>
        </w:tc>
        <w:tc>
          <w:tcPr>
            <w:tcW w:w="11655" w:type="dxa"/>
            <w:gridSpan w:val="6"/>
            <w:vAlign w:val="center"/>
          </w:tcPr>
          <w:p w14:paraId="3B6D57D8">
            <w:pPr>
              <w:adjustRightInd/>
              <w:jc w:val="center"/>
              <w:rPr>
                <w:rFonts w:hint="eastAsia" w:ascii="仿宋" w:hAnsi="仿宋" w:eastAsia="仿宋" w:cs="仿宋"/>
                <w:color w:val="auto"/>
                <w:sz w:val="24"/>
                <w:szCs w:val="32"/>
                <w:highlight w:val="none"/>
                <w:vertAlign w:val="baseline"/>
                <w:lang w:val="en-US" w:eastAsia="zh-CN"/>
              </w:rPr>
            </w:pPr>
            <w:r>
              <w:rPr>
                <w:rFonts w:hint="eastAsia" w:ascii="仿宋" w:hAnsi="仿宋" w:eastAsia="仿宋" w:cs="仿宋"/>
                <w:color w:val="auto"/>
                <w:sz w:val="24"/>
                <w:szCs w:val="32"/>
                <w:highlight w:val="none"/>
                <w:vertAlign w:val="baseline"/>
                <w:lang w:val="en-US" w:eastAsia="zh-CN"/>
              </w:rPr>
              <w:t>综合得分</w:t>
            </w:r>
          </w:p>
        </w:tc>
        <w:tc>
          <w:tcPr>
            <w:tcW w:w="1410" w:type="dxa"/>
          </w:tcPr>
          <w:p w14:paraId="325DC272">
            <w:pPr>
              <w:adjustRightInd/>
              <w:jc w:val="both"/>
              <w:rPr>
                <w:rFonts w:hint="eastAsia" w:ascii="仿宋" w:hAnsi="仿宋" w:eastAsia="仿宋" w:cs="仿宋"/>
                <w:color w:val="auto"/>
                <w:sz w:val="24"/>
                <w:szCs w:val="32"/>
                <w:highlight w:val="none"/>
                <w:vertAlign w:val="baseline"/>
                <w:lang w:val="en-US" w:eastAsia="zh-CN"/>
              </w:rPr>
            </w:pPr>
          </w:p>
        </w:tc>
      </w:tr>
    </w:tbl>
    <w:p w14:paraId="7995580C">
      <w:pPr>
        <w:adjustRightInd/>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注：评价标准为扣分细则，学校根据日常管理实际出现情况次数进行扣分，每项分数扣完为止。</w:t>
      </w:r>
    </w:p>
    <w:p w14:paraId="615C7B15">
      <w:pPr>
        <w:spacing w:line="240" w:lineRule="auto"/>
        <w:rPr>
          <w:rFonts w:hint="eastAsia" w:ascii="宋体" w:hAnsi="宋体" w:cs="宋体"/>
          <w:bCs/>
          <w:color w:val="auto"/>
          <w:szCs w:val="21"/>
          <w:highlight w:val="none"/>
        </w:rPr>
        <w:sectPr>
          <w:pgSz w:w="16840" w:h="11907" w:orient="landscape"/>
          <w:pgMar w:top="1814" w:right="1474" w:bottom="1814" w:left="1474" w:header="851" w:footer="851" w:gutter="0"/>
          <w:cols w:space="720" w:num="1"/>
        </w:sectPr>
      </w:pPr>
    </w:p>
    <w:p w14:paraId="014E60E7">
      <w:pPr>
        <w:spacing w:line="360" w:lineRule="auto"/>
        <w:jc w:val="center"/>
        <w:outlineLvl w:val="0"/>
        <w:rPr>
          <w:rFonts w:hint="eastAsia" w:ascii="宋体" w:hAnsi="宋体" w:cs="宋体"/>
          <w:b/>
          <w:color w:val="auto"/>
          <w:sz w:val="36"/>
          <w:szCs w:val="36"/>
          <w:highlight w:val="none"/>
        </w:rPr>
      </w:pPr>
      <w:bookmarkStart w:id="42" w:name="_Toc29737"/>
      <w:r>
        <w:rPr>
          <w:rFonts w:hint="eastAsia" w:ascii="宋体" w:hAnsi="宋体" w:cs="宋体"/>
          <w:b/>
          <w:color w:val="auto"/>
          <w:sz w:val="36"/>
          <w:szCs w:val="36"/>
          <w:highlight w:val="none"/>
        </w:rPr>
        <w:t xml:space="preserve">第四部分   </w:t>
      </w:r>
      <w:bookmarkStart w:id="43" w:name="_Toc184310286"/>
      <w:bookmarkEnd w:id="43"/>
      <w:bookmarkStart w:id="44" w:name="_Toc184308106"/>
      <w:bookmarkEnd w:id="44"/>
      <w:bookmarkStart w:id="45" w:name="_Toc184312100"/>
      <w:bookmarkEnd w:id="45"/>
      <w:bookmarkStart w:id="46" w:name="_Toc184308050"/>
      <w:bookmarkEnd w:id="46"/>
      <w:bookmarkStart w:id="47" w:name="_Toc184310321"/>
      <w:bookmarkEnd w:id="47"/>
      <w:bookmarkStart w:id="48" w:name="_Toc184314421"/>
      <w:bookmarkEnd w:id="48"/>
      <w:bookmarkStart w:id="49" w:name="_Toc184308086"/>
      <w:bookmarkEnd w:id="49"/>
      <w:bookmarkStart w:id="50" w:name="_Toc184314459"/>
      <w:bookmarkEnd w:id="50"/>
      <w:bookmarkStart w:id="51" w:name="_Toc184308083"/>
      <w:bookmarkEnd w:id="51"/>
      <w:bookmarkStart w:id="52" w:name="_Toc184312078"/>
      <w:bookmarkEnd w:id="52"/>
      <w:bookmarkStart w:id="53" w:name="_Toc184314436"/>
      <w:bookmarkEnd w:id="53"/>
      <w:bookmarkStart w:id="54" w:name="_Toc184310277"/>
      <w:bookmarkEnd w:id="54"/>
      <w:bookmarkStart w:id="55" w:name="_Toc184308038"/>
      <w:bookmarkEnd w:id="55"/>
      <w:bookmarkStart w:id="56" w:name="_Toc184312097"/>
      <w:bookmarkEnd w:id="56"/>
      <w:bookmarkStart w:id="57" w:name="_Toc184312068"/>
      <w:bookmarkEnd w:id="57"/>
      <w:bookmarkStart w:id="58" w:name="_Toc184314469"/>
      <w:bookmarkEnd w:id="58"/>
      <w:bookmarkStart w:id="59" w:name="_Toc184313301"/>
      <w:bookmarkEnd w:id="59"/>
      <w:bookmarkStart w:id="60" w:name="_Toc184314441"/>
      <w:bookmarkEnd w:id="60"/>
      <w:bookmarkStart w:id="61" w:name="_Toc184314456"/>
      <w:bookmarkEnd w:id="61"/>
      <w:bookmarkStart w:id="62" w:name="_Toc184312138"/>
      <w:bookmarkEnd w:id="62"/>
      <w:bookmarkStart w:id="63" w:name="_Toc184312123"/>
      <w:bookmarkEnd w:id="63"/>
      <w:bookmarkStart w:id="64" w:name="_Toc184310299"/>
      <w:bookmarkEnd w:id="64"/>
      <w:bookmarkStart w:id="65" w:name="_Toc184310272"/>
      <w:bookmarkEnd w:id="65"/>
      <w:bookmarkStart w:id="66" w:name="_Toc184314479"/>
      <w:bookmarkEnd w:id="66"/>
      <w:bookmarkStart w:id="67" w:name="_Toc184313244"/>
      <w:bookmarkEnd w:id="67"/>
      <w:bookmarkStart w:id="68" w:name="_Toc184308090"/>
      <w:bookmarkEnd w:id="68"/>
      <w:bookmarkStart w:id="69" w:name="_Toc184314452"/>
      <w:bookmarkEnd w:id="69"/>
      <w:bookmarkStart w:id="70" w:name="_Toc184313253"/>
      <w:bookmarkEnd w:id="70"/>
      <w:bookmarkStart w:id="71" w:name="_Toc184310326"/>
      <w:bookmarkEnd w:id="71"/>
      <w:bookmarkStart w:id="72" w:name="_Toc184313285"/>
      <w:bookmarkEnd w:id="72"/>
      <w:bookmarkStart w:id="73" w:name="_Toc184308078"/>
      <w:bookmarkEnd w:id="73"/>
      <w:bookmarkStart w:id="74" w:name="_Toc184310330"/>
      <w:bookmarkEnd w:id="74"/>
      <w:bookmarkStart w:id="75" w:name="_Toc184310273"/>
      <w:bookmarkEnd w:id="75"/>
      <w:bookmarkStart w:id="76" w:name="_Toc184314453"/>
      <w:bookmarkEnd w:id="76"/>
      <w:bookmarkStart w:id="77" w:name="_Toc184310344"/>
      <w:bookmarkEnd w:id="77"/>
      <w:bookmarkStart w:id="78" w:name="_Toc184313305"/>
      <w:bookmarkEnd w:id="78"/>
      <w:bookmarkStart w:id="79" w:name="_Toc184314419"/>
      <w:bookmarkEnd w:id="79"/>
      <w:bookmarkStart w:id="80" w:name="_Toc184312076"/>
      <w:bookmarkEnd w:id="80"/>
      <w:bookmarkStart w:id="81" w:name="_Toc184313278"/>
      <w:bookmarkEnd w:id="81"/>
      <w:bookmarkStart w:id="82" w:name="_Toc184314431"/>
      <w:bookmarkEnd w:id="82"/>
      <w:bookmarkStart w:id="83" w:name="_Toc184312103"/>
      <w:bookmarkEnd w:id="83"/>
      <w:bookmarkStart w:id="84" w:name="_Toc184310316"/>
      <w:bookmarkEnd w:id="84"/>
      <w:bookmarkStart w:id="85" w:name="_Toc184314426"/>
      <w:bookmarkEnd w:id="85"/>
      <w:bookmarkStart w:id="86" w:name="_Toc184314458"/>
      <w:bookmarkEnd w:id="86"/>
      <w:bookmarkStart w:id="87" w:name="_Toc184312099"/>
      <w:bookmarkEnd w:id="87"/>
      <w:bookmarkStart w:id="88" w:name="_Toc184310335"/>
      <w:bookmarkEnd w:id="88"/>
      <w:bookmarkStart w:id="89" w:name="_Toc184313265"/>
      <w:bookmarkEnd w:id="89"/>
      <w:bookmarkStart w:id="90" w:name="_Toc184308082"/>
      <w:bookmarkEnd w:id="90"/>
      <w:bookmarkStart w:id="91" w:name="_Toc184314473"/>
      <w:bookmarkEnd w:id="91"/>
      <w:bookmarkStart w:id="92" w:name="_Toc184312069"/>
      <w:bookmarkEnd w:id="92"/>
      <w:bookmarkStart w:id="93" w:name="_Toc184312127"/>
      <w:bookmarkEnd w:id="93"/>
      <w:bookmarkStart w:id="94" w:name="_Toc184312075"/>
      <w:bookmarkEnd w:id="94"/>
      <w:bookmarkStart w:id="95" w:name="_Toc184314466"/>
      <w:bookmarkEnd w:id="95"/>
      <w:bookmarkStart w:id="96" w:name="_Toc184308101"/>
      <w:bookmarkEnd w:id="96"/>
      <w:bookmarkStart w:id="97" w:name="_Toc184313240"/>
      <w:bookmarkEnd w:id="97"/>
      <w:bookmarkStart w:id="98" w:name="_Toc184310297"/>
      <w:bookmarkEnd w:id="98"/>
      <w:bookmarkStart w:id="99" w:name="_Toc184310275"/>
      <w:bookmarkEnd w:id="99"/>
      <w:bookmarkStart w:id="100" w:name="_Toc184308063"/>
      <w:bookmarkEnd w:id="100"/>
      <w:bookmarkStart w:id="101" w:name="_Toc184310303"/>
      <w:bookmarkEnd w:id="101"/>
      <w:bookmarkStart w:id="102" w:name="_Toc184310280"/>
      <w:bookmarkEnd w:id="102"/>
      <w:bookmarkStart w:id="103" w:name="_Toc184313257"/>
      <w:bookmarkEnd w:id="103"/>
      <w:bookmarkStart w:id="104" w:name="_Toc184308040"/>
      <w:bookmarkEnd w:id="104"/>
      <w:bookmarkStart w:id="105" w:name="_Toc184312118"/>
      <w:bookmarkEnd w:id="105"/>
      <w:bookmarkStart w:id="106" w:name="_Toc184308087"/>
      <w:bookmarkEnd w:id="106"/>
      <w:bookmarkStart w:id="107" w:name="_Toc184314481"/>
      <w:bookmarkEnd w:id="107"/>
      <w:bookmarkStart w:id="108" w:name="_Toc184312083"/>
      <w:bookmarkEnd w:id="108"/>
      <w:bookmarkStart w:id="109" w:name="_Toc184312137"/>
      <w:bookmarkEnd w:id="109"/>
      <w:bookmarkStart w:id="110" w:name="_Toc184313243"/>
      <w:bookmarkEnd w:id="110"/>
      <w:bookmarkStart w:id="111" w:name="_Toc184308071"/>
      <w:bookmarkEnd w:id="111"/>
      <w:bookmarkStart w:id="112" w:name="_Toc184308053"/>
      <w:bookmarkEnd w:id="112"/>
      <w:bookmarkStart w:id="113" w:name="_Toc184314468"/>
      <w:bookmarkEnd w:id="113"/>
      <w:bookmarkStart w:id="114" w:name="_Toc184310331"/>
      <w:bookmarkEnd w:id="114"/>
      <w:bookmarkStart w:id="115" w:name="_Toc184310328"/>
      <w:bookmarkEnd w:id="115"/>
      <w:bookmarkStart w:id="116" w:name="_Toc184314444"/>
      <w:bookmarkEnd w:id="116"/>
      <w:bookmarkStart w:id="117" w:name="_Toc184314414"/>
      <w:bookmarkEnd w:id="117"/>
      <w:bookmarkStart w:id="118" w:name="_Toc184310329"/>
      <w:bookmarkEnd w:id="118"/>
      <w:bookmarkStart w:id="119" w:name="_Toc184312098"/>
      <w:bookmarkEnd w:id="119"/>
      <w:bookmarkStart w:id="120" w:name="_Toc184308107"/>
      <w:bookmarkEnd w:id="120"/>
      <w:bookmarkStart w:id="121" w:name="_Toc184313299"/>
      <w:bookmarkEnd w:id="121"/>
      <w:bookmarkStart w:id="122" w:name="_Toc184314474"/>
      <w:bookmarkEnd w:id="122"/>
      <w:bookmarkStart w:id="123" w:name="_Toc184314420"/>
      <w:bookmarkEnd w:id="123"/>
      <w:bookmarkStart w:id="124" w:name="_Toc184312133"/>
      <w:bookmarkEnd w:id="124"/>
      <w:bookmarkStart w:id="125" w:name="_Toc184308085"/>
      <w:bookmarkEnd w:id="125"/>
      <w:bookmarkStart w:id="126" w:name="_Toc184312080"/>
      <w:bookmarkEnd w:id="126"/>
      <w:bookmarkStart w:id="127" w:name="_Toc184313274"/>
      <w:bookmarkEnd w:id="127"/>
      <w:bookmarkStart w:id="128" w:name="_Toc184314475"/>
      <w:bookmarkEnd w:id="128"/>
      <w:bookmarkStart w:id="129" w:name="_Toc184308079"/>
      <w:bookmarkEnd w:id="129"/>
      <w:bookmarkStart w:id="130" w:name="_Toc184312120"/>
      <w:bookmarkEnd w:id="130"/>
      <w:bookmarkStart w:id="131" w:name="_Toc184313284"/>
      <w:bookmarkEnd w:id="131"/>
      <w:bookmarkStart w:id="132" w:name="_Toc184313241"/>
      <w:bookmarkEnd w:id="132"/>
      <w:bookmarkStart w:id="133" w:name="_Toc184312130"/>
      <w:bookmarkEnd w:id="133"/>
      <w:bookmarkStart w:id="134" w:name="_Toc184308052"/>
      <w:bookmarkEnd w:id="134"/>
      <w:bookmarkStart w:id="135" w:name="_Toc184308044"/>
      <w:bookmarkEnd w:id="135"/>
      <w:bookmarkStart w:id="136" w:name="_Toc184312072"/>
      <w:bookmarkEnd w:id="136"/>
      <w:bookmarkStart w:id="137" w:name="_Toc184312101"/>
      <w:bookmarkEnd w:id="137"/>
      <w:bookmarkStart w:id="138" w:name="_Toc184313268"/>
      <w:bookmarkEnd w:id="138"/>
      <w:bookmarkStart w:id="139" w:name="_Toc184312104"/>
      <w:bookmarkEnd w:id="139"/>
      <w:bookmarkStart w:id="140" w:name="_Toc184310317"/>
      <w:bookmarkEnd w:id="140"/>
      <w:bookmarkStart w:id="141" w:name="_Toc184313307"/>
      <w:bookmarkEnd w:id="141"/>
      <w:bookmarkStart w:id="142" w:name="_Toc184308060"/>
      <w:bookmarkEnd w:id="142"/>
      <w:bookmarkStart w:id="143" w:name="_Toc184308042"/>
      <w:bookmarkEnd w:id="143"/>
      <w:bookmarkStart w:id="144" w:name="_Toc184313296"/>
      <w:bookmarkEnd w:id="144"/>
      <w:bookmarkStart w:id="145" w:name="_Toc184310301"/>
      <w:bookmarkEnd w:id="145"/>
      <w:bookmarkStart w:id="146" w:name="_Toc184312112"/>
      <w:bookmarkEnd w:id="146"/>
      <w:bookmarkStart w:id="147" w:name="_Toc184310327"/>
      <w:bookmarkEnd w:id="147"/>
      <w:bookmarkStart w:id="148" w:name="_Toc184310284"/>
      <w:bookmarkEnd w:id="148"/>
      <w:bookmarkStart w:id="149" w:name="_Toc184308102"/>
      <w:bookmarkEnd w:id="149"/>
      <w:bookmarkStart w:id="150" w:name="_Toc184314472"/>
      <w:bookmarkEnd w:id="150"/>
      <w:bookmarkStart w:id="151" w:name="_Toc184314460"/>
      <w:bookmarkEnd w:id="151"/>
      <w:bookmarkStart w:id="152" w:name="_Toc184312131"/>
      <w:bookmarkEnd w:id="152"/>
      <w:bookmarkStart w:id="153" w:name="_Toc184310338"/>
      <w:bookmarkEnd w:id="153"/>
      <w:bookmarkStart w:id="154" w:name="_Toc184308041"/>
      <w:bookmarkEnd w:id="154"/>
      <w:bookmarkStart w:id="155" w:name="_Toc184308057"/>
      <w:bookmarkEnd w:id="155"/>
      <w:bookmarkStart w:id="156" w:name="_Toc184310298"/>
      <w:bookmarkEnd w:id="156"/>
      <w:bookmarkStart w:id="157" w:name="_Toc184310279"/>
      <w:bookmarkEnd w:id="157"/>
      <w:bookmarkStart w:id="158" w:name="_Toc184313306"/>
      <w:bookmarkEnd w:id="158"/>
      <w:bookmarkStart w:id="159" w:name="_Toc184313272"/>
      <w:bookmarkEnd w:id="159"/>
      <w:bookmarkStart w:id="160" w:name="_Toc184313275"/>
      <w:bookmarkEnd w:id="160"/>
      <w:bookmarkStart w:id="161" w:name="_Toc184310322"/>
      <w:bookmarkEnd w:id="161"/>
      <w:bookmarkStart w:id="162" w:name="_Toc184310340"/>
      <w:bookmarkEnd w:id="162"/>
      <w:bookmarkStart w:id="163" w:name="_Toc184310309"/>
      <w:bookmarkEnd w:id="163"/>
      <w:bookmarkStart w:id="164" w:name="_Toc184308059"/>
      <w:bookmarkEnd w:id="164"/>
      <w:bookmarkStart w:id="165" w:name="_Toc184308065"/>
      <w:bookmarkEnd w:id="165"/>
      <w:bookmarkStart w:id="166" w:name="_Toc184312091"/>
      <w:bookmarkEnd w:id="166"/>
      <w:bookmarkStart w:id="167" w:name="_Toc184313279"/>
      <w:bookmarkEnd w:id="167"/>
      <w:bookmarkStart w:id="168" w:name="_Toc184308069"/>
      <w:bookmarkEnd w:id="168"/>
      <w:bookmarkStart w:id="169" w:name="_Toc184313291"/>
      <w:bookmarkEnd w:id="169"/>
      <w:bookmarkStart w:id="170" w:name="_Toc184308062"/>
      <w:bookmarkEnd w:id="170"/>
      <w:bookmarkStart w:id="171" w:name="_Toc184314439"/>
      <w:bookmarkEnd w:id="171"/>
      <w:bookmarkStart w:id="172" w:name="_Toc184313309"/>
      <w:bookmarkEnd w:id="172"/>
      <w:bookmarkStart w:id="173" w:name="_Toc184312117"/>
      <w:bookmarkEnd w:id="173"/>
      <w:bookmarkStart w:id="174" w:name="_Toc184314434"/>
      <w:bookmarkEnd w:id="174"/>
      <w:bookmarkStart w:id="175" w:name="_Toc184314454"/>
      <w:bookmarkEnd w:id="175"/>
      <w:bookmarkStart w:id="176" w:name="_Toc184308036"/>
      <w:bookmarkEnd w:id="176"/>
      <w:bookmarkStart w:id="177" w:name="_Toc184313256"/>
      <w:bookmarkEnd w:id="177"/>
      <w:bookmarkStart w:id="178" w:name="_Toc184310306"/>
      <w:bookmarkEnd w:id="178"/>
      <w:bookmarkStart w:id="179" w:name="_Toc184312110"/>
      <w:bookmarkEnd w:id="179"/>
      <w:bookmarkStart w:id="180" w:name="_Toc184314451"/>
      <w:bookmarkEnd w:id="180"/>
      <w:bookmarkStart w:id="181" w:name="_Toc184308037"/>
      <w:bookmarkEnd w:id="181"/>
      <w:bookmarkStart w:id="182" w:name="_Toc184310320"/>
      <w:bookmarkEnd w:id="182"/>
      <w:bookmarkStart w:id="183" w:name="_Toc184314416"/>
      <w:bookmarkEnd w:id="183"/>
      <w:bookmarkStart w:id="184" w:name="_Toc184312096"/>
      <w:bookmarkEnd w:id="184"/>
      <w:bookmarkStart w:id="185" w:name="_Toc184314422"/>
      <w:bookmarkEnd w:id="185"/>
      <w:bookmarkStart w:id="186" w:name="_Toc184312139"/>
      <w:bookmarkEnd w:id="186"/>
      <w:bookmarkStart w:id="187" w:name="_Toc184314411"/>
      <w:bookmarkEnd w:id="187"/>
      <w:bookmarkStart w:id="188" w:name="_Toc184312106"/>
      <w:bookmarkEnd w:id="188"/>
      <w:bookmarkStart w:id="189" w:name="_Toc184314413"/>
      <w:bookmarkEnd w:id="189"/>
      <w:bookmarkStart w:id="190" w:name="_Toc184310307"/>
      <w:bookmarkEnd w:id="190"/>
      <w:bookmarkStart w:id="191" w:name="_Toc184313280"/>
      <w:bookmarkEnd w:id="191"/>
      <w:bookmarkStart w:id="192" w:name="_Toc184313247"/>
      <w:bookmarkEnd w:id="192"/>
      <w:bookmarkStart w:id="193" w:name="_Toc184312087"/>
      <w:bookmarkEnd w:id="193"/>
      <w:bookmarkStart w:id="194" w:name="_Toc184312109"/>
      <w:bookmarkEnd w:id="194"/>
      <w:bookmarkStart w:id="195" w:name="_Toc184310295"/>
      <w:bookmarkEnd w:id="195"/>
      <w:bookmarkStart w:id="196" w:name="_Toc184313298"/>
      <w:bookmarkEnd w:id="196"/>
      <w:bookmarkStart w:id="197" w:name="_Toc184313252"/>
      <w:bookmarkEnd w:id="197"/>
      <w:bookmarkStart w:id="198" w:name="_Toc184314482"/>
      <w:bookmarkEnd w:id="198"/>
      <w:bookmarkStart w:id="199" w:name="_Toc184310287"/>
      <w:bookmarkEnd w:id="199"/>
      <w:bookmarkStart w:id="200" w:name="_Toc184314470"/>
      <w:bookmarkEnd w:id="200"/>
      <w:bookmarkStart w:id="201" w:name="_Toc184313288"/>
      <w:bookmarkEnd w:id="201"/>
      <w:bookmarkStart w:id="202" w:name="_Toc184310312"/>
      <w:bookmarkEnd w:id="202"/>
      <w:bookmarkStart w:id="203" w:name="_Toc184312129"/>
      <w:bookmarkEnd w:id="203"/>
      <w:bookmarkStart w:id="204" w:name="_Toc184310278"/>
      <w:bookmarkEnd w:id="204"/>
      <w:bookmarkStart w:id="205" w:name="_Toc184308084"/>
      <w:bookmarkEnd w:id="205"/>
      <w:bookmarkStart w:id="206" w:name="_Toc184312095"/>
      <w:bookmarkEnd w:id="206"/>
      <w:bookmarkStart w:id="207" w:name="_Toc184314430"/>
      <w:bookmarkEnd w:id="207"/>
      <w:bookmarkStart w:id="208" w:name="_Toc184308081"/>
      <w:bookmarkEnd w:id="208"/>
      <w:bookmarkStart w:id="209" w:name="_Toc184310314"/>
      <w:bookmarkEnd w:id="209"/>
      <w:bookmarkStart w:id="210" w:name="_Toc184313276"/>
      <w:bookmarkEnd w:id="210"/>
      <w:bookmarkStart w:id="211" w:name="_Toc184310336"/>
      <w:bookmarkEnd w:id="211"/>
      <w:bookmarkStart w:id="212" w:name="_Toc184313270"/>
      <w:bookmarkEnd w:id="212"/>
      <w:bookmarkStart w:id="213" w:name="_Toc184312077"/>
      <w:bookmarkEnd w:id="213"/>
      <w:bookmarkStart w:id="214" w:name="_Toc184308097"/>
      <w:bookmarkEnd w:id="214"/>
      <w:bookmarkStart w:id="215" w:name="_Toc184314423"/>
      <w:bookmarkEnd w:id="215"/>
      <w:bookmarkStart w:id="216" w:name="_Toc184313263"/>
      <w:bookmarkEnd w:id="216"/>
      <w:bookmarkStart w:id="217" w:name="_Toc184314433"/>
      <w:bookmarkEnd w:id="217"/>
      <w:bookmarkStart w:id="218" w:name="_Toc184314449"/>
      <w:bookmarkEnd w:id="218"/>
      <w:bookmarkStart w:id="219" w:name="_Toc184308075"/>
      <w:bookmarkEnd w:id="219"/>
      <w:bookmarkStart w:id="220" w:name="_Toc184314432"/>
      <w:bookmarkEnd w:id="220"/>
      <w:bookmarkStart w:id="221" w:name="_Toc184313238"/>
      <w:bookmarkEnd w:id="221"/>
      <w:bookmarkStart w:id="222" w:name="_Toc184312107"/>
      <w:bookmarkEnd w:id="222"/>
      <w:bookmarkStart w:id="223" w:name="_Toc184310308"/>
      <w:bookmarkEnd w:id="223"/>
      <w:bookmarkStart w:id="224" w:name="_Toc184312115"/>
      <w:bookmarkEnd w:id="224"/>
      <w:bookmarkStart w:id="225" w:name="_Toc184314478"/>
      <w:bookmarkEnd w:id="225"/>
      <w:bookmarkStart w:id="226" w:name="_Toc184310294"/>
      <w:bookmarkEnd w:id="226"/>
      <w:bookmarkStart w:id="227" w:name="_Toc184313251"/>
      <w:bookmarkEnd w:id="227"/>
      <w:bookmarkStart w:id="228" w:name="_Toc184314457"/>
      <w:bookmarkEnd w:id="228"/>
      <w:bookmarkStart w:id="229" w:name="_Toc184308054"/>
      <w:bookmarkEnd w:id="229"/>
      <w:bookmarkStart w:id="230" w:name="_Toc184313264"/>
      <w:bookmarkEnd w:id="230"/>
      <w:bookmarkStart w:id="231" w:name="_Toc184310339"/>
      <w:bookmarkEnd w:id="231"/>
      <w:bookmarkStart w:id="232" w:name="_Toc184312094"/>
      <w:bookmarkEnd w:id="232"/>
      <w:bookmarkStart w:id="233" w:name="_Toc184308068"/>
      <w:bookmarkEnd w:id="233"/>
      <w:bookmarkStart w:id="234" w:name="_Toc184313287"/>
      <w:bookmarkEnd w:id="234"/>
      <w:bookmarkStart w:id="235" w:name="_Toc184312089"/>
      <w:bookmarkEnd w:id="235"/>
      <w:bookmarkStart w:id="236" w:name="_Toc184313303"/>
      <w:bookmarkEnd w:id="236"/>
      <w:bookmarkStart w:id="237" w:name="_Toc184308095"/>
      <w:bookmarkEnd w:id="237"/>
      <w:bookmarkStart w:id="238" w:name="_Toc184313293"/>
      <w:bookmarkEnd w:id="238"/>
      <w:bookmarkStart w:id="239" w:name="_Toc184312121"/>
      <w:bookmarkEnd w:id="239"/>
      <w:bookmarkStart w:id="240" w:name="_Toc184310282"/>
      <w:bookmarkEnd w:id="240"/>
      <w:bookmarkStart w:id="241" w:name="_Toc184308051"/>
      <w:bookmarkEnd w:id="241"/>
      <w:bookmarkStart w:id="242" w:name="_Toc184310310"/>
      <w:bookmarkEnd w:id="242"/>
      <w:bookmarkStart w:id="243" w:name="_Toc184313242"/>
      <w:bookmarkEnd w:id="243"/>
      <w:bookmarkStart w:id="244" w:name="_Toc184308067"/>
      <w:bookmarkEnd w:id="244"/>
      <w:bookmarkStart w:id="245" w:name="_Toc184308049"/>
      <w:bookmarkEnd w:id="245"/>
      <w:bookmarkStart w:id="246" w:name="_Toc184310296"/>
      <w:bookmarkEnd w:id="246"/>
      <w:bookmarkStart w:id="247" w:name="_Toc184310281"/>
      <w:bookmarkEnd w:id="247"/>
      <w:bookmarkStart w:id="248" w:name="_Toc184314448"/>
      <w:bookmarkEnd w:id="248"/>
      <w:bookmarkStart w:id="249" w:name="_Toc184310325"/>
      <w:bookmarkEnd w:id="249"/>
      <w:bookmarkStart w:id="250" w:name="_Toc184312113"/>
      <w:bookmarkEnd w:id="250"/>
      <w:bookmarkStart w:id="251" w:name="_Toc184312102"/>
      <w:bookmarkEnd w:id="251"/>
      <w:bookmarkStart w:id="252" w:name="_Toc184310302"/>
      <w:bookmarkEnd w:id="252"/>
      <w:bookmarkStart w:id="253" w:name="_Toc184314410"/>
      <w:bookmarkEnd w:id="253"/>
      <w:bookmarkStart w:id="254" w:name="_Toc184310304"/>
      <w:bookmarkEnd w:id="254"/>
      <w:bookmarkStart w:id="255" w:name="_Toc184314417"/>
      <w:bookmarkEnd w:id="255"/>
      <w:bookmarkStart w:id="256" w:name="_Toc184313289"/>
      <w:bookmarkEnd w:id="256"/>
      <w:bookmarkStart w:id="257" w:name="_Toc184310288"/>
      <w:bookmarkEnd w:id="257"/>
      <w:bookmarkStart w:id="258" w:name="_Toc184312125"/>
      <w:bookmarkEnd w:id="258"/>
      <w:bookmarkStart w:id="259" w:name="_Toc184310341"/>
      <w:bookmarkEnd w:id="259"/>
      <w:bookmarkStart w:id="260" w:name="_Toc184313310"/>
      <w:bookmarkEnd w:id="260"/>
      <w:bookmarkStart w:id="261" w:name="_Toc184312111"/>
      <w:bookmarkEnd w:id="261"/>
      <w:bookmarkStart w:id="262" w:name="_Toc184312124"/>
      <w:bookmarkEnd w:id="262"/>
      <w:bookmarkStart w:id="263" w:name="_Toc184310334"/>
      <w:bookmarkEnd w:id="263"/>
      <w:bookmarkStart w:id="264" w:name="_Toc184312070"/>
      <w:bookmarkEnd w:id="264"/>
      <w:bookmarkStart w:id="265" w:name="_Toc184314427"/>
      <w:bookmarkEnd w:id="265"/>
      <w:bookmarkStart w:id="266" w:name="_Toc184312114"/>
      <w:bookmarkEnd w:id="266"/>
      <w:bookmarkStart w:id="267" w:name="_Toc184314442"/>
      <w:bookmarkEnd w:id="267"/>
      <w:bookmarkStart w:id="268" w:name="_Toc184310290"/>
      <w:bookmarkEnd w:id="268"/>
      <w:bookmarkStart w:id="269" w:name="_Toc184312085"/>
      <w:bookmarkEnd w:id="269"/>
      <w:bookmarkStart w:id="270" w:name="_Toc184308091"/>
      <w:bookmarkEnd w:id="270"/>
      <w:bookmarkStart w:id="271" w:name="_Toc184314412"/>
      <w:bookmarkEnd w:id="271"/>
      <w:bookmarkStart w:id="272" w:name="_Toc184313255"/>
      <w:bookmarkEnd w:id="272"/>
      <w:bookmarkStart w:id="273" w:name="_Toc184313271"/>
      <w:bookmarkEnd w:id="273"/>
      <w:bookmarkStart w:id="274" w:name="_Toc184308058"/>
      <w:bookmarkEnd w:id="274"/>
      <w:bookmarkStart w:id="275" w:name="_Toc184312086"/>
      <w:bookmarkEnd w:id="275"/>
      <w:bookmarkStart w:id="276" w:name="_Toc184313297"/>
      <w:bookmarkEnd w:id="276"/>
      <w:bookmarkStart w:id="277" w:name="_Toc184313267"/>
      <w:bookmarkEnd w:id="277"/>
      <w:bookmarkStart w:id="278" w:name="_Toc184308070"/>
      <w:bookmarkEnd w:id="278"/>
      <w:bookmarkStart w:id="279" w:name="_Toc184310324"/>
      <w:bookmarkEnd w:id="279"/>
      <w:bookmarkStart w:id="280" w:name="_Toc184314476"/>
      <w:bookmarkEnd w:id="280"/>
      <w:bookmarkStart w:id="281" w:name="_Toc184314424"/>
      <w:bookmarkEnd w:id="281"/>
      <w:bookmarkStart w:id="282" w:name="_Toc184314467"/>
      <w:bookmarkEnd w:id="282"/>
      <w:bookmarkStart w:id="283" w:name="_Toc184310343"/>
      <w:bookmarkEnd w:id="283"/>
      <w:bookmarkStart w:id="284" w:name="_Toc184312135"/>
      <w:bookmarkEnd w:id="284"/>
      <w:bookmarkStart w:id="285" w:name="_Toc184308039"/>
      <w:bookmarkEnd w:id="285"/>
      <w:bookmarkStart w:id="286" w:name="_Toc184308089"/>
      <w:bookmarkEnd w:id="286"/>
      <w:bookmarkStart w:id="287" w:name="_Toc184308092"/>
      <w:bookmarkEnd w:id="287"/>
      <w:bookmarkStart w:id="288" w:name="_Toc184312079"/>
      <w:bookmarkEnd w:id="288"/>
      <w:bookmarkStart w:id="289" w:name="_Toc184313269"/>
      <w:bookmarkEnd w:id="289"/>
      <w:bookmarkStart w:id="290" w:name="_Toc184308080"/>
      <w:bookmarkEnd w:id="290"/>
      <w:bookmarkStart w:id="291" w:name="_Toc184312126"/>
      <w:bookmarkEnd w:id="291"/>
      <w:bookmarkStart w:id="292" w:name="_Toc184312073"/>
      <w:bookmarkEnd w:id="292"/>
      <w:bookmarkStart w:id="293" w:name="_Toc184313248"/>
      <w:bookmarkEnd w:id="293"/>
      <w:bookmarkStart w:id="294" w:name="_Toc184310283"/>
      <w:bookmarkEnd w:id="294"/>
      <w:bookmarkStart w:id="295" w:name="_Toc184313249"/>
      <w:bookmarkEnd w:id="295"/>
      <w:bookmarkStart w:id="296" w:name="_Toc184312119"/>
      <w:bookmarkEnd w:id="296"/>
      <w:bookmarkStart w:id="297" w:name="_Toc184310276"/>
      <w:bookmarkEnd w:id="297"/>
      <w:bookmarkStart w:id="298" w:name="_Toc184314429"/>
      <w:bookmarkEnd w:id="298"/>
      <w:bookmarkStart w:id="299" w:name="_Toc184314418"/>
      <w:bookmarkEnd w:id="299"/>
      <w:bookmarkStart w:id="300" w:name="_Toc184308094"/>
      <w:bookmarkEnd w:id="300"/>
      <w:bookmarkStart w:id="301" w:name="_Toc184313282"/>
      <w:bookmarkEnd w:id="301"/>
      <w:bookmarkStart w:id="302" w:name="_Toc184314462"/>
      <w:bookmarkEnd w:id="302"/>
      <w:bookmarkStart w:id="303" w:name="_Toc184310293"/>
      <w:bookmarkEnd w:id="303"/>
      <w:bookmarkStart w:id="304" w:name="_Toc184314477"/>
      <w:bookmarkEnd w:id="304"/>
      <w:bookmarkStart w:id="305" w:name="_Toc184314450"/>
      <w:bookmarkEnd w:id="305"/>
      <w:bookmarkStart w:id="306" w:name="_Toc184308048"/>
      <w:bookmarkEnd w:id="306"/>
      <w:bookmarkStart w:id="307" w:name="_Toc184314438"/>
      <w:bookmarkEnd w:id="307"/>
      <w:bookmarkStart w:id="308" w:name="_Toc184313286"/>
      <w:bookmarkEnd w:id="308"/>
      <w:bookmarkStart w:id="309" w:name="_Toc184314446"/>
      <w:bookmarkEnd w:id="309"/>
      <w:bookmarkStart w:id="310" w:name="_Toc184308061"/>
      <w:bookmarkEnd w:id="310"/>
      <w:bookmarkStart w:id="311" w:name="_Toc184312108"/>
      <w:bookmarkEnd w:id="311"/>
      <w:bookmarkStart w:id="312" w:name="_Toc184308093"/>
      <w:bookmarkEnd w:id="312"/>
      <w:bookmarkStart w:id="313" w:name="_Toc184313259"/>
      <w:bookmarkEnd w:id="313"/>
      <w:bookmarkStart w:id="314" w:name="_Toc184314463"/>
      <w:bookmarkEnd w:id="314"/>
      <w:bookmarkStart w:id="315" w:name="_Toc184313260"/>
      <w:bookmarkEnd w:id="315"/>
      <w:bookmarkStart w:id="316" w:name="_Toc184312093"/>
      <w:bookmarkEnd w:id="316"/>
      <w:bookmarkStart w:id="317" w:name="_Toc184308099"/>
      <w:bookmarkEnd w:id="317"/>
      <w:bookmarkStart w:id="318" w:name="_Toc184313261"/>
      <w:bookmarkEnd w:id="318"/>
      <w:bookmarkStart w:id="319" w:name="_Toc184314480"/>
      <w:bookmarkEnd w:id="319"/>
      <w:bookmarkStart w:id="320" w:name="_Toc184310311"/>
      <w:bookmarkEnd w:id="320"/>
      <w:bookmarkStart w:id="321" w:name="_Toc184310319"/>
      <w:bookmarkEnd w:id="321"/>
      <w:bookmarkStart w:id="322" w:name="_Toc184310285"/>
      <w:bookmarkEnd w:id="322"/>
      <w:bookmarkStart w:id="323" w:name="_Toc184308098"/>
      <w:bookmarkEnd w:id="323"/>
      <w:bookmarkStart w:id="324" w:name="_Toc184312081"/>
      <w:bookmarkEnd w:id="324"/>
      <w:bookmarkStart w:id="325" w:name="_Toc184312132"/>
      <w:bookmarkEnd w:id="325"/>
      <w:bookmarkStart w:id="326" w:name="_Toc184312090"/>
      <w:bookmarkEnd w:id="326"/>
      <w:bookmarkStart w:id="327" w:name="_Toc184313245"/>
      <w:bookmarkEnd w:id="327"/>
      <w:bookmarkStart w:id="328" w:name="_Toc184314435"/>
      <w:bookmarkEnd w:id="328"/>
      <w:bookmarkStart w:id="329" w:name="_Toc184313308"/>
      <w:bookmarkEnd w:id="329"/>
      <w:bookmarkStart w:id="330" w:name="_Toc184314443"/>
      <w:bookmarkEnd w:id="330"/>
      <w:bookmarkStart w:id="331" w:name="_Toc184313266"/>
      <w:bookmarkEnd w:id="331"/>
      <w:bookmarkStart w:id="332" w:name="_Toc184313250"/>
      <w:bookmarkEnd w:id="332"/>
      <w:bookmarkStart w:id="333" w:name="_Toc184312084"/>
      <w:bookmarkEnd w:id="333"/>
      <w:bookmarkStart w:id="334" w:name="_Toc184313302"/>
      <w:bookmarkEnd w:id="334"/>
      <w:bookmarkStart w:id="335" w:name="_Toc184308046"/>
      <w:bookmarkEnd w:id="335"/>
      <w:bookmarkStart w:id="336" w:name="_Toc184312067"/>
      <w:bookmarkEnd w:id="336"/>
      <w:bookmarkStart w:id="337" w:name="_Toc184308047"/>
      <w:bookmarkEnd w:id="337"/>
      <w:bookmarkStart w:id="338" w:name="_Toc184308105"/>
      <w:bookmarkEnd w:id="338"/>
      <w:bookmarkStart w:id="339" w:name="_Toc184308064"/>
      <w:bookmarkEnd w:id="339"/>
      <w:bookmarkStart w:id="340" w:name="_Toc184310300"/>
      <w:bookmarkEnd w:id="340"/>
      <w:bookmarkStart w:id="341" w:name="_Toc184314447"/>
      <w:bookmarkEnd w:id="341"/>
      <w:bookmarkStart w:id="342" w:name="_Toc184313277"/>
      <w:bookmarkEnd w:id="342"/>
      <w:bookmarkStart w:id="343" w:name="_Toc184314461"/>
      <w:bookmarkEnd w:id="343"/>
      <w:bookmarkStart w:id="344" w:name="_Toc184310291"/>
      <w:bookmarkEnd w:id="344"/>
      <w:bookmarkStart w:id="345" w:name="_Toc184310333"/>
      <w:bookmarkEnd w:id="345"/>
      <w:bookmarkStart w:id="346" w:name="_Toc184312092"/>
      <w:bookmarkEnd w:id="346"/>
      <w:bookmarkStart w:id="347" w:name="_Toc184308056"/>
      <w:bookmarkEnd w:id="347"/>
      <w:bookmarkStart w:id="348" w:name="_Toc184308073"/>
      <w:bookmarkEnd w:id="348"/>
      <w:bookmarkStart w:id="349" w:name="_Toc184313300"/>
      <w:bookmarkEnd w:id="349"/>
      <w:bookmarkStart w:id="350" w:name="_Toc184314440"/>
      <w:bookmarkEnd w:id="350"/>
      <w:bookmarkStart w:id="351" w:name="_Toc184314425"/>
      <w:bookmarkEnd w:id="351"/>
      <w:bookmarkStart w:id="352" w:name="_Toc184312074"/>
      <w:bookmarkEnd w:id="352"/>
      <w:bookmarkStart w:id="353" w:name="_Toc184314464"/>
      <w:bookmarkEnd w:id="353"/>
      <w:bookmarkStart w:id="354" w:name="_Toc184313246"/>
      <w:bookmarkEnd w:id="354"/>
      <w:bookmarkStart w:id="355" w:name="_Toc184308103"/>
      <w:bookmarkEnd w:id="355"/>
      <w:bookmarkStart w:id="356" w:name="_Toc184310274"/>
      <w:bookmarkEnd w:id="356"/>
      <w:bookmarkStart w:id="357" w:name="_Toc184310305"/>
      <w:bookmarkEnd w:id="357"/>
      <w:bookmarkStart w:id="358" w:name="_Toc184314455"/>
      <w:bookmarkEnd w:id="358"/>
      <w:bookmarkStart w:id="359" w:name="_Toc184313292"/>
      <w:bookmarkEnd w:id="359"/>
      <w:bookmarkStart w:id="360" w:name="_Toc184313258"/>
      <w:bookmarkEnd w:id="360"/>
      <w:bookmarkStart w:id="361" w:name="_Toc184308055"/>
      <w:bookmarkEnd w:id="361"/>
      <w:bookmarkStart w:id="362" w:name="_Toc184308104"/>
      <w:bookmarkEnd w:id="362"/>
      <w:bookmarkStart w:id="363" w:name="_Toc184313239"/>
      <w:bookmarkEnd w:id="363"/>
      <w:bookmarkStart w:id="364" w:name="_Toc184312128"/>
      <w:bookmarkEnd w:id="364"/>
      <w:bookmarkStart w:id="365" w:name="_Toc184308045"/>
      <w:bookmarkEnd w:id="365"/>
      <w:bookmarkStart w:id="366" w:name="_Toc184314445"/>
      <w:bookmarkEnd w:id="366"/>
      <w:bookmarkStart w:id="367" w:name="_Toc184313281"/>
      <w:bookmarkEnd w:id="367"/>
      <w:bookmarkStart w:id="368" w:name="_Toc184313254"/>
      <w:bookmarkEnd w:id="368"/>
      <w:bookmarkStart w:id="369" w:name="_Toc184313290"/>
      <w:bookmarkEnd w:id="369"/>
      <w:bookmarkStart w:id="370" w:name="_Toc184310313"/>
      <w:bookmarkEnd w:id="370"/>
      <w:bookmarkStart w:id="371" w:name="_Toc184313283"/>
      <w:bookmarkEnd w:id="371"/>
      <w:bookmarkStart w:id="372" w:name="_Toc184310332"/>
      <w:bookmarkEnd w:id="372"/>
      <w:bookmarkStart w:id="373" w:name="_Toc184312082"/>
      <w:bookmarkEnd w:id="373"/>
      <w:bookmarkStart w:id="374" w:name="_Toc184308100"/>
      <w:bookmarkEnd w:id="374"/>
      <w:bookmarkStart w:id="375" w:name="_Toc184310289"/>
      <w:bookmarkEnd w:id="375"/>
      <w:bookmarkStart w:id="376" w:name="_Toc184314428"/>
      <w:bookmarkEnd w:id="376"/>
      <w:bookmarkStart w:id="377" w:name="_Toc184313304"/>
      <w:bookmarkEnd w:id="377"/>
      <w:bookmarkStart w:id="378" w:name="_Toc184308043"/>
      <w:bookmarkEnd w:id="378"/>
      <w:bookmarkStart w:id="379" w:name="_Toc184313262"/>
      <w:bookmarkEnd w:id="379"/>
      <w:bookmarkStart w:id="380" w:name="_Toc184314437"/>
      <w:bookmarkEnd w:id="380"/>
      <w:bookmarkStart w:id="381" w:name="_Toc184308077"/>
      <w:bookmarkEnd w:id="381"/>
      <w:bookmarkStart w:id="382" w:name="_Toc184310318"/>
      <w:bookmarkEnd w:id="382"/>
      <w:bookmarkStart w:id="383" w:name="_Toc184312071"/>
      <w:bookmarkEnd w:id="383"/>
      <w:bookmarkStart w:id="384" w:name="_Toc184308074"/>
      <w:bookmarkEnd w:id="384"/>
      <w:bookmarkStart w:id="385" w:name="_Toc184310323"/>
      <w:bookmarkEnd w:id="385"/>
      <w:bookmarkStart w:id="386" w:name="_Toc184308072"/>
      <w:bookmarkEnd w:id="386"/>
      <w:bookmarkStart w:id="387" w:name="_Toc184310315"/>
      <w:bookmarkEnd w:id="387"/>
      <w:bookmarkStart w:id="388" w:name="_Toc184314465"/>
      <w:bookmarkEnd w:id="388"/>
      <w:bookmarkStart w:id="389" w:name="_Toc184312088"/>
      <w:bookmarkEnd w:id="389"/>
      <w:bookmarkStart w:id="390" w:name="_Toc184312134"/>
      <w:bookmarkEnd w:id="390"/>
      <w:bookmarkStart w:id="391" w:name="_Toc184310337"/>
      <w:bookmarkEnd w:id="391"/>
      <w:bookmarkStart w:id="392" w:name="_Toc184308108"/>
      <w:bookmarkEnd w:id="392"/>
      <w:bookmarkStart w:id="393" w:name="_Toc184313295"/>
      <w:bookmarkEnd w:id="393"/>
      <w:bookmarkStart w:id="394" w:name="_Toc184308088"/>
      <w:bookmarkEnd w:id="394"/>
      <w:bookmarkStart w:id="395" w:name="_Toc184313294"/>
      <w:bookmarkEnd w:id="395"/>
      <w:bookmarkStart w:id="396" w:name="_Toc184314415"/>
      <w:bookmarkEnd w:id="396"/>
      <w:bookmarkStart w:id="397" w:name="_Toc184308076"/>
      <w:bookmarkEnd w:id="397"/>
      <w:bookmarkStart w:id="398" w:name="_Toc184308066"/>
      <w:bookmarkEnd w:id="398"/>
      <w:bookmarkStart w:id="399" w:name="_Toc184312136"/>
      <w:bookmarkEnd w:id="399"/>
      <w:bookmarkStart w:id="400" w:name="_Toc184312122"/>
      <w:bookmarkEnd w:id="400"/>
      <w:bookmarkStart w:id="401" w:name="_Toc184308096"/>
      <w:bookmarkEnd w:id="401"/>
      <w:bookmarkStart w:id="402" w:name="_Toc184312116"/>
      <w:bookmarkEnd w:id="402"/>
      <w:bookmarkStart w:id="403" w:name="_Toc184312105"/>
      <w:bookmarkEnd w:id="403"/>
      <w:bookmarkStart w:id="404" w:name="_Toc184310342"/>
      <w:bookmarkEnd w:id="404"/>
      <w:bookmarkStart w:id="405" w:name="_Toc184313273"/>
      <w:bookmarkEnd w:id="405"/>
      <w:bookmarkStart w:id="406" w:name="_Toc184310292"/>
      <w:bookmarkEnd w:id="406"/>
      <w:bookmarkStart w:id="407" w:name="_Toc184314471"/>
      <w:bookmarkEnd w:id="407"/>
      <w:r>
        <w:rPr>
          <w:rFonts w:hint="eastAsia" w:ascii="宋体" w:hAnsi="宋体" w:cs="宋体"/>
          <w:b/>
          <w:color w:val="auto"/>
          <w:sz w:val="36"/>
          <w:szCs w:val="36"/>
          <w:highlight w:val="none"/>
        </w:rPr>
        <w:t>评标办法</w:t>
      </w:r>
      <w:bookmarkEnd w:id="42"/>
    </w:p>
    <w:p w14:paraId="482163A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0"/>
        <w:gridCol w:w="5203"/>
        <w:gridCol w:w="600"/>
        <w:gridCol w:w="692"/>
      </w:tblGrid>
      <w:tr w14:paraId="022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3" w:type="dxa"/>
            <w:noWrap w:val="0"/>
            <w:vAlign w:val="center"/>
          </w:tcPr>
          <w:p w14:paraId="00118A6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类  别</w:t>
            </w:r>
          </w:p>
        </w:tc>
        <w:tc>
          <w:tcPr>
            <w:tcW w:w="6363" w:type="dxa"/>
            <w:gridSpan w:val="2"/>
            <w:noWrap w:val="0"/>
            <w:vAlign w:val="center"/>
          </w:tcPr>
          <w:p w14:paraId="330AD7F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原材料类</w:t>
            </w:r>
            <w:r>
              <w:rPr>
                <w:rFonts w:ascii="Times New Roman" w:hAnsi="Times New Roman" w:eastAsia="宋体" w:cs="Times New Roman"/>
                <w:color w:val="auto"/>
                <w:sz w:val="24"/>
                <w:szCs w:val="24"/>
                <w:highlight w:val="none"/>
              </w:rPr>
              <w:t>评标内容</w:t>
            </w:r>
          </w:p>
        </w:tc>
        <w:tc>
          <w:tcPr>
            <w:tcW w:w="600" w:type="dxa"/>
            <w:noWrap w:val="0"/>
            <w:vAlign w:val="center"/>
          </w:tcPr>
          <w:p w14:paraId="4F20110C">
            <w:pPr>
              <w:widowControl w:val="0"/>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rPr>
              <w:t>分值</w:t>
            </w:r>
          </w:p>
        </w:tc>
        <w:tc>
          <w:tcPr>
            <w:tcW w:w="692" w:type="dxa"/>
            <w:noWrap w:val="0"/>
            <w:vAlign w:val="center"/>
          </w:tcPr>
          <w:p w14:paraId="09805A43">
            <w:pPr>
              <w:widowControl w:val="0"/>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rPr>
              <w:t>分值类型</w:t>
            </w:r>
          </w:p>
        </w:tc>
      </w:tr>
      <w:tr w14:paraId="3FA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743" w:type="dxa"/>
            <w:vMerge w:val="restart"/>
            <w:noWrap w:val="0"/>
            <w:vAlign w:val="center"/>
          </w:tcPr>
          <w:p w14:paraId="1AAB626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价格分</w:t>
            </w:r>
          </w:p>
          <w:p w14:paraId="60ABE7A9">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30</w:t>
            </w:r>
            <w:r>
              <w:rPr>
                <w:rFonts w:ascii="Times New Roman" w:hAnsi="Times New Roman" w:eastAsia="宋体" w:cs="Times New Roman"/>
                <w:color w:val="auto"/>
                <w:sz w:val="24"/>
                <w:szCs w:val="24"/>
                <w:highlight w:val="none"/>
              </w:rPr>
              <w:t>分</w:t>
            </w:r>
          </w:p>
        </w:tc>
        <w:tc>
          <w:tcPr>
            <w:tcW w:w="6363" w:type="dxa"/>
            <w:gridSpan w:val="2"/>
            <w:noWrap w:val="0"/>
            <w:vAlign w:val="center"/>
          </w:tcPr>
          <w:p w14:paraId="760F89CE">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rPr>
              <w:t>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投标折扣系数</w:t>
            </w:r>
          </w:p>
          <w:p w14:paraId="71D027CF">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以满足招标要求的该副食品类别有效投标（初步评审合格且商务技术、报价部分评审合格）中的最低的参与评审的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为评标基准价，得该类别满分；该类别投标报价得分计算公式如下：投标报价得分=评标基准价/参与评审的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×该类别价格分满分值占本评分标准总分值的百分比×100。供应商最终价格得分为供应商在各类别所得价格分之和。</w:t>
            </w:r>
          </w:p>
        </w:tc>
        <w:tc>
          <w:tcPr>
            <w:tcW w:w="600" w:type="dxa"/>
            <w:vMerge w:val="restart"/>
            <w:noWrap w:val="0"/>
            <w:vAlign w:val="center"/>
          </w:tcPr>
          <w:p w14:paraId="7F706D9F">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30</w:t>
            </w:r>
          </w:p>
        </w:tc>
        <w:tc>
          <w:tcPr>
            <w:tcW w:w="692" w:type="dxa"/>
            <w:vMerge w:val="restart"/>
            <w:noWrap w:val="0"/>
            <w:vAlign w:val="center"/>
          </w:tcPr>
          <w:p w14:paraId="31DDBF3E">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2ED1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6BFBB2FC">
            <w:pPr>
              <w:keepNext w:val="0"/>
              <w:keepLines w:val="0"/>
              <w:pageBreakBefore w:val="0"/>
              <w:widowControl w:val="0"/>
              <w:kinsoku/>
              <w:wordWrap/>
              <w:overflowPunct/>
              <w:topLinePunct w:val="0"/>
              <w:autoSpaceDE/>
              <w:autoSpaceDN/>
              <w:bidi w:val="0"/>
              <w:adjustRightInd/>
              <w:snapToGrid/>
              <w:spacing w:line="24" w:lineRule="atLeast"/>
              <w:textAlignment w:val="auto"/>
              <w:rPr>
                <w:color w:val="auto"/>
                <w:highlight w:val="none"/>
              </w:rPr>
            </w:pPr>
          </w:p>
        </w:tc>
        <w:tc>
          <w:tcPr>
            <w:tcW w:w="6363" w:type="dxa"/>
            <w:gridSpan w:val="2"/>
            <w:noWrap w:val="0"/>
            <w:vAlign w:val="center"/>
          </w:tcPr>
          <w:p w14:paraId="35C27877">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r>
              <w:rPr>
                <w:rFonts w:hint="eastAsia" w:ascii="宋体" w:hAnsi="宋体" w:eastAsia="宋体" w:cs="宋体"/>
                <w:b/>
                <w:bCs/>
                <w:color w:val="auto"/>
                <w:sz w:val="24"/>
                <w:szCs w:val="24"/>
                <w:highlight w:val="none"/>
                <w:lang w:val="en-US" w:eastAsia="zh-CN"/>
              </w:rPr>
              <w:t>各副食品类别价格分满分值：鲜肉类：7分；蛋类：1分，鲜蔬类：8分，鲜虾类：2分，水产类：3分，豆制品类：3分，佐料类：1分，水果类：3分，其他类：2分。</w:t>
            </w:r>
          </w:p>
        </w:tc>
        <w:tc>
          <w:tcPr>
            <w:tcW w:w="600" w:type="dxa"/>
            <w:vMerge w:val="continue"/>
            <w:noWrap w:val="0"/>
            <w:vAlign w:val="center"/>
          </w:tcPr>
          <w:p w14:paraId="119BC8D9">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p>
        </w:tc>
        <w:tc>
          <w:tcPr>
            <w:tcW w:w="692" w:type="dxa"/>
            <w:vMerge w:val="continue"/>
            <w:noWrap w:val="0"/>
            <w:vAlign w:val="center"/>
          </w:tcPr>
          <w:p w14:paraId="7E509A80">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p>
        </w:tc>
      </w:tr>
      <w:tr w14:paraId="6BF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restart"/>
            <w:noWrap w:val="0"/>
            <w:vAlign w:val="center"/>
          </w:tcPr>
          <w:p w14:paraId="521F0F4D">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商务技术分</w:t>
            </w:r>
            <w:r>
              <w:rPr>
                <w:rFonts w:hint="eastAsia" w:eastAsia="宋体" w:cs="Times New Roman"/>
                <w:color w:val="auto"/>
                <w:sz w:val="24"/>
                <w:szCs w:val="24"/>
                <w:highlight w:val="none"/>
                <w:lang w:val="en-US" w:eastAsia="zh-CN"/>
              </w:rPr>
              <w:t>70</w:t>
            </w:r>
            <w:r>
              <w:rPr>
                <w:rFonts w:ascii="Times New Roman" w:hAnsi="Times New Roman" w:eastAsia="宋体" w:cs="Times New Roman"/>
                <w:color w:val="auto"/>
                <w:sz w:val="24"/>
                <w:szCs w:val="24"/>
                <w:highlight w:val="none"/>
              </w:rPr>
              <w:t>分</w:t>
            </w:r>
          </w:p>
        </w:tc>
        <w:tc>
          <w:tcPr>
            <w:tcW w:w="1160" w:type="dxa"/>
            <w:noWrap w:val="0"/>
            <w:vAlign w:val="center"/>
          </w:tcPr>
          <w:p w14:paraId="2FF6AB6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履约能力</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分）</w:t>
            </w:r>
          </w:p>
        </w:tc>
        <w:tc>
          <w:tcPr>
            <w:tcW w:w="5203" w:type="dxa"/>
            <w:noWrap w:val="0"/>
            <w:vAlign w:val="center"/>
          </w:tcPr>
          <w:p w14:paraId="549C499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1.1投标人具备</w:t>
            </w:r>
            <w:r>
              <w:rPr>
                <w:rFonts w:hint="eastAsia" w:ascii="宋体" w:hAnsi="宋体" w:cs="宋体"/>
                <w:color w:val="auto"/>
                <w:sz w:val="24"/>
                <w:szCs w:val="24"/>
                <w:highlight w:val="none"/>
                <w:lang w:val="en-US" w:eastAsia="zh-CN"/>
              </w:rPr>
              <w:t>有效期内的</w:t>
            </w:r>
            <w:r>
              <w:rPr>
                <w:rFonts w:hint="eastAsia" w:ascii="宋体" w:hAnsi="宋体" w:eastAsia="宋体" w:cs="宋体"/>
                <w:color w:val="auto"/>
                <w:sz w:val="24"/>
                <w:szCs w:val="24"/>
                <w:highlight w:val="none"/>
                <w:lang w:val="en-US" w:eastAsia="zh-CN"/>
              </w:rPr>
              <w:t>质量管理体系认证、环境管理体系认证、职业健康安全管理体系认证、食品安全管理体系认证，任意一个认证得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分。本项满分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分。（供应商需提供以上证明资料复印件</w:t>
            </w:r>
            <w:r>
              <w:rPr>
                <w:rFonts w:hint="eastAsia" w:ascii="宋体" w:hAnsi="宋体" w:cs="宋体"/>
                <w:color w:val="auto"/>
                <w:sz w:val="24"/>
                <w:szCs w:val="24"/>
                <w:highlight w:val="none"/>
                <w:lang w:val="en-US" w:eastAsia="zh-CN"/>
              </w:rPr>
              <w:t>（或扫描件）及全国认证认可信息公共服务平台查询有效截图</w:t>
            </w:r>
            <w:r>
              <w:rPr>
                <w:rFonts w:hint="eastAsia" w:ascii="宋体" w:hAnsi="宋体" w:eastAsia="宋体" w:cs="宋体"/>
                <w:color w:val="auto"/>
                <w:sz w:val="24"/>
                <w:szCs w:val="24"/>
                <w:highlight w:val="none"/>
                <w:lang w:val="en-US" w:eastAsia="zh-CN"/>
              </w:rPr>
              <w:t>；未提供不得分。）</w:t>
            </w:r>
          </w:p>
        </w:tc>
        <w:tc>
          <w:tcPr>
            <w:tcW w:w="600" w:type="dxa"/>
            <w:noWrap w:val="0"/>
            <w:vAlign w:val="center"/>
          </w:tcPr>
          <w:p w14:paraId="5FEFC1F2">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2</w:t>
            </w:r>
          </w:p>
        </w:tc>
        <w:tc>
          <w:tcPr>
            <w:tcW w:w="692" w:type="dxa"/>
            <w:noWrap w:val="0"/>
            <w:vAlign w:val="center"/>
          </w:tcPr>
          <w:p w14:paraId="176C82D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2084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43" w:type="dxa"/>
            <w:vMerge w:val="continue"/>
            <w:noWrap w:val="0"/>
            <w:vAlign w:val="center"/>
          </w:tcPr>
          <w:p w14:paraId="3862207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noWrap w:val="0"/>
            <w:vAlign w:val="center"/>
          </w:tcPr>
          <w:p w14:paraId="72C7C82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2、业绩（</w:t>
            </w: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分）</w:t>
            </w:r>
          </w:p>
          <w:p w14:paraId="6999C87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noWrap w:val="0"/>
            <w:vAlign w:val="center"/>
          </w:tcPr>
          <w:p w14:paraId="27B5A71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 </w:t>
            </w:r>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lang w:val="en-US" w:eastAsia="zh-CN"/>
              </w:rPr>
              <w:t>2022年1月1日以来（以合同签订时间为准,且每个合同供应期限</w:t>
            </w:r>
            <w:r>
              <w:rPr>
                <w:rFonts w:hint="eastAsia" w:ascii="宋体" w:hAnsi="宋体" w:cs="宋体"/>
                <w:color w:val="auto"/>
                <w:sz w:val="24"/>
                <w:szCs w:val="24"/>
                <w:highlight w:val="none"/>
                <w:lang w:val="en-US" w:eastAsia="zh-CN"/>
              </w:rPr>
              <w:t>在</w:t>
            </w:r>
            <w:r>
              <w:rPr>
                <w:rFonts w:hint="eastAsia" w:ascii="宋体" w:hAnsi="宋体" w:eastAsia="宋体" w:cs="宋体"/>
                <w:color w:val="auto"/>
                <w:sz w:val="24"/>
                <w:szCs w:val="24"/>
                <w:highlight w:val="none"/>
                <w:lang w:val="en-US" w:eastAsia="zh-CN"/>
              </w:rPr>
              <w:t>一年</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以上）</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完成过或正在行政事业单位、学校、连锁超市、餐饮（管理）公司</w:t>
            </w:r>
            <w:r>
              <w:rPr>
                <w:rFonts w:hint="eastAsia" w:ascii="宋体" w:hAnsi="宋体" w:cs="宋体"/>
                <w:color w:val="auto"/>
                <w:sz w:val="24"/>
                <w:szCs w:val="24"/>
                <w:highlight w:val="none"/>
                <w:lang w:val="en-US" w:eastAsia="zh-CN"/>
              </w:rPr>
              <w:t>、国有企业</w:t>
            </w:r>
            <w:r>
              <w:rPr>
                <w:rFonts w:hint="eastAsia" w:ascii="宋体" w:hAnsi="宋体" w:eastAsia="宋体" w:cs="宋体"/>
                <w:color w:val="auto"/>
                <w:sz w:val="24"/>
                <w:szCs w:val="24"/>
                <w:highlight w:val="none"/>
                <w:lang w:val="en-US" w:eastAsia="zh-CN"/>
              </w:rPr>
              <w:t>供货</w:t>
            </w:r>
            <w:r>
              <w:rPr>
                <w:rFonts w:hint="eastAsia" w:ascii="宋体" w:hAnsi="宋体" w:cs="宋体"/>
                <w:color w:val="auto"/>
                <w:sz w:val="24"/>
                <w:szCs w:val="24"/>
                <w:highlight w:val="none"/>
                <w:lang w:val="en-US" w:eastAsia="zh-CN"/>
              </w:rPr>
              <w:t>（供货内容包含食堂原材料，含本次招标任意一品类即可）</w:t>
            </w:r>
            <w:r>
              <w:rPr>
                <w:rFonts w:hint="eastAsia" w:ascii="宋体" w:hAnsi="宋体" w:eastAsia="宋体" w:cs="宋体"/>
                <w:color w:val="auto"/>
                <w:sz w:val="24"/>
                <w:szCs w:val="24"/>
                <w:highlight w:val="none"/>
                <w:lang w:val="en-US" w:eastAsia="zh-CN"/>
              </w:rPr>
              <w:t>。每一例业绩得0.5分；累计最多得3分。（3分）【投标文件需提供供货合同（或供货单）、供货发票及银行往来凭证复印件、业主单位好评证明加盖公章为准</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如配送合同甲方为学校的，配送合同满一学年（不包含寒假、暑假）即视为合同供应期限满一年；</w:t>
            </w:r>
            <w:r>
              <w:rPr>
                <w:rFonts w:hint="eastAsia" w:ascii="宋体" w:hAnsi="宋体" w:cs="宋体"/>
                <w:color w:val="auto"/>
                <w:sz w:val="24"/>
                <w:szCs w:val="24"/>
                <w:highlight w:val="none"/>
                <w:lang w:val="en-US" w:eastAsia="zh-CN"/>
              </w:rPr>
              <w:t>未提供或提供不全的不得分</w:t>
            </w:r>
            <w:r>
              <w:rPr>
                <w:rFonts w:hint="eastAsia" w:ascii="宋体" w:hAnsi="宋体" w:eastAsia="宋体" w:cs="宋体"/>
                <w:color w:val="auto"/>
                <w:sz w:val="24"/>
                <w:szCs w:val="24"/>
                <w:highlight w:val="none"/>
                <w:lang w:val="en-US" w:eastAsia="zh-CN"/>
              </w:rPr>
              <w:t>】</w:t>
            </w:r>
          </w:p>
        </w:tc>
        <w:tc>
          <w:tcPr>
            <w:tcW w:w="600" w:type="dxa"/>
            <w:noWrap w:val="0"/>
            <w:vAlign w:val="center"/>
          </w:tcPr>
          <w:p w14:paraId="3D9809C1">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p>
        </w:tc>
        <w:tc>
          <w:tcPr>
            <w:tcW w:w="692" w:type="dxa"/>
            <w:noWrap w:val="0"/>
            <w:vAlign w:val="center"/>
          </w:tcPr>
          <w:p w14:paraId="4F5DCA27">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32AC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43" w:type="dxa"/>
            <w:vMerge w:val="continue"/>
            <w:noWrap w:val="0"/>
            <w:vAlign w:val="center"/>
          </w:tcPr>
          <w:p w14:paraId="2378B8E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noWrap w:val="0"/>
            <w:vAlign w:val="center"/>
          </w:tcPr>
          <w:p w14:paraId="7713335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3、综合服务能力（2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分）</w:t>
            </w:r>
          </w:p>
          <w:p w14:paraId="6E0ECEE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本项评审时仅以一个地址为打分依据。以上处理车间、配送中心非同一地址的，只以配送中心场地作为评审依据。</w:t>
            </w:r>
          </w:p>
        </w:tc>
        <w:tc>
          <w:tcPr>
            <w:tcW w:w="5203" w:type="dxa"/>
            <w:shd w:val="clear" w:color="auto" w:fill="auto"/>
            <w:noWrap w:val="0"/>
            <w:vAlign w:val="center"/>
          </w:tcPr>
          <w:p w14:paraId="069C9DB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提供的配送处理车间情况进行评议：</w:t>
            </w:r>
          </w:p>
          <w:p w14:paraId="2745212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①配送处理车间布局合理，专业加工处理设备齐全的得3分；</w:t>
            </w:r>
          </w:p>
          <w:p w14:paraId="396A954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②配送处理车间布局基本合理，专业加工处理设备数量略有欠缺的得2分；</w:t>
            </w:r>
          </w:p>
          <w:p w14:paraId="5993195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③配送处理车间布局不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合理，专业加工处理设备数量少的得1分。</w:t>
            </w:r>
          </w:p>
          <w:p w14:paraId="44210A3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2C859E1F">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（投标文件需提供照片平面图、文字说明）</w:t>
            </w:r>
          </w:p>
        </w:tc>
        <w:tc>
          <w:tcPr>
            <w:tcW w:w="600" w:type="dxa"/>
            <w:shd w:val="clear" w:color="auto" w:fill="auto"/>
            <w:noWrap w:val="0"/>
            <w:vAlign w:val="center"/>
          </w:tcPr>
          <w:p w14:paraId="0BEEC9C9">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p>
          <w:p w14:paraId="53E20AA1">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692" w:type="dxa"/>
            <w:shd w:val="clear" w:color="auto" w:fill="auto"/>
            <w:noWrap w:val="0"/>
            <w:vAlign w:val="center"/>
          </w:tcPr>
          <w:p w14:paraId="6734CF28">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p>
          <w:p w14:paraId="5C1592B5">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主观评议</w:t>
            </w:r>
          </w:p>
        </w:tc>
      </w:tr>
      <w:tr w14:paraId="6DBD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2E2F5C29">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3A10F8A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noWrap w:val="0"/>
            <w:vAlign w:val="center"/>
          </w:tcPr>
          <w:p w14:paraId="6FC3892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提供的冷库</w:t>
            </w:r>
            <w:r>
              <w:rPr>
                <w:rFonts w:hint="eastAsia" w:ascii="宋体" w:hAnsi="宋体" w:cs="宋体"/>
                <w:color w:val="auto"/>
                <w:sz w:val="24"/>
                <w:szCs w:val="24"/>
                <w:highlight w:val="none"/>
                <w:lang w:val="en-US" w:eastAsia="zh-CN"/>
              </w:rPr>
              <w:t>（包含冷冻库、冷藏库）</w:t>
            </w:r>
            <w:r>
              <w:rPr>
                <w:rFonts w:hint="eastAsia" w:ascii="宋体" w:hAnsi="宋体" w:eastAsia="宋体" w:cs="宋体"/>
                <w:color w:val="auto"/>
                <w:sz w:val="24"/>
                <w:szCs w:val="24"/>
                <w:highlight w:val="none"/>
                <w:lang w:val="en-US" w:eastAsia="zh-CN"/>
              </w:rPr>
              <w:t>情况进行评议：</w:t>
            </w:r>
          </w:p>
          <w:p w14:paraId="1743FBE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①冷库面积符合本项目实际要求，冷库布局合理的得3分；</w:t>
            </w:r>
          </w:p>
          <w:p w14:paraId="17905D1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②冷库面积与本项目实际要求略有欠缺，冷库布局基本合理的得2分；</w:t>
            </w:r>
          </w:p>
          <w:p w14:paraId="7C7AF84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③冷库面积</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本项目要求</w:t>
            </w:r>
            <w:r>
              <w:rPr>
                <w:rFonts w:hint="eastAsia" w:ascii="宋体" w:hAnsi="宋体" w:cs="宋体"/>
                <w:color w:val="auto"/>
                <w:sz w:val="24"/>
                <w:szCs w:val="24"/>
                <w:highlight w:val="none"/>
                <w:lang w:val="en-US" w:eastAsia="zh-CN"/>
              </w:rPr>
              <w:t>存在较大偏差</w:t>
            </w:r>
            <w:r>
              <w:rPr>
                <w:rFonts w:hint="eastAsia" w:ascii="宋体" w:hAnsi="宋体" w:eastAsia="宋体" w:cs="宋体"/>
                <w:color w:val="auto"/>
                <w:sz w:val="24"/>
                <w:szCs w:val="24"/>
                <w:highlight w:val="none"/>
                <w:lang w:val="en-US" w:eastAsia="zh-CN"/>
              </w:rPr>
              <w:t>，或冷库布局不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合理的得1分。</w:t>
            </w:r>
          </w:p>
          <w:p w14:paraId="3217DCD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1AD5F58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（投标文件中需提供</w:t>
            </w:r>
            <w:r>
              <w:rPr>
                <w:rFonts w:hint="eastAsia" w:ascii="宋体" w:hAnsi="宋体" w:cs="宋体"/>
                <w:color w:val="auto"/>
                <w:sz w:val="24"/>
                <w:szCs w:val="24"/>
                <w:highlight w:val="none"/>
                <w:lang w:val="en-US" w:eastAsia="zh-CN"/>
              </w:rPr>
              <w:t>冷库所在地</w:t>
            </w:r>
            <w:r>
              <w:rPr>
                <w:rFonts w:hint="eastAsia" w:ascii="宋体" w:hAnsi="宋体" w:eastAsia="宋体" w:cs="宋体"/>
                <w:color w:val="auto"/>
                <w:sz w:val="24"/>
                <w:szCs w:val="24"/>
                <w:highlight w:val="none"/>
                <w:lang w:val="en-US" w:eastAsia="zh-CN"/>
              </w:rPr>
              <w:t>房屋</w:t>
            </w:r>
            <w:r>
              <w:rPr>
                <w:rFonts w:hint="default" w:ascii="宋体" w:hAnsi="宋体" w:eastAsia="宋体" w:cs="宋体"/>
                <w:color w:val="auto"/>
                <w:sz w:val="24"/>
                <w:szCs w:val="24"/>
                <w:highlight w:val="none"/>
                <w:lang w:val="en-US" w:eastAsia="zh-CN"/>
              </w:rPr>
              <w:t>不动产证或房屋租赁协议、租赁发票复印件。提供实际场地平面图、全景照片（三张以上）</w:t>
            </w:r>
            <w:r>
              <w:rPr>
                <w:rFonts w:hint="eastAsia" w:ascii="宋体" w:hAnsi="宋体" w:eastAsia="宋体" w:cs="宋体"/>
                <w:color w:val="auto"/>
                <w:sz w:val="24"/>
                <w:szCs w:val="24"/>
                <w:highlight w:val="none"/>
                <w:lang w:val="en-US" w:eastAsia="zh-CN"/>
              </w:rPr>
              <w:t>以及</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认为需要提供的其他资料；</w:t>
            </w:r>
            <w:r>
              <w:rPr>
                <w:rFonts w:hint="eastAsia" w:ascii="宋体" w:hAnsi="宋体" w:cs="宋体"/>
                <w:color w:val="auto"/>
                <w:sz w:val="24"/>
                <w:szCs w:val="24"/>
                <w:highlight w:val="none"/>
                <w:lang w:val="en-US" w:eastAsia="zh-CN"/>
              </w:rPr>
              <w:t>如冷库所在地无法提供房产证的，需提供当地乡镇街道（含乡镇街道所属城建部门）及以上政府部门出具的相关证明材料，</w:t>
            </w:r>
            <w:r>
              <w:rPr>
                <w:rFonts w:hint="eastAsia" w:ascii="宋体" w:hAnsi="宋体" w:eastAsia="宋体" w:cs="宋体"/>
                <w:color w:val="auto"/>
                <w:sz w:val="24"/>
                <w:szCs w:val="24"/>
                <w:highlight w:val="none"/>
                <w:lang w:val="en-US" w:eastAsia="zh-CN"/>
              </w:rPr>
              <w:t>未提供或提供不全的不得分</w:t>
            </w:r>
            <w:r>
              <w:rPr>
                <w:rFonts w:hint="default" w:ascii="宋体" w:hAnsi="宋体" w:eastAsia="宋体" w:cs="宋体"/>
                <w:color w:val="auto"/>
                <w:sz w:val="24"/>
                <w:szCs w:val="24"/>
                <w:highlight w:val="none"/>
                <w:lang w:val="en-US" w:eastAsia="zh-CN"/>
              </w:rPr>
              <w:t>）</w:t>
            </w:r>
          </w:p>
        </w:tc>
        <w:tc>
          <w:tcPr>
            <w:tcW w:w="600" w:type="dxa"/>
            <w:shd w:val="clear" w:color="auto" w:fill="auto"/>
            <w:noWrap w:val="0"/>
            <w:vAlign w:val="center"/>
          </w:tcPr>
          <w:p w14:paraId="5D51ACA3">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692" w:type="dxa"/>
            <w:shd w:val="clear" w:color="auto" w:fill="auto"/>
            <w:noWrap w:val="0"/>
            <w:vAlign w:val="center"/>
          </w:tcPr>
          <w:p w14:paraId="346A992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主观评议</w:t>
            </w:r>
          </w:p>
        </w:tc>
      </w:tr>
      <w:tr w14:paraId="1F1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1E6371F3">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56F3043E">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noWrap w:val="0"/>
            <w:vAlign w:val="center"/>
          </w:tcPr>
          <w:p w14:paraId="733BEEB0">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提供的配送中心建筑面积大小进行评议：</w:t>
            </w:r>
          </w:p>
          <w:p w14:paraId="38E7A9BA">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建筑面积</w:t>
            </w:r>
            <w:r>
              <w:rPr>
                <w:rFonts w:hint="eastAsia" w:ascii="Times New Roman" w:hAnsi="Times New Roman" w:eastAsia="宋体" w:cs="Times New Roman"/>
                <w:color w:val="auto"/>
                <w:sz w:val="24"/>
                <w:szCs w:val="24"/>
                <w:highlight w:val="none"/>
                <w:lang w:val="en-US" w:eastAsia="zh-CN"/>
              </w:rPr>
              <w:t>，得5分；</w:t>
            </w:r>
          </w:p>
          <w:p w14:paraId="748DA6DF">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建筑面积</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，得4分；</w:t>
            </w:r>
          </w:p>
          <w:p w14:paraId="28E613CA">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建筑面积</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，得3分；</w:t>
            </w:r>
          </w:p>
          <w:p w14:paraId="0FFB6EF3">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建筑面积</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，得2分；</w:t>
            </w:r>
          </w:p>
          <w:p w14:paraId="73203558">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建筑面积</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，得1分；</w:t>
            </w:r>
          </w:p>
          <w:p w14:paraId="70307C14">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建筑面积</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00m</w:t>
            </w:r>
            <w:r>
              <w:rPr>
                <w:rFonts w:hint="eastAsia"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，得0分。</w:t>
            </w:r>
          </w:p>
          <w:p w14:paraId="6098EBD4">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投标文件中须提供房产证复印件或租赁合同复印件并加盖公章；如为租赁的，还需提供租金发票、银行凭证复印件加盖公章；</w:t>
            </w:r>
            <w:r>
              <w:rPr>
                <w:rFonts w:hint="eastAsia" w:cs="Times New Roman"/>
                <w:color w:val="auto"/>
                <w:sz w:val="24"/>
                <w:szCs w:val="24"/>
                <w:highlight w:val="none"/>
                <w:lang w:val="en-US" w:eastAsia="zh-CN"/>
              </w:rPr>
              <w:t>如为自有但无法提供房产证的，需提供当地</w:t>
            </w:r>
            <w:r>
              <w:rPr>
                <w:rFonts w:hint="eastAsia" w:ascii="宋体" w:hAnsi="宋体" w:cs="宋体"/>
                <w:color w:val="auto"/>
                <w:sz w:val="24"/>
                <w:szCs w:val="24"/>
                <w:highlight w:val="none"/>
                <w:lang w:val="en-US" w:eastAsia="zh-CN"/>
              </w:rPr>
              <w:t>乡镇街道（含乡镇街道所属城建部门）及以上政府部门出具的相关证明材料（含建筑面积）</w:t>
            </w:r>
            <w:r>
              <w:rPr>
                <w:rFonts w:hint="eastAsia" w:ascii="Times New Roman" w:hAnsi="Times New Roman" w:eastAsia="宋体" w:cs="Times New Roman"/>
                <w:color w:val="auto"/>
                <w:sz w:val="24"/>
                <w:szCs w:val="24"/>
                <w:highlight w:val="none"/>
                <w:lang w:val="en-US" w:eastAsia="zh-CN"/>
              </w:rPr>
              <w:t>；未提供或提供不全的不得分</w:t>
            </w:r>
            <w:r>
              <w:rPr>
                <w:rFonts w:hint="eastAsia" w:cs="Times New Roman"/>
                <w:color w:val="auto"/>
                <w:sz w:val="24"/>
                <w:szCs w:val="24"/>
                <w:highlight w:val="none"/>
                <w:lang w:val="en-US" w:eastAsia="zh-CN"/>
              </w:rPr>
              <w:t>）</w:t>
            </w:r>
          </w:p>
        </w:tc>
        <w:tc>
          <w:tcPr>
            <w:tcW w:w="600" w:type="dxa"/>
            <w:shd w:val="clear" w:color="auto" w:fill="auto"/>
            <w:noWrap w:val="0"/>
            <w:vAlign w:val="center"/>
          </w:tcPr>
          <w:p w14:paraId="146233B9">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5</w:t>
            </w:r>
          </w:p>
        </w:tc>
        <w:tc>
          <w:tcPr>
            <w:tcW w:w="692" w:type="dxa"/>
            <w:shd w:val="clear" w:color="auto" w:fill="auto"/>
            <w:noWrap w:val="0"/>
            <w:vAlign w:val="center"/>
          </w:tcPr>
          <w:p w14:paraId="46986238">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客观评议</w:t>
            </w:r>
          </w:p>
        </w:tc>
      </w:tr>
      <w:tr w14:paraId="4EF0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7B03F9BB">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4CC7184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noWrap w:val="0"/>
            <w:vAlign w:val="center"/>
          </w:tcPr>
          <w:p w14:paraId="4EC1B3A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提供的配送中心与本项目服务对象的服务时效进行评议：</w:t>
            </w:r>
          </w:p>
          <w:p w14:paraId="0FB6AC39">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①响应速度快，送达时间短，超时处理机制全面合理的得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F1F7C5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②响应速度较快，送达时间较短，超时处理机制较全面合理的得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E506D4C">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③响应速度一般，送达时间尚可，超时处理机制全面性、合理性一般的得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A305818">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④响应速度</w:t>
            </w:r>
            <w:r>
              <w:rPr>
                <w:rFonts w:hint="eastAsia" w:ascii="宋体" w:hAnsi="宋体" w:cs="宋体"/>
                <w:color w:val="auto"/>
                <w:sz w:val="24"/>
                <w:szCs w:val="24"/>
                <w:highlight w:val="none"/>
                <w:lang w:val="en-US" w:eastAsia="zh-CN"/>
              </w:rPr>
              <w:t>较慢</w:t>
            </w:r>
            <w:r>
              <w:rPr>
                <w:rFonts w:hint="eastAsia" w:ascii="宋体" w:hAnsi="宋体" w:eastAsia="宋体" w:cs="宋体"/>
                <w:color w:val="auto"/>
                <w:sz w:val="24"/>
                <w:szCs w:val="24"/>
                <w:highlight w:val="none"/>
                <w:lang w:val="en-US" w:eastAsia="zh-CN"/>
              </w:rPr>
              <w:t>，送达时间较长，超时处理机制全面性、合理性欠缺的得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3873960">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⑤响应速度慢，送达时间长，超时处理机制全面性、合理性差的得0分。</w:t>
            </w:r>
          </w:p>
        </w:tc>
        <w:tc>
          <w:tcPr>
            <w:tcW w:w="600" w:type="dxa"/>
            <w:shd w:val="clear" w:color="auto" w:fill="auto"/>
            <w:noWrap w:val="0"/>
            <w:vAlign w:val="center"/>
          </w:tcPr>
          <w:p w14:paraId="646B5B13">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p>
        </w:tc>
        <w:tc>
          <w:tcPr>
            <w:tcW w:w="692" w:type="dxa"/>
            <w:shd w:val="clear" w:color="auto" w:fill="auto"/>
            <w:noWrap w:val="0"/>
            <w:vAlign w:val="center"/>
          </w:tcPr>
          <w:p w14:paraId="1D244F5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cs="Times New Roman"/>
                <w:snapToGrid w:val="0"/>
                <w:color w:val="auto"/>
                <w:spacing w:val="-4"/>
                <w:kern w:val="2"/>
                <w:sz w:val="24"/>
                <w:szCs w:val="24"/>
                <w:highlight w:val="none"/>
                <w:lang w:val="en-US" w:eastAsia="zh-CN" w:bidi="ar-SA"/>
              </w:rPr>
              <w:t>主</w:t>
            </w:r>
            <w:r>
              <w:rPr>
                <w:rFonts w:hint="eastAsia" w:ascii="宋体" w:hAnsi="宋体" w:eastAsia="宋体" w:cs="Times New Roman"/>
                <w:snapToGrid w:val="0"/>
                <w:color w:val="auto"/>
                <w:spacing w:val="-4"/>
                <w:kern w:val="2"/>
                <w:sz w:val="24"/>
                <w:szCs w:val="24"/>
                <w:highlight w:val="none"/>
                <w:lang w:val="en-US" w:eastAsia="zh-CN" w:bidi="ar-SA"/>
              </w:rPr>
              <w:t>观评议</w:t>
            </w:r>
          </w:p>
        </w:tc>
      </w:tr>
      <w:tr w14:paraId="602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743" w:type="dxa"/>
            <w:vMerge w:val="continue"/>
            <w:noWrap w:val="0"/>
            <w:vAlign w:val="center"/>
          </w:tcPr>
          <w:p w14:paraId="58D72604">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5BA2820B">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noWrap w:val="0"/>
            <w:vAlign w:val="center"/>
          </w:tcPr>
          <w:p w14:paraId="0A5FA16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提供的服务响应内容、服务便捷性方案进行评议：</w:t>
            </w:r>
          </w:p>
          <w:p w14:paraId="50823C1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①服务响应内容全面，服务便捷性方案合理、可实施的得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EACBDA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②服务响应内容较全面，服务便捷性方案略有欠缺但基本能满足项目要求的得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F033B5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③服务响应内容不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全面，服务便捷性方案</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项目实际需求</w:t>
            </w:r>
            <w:r>
              <w:rPr>
                <w:rFonts w:hint="eastAsia" w:ascii="宋体" w:hAnsi="宋体" w:cs="宋体"/>
                <w:color w:val="auto"/>
                <w:sz w:val="24"/>
                <w:szCs w:val="24"/>
                <w:highlight w:val="none"/>
                <w:lang w:val="en-US" w:eastAsia="zh-CN"/>
              </w:rPr>
              <w:t>存在较大偏差</w:t>
            </w:r>
            <w:r>
              <w:rPr>
                <w:rFonts w:hint="eastAsia" w:ascii="宋体" w:hAnsi="宋体" w:eastAsia="宋体" w:cs="宋体"/>
                <w:color w:val="auto"/>
                <w:sz w:val="24"/>
                <w:szCs w:val="24"/>
                <w:highlight w:val="none"/>
                <w:lang w:val="en-US" w:eastAsia="zh-CN"/>
              </w:rPr>
              <w:t>的得1分。</w:t>
            </w:r>
          </w:p>
          <w:p w14:paraId="6D1E580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noWrap w:val="0"/>
            <w:vAlign w:val="center"/>
          </w:tcPr>
          <w:p w14:paraId="14E09826">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4</w:t>
            </w:r>
          </w:p>
        </w:tc>
        <w:tc>
          <w:tcPr>
            <w:tcW w:w="692" w:type="dxa"/>
            <w:shd w:val="clear" w:color="auto" w:fill="auto"/>
            <w:noWrap w:val="0"/>
            <w:vAlign w:val="center"/>
          </w:tcPr>
          <w:p w14:paraId="33279219">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6F3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43" w:type="dxa"/>
            <w:vMerge w:val="continue"/>
            <w:noWrap w:val="0"/>
            <w:vAlign w:val="center"/>
          </w:tcPr>
          <w:p w14:paraId="091EAD98">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6076516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noWrap w:val="0"/>
            <w:vAlign w:val="center"/>
          </w:tcPr>
          <w:p w14:paraId="396FBC8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为本项目服务配置的自有车辆：</w:t>
            </w:r>
          </w:p>
          <w:p w14:paraId="0F7959B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厢式车辆的，每提供1辆得0.5分；冷藏车的，每提供1辆得1分；本项满分3分。</w:t>
            </w:r>
          </w:p>
          <w:p w14:paraId="3848C8B3">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【投标文件中须提供车辆照片（能显示车牌）、行驶证、购买发票加盖公章。如提供的证明材料不全的，本项不得分】</w:t>
            </w:r>
          </w:p>
        </w:tc>
        <w:tc>
          <w:tcPr>
            <w:tcW w:w="600" w:type="dxa"/>
            <w:shd w:val="clear" w:color="auto" w:fill="auto"/>
            <w:noWrap w:val="0"/>
            <w:vAlign w:val="center"/>
          </w:tcPr>
          <w:p w14:paraId="562BAFA0">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shd w:val="clear" w:color="auto" w:fill="auto"/>
            <w:noWrap w:val="0"/>
            <w:vAlign w:val="center"/>
          </w:tcPr>
          <w:p w14:paraId="555716C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3AC7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43" w:type="dxa"/>
            <w:vMerge w:val="continue"/>
            <w:noWrap w:val="0"/>
            <w:vAlign w:val="center"/>
          </w:tcPr>
          <w:p w14:paraId="07840F5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noWrap w:val="0"/>
            <w:vAlign w:val="center"/>
          </w:tcPr>
          <w:p w14:paraId="03AE8E0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4、质量</w:t>
            </w:r>
            <w:r>
              <w:rPr>
                <w:rFonts w:hint="eastAsia" w:ascii="Times New Roman" w:hAnsi="Times New Roman" w:eastAsia="宋体" w:cs="Times New Roman"/>
                <w:color w:val="auto"/>
                <w:sz w:val="24"/>
                <w:szCs w:val="24"/>
                <w:highlight w:val="none"/>
                <w:lang w:eastAsia="zh-CN"/>
              </w:rPr>
              <w:t>实际</w:t>
            </w:r>
            <w:r>
              <w:rPr>
                <w:rFonts w:hint="eastAsia" w:ascii="Times New Roman" w:hAnsi="Times New Roman" w:eastAsia="宋体" w:cs="Times New Roman"/>
                <w:color w:val="auto"/>
                <w:sz w:val="24"/>
                <w:szCs w:val="24"/>
                <w:highlight w:val="none"/>
              </w:rPr>
              <w:t>控制能力（</w:t>
            </w:r>
            <w:r>
              <w:rPr>
                <w:rFonts w:hint="eastAsia"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分）</w:t>
            </w:r>
          </w:p>
        </w:tc>
        <w:tc>
          <w:tcPr>
            <w:tcW w:w="5203" w:type="dxa"/>
            <w:noWrap w:val="0"/>
            <w:vAlign w:val="center"/>
          </w:tcPr>
          <w:p w14:paraId="165A00D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提供的质检室建设</w:t>
            </w:r>
            <w:r>
              <w:rPr>
                <w:rFonts w:hint="eastAsia" w:ascii="宋体" w:hAnsi="宋体" w:cs="宋体"/>
                <w:color w:val="auto"/>
                <w:sz w:val="24"/>
                <w:szCs w:val="24"/>
                <w:highlight w:val="none"/>
                <w:lang w:val="en-US" w:eastAsia="zh-CN"/>
              </w:rPr>
              <w:t>及质检设备投入情况及检测措施方案进行评议：</w:t>
            </w:r>
          </w:p>
          <w:p w14:paraId="015E1E7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①质检室建设方案合理，设备投入齐全，有针对本项目的检测措施方案的得3分；</w:t>
            </w:r>
          </w:p>
          <w:p w14:paraId="6724962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②质检室建设方案基本合理，有一定数量的质检设备但种类略有欠缺，检测措施方案基本能满足项目要求的得2分；</w:t>
            </w:r>
          </w:p>
          <w:p w14:paraId="71C3350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③质检室建设方案不够合理，质检设备数量少，检测措施方案与项目需求存在较大偏差的得1分。</w:t>
            </w:r>
          </w:p>
          <w:p w14:paraId="64F592A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4C76B75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投标文件中要求提供质检室照片，及其他证明</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质检室情况的证明材料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质检设备（清单、购置发票与现场照片）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600" w:type="dxa"/>
            <w:noWrap w:val="0"/>
            <w:vAlign w:val="center"/>
          </w:tcPr>
          <w:p w14:paraId="4DFB9EF8">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4688A0AF">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A76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43" w:type="dxa"/>
            <w:vMerge w:val="continue"/>
            <w:noWrap w:val="0"/>
            <w:vAlign w:val="center"/>
          </w:tcPr>
          <w:p w14:paraId="31E01DBF">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6284484C">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noWrap w:val="0"/>
            <w:vAlign w:val="center"/>
          </w:tcPr>
          <w:p w14:paraId="79B5D68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提供的质检人员技术能力、经验及最能反映检测水平结果的质检报告、合格证进行评议：</w:t>
            </w:r>
          </w:p>
          <w:p w14:paraId="3BF1314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①质检人员技术能力优异、质检经验丰富，质检报告或合格证的种类齐全且能反映检测水平的得3分；</w:t>
            </w:r>
          </w:p>
          <w:p w14:paraId="106FC56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②质检人员技术能力略有欠缺、质检经验一般，质检报告或合格证的种类基本符合项目要求，但数量略有欠缺，仅能反映</w:t>
            </w:r>
            <w:r>
              <w:rPr>
                <w:rFonts w:hint="eastAsia" w:ascii="宋体" w:hAnsi="宋体" w:cs="宋体"/>
                <w:color w:val="auto"/>
                <w:sz w:val="24"/>
                <w:szCs w:val="24"/>
                <w:highlight w:val="none"/>
                <w:lang w:val="en-US" w:eastAsia="zh-CN"/>
              </w:rPr>
              <w:t>大</w:t>
            </w:r>
            <w:r>
              <w:rPr>
                <w:rFonts w:hint="eastAsia" w:ascii="宋体" w:hAnsi="宋体" w:eastAsia="宋体" w:cs="宋体"/>
                <w:color w:val="auto"/>
                <w:sz w:val="24"/>
                <w:szCs w:val="24"/>
                <w:highlight w:val="none"/>
                <w:lang w:val="en-US" w:eastAsia="zh-CN"/>
              </w:rPr>
              <w:t>部分产品的检测水平的得2分；</w:t>
            </w:r>
          </w:p>
          <w:p w14:paraId="08112CF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③质检人员技术能力差、质检经验少，质检报告或合格证的种类或数量少，</w:t>
            </w:r>
            <w:r>
              <w:rPr>
                <w:rFonts w:hint="eastAsia" w:ascii="宋体" w:hAnsi="宋体" w:cs="宋体"/>
                <w:color w:val="auto"/>
                <w:sz w:val="24"/>
                <w:szCs w:val="24"/>
                <w:highlight w:val="none"/>
                <w:lang w:val="en-US" w:eastAsia="zh-CN"/>
              </w:rPr>
              <w:t>仅能</w:t>
            </w:r>
            <w:r>
              <w:rPr>
                <w:rFonts w:hint="eastAsia" w:ascii="宋体" w:hAnsi="宋体" w:eastAsia="宋体" w:cs="宋体"/>
                <w:color w:val="auto"/>
                <w:sz w:val="24"/>
                <w:szCs w:val="24"/>
                <w:highlight w:val="none"/>
                <w:lang w:val="en-US" w:eastAsia="zh-CN"/>
              </w:rPr>
              <w:t>反映</w:t>
            </w:r>
            <w:r>
              <w:rPr>
                <w:rFonts w:hint="eastAsia" w:ascii="宋体" w:hAnsi="宋体" w:cs="宋体"/>
                <w:color w:val="auto"/>
                <w:sz w:val="24"/>
                <w:szCs w:val="24"/>
                <w:highlight w:val="none"/>
                <w:lang w:val="en-US" w:eastAsia="zh-CN"/>
              </w:rPr>
              <w:t>小</w:t>
            </w:r>
            <w:r>
              <w:rPr>
                <w:rFonts w:hint="eastAsia" w:ascii="宋体" w:hAnsi="宋体" w:eastAsia="宋体" w:cs="宋体"/>
                <w:color w:val="auto"/>
                <w:sz w:val="24"/>
                <w:szCs w:val="24"/>
                <w:highlight w:val="none"/>
                <w:lang w:val="en-US" w:eastAsia="zh-CN"/>
              </w:rPr>
              <w:t>部分产品的检测水平的得1分。</w:t>
            </w:r>
          </w:p>
          <w:p w14:paraId="16B2F7F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518026E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（投标文件中需提供</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质检人员情况的证明材料，离开标日最接近的且最能反映检测水平结果的各类品种质检报告、合格证，及其他证明</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质检结果情况的资料与文字）</w:t>
            </w:r>
          </w:p>
        </w:tc>
        <w:tc>
          <w:tcPr>
            <w:tcW w:w="600" w:type="dxa"/>
            <w:noWrap w:val="0"/>
            <w:vAlign w:val="center"/>
          </w:tcPr>
          <w:p w14:paraId="658561D3">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178D119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CA9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43" w:type="dxa"/>
            <w:vMerge w:val="continue"/>
            <w:noWrap w:val="0"/>
            <w:vAlign w:val="center"/>
          </w:tcPr>
          <w:p w14:paraId="07E359EE">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251B0546">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noWrap w:val="0"/>
            <w:vAlign w:val="center"/>
          </w:tcPr>
          <w:p w14:paraId="0A794B3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4.3投标商品的索证备案台账：根据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提供的浙食链数据进行评议。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用户注册激活得0.5分，有产品信息接收得0.5分；</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属地市场监督管理局监管端入库码、出库码数据证明完整的得2分。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数据以加盖</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属地市场监督管理局公章的证明为准</w:t>
            </w:r>
            <w:r>
              <w:rPr>
                <w:rFonts w:hint="eastAsia" w:ascii="宋体" w:hAnsi="宋体" w:cs="宋体"/>
                <w:color w:val="auto"/>
                <w:sz w:val="24"/>
                <w:szCs w:val="24"/>
                <w:highlight w:val="none"/>
                <w:lang w:val="en-US" w:eastAsia="zh-CN"/>
              </w:rPr>
              <w:t>）</w:t>
            </w:r>
          </w:p>
        </w:tc>
        <w:tc>
          <w:tcPr>
            <w:tcW w:w="600" w:type="dxa"/>
            <w:noWrap w:val="0"/>
            <w:vAlign w:val="center"/>
          </w:tcPr>
          <w:p w14:paraId="07E15328">
            <w:pPr>
              <w:widowControl/>
              <w:shd w:val="clear"/>
              <w:adjustRightInd/>
              <w:spacing w:line="24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2B9F4E50">
            <w:pPr>
              <w:widowControl/>
              <w:shd w:val="clear" w:color="auto"/>
              <w:adjustRightInd/>
              <w:spacing w:line="240" w:lineRule="auto"/>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3D71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4C9FAE6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noWrap w:val="0"/>
            <w:vAlign w:val="center"/>
          </w:tcPr>
          <w:p w14:paraId="7E6BB8ED">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本项目人员配备及人员管理方案</w:t>
            </w:r>
            <w:r>
              <w:rPr>
                <w:rFonts w:hint="eastAsia"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w:t>
            </w:r>
          </w:p>
        </w:tc>
        <w:tc>
          <w:tcPr>
            <w:tcW w:w="5203" w:type="dxa"/>
            <w:noWrap w:val="0"/>
            <w:vAlign w:val="center"/>
          </w:tcPr>
          <w:p w14:paraId="32BBCF6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lang w:val="en-US" w:eastAsia="zh-CN"/>
              </w:rPr>
              <w:t>根据投入本项目的人员配备方案进行评议：</w:t>
            </w:r>
          </w:p>
          <w:p w14:paraId="4F19A1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①人员分工合理、组织架构科学完善，完全满足本项目对人员投入的要求得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EAA40C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②人员分工基本符合项目要求，有基础的组织架构，人员配置基本能满足项目的要求但略有欠缺的得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038EC6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③人员分工不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合理、组织架构不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科学，人员总体配置与项目的实际需求差距较大的得1分。</w:t>
            </w:r>
          </w:p>
          <w:p w14:paraId="4586CD1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4AFF91B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（投标文件中须提供人员清单及人员有效的健康证，并提供近开标日前三个月任意一个月</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为其交纳的社保证明资料复印件加盖公章。如拟投入人员缺上述任意一样证明材料，本项不得分）</w:t>
            </w:r>
          </w:p>
        </w:tc>
        <w:tc>
          <w:tcPr>
            <w:tcW w:w="600" w:type="dxa"/>
            <w:noWrap w:val="0"/>
            <w:vAlign w:val="center"/>
          </w:tcPr>
          <w:p w14:paraId="67B7B411">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7A8B6E5B">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B29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3897025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noWrap w:val="0"/>
            <w:vAlign w:val="center"/>
          </w:tcPr>
          <w:p w14:paraId="6D4324B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、售后服务保证承诺及质量问题处罚措施（</w:t>
            </w:r>
            <w:r>
              <w:rPr>
                <w:rFonts w:hint="eastAsia" w:cs="Times New Roman"/>
                <w:color w:val="auto"/>
                <w:sz w:val="24"/>
                <w:szCs w:val="24"/>
                <w:highlight w:val="none"/>
                <w:lang w:val="en-US" w:eastAsia="zh-CN"/>
              </w:rPr>
              <w:t>13</w:t>
            </w:r>
            <w:r>
              <w:rPr>
                <w:rFonts w:hint="eastAsia" w:ascii="Times New Roman" w:hAnsi="Times New Roman" w:eastAsia="宋体" w:cs="Times New Roman"/>
                <w:color w:val="auto"/>
                <w:sz w:val="24"/>
                <w:szCs w:val="24"/>
                <w:highlight w:val="none"/>
              </w:rPr>
              <w:t>分）</w:t>
            </w:r>
          </w:p>
        </w:tc>
        <w:tc>
          <w:tcPr>
            <w:tcW w:w="5203" w:type="dxa"/>
            <w:noWrap w:val="0"/>
            <w:vAlign w:val="center"/>
          </w:tcPr>
          <w:p w14:paraId="34FFE11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提供的“食品安全责任险”进行评议（3分）：</w:t>
            </w:r>
          </w:p>
          <w:p w14:paraId="1C947E0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600万元≤保额，得3分；</w:t>
            </w:r>
          </w:p>
          <w:p w14:paraId="74C00CF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300万元≤保额＜600万元，得2分；</w:t>
            </w:r>
          </w:p>
          <w:p w14:paraId="19FB0F0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100万元≤保额＜300万元，得1分；</w:t>
            </w:r>
          </w:p>
          <w:p w14:paraId="06B541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保额＜100万元，得0分。</w:t>
            </w:r>
          </w:p>
          <w:p w14:paraId="6958CA3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（投标文件中须提供保险单复印件加盖公章）</w:t>
            </w:r>
          </w:p>
        </w:tc>
        <w:tc>
          <w:tcPr>
            <w:tcW w:w="600" w:type="dxa"/>
            <w:noWrap w:val="0"/>
            <w:vAlign w:val="center"/>
          </w:tcPr>
          <w:p w14:paraId="30D7E1E1">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noWrap w:val="0"/>
            <w:vAlign w:val="center"/>
          </w:tcPr>
          <w:p w14:paraId="3D3B66A6">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客观评议</w:t>
            </w:r>
          </w:p>
        </w:tc>
      </w:tr>
      <w:tr w14:paraId="7B92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3" w:type="dxa"/>
            <w:vMerge w:val="continue"/>
            <w:noWrap w:val="0"/>
            <w:vAlign w:val="center"/>
          </w:tcPr>
          <w:p w14:paraId="1E7DDA34">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1C238D4A">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noWrap w:val="0"/>
            <w:vAlign w:val="center"/>
          </w:tcPr>
          <w:p w14:paraId="5C11029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提供的食品送达时间保证方案、食品数量保证方案进行评议：</w:t>
            </w:r>
          </w:p>
          <w:p w14:paraId="7AFD7416">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①方案内容完全结合项目实际情况，便于实施，且对食品送达时间、数量保障有针对性措施的得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3D7226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②方案内容基本符合项目的要求，但存在一定缺陷有待改进的得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B6C4C5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完整，内容不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2DB90F1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noWrap w:val="0"/>
            <w:vAlign w:val="center"/>
          </w:tcPr>
          <w:p w14:paraId="299BD36E">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2DD55476">
            <w:pPr>
              <w:widowControl/>
              <w:shd w:val="clear" w:color="auto"/>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BB4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00C278C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421350D6">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noWrap w:val="0"/>
            <w:vAlign w:val="center"/>
          </w:tcPr>
          <w:p w14:paraId="299AF2C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.3评委根据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提供的质量问题处罚与改进措施进行评议：</w:t>
            </w:r>
          </w:p>
          <w:p w14:paraId="7B7201D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①方案内容完全结合项目实际情况，处罚制度合理、改进措施完善的得3分；</w:t>
            </w:r>
          </w:p>
          <w:p w14:paraId="6C95891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②方案内容基本符合项目的要求，但处罚制度或改进措施存在一定缺陷有待改进的得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826993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6ED9DCF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noWrap w:val="0"/>
            <w:vAlign w:val="center"/>
          </w:tcPr>
          <w:p w14:paraId="685ACCB3">
            <w:pPr>
              <w:widowControl/>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noWrap w:val="0"/>
            <w:vAlign w:val="center"/>
          </w:tcPr>
          <w:p w14:paraId="7C10E534">
            <w:pPr>
              <w:widowControl/>
              <w:shd w:val="clear" w:color="auto"/>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28D3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0A6175B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60C8EA10">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shd w:val="clear" w:color="auto" w:fill="auto"/>
            <w:noWrap w:val="0"/>
            <w:vAlign w:val="center"/>
          </w:tcPr>
          <w:p w14:paraId="5BD87A7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提供的针对服务学校的服务保障方案进行评议：</w:t>
            </w:r>
          </w:p>
          <w:p w14:paraId="1B58840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①方案内容完全结合项目实际情况，能提出有利于学校监督管理及学生餐实施的有效措施的得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E69A3A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②方案内容基本符合项目的要求，但保障措施存在一定缺陷有待改进或服务内容针对性不强的得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2B5F89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3C66020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600" w:type="dxa"/>
            <w:shd w:val="clear" w:color="auto" w:fill="auto"/>
            <w:noWrap w:val="0"/>
            <w:vAlign w:val="center"/>
          </w:tcPr>
          <w:p w14:paraId="204755CA">
            <w:pPr>
              <w:keepNext w:val="0"/>
              <w:keepLines w:val="0"/>
              <w:widowControl/>
              <w:suppressLineNumbers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4</w:t>
            </w:r>
          </w:p>
        </w:tc>
        <w:tc>
          <w:tcPr>
            <w:tcW w:w="692" w:type="dxa"/>
            <w:shd w:val="clear" w:color="auto" w:fill="auto"/>
            <w:noWrap w:val="0"/>
            <w:vAlign w:val="center"/>
          </w:tcPr>
          <w:p w14:paraId="6A4B234F">
            <w:pPr>
              <w:keepNext w:val="0"/>
              <w:keepLines w:val="0"/>
              <w:widowControl/>
              <w:suppressLineNumbers w:val="0"/>
              <w:shd w:val="clear" w:color="auto"/>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709D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vMerge w:val="continue"/>
            <w:noWrap w:val="0"/>
            <w:vAlign w:val="center"/>
          </w:tcPr>
          <w:p w14:paraId="4F18261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noWrap w:val="0"/>
            <w:vAlign w:val="center"/>
          </w:tcPr>
          <w:p w14:paraId="6943E597">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规章制度</w:t>
            </w:r>
            <w:r>
              <w:rPr>
                <w:rFonts w:hint="eastAsia"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分）</w:t>
            </w:r>
          </w:p>
        </w:tc>
        <w:tc>
          <w:tcPr>
            <w:tcW w:w="5203" w:type="dxa"/>
            <w:noWrap w:val="0"/>
            <w:vAlign w:val="center"/>
          </w:tcPr>
          <w:p w14:paraId="36E5218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为本项目提供的安全防范管理制度、卫生保障制度、文明服务制度进行评议：</w:t>
            </w:r>
          </w:p>
          <w:p w14:paraId="2746E67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①安全防范管理制度科学、卫生保障制度规范、文明服务制度健全，可以有效实施的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5411D48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1B9CEF6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68D0611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④未提供相关内容的不得分。</w:t>
            </w:r>
          </w:p>
        </w:tc>
        <w:tc>
          <w:tcPr>
            <w:tcW w:w="600" w:type="dxa"/>
            <w:noWrap w:val="0"/>
            <w:vAlign w:val="center"/>
          </w:tcPr>
          <w:p w14:paraId="13A5D3EE">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5ADEE7B3">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92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vMerge w:val="continue"/>
            <w:noWrap w:val="0"/>
            <w:vAlign w:val="center"/>
          </w:tcPr>
          <w:p w14:paraId="2C9E34EE">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1987515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rPr>
            </w:pPr>
          </w:p>
        </w:tc>
        <w:tc>
          <w:tcPr>
            <w:tcW w:w="5203" w:type="dxa"/>
            <w:noWrap w:val="0"/>
            <w:vAlign w:val="center"/>
          </w:tcPr>
          <w:p w14:paraId="42B2B40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为本项目提供的应急管理制度、企业内部考核制度及记录进行评议：</w:t>
            </w:r>
          </w:p>
          <w:p w14:paraId="13A21C2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①应急管理制度科学、企业内部考核制度及记录健全，可以有效实施的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0D1D99B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58C829C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33E70E4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④未提供相关内容的不得分。</w:t>
            </w:r>
          </w:p>
        </w:tc>
        <w:tc>
          <w:tcPr>
            <w:tcW w:w="600" w:type="dxa"/>
            <w:noWrap w:val="0"/>
            <w:vAlign w:val="center"/>
          </w:tcPr>
          <w:p w14:paraId="29B0B7D2">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03E4EE8B">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DE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52601EB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noWrap w:val="0"/>
            <w:vAlign w:val="center"/>
          </w:tcPr>
          <w:p w14:paraId="23246063">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、应急保障措施（</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分）</w:t>
            </w:r>
          </w:p>
        </w:tc>
        <w:tc>
          <w:tcPr>
            <w:tcW w:w="5203" w:type="dxa"/>
            <w:noWrap w:val="0"/>
            <w:vAlign w:val="center"/>
          </w:tcPr>
          <w:p w14:paraId="641F1B1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提供的应急预案进行评议：</w:t>
            </w:r>
          </w:p>
          <w:p w14:paraId="6FE0CB06">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①方案内容完全结合项目实际情况，配送食品质量保障应急预案可行、配送食品时限保障应急预案科学的得3分；</w:t>
            </w:r>
          </w:p>
          <w:p w14:paraId="0402F90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②方案内容基本符合项目的要求，但预案存在一定缺陷有待改进的得2分；</w:t>
            </w:r>
          </w:p>
          <w:p w14:paraId="628A07A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0C7FC6C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noWrap w:val="0"/>
            <w:vAlign w:val="center"/>
          </w:tcPr>
          <w:p w14:paraId="363B1EF4">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noWrap w:val="0"/>
            <w:vAlign w:val="center"/>
          </w:tcPr>
          <w:p w14:paraId="6442D74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6B5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760740C0">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p>
        </w:tc>
        <w:tc>
          <w:tcPr>
            <w:tcW w:w="1160" w:type="dxa"/>
            <w:vMerge w:val="continue"/>
            <w:noWrap w:val="0"/>
            <w:vAlign w:val="center"/>
          </w:tcPr>
          <w:p w14:paraId="37A8EA33">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p>
        </w:tc>
        <w:tc>
          <w:tcPr>
            <w:tcW w:w="5203" w:type="dxa"/>
            <w:noWrap w:val="0"/>
            <w:vAlign w:val="center"/>
          </w:tcPr>
          <w:p w14:paraId="48817B6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针对本项目的特殊时期</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抗台、防雪</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应急保障预案进行评议：</w:t>
            </w:r>
          </w:p>
          <w:p w14:paraId="3EE3EFD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抗台、防雪应急保障方案可行</w:t>
            </w:r>
            <w:r>
              <w:rPr>
                <w:rFonts w:hint="default"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val="en-US" w:eastAsia="zh-CN"/>
              </w:rPr>
              <w:t>提供完善的解决措施</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2EA23B4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抗台、防雪应急保障方案欠可行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解决措施基本符合项目要求但略有欠缺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7EB9AA5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抗台、防雪应急保障方案</w:t>
            </w:r>
            <w:r>
              <w:rPr>
                <w:rFonts w:hint="eastAsia" w:ascii="宋体" w:hAnsi="宋体" w:cs="宋体"/>
                <w:color w:val="auto"/>
                <w:sz w:val="24"/>
                <w:szCs w:val="24"/>
                <w:highlight w:val="none"/>
                <w:lang w:val="en-US" w:eastAsia="zh-CN"/>
              </w:rPr>
              <w:t>与本项目要求存在较大差距</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w:t>
            </w:r>
          </w:p>
          <w:p w14:paraId="36FFBED7">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noWrap w:val="0"/>
            <w:vAlign w:val="center"/>
          </w:tcPr>
          <w:p w14:paraId="4CF9F3E4">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92" w:type="dxa"/>
            <w:noWrap w:val="0"/>
            <w:vAlign w:val="center"/>
          </w:tcPr>
          <w:p w14:paraId="4F608CD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4DCC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693DC246">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noWrap w:val="0"/>
            <w:vAlign w:val="center"/>
          </w:tcPr>
          <w:p w14:paraId="184C88B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cs="宋体"/>
                <w:b w:val="0"/>
                <w:bCs/>
                <w:color w:val="auto"/>
                <w:spacing w:val="0"/>
                <w:w w:val="100"/>
                <w:kern w:val="2"/>
                <w:position w:val="0"/>
                <w:sz w:val="24"/>
                <w:szCs w:val="24"/>
                <w:highlight w:val="none"/>
                <w:shd w:val="clear" w:color="auto" w:fill="auto"/>
                <w:lang w:val="en-US" w:eastAsia="zh-CN" w:bidi="ar-SA"/>
              </w:rPr>
              <w:t>9</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、服务区域的熟悉及对应的优化配送方案（</w:t>
            </w:r>
            <w:r>
              <w:rPr>
                <w:rFonts w:hint="eastAsia" w:ascii="宋体" w:hAnsi="宋体" w:cs="宋体"/>
                <w:b w:val="0"/>
                <w:bCs/>
                <w:color w:val="auto"/>
                <w:spacing w:val="0"/>
                <w:w w:val="100"/>
                <w:kern w:val="2"/>
                <w:position w:val="0"/>
                <w:sz w:val="24"/>
                <w:szCs w:val="24"/>
                <w:highlight w:val="none"/>
                <w:shd w:val="clear" w:color="auto" w:fill="auto"/>
                <w:lang w:val="en-US" w:eastAsia="zh-CN" w:bidi="ar-SA"/>
              </w:rPr>
              <w:t>7</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分）</w:t>
            </w:r>
          </w:p>
        </w:tc>
        <w:tc>
          <w:tcPr>
            <w:tcW w:w="5203" w:type="dxa"/>
            <w:shd w:val="clear" w:color="auto" w:fill="auto"/>
            <w:noWrap w:val="0"/>
            <w:vAlign w:val="center"/>
          </w:tcPr>
          <w:p w14:paraId="5F77D31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.1根据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针对本项目的服务区域的熟悉程度进行评议：</w:t>
            </w:r>
          </w:p>
          <w:p w14:paraId="7DFE533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对服务区域熟悉了解，对配送服务过程可能存在的困难或可能出现的突发事件分析全面</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169B55D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对服务区域熟悉了解程度一般，对配送服务过程可能存在的困难或可能出现的突发事件分析欠全面</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60842A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对服务区域不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熟悉，对配送服务过程可能存在的困难或可能出现的突发事件分析简单，无针对性</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44CCA51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noWrap w:val="0"/>
            <w:vAlign w:val="center"/>
          </w:tcPr>
          <w:p w14:paraId="16420A2E">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92" w:type="dxa"/>
            <w:shd w:val="clear" w:color="auto" w:fill="auto"/>
            <w:noWrap w:val="0"/>
            <w:vAlign w:val="center"/>
          </w:tcPr>
          <w:p w14:paraId="190FF636">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B1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center"/>
          </w:tcPr>
          <w:p w14:paraId="67C692F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noWrap w:val="0"/>
            <w:vAlign w:val="center"/>
          </w:tcPr>
          <w:p w14:paraId="771B3FD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pPr>
          </w:p>
        </w:tc>
        <w:tc>
          <w:tcPr>
            <w:tcW w:w="5203" w:type="dxa"/>
            <w:shd w:val="clear" w:color="auto" w:fill="auto"/>
            <w:noWrap w:val="0"/>
            <w:vAlign w:val="center"/>
          </w:tcPr>
          <w:p w14:paraId="4EE3D2C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针对本项目的服务区域的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w:t>
            </w:r>
            <w:r>
              <w:rPr>
                <w:rFonts w:hint="eastAsia" w:ascii="宋体" w:hAnsi="宋体" w:eastAsia="宋体" w:cs="宋体"/>
                <w:color w:val="auto"/>
                <w:sz w:val="24"/>
                <w:szCs w:val="24"/>
                <w:highlight w:val="none"/>
                <w:lang w:val="en-US" w:eastAsia="zh-CN"/>
              </w:rPr>
              <w:t>进行评议：</w:t>
            </w:r>
          </w:p>
          <w:p w14:paraId="77B6007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①能</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针对配送各区域特殊性</w:t>
            </w:r>
            <w:r>
              <w:rPr>
                <w:rFonts w:hint="eastAsia" w:ascii="宋体" w:hAnsi="宋体" w:eastAsia="宋体" w:cs="宋体"/>
                <w:color w:val="auto"/>
                <w:sz w:val="24"/>
                <w:szCs w:val="24"/>
                <w:highlight w:val="none"/>
                <w:lang w:val="en-US" w:eastAsia="zh-CN"/>
              </w:rPr>
              <w:t>提供完善的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优化配送方案的，</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分；</w:t>
            </w:r>
          </w:p>
          <w:p w14:paraId="5979672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w:t>
            </w:r>
            <w:r>
              <w:rPr>
                <w:rFonts w:hint="eastAsia" w:ascii="宋体" w:hAnsi="宋体" w:eastAsia="宋体" w:cs="宋体"/>
                <w:color w:val="auto"/>
                <w:sz w:val="24"/>
                <w:szCs w:val="24"/>
                <w:highlight w:val="none"/>
                <w:lang w:val="en-US" w:eastAsia="zh-CN"/>
              </w:rPr>
              <w:t>基本符合项目</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配送各区域的情况，</w:t>
            </w:r>
            <w:r>
              <w:rPr>
                <w:rFonts w:hint="eastAsia" w:ascii="宋体" w:hAnsi="宋体" w:eastAsia="宋体" w:cs="宋体"/>
                <w:color w:val="auto"/>
                <w:sz w:val="24"/>
                <w:szCs w:val="24"/>
                <w:highlight w:val="none"/>
                <w:lang w:val="en-US" w:eastAsia="zh-CN"/>
              </w:rPr>
              <w:t>但可行性略有欠缺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26997B6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优化配送方案未针对配送各区域情况，</w:t>
            </w:r>
            <w:r>
              <w:rPr>
                <w:rFonts w:hint="eastAsia" w:ascii="宋体" w:hAnsi="宋体" w:eastAsia="宋体" w:cs="宋体"/>
                <w:color w:val="auto"/>
                <w:sz w:val="24"/>
                <w:szCs w:val="24"/>
                <w:highlight w:val="none"/>
                <w:lang w:val="en-US" w:eastAsia="zh-CN"/>
              </w:rPr>
              <w:t>或可行性差</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2EA94A86">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noWrap w:val="0"/>
            <w:vAlign w:val="center"/>
          </w:tcPr>
          <w:p w14:paraId="175365B5">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92" w:type="dxa"/>
            <w:shd w:val="clear" w:color="auto" w:fill="auto"/>
            <w:noWrap w:val="0"/>
            <w:vAlign w:val="center"/>
          </w:tcPr>
          <w:p w14:paraId="296C5223">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D0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6" w:type="dxa"/>
            <w:gridSpan w:val="3"/>
            <w:noWrap w:val="0"/>
            <w:vAlign w:val="center"/>
          </w:tcPr>
          <w:p w14:paraId="57D788B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总分（100分）</w:t>
            </w:r>
          </w:p>
        </w:tc>
        <w:tc>
          <w:tcPr>
            <w:tcW w:w="600" w:type="dxa"/>
            <w:noWrap w:val="0"/>
            <w:vAlign w:val="center"/>
          </w:tcPr>
          <w:p w14:paraId="26BF4D5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692" w:type="dxa"/>
            <w:noWrap w:val="0"/>
            <w:vAlign w:val="center"/>
          </w:tcPr>
          <w:p w14:paraId="1480995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r>
    </w:tbl>
    <w:p w14:paraId="34A28B28">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编制投标文件（商务技术文件部分）时，建议按此目录（序号和内容）提供评标标准相应的商务技术资料。小数点后保留一位数。</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E0449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08" w:name="_Toc11047"/>
      <w:r>
        <w:rPr>
          <w:rFonts w:hint="eastAsia" w:ascii="宋体" w:hAnsi="宋体" w:cs="宋体"/>
          <w:b/>
          <w:color w:val="auto"/>
          <w:sz w:val="32"/>
          <w:szCs w:val="32"/>
          <w:highlight w:val="none"/>
        </w:rPr>
        <w:t>三、评标程序</w:t>
      </w:r>
      <w:bookmarkEnd w:id="408"/>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3.4.3投标报价超过招标文件中规定的预算金额或者超出报价区间</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3.5排序与推荐。采用综合评分法的，</w:t>
      </w:r>
      <w:r>
        <w:rPr>
          <w:rFonts w:hint="eastAsia" w:ascii="宋体" w:hAnsi="宋体" w:cs="宋体"/>
          <w:b/>
          <w:bCs/>
          <w:color w:val="auto"/>
          <w:kern w:val="0"/>
          <w:sz w:val="24"/>
          <w:highlight w:val="none"/>
          <w:lang w:val="en-US" w:eastAsia="zh-CN"/>
        </w:rPr>
        <w:t>有效投标供应商数量大于等于13家时，中标候选人数量为11家</w:t>
      </w:r>
      <w:r>
        <w:rPr>
          <w:rFonts w:hint="eastAsia" w:ascii="宋体" w:hAnsi="宋体" w:cs="宋体"/>
          <w:b/>
          <w:bCs/>
          <w:color w:val="auto"/>
          <w:kern w:val="0"/>
          <w:sz w:val="24"/>
          <w:highlight w:val="none"/>
        </w:rPr>
        <w:t>。</w:t>
      </w:r>
      <w:r>
        <w:rPr>
          <w:rFonts w:hint="eastAsia" w:ascii="宋体" w:hAnsi="宋体" w:cs="宋体"/>
          <w:b/>
          <w:bCs w:val="0"/>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4.2.7投标报价超过招标文件中规定的预算金额或者超出报价区间的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上传投标文件同一网卡地址、同一IP地址且不能进行有效说明的为无效标。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w:t>
      </w:r>
      <w:r>
        <w:rPr>
          <w:rFonts w:hint="eastAsia" w:cs="宋体"/>
          <w:color w:val="auto"/>
          <w:highlight w:val="none"/>
          <w:lang w:val="en-US" w:eastAsia="zh-CN"/>
        </w:rPr>
        <w:t>13</w:t>
      </w:r>
      <w:r>
        <w:rPr>
          <w:rFonts w:hint="eastAsia" w:cs="宋体"/>
          <w:color w:val="auto"/>
          <w:highlight w:val="none"/>
        </w:rPr>
        <w:t>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hint="eastAsia" w:ascii="宋体" w:hAnsi="宋体" w:eastAsia="宋体" w:cs="宋体"/>
          <w:color w:val="auto"/>
          <w:highlight w:val="none"/>
        </w:rPr>
      </w:pPr>
      <w:r>
        <w:rPr>
          <w:rFonts w:hint="eastAsia" w:cs="宋体"/>
          <w:color w:val="auto"/>
          <w:highlight w:val="none"/>
        </w:rPr>
        <w:t>5.3</w:t>
      </w:r>
      <w:r>
        <w:rPr>
          <w:rFonts w:hint="eastAsia" w:ascii="宋体" w:hAnsi="宋体" w:eastAsia="宋体" w:cs="宋体"/>
          <w:color w:val="auto"/>
          <w:highlight w:val="none"/>
        </w:rPr>
        <w:t>投标人的报价均超过了采购预算，采购人不能支付的；</w:t>
      </w:r>
    </w:p>
    <w:p w14:paraId="1EDA6C9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09" w:name="第五部分"/>
      <w:bookmarkStart w:id="410" w:name="_Toc86217003"/>
    </w:p>
    <w:p w14:paraId="26FEAB37">
      <w:pPr>
        <w:pStyle w:val="2"/>
        <w:rPr>
          <w:rFonts w:hAnsi="宋体" w:cs="宋体"/>
          <w:color w:val="auto"/>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11" w:name="_Toc24422"/>
      <w:r>
        <w:rPr>
          <w:rFonts w:hint="eastAsia" w:ascii="宋体" w:hAnsi="宋体" w:cs="宋体"/>
          <w:b/>
          <w:color w:val="auto"/>
          <w:sz w:val="36"/>
          <w:szCs w:val="36"/>
          <w:highlight w:val="none"/>
        </w:rPr>
        <w:t>第五部分 拟签订的合同文本</w:t>
      </w:r>
      <w:bookmarkEnd w:id="411"/>
    </w:p>
    <w:p w14:paraId="61374A90">
      <w:pPr>
        <w:tabs>
          <w:tab w:val="left" w:pos="0"/>
        </w:tabs>
        <w:spacing w:beforeLines="0" w:afterLines="0" w:line="360" w:lineRule="auto"/>
        <w:ind w:firstLine="420"/>
        <w:jc w:val="center"/>
        <w:rPr>
          <w:rFonts w:hint="eastAsia" w:ascii="Times New Roman" w:hAnsi="宋体" w:eastAsia="宋体"/>
          <w:b/>
          <w:color w:val="auto"/>
          <w:sz w:val="24"/>
          <w:szCs w:val="24"/>
          <w:highlight w:val="none"/>
        </w:rPr>
      </w:pPr>
      <w:r>
        <w:rPr>
          <w:rFonts w:hint="eastAsia" w:ascii="Times New Roman" w:hAnsi="宋体" w:eastAsia="宋体"/>
          <w:b/>
          <w:color w:val="auto"/>
          <w:sz w:val="24"/>
          <w:szCs w:val="24"/>
          <w:highlight w:val="none"/>
        </w:rPr>
        <w:t>宁海县学校食堂学生餐食品原材料（非粮油类）定点采购协议</w:t>
      </w:r>
    </w:p>
    <w:p w14:paraId="08377980">
      <w:pPr>
        <w:tabs>
          <w:tab w:val="left" w:pos="0"/>
        </w:tabs>
        <w:spacing w:beforeLines="0" w:afterLines="0" w:line="360" w:lineRule="auto"/>
        <w:ind w:firstLine="420"/>
        <w:jc w:val="center"/>
        <w:rPr>
          <w:rFonts w:hint="eastAsia" w:ascii="Times New Roman" w:hAnsi="宋体" w:eastAsia="Times New Roman"/>
          <w:b/>
          <w:color w:val="auto"/>
          <w:sz w:val="24"/>
          <w:szCs w:val="24"/>
          <w:highlight w:val="none"/>
        </w:rPr>
      </w:pPr>
      <w:r>
        <w:rPr>
          <w:rFonts w:hint="eastAsia" w:ascii="Times New Roman" w:hAnsi="宋体" w:eastAsia="宋体"/>
          <w:b/>
          <w:color w:val="auto"/>
          <w:sz w:val="24"/>
          <w:szCs w:val="24"/>
          <w:highlight w:val="none"/>
        </w:rPr>
        <w:t>（样本）</w:t>
      </w:r>
    </w:p>
    <w:p w14:paraId="0DF65D50">
      <w:pPr>
        <w:tabs>
          <w:tab w:val="left" w:pos="0"/>
        </w:tabs>
        <w:spacing w:beforeLines="0" w:afterLines="0" w:line="360" w:lineRule="auto"/>
        <w:ind w:firstLine="420"/>
        <w:rPr>
          <w:rFonts w:hint="default"/>
          <w:color w:val="auto"/>
          <w:sz w:val="24"/>
          <w:szCs w:val="24"/>
          <w:highlight w:val="none"/>
        </w:rPr>
      </w:pPr>
      <w:r>
        <w:rPr>
          <w:rFonts w:hint="eastAsia" w:ascii="Times New Roman" w:hAnsi="宋体" w:eastAsia="宋体"/>
          <w:color w:val="auto"/>
          <w:sz w:val="24"/>
          <w:szCs w:val="24"/>
          <w:highlight w:val="none"/>
        </w:rPr>
        <w:t>甲方：宁海县教育服务管理中心</w:t>
      </w:r>
    </w:p>
    <w:p w14:paraId="0F04807D">
      <w:pPr>
        <w:tabs>
          <w:tab w:val="left" w:pos="0"/>
        </w:tabs>
        <w:spacing w:beforeLines="0" w:afterLines="0" w:line="360" w:lineRule="auto"/>
        <w:ind w:firstLine="420"/>
        <w:rPr>
          <w:rFonts w:hint="default"/>
          <w:color w:val="auto"/>
          <w:sz w:val="24"/>
          <w:szCs w:val="24"/>
          <w:highlight w:val="none"/>
        </w:rPr>
      </w:pPr>
      <w:r>
        <w:rPr>
          <w:rFonts w:hint="eastAsia" w:ascii="Times New Roman" w:hAnsi="宋体" w:eastAsia="宋体"/>
          <w:color w:val="auto"/>
          <w:sz w:val="24"/>
          <w:szCs w:val="24"/>
          <w:highlight w:val="none"/>
        </w:rPr>
        <w:t>乙方：</w:t>
      </w:r>
    </w:p>
    <w:p w14:paraId="5B44D1A6">
      <w:pPr>
        <w:tabs>
          <w:tab w:val="left" w:pos="0"/>
        </w:tabs>
        <w:spacing w:beforeLines="0" w:afterLines="0" w:line="360" w:lineRule="auto"/>
        <w:ind w:firstLine="420"/>
        <w:rPr>
          <w:rFonts w:hint="default"/>
          <w:color w:val="auto"/>
          <w:sz w:val="24"/>
          <w:szCs w:val="24"/>
          <w:highlight w:val="none"/>
        </w:rPr>
      </w:pPr>
      <w:r>
        <w:rPr>
          <w:rFonts w:hint="eastAsia" w:ascii="Times New Roman" w:hAnsi="宋体" w:eastAsia="宋体"/>
          <w:color w:val="auto"/>
          <w:sz w:val="24"/>
          <w:szCs w:val="24"/>
          <w:highlight w:val="none"/>
        </w:rPr>
        <w:t>甲乙双方根据</w:t>
      </w:r>
      <w:r>
        <w:rPr>
          <w:rFonts w:hint="eastAsia" w:ascii="Times New Roman" w:hAnsi="宋体" w:eastAsia="宋体"/>
          <w:color w:val="auto"/>
          <w:sz w:val="24"/>
          <w:szCs w:val="24"/>
          <w:highlight w:val="none"/>
          <w:u w:val="single"/>
        </w:rPr>
        <w:t>宁海县公办学校食堂学生餐食品原材料（非粮油类）定点采购项目</w:t>
      </w:r>
      <w:r>
        <w:rPr>
          <w:rFonts w:hint="eastAsia" w:ascii="宋体" w:hAnsi="宋体" w:eastAsia="宋体"/>
          <w:color w:val="auto"/>
          <w:sz w:val="24"/>
          <w:szCs w:val="24"/>
          <w:highlight w:val="none"/>
          <w:u w:val="single"/>
        </w:rPr>
        <w:t>（招标编号：</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的招标结果，乙方被确定为</w:t>
      </w:r>
      <w:r>
        <w:rPr>
          <w:rFonts w:hint="eastAsia" w:ascii="Times New Roman" w:hAnsi="宋体" w:eastAsia="宋体"/>
          <w:color w:val="auto"/>
          <w:sz w:val="24"/>
          <w:szCs w:val="24"/>
          <w:highlight w:val="none"/>
        </w:rPr>
        <w:t>宁海县公办</w:t>
      </w:r>
      <w:r>
        <w:rPr>
          <w:rFonts w:hint="eastAsia" w:ascii="宋体" w:hAnsi="宋体" w:eastAsia="宋体"/>
          <w:color w:val="auto"/>
          <w:sz w:val="24"/>
          <w:szCs w:val="24"/>
          <w:highlight w:val="none"/>
        </w:rPr>
        <w:t>学校食堂学生餐食品原材料（非粮油类）定点采购单位</w:t>
      </w:r>
      <w:r>
        <w:rPr>
          <w:rFonts w:hint="eastAsia" w:ascii="Times New Roman" w:hAnsi="宋体" w:eastAsia="宋体"/>
          <w:color w:val="auto"/>
          <w:sz w:val="24"/>
          <w:szCs w:val="24"/>
          <w:highlight w:val="none"/>
        </w:rPr>
        <w:t>（本协议有效期：</w:t>
      </w:r>
      <w:r>
        <w:rPr>
          <w:rFonts w:hint="eastAsia" w:eastAsia="宋体"/>
          <w:color w:val="auto"/>
          <w:sz w:val="24"/>
          <w:szCs w:val="24"/>
          <w:highlight w:val="none"/>
        </w:rPr>
        <w:t>自20</w:t>
      </w:r>
      <w:r>
        <w:rPr>
          <w:rFonts w:hint="default"/>
          <w:color w:val="auto"/>
          <w:sz w:val="24"/>
          <w:szCs w:val="24"/>
          <w:highlight w:val="none"/>
        </w:rPr>
        <w:t>2</w:t>
      </w:r>
      <w:r>
        <w:rPr>
          <w:rFonts w:hint="eastAsia"/>
          <w:color w:val="auto"/>
          <w:sz w:val="24"/>
          <w:szCs w:val="24"/>
          <w:highlight w:val="none"/>
          <w:lang w:val="en-US" w:eastAsia="zh-CN"/>
        </w:rPr>
        <w:t>5</w:t>
      </w:r>
      <w:r>
        <w:rPr>
          <w:rFonts w:hint="eastAsia" w:eastAsia="宋体"/>
          <w:color w:val="auto"/>
          <w:sz w:val="24"/>
          <w:szCs w:val="24"/>
          <w:highlight w:val="none"/>
        </w:rPr>
        <w:t>年9月1日至20</w:t>
      </w:r>
      <w:r>
        <w:rPr>
          <w:rFonts w:hint="default"/>
          <w:color w:val="auto"/>
          <w:sz w:val="24"/>
          <w:szCs w:val="24"/>
          <w:highlight w:val="none"/>
        </w:rPr>
        <w:t>2</w:t>
      </w:r>
      <w:r>
        <w:rPr>
          <w:rFonts w:hint="eastAsia"/>
          <w:color w:val="auto"/>
          <w:sz w:val="24"/>
          <w:szCs w:val="24"/>
          <w:highlight w:val="none"/>
          <w:lang w:val="en-US" w:eastAsia="zh-CN"/>
        </w:rPr>
        <w:t>8</w:t>
      </w:r>
      <w:r>
        <w:rPr>
          <w:rFonts w:hint="eastAsia" w:eastAsia="宋体"/>
          <w:color w:val="auto"/>
          <w:sz w:val="24"/>
          <w:szCs w:val="24"/>
          <w:highlight w:val="none"/>
        </w:rPr>
        <w:t>年8月25日</w:t>
      </w:r>
      <w:r>
        <w:rPr>
          <w:rFonts w:hint="eastAsia" w:ascii="Times New Roman" w:hAnsi="宋体" w:eastAsia="宋体"/>
          <w:color w:val="auto"/>
          <w:sz w:val="24"/>
          <w:szCs w:val="24"/>
          <w:highlight w:val="none"/>
        </w:rPr>
        <w:t>）。现就有关学校食堂学生餐食品原材料（非粮油类）的配送服务达成如下合作事项：</w:t>
      </w:r>
    </w:p>
    <w:p w14:paraId="4D105C69">
      <w:pPr>
        <w:tabs>
          <w:tab w:val="left" w:pos="0"/>
        </w:tabs>
        <w:spacing w:beforeLines="0" w:afterLines="0" w:line="360" w:lineRule="auto"/>
        <w:rPr>
          <w:rFonts w:hint="eastAsia" w:ascii="Times New Roman" w:hAnsi="宋体" w:eastAsia="Times New Roman"/>
          <w:color w:val="auto"/>
          <w:sz w:val="24"/>
          <w:szCs w:val="24"/>
          <w:highlight w:val="none"/>
        </w:rPr>
      </w:pPr>
      <w:r>
        <w:rPr>
          <w:rFonts w:hint="eastAsia" w:ascii="Times New Roman" w:hAnsi="宋体" w:eastAsia="宋体"/>
          <w:color w:val="auto"/>
          <w:sz w:val="24"/>
          <w:szCs w:val="24"/>
          <w:highlight w:val="none"/>
        </w:rPr>
        <w:t>一、乙方承诺：</w:t>
      </w:r>
    </w:p>
    <w:p w14:paraId="02396E56">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1、供应食品质量要求</w:t>
      </w:r>
    </w:p>
    <w:p w14:paraId="5E13E404">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鲜肉。质量要求：排肉是指无骨腿肉和无骨夹心肉，其中腿肉要求剔除大股骨，夹心肉要求割除下懒肉，整方供应。并提供《动物或动物产品分销信息凭证》或《动物检疫合格证》和《肉品品质检验合格证》。</w:t>
      </w:r>
    </w:p>
    <w:p w14:paraId="164EAEF5">
      <w:pPr>
        <w:spacing w:beforeLines="0" w:afterLines="0"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（2）蛋类。禽蛋质量要求：禽蛋必须保证新鲜，且符合《中华人民共和国食品安全法》要求，并提供养殖基地有效证件。</w:t>
      </w:r>
    </w:p>
    <w:p w14:paraId="166AA464">
      <w:pPr>
        <w:spacing w:beforeLines="0" w:afterLines="0" w:line="360"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鲜蔬类（土豆、西红柿、青椒、青菜、大白菜、包菜、茭白、芋艿、豆芽等）。质量要求：所提供的蔬菜必须保证新鲜、不腐烂变质，能提供蔬菜农药残留检测报告、产地合格证明，且符合《农产品质量安全法》要求，经过初步处理，没有腐叶和泥土。</w:t>
      </w:r>
    </w:p>
    <w:p w14:paraId="5CE6698E">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eastAsia="宋体" w:cs="宋体"/>
          <w:color w:val="auto"/>
          <w:sz w:val="24"/>
          <w:szCs w:val="24"/>
          <w:highlight w:val="none"/>
        </w:rPr>
        <w:t>冷冻品：鸡腿、鸡翅、贡丸、香肠、青豆、玉米等，供应商须提供产品合格检测文件。</w:t>
      </w:r>
      <w:r>
        <w:rPr>
          <w:rFonts w:hint="eastAsia" w:ascii="宋体" w:hAnsi="宋体" w:eastAsia="宋体"/>
          <w:color w:val="auto"/>
          <w:sz w:val="24"/>
          <w:szCs w:val="24"/>
          <w:highlight w:val="none"/>
        </w:rPr>
        <w:t>禽肉必须提供《动物或动物产品分销信息凭证》或《动物检疫合格证》，并提供养殖基地有效证件。</w:t>
      </w:r>
    </w:p>
    <w:p w14:paraId="194BA8DC">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r>
        <w:rPr>
          <w:rFonts w:hint="eastAsia" w:ascii="宋体" w:hAnsi="宋体" w:eastAsia="宋体" w:cs="宋体"/>
          <w:color w:val="auto"/>
          <w:sz w:val="24"/>
          <w:szCs w:val="24"/>
          <w:highlight w:val="none"/>
        </w:rPr>
        <w:t>鲜虾类（对虾、小白虾等）。质量要求：</w:t>
      </w:r>
      <w:r>
        <w:rPr>
          <w:rFonts w:hint="eastAsia" w:ascii="宋体" w:hAnsi="宋体" w:eastAsia="宋体"/>
          <w:color w:val="auto"/>
          <w:sz w:val="24"/>
          <w:szCs w:val="24"/>
          <w:highlight w:val="none"/>
        </w:rPr>
        <w:t>符合水产品定性检测要求。</w:t>
      </w:r>
    </w:p>
    <w:p w14:paraId="6CAA227C">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（6）水产类（鱼、蟹等冷冻水产类）。质量要求：符合水产品定性检测要求。</w:t>
      </w:r>
    </w:p>
    <w:p w14:paraId="15509479">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（7）豆制品（豆腐、千张、香干、素鸡、大油豆腐、小油豆腐等）类。质量要求：豆制品成品必须具有“SC”标志或“SC”编号，并提供产品合格证明文件。</w:t>
      </w:r>
    </w:p>
    <w:p w14:paraId="6B8C74ED">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（8）佐料类（味精、酱油、干货、生粉、食品添加剂等）。质量要求：糖、味精、酱油、醋、生粉等必须具有“SC”标志或“SC”编号。并提供进货商有效证件和产品合格证明文件。</w:t>
      </w:r>
    </w:p>
    <w:p w14:paraId="1B45D31A">
      <w:pPr>
        <w:spacing w:beforeLines="0" w:afterLines="0"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（9）水果类。质量要求：供应商经营品种齐全，所提供的水果必须保证质量合格。</w:t>
      </w:r>
    </w:p>
    <w:p w14:paraId="31A7E175">
      <w:pPr>
        <w:spacing w:beforeLines="0" w:afterLines="0" w:line="360" w:lineRule="auto"/>
        <w:ind w:firstLine="4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牛奶类。所有奶制品均符合国家规定（国家标准GB25190、GB25191、GB19302等）选用安全优质奶源，奶品质量、生产工艺、包装和运输等达到国家相关技术标准和有关规定。其中“学生饮用奶”必须达到国家“学生饮用奶”相关技术标准和有关规定。所有奶制品必须为市场流通的知名品牌，各类品种必须在服务区域内的大型超市内均有销售。</w:t>
      </w:r>
    </w:p>
    <w:p w14:paraId="7FE5044B">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（11）其他类（除以上种类外的其他食品）。质量要求：所提供的食品必须保证质量合格。</w:t>
      </w:r>
    </w:p>
    <w:p w14:paraId="2977E380">
      <w:pPr>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（12）以上所有定点采购原材料均须符合《中华人民共和国食品安全法》及属地相关法律法规要求。</w:t>
      </w:r>
    </w:p>
    <w:p w14:paraId="74AE08EC">
      <w:pPr>
        <w:spacing w:beforeLines="0" w:afterLines="0" w:line="360" w:lineRule="auto"/>
        <w:ind w:firstLine="448" w:firstLineChars="187"/>
        <w:rPr>
          <w:rFonts w:hint="default"/>
          <w:color w:val="auto"/>
          <w:sz w:val="24"/>
          <w:szCs w:val="24"/>
          <w:highlight w:val="none"/>
        </w:rPr>
      </w:pPr>
      <w:r>
        <w:rPr>
          <w:rFonts w:hint="default"/>
          <w:color w:val="auto"/>
          <w:sz w:val="24"/>
          <w:szCs w:val="24"/>
          <w:highlight w:val="none"/>
        </w:rPr>
        <w:t>2</w:t>
      </w:r>
      <w:r>
        <w:rPr>
          <w:rFonts w:hint="eastAsia" w:ascii="Times New Roman" w:hAnsi="宋体" w:eastAsia="宋体"/>
          <w:color w:val="auto"/>
          <w:sz w:val="24"/>
          <w:szCs w:val="24"/>
          <w:highlight w:val="none"/>
        </w:rPr>
        <w:t>、供货时间：接学校订购要求，将订购商品送达学校指定地点并提供按宁海县教育信息网上公示要求的供货清单。</w:t>
      </w:r>
    </w:p>
    <w:p w14:paraId="6E45543A">
      <w:pPr>
        <w:spacing w:beforeLines="0" w:afterLines="0" w:line="360" w:lineRule="auto"/>
        <w:ind w:firstLine="448" w:firstLineChars="187"/>
        <w:rPr>
          <w:rFonts w:hint="default"/>
          <w:color w:val="auto"/>
          <w:sz w:val="24"/>
          <w:szCs w:val="24"/>
          <w:highlight w:val="none"/>
        </w:rPr>
      </w:pPr>
      <w:r>
        <w:rPr>
          <w:rFonts w:hint="default"/>
          <w:color w:val="auto"/>
          <w:sz w:val="24"/>
          <w:szCs w:val="24"/>
          <w:highlight w:val="none"/>
        </w:rPr>
        <w:t>3</w:t>
      </w:r>
      <w:r>
        <w:rPr>
          <w:rFonts w:hint="eastAsia" w:ascii="Times New Roman" w:hAnsi="宋体" w:eastAsia="宋体"/>
          <w:color w:val="auto"/>
          <w:sz w:val="24"/>
          <w:szCs w:val="24"/>
          <w:highlight w:val="none"/>
        </w:rPr>
        <w:t>、提供配送商品的检测报告或产品合格证。</w:t>
      </w:r>
    </w:p>
    <w:p w14:paraId="4C01E820">
      <w:pPr>
        <w:spacing w:beforeLines="0" w:afterLines="0" w:line="360" w:lineRule="auto"/>
        <w:ind w:firstLine="448" w:firstLineChars="187"/>
        <w:rPr>
          <w:rFonts w:hint="eastAsia" w:ascii="Times New Roman" w:hAnsi="宋体" w:eastAsia="Times New Roman"/>
          <w:color w:val="auto"/>
          <w:sz w:val="24"/>
          <w:szCs w:val="24"/>
          <w:highlight w:val="none"/>
        </w:rPr>
      </w:pPr>
      <w:r>
        <w:rPr>
          <w:rFonts w:hint="eastAsia" w:ascii="Times New Roman" w:hAnsi="宋体" w:eastAsia="宋体"/>
          <w:color w:val="auto"/>
          <w:sz w:val="24"/>
          <w:szCs w:val="24"/>
          <w:highlight w:val="none"/>
        </w:rPr>
        <w:t>4、在规定时间内与学校签订合同（合同必须经甲方见证后生效），自觉遵守学校相关规章制度，服从校方管理。</w:t>
      </w:r>
    </w:p>
    <w:p w14:paraId="76E9EDF3">
      <w:pPr>
        <w:spacing w:beforeLines="0" w:afterLines="0" w:line="360" w:lineRule="auto"/>
        <w:ind w:firstLine="448" w:firstLineChars="187"/>
        <w:rPr>
          <w:rFonts w:hint="default"/>
          <w:color w:val="auto"/>
          <w:sz w:val="24"/>
          <w:szCs w:val="24"/>
          <w:highlight w:val="none"/>
        </w:rPr>
      </w:pPr>
      <w:r>
        <w:rPr>
          <w:rFonts w:hint="eastAsia" w:ascii="Times New Roman" w:hAnsi="宋体" w:eastAsia="宋体"/>
          <w:color w:val="auto"/>
          <w:sz w:val="24"/>
          <w:szCs w:val="24"/>
          <w:highlight w:val="none"/>
        </w:rPr>
        <w:t>5、严格遵守《中华人民共和国食品安全法》和《中华人民共和国动物防疫法》等相关规定，如发现供应以下食品，除全部退货外，将取消乙方的供货资格，将扣除全部履约保证金，并承担由此造成的经济责任和法律责任：</w:t>
      </w:r>
    </w:p>
    <w:p w14:paraId="07B8F688">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（1）腐败变质、油脂酸败、霉变、生虫、污秽不洁、混有异物或者其他感官性状异常，对人体健康有害的；</w:t>
      </w:r>
    </w:p>
    <w:p w14:paraId="16E79F51">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（2）含有毒、有害物质或者被有害物质污染，对人体健康有害的；</w:t>
      </w:r>
    </w:p>
    <w:p w14:paraId="4C961DFC">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（3）含有致病性寄生虫、微生物或者微生物含量超过国家限定标准的；</w:t>
      </w:r>
    </w:p>
    <w:p w14:paraId="2782404C">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（4）未经动物检疫部门检疫、检验或者检疫、检验不合格的肉类及其制品；</w:t>
      </w:r>
    </w:p>
    <w:p w14:paraId="538B1A9A">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（5）病死、毒死或者死因不明的动物等及其制品；</w:t>
      </w:r>
    </w:p>
    <w:p w14:paraId="06D36E01">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（6）掺假、掺杂、伪造</w:t>
      </w:r>
      <w:r>
        <w:rPr>
          <w:rFonts w:hint="eastAsia" w:ascii="宋体" w:hAnsi="宋体"/>
          <w:color w:val="auto"/>
          <w:sz w:val="24"/>
          <w:szCs w:val="24"/>
          <w:highlight w:val="none"/>
          <w:lang w:val="en-US" w:eastAsia="zh-CN"/>
        </w:rPr>
        <w:t>以及</w:t>
      </w:r>
      <w:r>
        <w:rPr>
          <w:rFonts w:hint="eastAsia" w:ascii="宋体" w:hAnsi="宋体" w:eastAsia="宋体"/>
          <w:color w:val="auto"/>
          <w:sz w:val="24"/>
          <w:szCs w:val="24"/>
          <w:highlight w:val="none"/>
        </w:rPr>
        <w:t>影响营养、卫生的；</w:t>
      </w:r>
    </w:p>
    <w:p w14:paraId="08800A78">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（7）用非食品原料加工的，加入非食品用化学物质或者将非食品当作食品的；</w:t>
      </w:r>
    </w:p>
    <w:p w14:paraId="18406AA3">
      <w:pPr>
        <w:spacing w:beforeLines="0" w:afterLines="0" w:line="360" w:lineRule="auto"/>
        <w:ind w:firstLine="393" w:firstLineChars="164"/>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（8）超过保质期限的。</w:t>
      </w:r>
    </w:p>
    <w:p w14:paraId="28BA6278">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甲方与乙方在投标及履行协议过程中，必须遵守《中华人民共和国反不正当竞争法》、《中华人民共和国消费者权益保护法》、《中华人民共和国民法典》及相关的国家法律、法规，如有违法行为，按法律法规相关规定予以处罚。</w:t>
      </w:r>
    </w:p>
    <w:p w14:paraId="5471F493">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7、乙方须随时无条件接受</w:t>
      </w:r>
      <w:r>
        <w:rPr>
          <w:rFonts w:hint="eastAsia" w:ascii="Times New Roman" w:hAnsi="宋体" w:eastAsia="宋体"/>
          <w:color w:val="auto"/>
          <w:sz w:val="24"/>
          <w:szCs w:val="24"/>
          <w:highlight w:val="none"/>
        </w:rPr>
        <w:t>宁海县</w:t>
      </w:r>
      <w:r>
        <w:rPr>
          <w:rFonts w:hint="eastAsia" w:ascii="宋体" w:hAnsi="宋体" w:eastAsia="宋体"/>
          <w:color w:val="auto"/>
          <w:sz w:val="24"/>
          <w:szCs w:val="24"/>
          <w:highlight w:val="none"/>
        </w:rPr>
        <w:t>有关监督部门对定点供货产品质量，价格等的抽查和检查。如违反承诺自愿接受处罚；情节严重的，将由甲方扣除履约保证金并取消乙方资格。</w:t>
      </w:r>
    </w:p>
    <w:p w14:paraId="6A1401D0">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8、在协议履行过程中，如乙方可以提供更优的服务解决方案，则以乙方的方案为准。</w:t>
      </w:r>
    </w:p>
    <w:p w14:paraId="2498EA19">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9、乙方要有立足于为学校服务的良好思想，对食品生产经营管理有总体设想和具体措施，有健全的规章制度（如：人事管理工作、安全防患、卫生保障、文明服务、食品来源安全追溯等制度）。</w:t>
      </w:r>
    </w:p>
    <w:p w14:paraId="7A7C0F3E">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10、乙方必须建立并严格执行各项食品安全管理制度，如食品卫生安全承诺、食品准入质量查验、食品进货检查验收、食品准入台账登记、从业人员健康管理、消费投诉处理以及不合格食品下柜、召回、销毁等，参与食品配送的工作人员必须持健康证上岗。</w:t>
      </w:r>
    </w:p>
    <w:p w14:paraId="15450A5A">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11、乙方必须按规定索取所经销食品的生产企业（或供应商）的营业执照、</w:t>
      </w:r>
      <w:r>
        <w:rPr>
          <w:rFonts w:hint="eastAsia" w:ascii="宋体" w:hAnsi="宋体" w:eastAsia="宋体" w:cs="宋体"/>
          <w:color w:val="auto"/>
          <w:sz w:val="24"/>
          <w:szCs w:val="24"/>
          <w:highlight w:val="none"/>
        </w:rPr>
        <w:t>食品经营许可证</w:t>
      </w:r>
      <w:r>
        <w:rPr>
          <w:rFonts w:hint="eastAsia" w:ascii="宋体" w:hAnsi="宋体" w:eastAsia="宋体"/>
          <w:color w:val="auto"/>
          <w:sz w:val="24"/>
          <w:szCs w:val="24"/>
          <w:highlight w:val="none"/>
        </w:rPr>
        <w:t>、食品质量安全有效检验报告、食品包装上所明示的各类荣誉证书等其他有效证明，索证率达100%，建立食品来源安全追溯制度。</w:t>
      </w:r>
    </w:p>
    <w:p w14:paraId="03761E43">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12、乳制品企业应实施食品生产许可（SC标志）和通过食品安全管理体系（HACCP管理体系）认证以及学生奶奶源升级计划的要求。按照《乳制品良好生产规范GB 12693-2023》、《灭菌乳GB25190-2010》、《调制乳GB25191-2010》等国家标准和农业部的NY/T939-2016《巴氏杀菌乳和UHT灭菌乳中复原乳的鉴定》农业行业标准组织生产。经乳品加工专家组对技术文件、生产设备、质量管理、卫生管理和人员素质等项测评，取得合格资格。</w:t>
      </w:r>
    </w:p>
    <w:p w14:paraId="3F95BAE9">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13、乙方必须保证配送的食品从正规渠道采购，具有工商、质监及卫生部门认可的检验合格证书或检测报告；所供肉类必须经农业</w:t>
      </w:r>
      <w:r>
        <w:rPr>
          <w:rFonts w:hint="eastAsia" w:ascii="宋体" w:hAnsi="宋体"/>
          <w:color w:val="auto"/>
          <w:sz w:val="24"/>
          <w:szCs w:val="24"/>
          <w:highlight w:val="none"/>
          <w:lang w:val="en-US" w:eastAsia="zh-CN"/>
        </w:rPr>
        <w:t>农村</w:t>
      </w:r>
      <w:r>
        <w:rPr>
          <w:rFonts w:hint="eastAsia" w:ascii="宋体" w:hAnsi="宋体" w:eastAsia="宋体"/>
          <w:color w:val="auto"/>
          <w:sz w:val="24"/>
          <w:szCs w:val="24"/>
          <w:highlight w:val="none"/>
        </w:rPr>
        <w:t>检验部门检验检疫合格，并加盖检验印戳，做到肉色新鲜，无变质现象；所供蔬菜符合国家有关标准，并做到每批次均经检验，四十八小时留样备查；生熟食品必须按照食品卫生安全相关要求分类仓储保鲜，分类包装送货；严禁销售“三无”食品、有毒有害、过期变质、假冒伪劣等不合格食品；严禁销售区域特供牛奶及其奶制品。</w:t>
      </w:r>
    </w:p>
    <w:p w14:paraId="75C92DC3">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乙方必须按各有关学校下达的配送数量，及时保质、保量完成配送任务，并附本次食品安全检测报告及配送单据（使用单据格式、内容由甲方统一指定，一式三联，验收签字后一张留食堂记台账，一张作为月底结账凭据），不无故推诿或缓送，确保学校食堂正常运行。</w:t>
      </w:r>
    </w:p>
    <w:p w14:paraId="45A5AB49">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15、乙方必须根据甲方的统一要求实行食堂财务电子化管理，并按要求做好网络申报、电子结算。</w:t>
      </w:r>
    </w:p>
    <w:p w14:paraId="2B1F63B8">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16、乙方要加强自律、诚实守信、依法经营，并自觉接受各有关职能部门、学校的监督检查。</w:t>
      </w:r>
    </w:p>
    <w:p w14:paraId="0295FDD9">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s="Times New Roman"/>
          <w:color w:val="auto"/>
          <w:sz w:val="24"/>
          <w:szCs w:val="24"/>
          <w:highlight w:val="none"/>
        </w:rPr>
        <w:t>17</w:t>
      </w:r>
      <w:r>
        <w:rPr>
          <w:rFonts w:hint="eastAsia" w:ascii="宋体" w:hAnsi="宋体" w:eastAsia="宋体"/>
          <w:color w:val="auto"/>
          <w:sz w:val="24"/>
          <w:szCs w:val="24"/>
          <w:highlight w:val="none"/>
        </w:rPr>
        <w:t>、乙方应当按照协议约定履行义务，完成中标项目。</w:t>
      </w:r>
    </w:p>
    <w:p w14:paraId="25DC87B2">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18、乙方不得将部分标项或全部标项交由他人承担，一经发现有违规现象取消其乙方资格，扣除其全部履约保证金，并在三年内禁止其参加宁海县学校食堂食品定点采购活动。</w:t>
      </w:r>
    </w:p>
    <w:p w14:paraId="16471F3A">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19、实行配送单位退出制度。凡有下列情况之一的，甲方可无条件取消乙方学校食堂食品原材料统一配送资格：</w:t>
      </w:r>
    </w:p>
    <w:p w14:paraId="2D7F3A84">
      <w:pPr>
        <w:widowControl/>
        <w:adjustRightInd w:val="0"/>
        <w:snapToGrid w:val="0"/>
        <w:spacing w:beforeLines="0" w:afterLines="0" w:line="360" w:lineRule="auto"/>
        <w:ind w:firstLine="530" w:firstLineChars="221"/>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（1）因配送食品质量问题引发食品安全事故； </w:t>
      </w:r>
    </w:p>
    <w:p w14:paraId="49ADFDA9">
      <w:pPr>
        <w:widowControl/>
        <w:adjustRightInd w:val="0"/>
        <w:snapToGrid w:val="0"/>
        <w:spacing w:beforeLines="0" w:afterLines="0" w:line="360" w:lineRule="auto"/>
        <w:ind w:firstLine="530" w:firstLineChars="221"/>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（2）配送单位存在严重安全隐患整改不到位；</w:t>
      </w:r>
    </w:p>
    <w:p w14:paraId="6BF0BBFA">
      <w:pPr>
        <w:widowControl/>
        <w:adjustRightInd w:val="0"/>
        <w:snapToGrid w:val="0"/>
        <w:spacing w:beforeLines="0" w:afterLines="0" w:line="360" w:lineRule="auto"/>
        <w:ind w:firstLine="530" w:firstLineChars="221"/>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（3）在同一年度内因配送单位配送假冒伪劣食品行为两次以上的；</w:t>
      </w:r>
    </w:p>
    <w:p w14:paraId="02E56D22">
      <w:pPr>
        <w:widowControl/>
        <w:adjustRightInd w:val="0"/>
        <w:snapToGrid w:val="0"/>
        <w:spacing w:beforeLines="0" w:afterLines="0" w:line="360" w:lineRule="auto"/>
        <w:ind w:firstLine="530" w:firstLineChars="221"/>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（4）因存在不廉洁行为等造成不良社会影响的。</w:t>
      </w:r>
      <w:r>
        <w:rPr>
          <w:rFonts w:hint="eastAsia" w:ascii="宋体" w:hAnsi="宋体" w:eastAsia="宋体"/>
          <w:color w:val="auto"/>
          <w:sz w:val="24"/>
          <w:szCs w:val="24"/>
          <w:highlight w:val="none"/>
        </w:rPr>
        <w:tab/>
      </w:r>
    </w:p>
    <w:p w14:paraId="72E3F19C">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20、在定点采购协议有效期内，当出现乙方被取消资格或乙方因故不能履行定点配送服务的，甲方将扣除乙方的全部履约保证金（法定免责情形除外），并记录不良行为禁止其三年内参与宁海县教育系统相关采购活动。 </w:t>
      </w:r>
    </w:p>
    <w:p w14:paraId="6B1F8A47">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21、乙方每季度以书面形式向甲方提供一个季度所供商品品种、数量、均价、总价。由甲方进行监督。</w:t>
      </w:r>
    </w:p>
    <w:p w14:paraId="2459A4AB">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22、甲方不保证乙方的销量或营业额。</w:t>
      </w:r>
    </w:p>
    <w:p w14:paraId="1E26C40F">
      <w:pPr>
        <w:spacing w:beforeLines="0" w:afterLines="0" w:line="360" w:lineRule="auto"/>
        <w:ind w:firstLine="448" w:firstLineChars="187"/>
        <w:rPr>
          <w:rFonts w:hint="default"/>
          <w:color w:val="auto"/>
          <w:sz w:val="24"/>
          <w:szCs w:val="24"/>
          <w:highlight w:val="none"/>
        </w:rPr>
      </w:pPr>
      <w:r>
        <w:rPr>
          <w:rFonts w:hint="eastAsia" w:ascii="宋体" w:hAnsi="宋体" w:eastAsia="宋体"/>
          <w:color w:val="auto"/>
          <w:sz w:val="24"/>
          <w:szCs w:val="24"/>
          <w:highlight w:val="none"/>
        </w:rPr>
        <w:t>23、乙方向甲方缴纳</w:t>
      </w:r>
      <w:r>
        <w:rPr>
          <w:rFonts w:hint="eastAsia" w:ascii="宋体" w:hAnsi="宋体"/>
          <w:b/>
          <w:color w:val="auto"/>
          <w:sz w:val="24"/>
          <w:szCs w:val="24"/>
          <w:highlight w:val="none"/>
          <w:lang w:val="en-US" w:eastAsia="zh-CN"/>
        </w:rPr>
        <w:t xml:space="preserve">       </w:t>
      </w:r>
      <w:r>
        <w:rPr>
          <w:rFonts w:hint="eastAsia" w:ascii="宋体" w:hAnsi="宋体" w:eastAsia="宋体"/>
          <w:b/>
          <w:color w:val="auto"/>
          <w:sz w:val="24"/>
          <w:szCs w:val="24"/>
          <w:highlight w:val="none"/>
        </w:rPr>
        <w:t>万元</w:t>
      </w:r>
      <w:r>
        <w:rPr>
          <w:rFonts w:hint="eastAsia" w:ascii="宋体" w:hAnsi="宋体" w:eastAsia="宋体"/>
          <w:color w:val="auto"/>
          <w:sz w:val="24"/>
          <w:szCs w:val="24"/>
          <w:highlight w:val="none"/>
        </w:rPr>
        <w:t>的履约保证金。剩余履约保证金在定点采购协议期满30天内或在定点配送有效期内配送的所有货物质量法定的保证期期满后无息退</w:t>
      </w:r>
      <w:r>
        <w:rPr>
          <w:rFonts w:hint="eastAsia" w:eastAsia="宋体"/>
          <w:color w:val="auto"/>
          <w:sz w:val="24"/>
          <w:szCs w:val="24"/>
          <w:highlight w:val="none"/>
        </w:rPr>
        <w:t>还</w:t>
      </w:r>
      <w:r>
        <w:rPr>
          <w:rFonts w:hint="eastAsia" w:ascii="宋体" w:hAnsi="宋体" w:eastAsia="宋体"/>
          <w:color w:val="auto"/>
          <w:sz w:val="24"/>
          <w:szCs w:val="24"/>
          <w:highlight w:val="none"/>
        </w:rPr>
        <w:t>。</w:t>
      </w:r>
    </w:p>
    <w:p w14:paraId="64078684">
      <w:pPr>
        <w:tabs>
          <w:tab w:val="left" w:pos="0"/>
        </w:tabs>
        <w:spacing w:beforeLines="0" w:afterLines="0" w:line="360" w:lineRule="auto"/>
        <w:ind w:firstLine="420"/>
        <w:rPr>
          <w:rFonts w:hint="default"/>
          <w:color w:val="auto"/>
          <w:sz w:val="24"/>
          <w:szCs w:val="24"/>
          <w:highlight w:val="none"/>
        </w:rPr>
      </w:pPr>
      <w:r>
        <w:rPr>
          <w:rFonts w:hint="eastAsia" w:ascii="Times New Roman" w:hAnsi="宋体" w:eastAsia="宋体"/>
          <w:color w:val="auto"/>
          <w:sz w:val="24"/>
          <w:szCs w:val="24"/>
          <w:highlight w:val="none"/>
        </w:rPr>
        <w:t>二、结算货款及方式：</w:t>
      </w:r>
    </w:p>
    <w:p w14:paraId="31DC3F14">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1、产品价格的约定：</w:t>
      </w:r>
    </w:p>
    <w:p w14:paraId="6E7D1F2B">
      <w:pPr>
        <w:spacing w:beforeLines="0" w:afterLines="0"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（1）指导价格</w:t>
      </w:r>
      <w:r>
        <w:rPr>
          <w:rFonts w:hint="eastAsia" w:ascii="宋体" w:hAnsi="宋体"/>
          <w:color w:val="auto"/>
          <w:sz w:val="24"/>
          <w:szCs w:val="24"/>
          <w:highlight w:val="none"/>
          <w:lang w:eastAsia="zh-CN"/>
        </w:rPr>
        <w:t>：</w:t>
      </w:r>
    </w:p>
    <w:p w14:paraId="4D548E43">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次招标配送项目中所包含的食品原材料价格每周确定一次，该周内的市场价格不论涨跌均按所确定的价格结算。产品所报投标折扣系数依据的基准价为：每周一宁海县教育服务管理中心向供应商和各学校提供本周（本批次）货物市场零售指导价。</w:t>
      </w:r>
    </w:p>
    <w:p w14:paraId="0CA7AE24">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（2）结算价格：</w:t>
      </w:r>
    </w:p>
    <w:p w14:paraId="53C1F4A7">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各学校采价组根据市场实际采集确定本周（本批次）的最终市场零售价，作为结算基准价（学校结算基准价不得超过服务中心提供的指导价）</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如学校与配送企业出现价格纠纷由宁海县教育服务管理中心出面协调确定基准价。</w:t>
      </w:r>
    </w:p>
    <w:p w14:paraId="567AB604">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市场零售价确定方法：以宁海跃龙、兴海、邻里等综合市场的平均零售价为准，如上述市场没有此种商品的，则调查范围扩大为大市范围内。禁止配送无市场实际零售商品或专供产品。</w:t>
      </w:r>
    </w:p>
    <w:p w14:paraId="2C6431D3">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学校每周四下午2时前向配送企业报送下周的定货清单，各配送企业在每周一（每批次）确定本周（本批次）定货清单中的食品原料的建议零售价目表，同时在货物送达学校的清单上注明各食品原料的建议零售价。</w:t>
      </w:r>
    </w:p>
    <w:p w14:paraId="7D338EBF">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）如遇法定节假日，当周配送天数少于3天（含3天）的，按最近一周的结算价进行结算。</w:t>
      </w:r>
    </w:p>
    <w:p w14:paraId="0CD92DD2">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）各类食品协议结算价：协议结算价=结算基准价（由各学校采集确定）×</w:t>
      </w:r>
      <w:r>
        <w:rPr>
          <w:rFonts w:hint="eastAsia" w:ascii="宋体" w:hAnsi="宋体"/>
          <w:color w:val="auto"/>
          <w:sz w:val="24"/>
          <w:szCs w:val="24"/>
          <w:highlight w:val="none"/>
          <w:lang w:eastAsia="zh-CN"/>
        </w:rPr>
        <w:t>协议执行折扣系数</w:t>
      </w:r>
      <w:r>
        <w:rPr>
          <w:rFonts w:hint="eastAsia" w:ascii="宋体" w:hAnsi="宋体" w:eastAsia="宋体"/>
          <w:color w:val="auto"/>
          <w:sz w:val="24"/>
          <w:szCs w:val="24"/>
          <w:highlight w:val="none"/>
        </w:rPr>
        <w:t>，其中</w:t>
      </w:r>
      <w:r>
        <w:rPr>
          <w:rFonts w:hint="eastAsia" w:ascii="宋体" w:hAnsi="宋体"/>
          <w:color w:val="auto"/>
          <w:sz w:val="24"/>
          <w:szCs w:val="24"/>
          <w:highlight w:val="none"/>
          <w:lang w:eastAsia="zh-CN"/>
        </w:rPr>
        <w:t>协议执行折扣系数</w:t>
      </w:r>
      <w:r>
        <w:rPr>
          <w:rFonts w:hint="eastAsia" w:ascii="宋体" w:hAnsi="宋体" w:eastAsia="宋体"/>
          <w:color w:val="auto"/>
          <w:sz w:val="24"/>
          <w:szCs w:val="24"/>
          <w:highlight w:val="none"/>
        </w:rPr>
        <w:t>为：所有中标人中该类别食品原材料的</w:t>
      </w:r>
      <w:r>
        <w:rPr>
          <w:rFonts w:hint="eastAsia" w:ascii="宋体" w:hAnsi="宋体"/>
          <w:color w:val="auto"/>
          <w:sz w:val="24"/>
          <w:szCs w:val="24"/>
          <w:highlight w:val="none"/>
          <w:lang w:val="en-US" w:eastAsia="zh-CN"/>
        </w:rPr>
        <w:t>最低</w:t>
      </w:r>
      <w:r>
        <w:rPr>
          <w:rFonts w:hint="eastAsia" w:ascii="宋体" w:hAnsi="宋体" w:eastAsia="宋体"/>
          <w:color w:val="auto"/>
          <w:sz w:val="24"/>
          <w:szCs w:val="24"/>
          <w:highlight w:val="none"/>
        </w:rPr>
        <w:t>投标</w:t>
      </w:r>
      <w:r>
        <w:rPr>
          <w:rFonts w:hint="eastAsia" w:ascii="宋体" w:hAnsi="宋体"/>
          <w:color w:val="auto"/>
          <w:sz w:val="24"/>
          <w:szCs w:val="24"/>
          <w:highlight w:val="none"/>
          <w:lang w:val="en-US" w:eastAsia="zh-CN"/>
        </w:rPr>
        <w:t>折扣系数</w:t>
      </w:r>
      <w:r>
        <w:rPr>
          <w:rFonts w:hint="eastAsia" w:ascii="宋体" w:hAnsi="宋体" w:eastAsia="宋体"/>
          <w:color w:val="auto"/>
          <w:sz w:val="24"/>
          <w:szCs w:val="24"/>
          <w:highlight w:val="none"/>
        </w:rPr>
        <w:t>（四舍五入，保留小数点后一位）。</w:t>
      </w:r>
    </w:p>
    <w:p w14:paraId="1693EC73">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）各类食品中标</w:t>
      </w:r>
      <w:r>
        <w:rPr>
          <w:rFonts w:hint="eastAsia" w:ascii="宋体" w:hAnsi="宋体"/>
          <w:color w:val="auto"/>
          <w:sz w:val="24"/>
          <w:szCs w:val="24"/>
          <w:highlight w:val="none"/>
          <w:lang w:val="en-US" w:eastAsia="zh-CN"/>
        </w:rPr>
        <w:t>折扣系数</w:t>
      </w:r>
      <w:r>
        <w:rPr>
          <w:rFonts w:hint="eastAsia" w:ascii="宋体" w:hAnsi="宋体" w:eastAsia="宋体"/>
          <w:color w:val="auto"/>
          <w:sz w:val="24"/>
          <w:szCs w:val="24"/>
          <w:highlight w:val="none"/>
        </w:rPr>
        <w:t>：鲜肉类：  %，蛋类：  %，鲜蔬类：  %，</w:t>
      </w:r>
      <w:r>
        <w:rPr>
          <w:rFonts w:hint="eastAsia" w:ascii="宋体" w:hAnsi="宋体" w:eastAsia="宋体" w:cs="宋体"/>
          <w:color w:val="auto"/>
          <w:sz w:val="24"/>
          <w:szCs w:val="24"/>
          <w:highlight w:val="none"/>
        </w:rPr>
        <w:t>鲜虾类：</w:t>
      </w:r>
      <w:r>
        <w:rPr>
          <w:rFonts w:hint="eastAsia" w:ascii="宋体" w:hAnsi="宋体" w:eastAsia="宋体"/>
          <w:color w:val="auto"/>
          <w:sz w:val="24"/>
          <w:szCs w:val="24"/>
          <w:highlight w:val="none"/>
        </w:rPr>
        <w:t xml:space="preserve">  %，水产类：  %，豆制品类：  %，佐料类：  %水果类：  %，其他类：  %。</w:t>
      </w:r>
    </w:p>
    <w:p w14:paraId="0938F285">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2、货款结算方式：货款每月一结，需提供正式销售发票结算。</w:t>
      </w:r>
    </w:p>
    <w:p w14:paraId="3A737213">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货款结算总金额=各类食品的</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基准价×数量×合同执行折扣系数</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的总和。</w:t>
      </w:r>
    </w:p>
    <w:p w14:paraId="0B491BEF">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3、乙方必须在甲方指定的平台（宁海县中小学食堂原材料采购平台）与学校进行商品的报价、议价、结算。</w:t>
      </w:r>
    </w:p>
    <w:p w14:paraId="5A79390A">
      <w:pPr>
        <w:spacing w:beforeLines="0" w:afterLines="0" w:line="360" w:lineRule="auto"/>
        <w:ind w:firstLine="448" w:firstLineChars="187"/>
        <w:rPr>
          <w:rFonts w:hint="eastAsia" w:ascii="Times New Roman" w:hAnsi="宋体" w:eastAsia="Times New Roman"/>
          <w:color w:val="auto"/>
          <w:sz w:val="24"/>
          <w:szCs w:val="24"/>
          <w:highlight w:val="none"/>
        </w:rPr>
      </w:pPr>
      <w:r>
        <w:rPr>
          <w:rFonts w:hint="eastAsia" w:ascii="宋体" w:hAnsi="宋体" w:eastAsia="宋体"/>
          <w:color w:val="auto"/>
          <w:sz w:val="24"/>
          <w:szCs w:val="24"/>
          <w:highlight w:val="none"/>
        </w:rPr>
        <w:t>4、</w:t>
      </w:r>
      <w:r>
        <w:rPr>
          <w:rFonts w:hint="eastAsia" w:eastAsia="宋体"/>
          <w:color w:val="auto"/>
          <w:sz w:val="24"/>
          <w:szCs w:val="24"/>
          <w:highlight w:val="none"/>
        </w:rPr>
        <w:t>如乙方与学校发生纠纷，甲方负责协调。</w:t>
      </w:r>
    </w:p>
    <w:p w14:paraId="4A9198B5">
      <w:pPr>
        <w:tabs>
          <w:tab w:val="left" w:pos="0"/>
        </w:tabs>
        <w:spacing w:beforeLines="0" w:afterLines="0" w:line="360" w:lineRule="auto"/>
        <w:ind w:firstLine="420"/>
        <w:rPr>
          <w:rFonts w:hint="default"/>
          <w:color w:val="auto"/>
          <w:sz w:val="24"/>
          <w:szCs w:val="24"/>
          <w:highlight w:val="none"/>
        </w:rPr>
      </w:pPr>
      <w:r>
        <w:rPr>
          <w:rFonts w:hint="eastAsia" w:ascii="Times New Roman" w:hAnsi="宋体" w:eastAsia="宋体"/>
          <w:color w:val="auto"/>
          <w:sz w:val="24"/>
          <w:szCs w:val="24"/>
          <w:highlight w:val="none"/>
        </w:rPr>
        <w:t>三、违约责任：</w:t>
      </w:r>
    </w:p>
    <w:p w14:paraId="1A24002D">
      <w:pPr>
        <w:tabs>
          <w:tab w:val="left" w:pos="0"/>
        </w:tabs>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1、项目品控：</w:t>
      </w:r>
    </w:p>
    <w:p w14:paraId="70E8245E">
      <w:pPr>
        <w:numPr>
          <w:ilvl w:val="0"/>
          <w:numId w:val="0"/>
        </w:numPr>
        <w:spacing w:beforeLines="0" w:afterLines="0" w:line="360" w:lineRule="auto"/>
        <w:ind w:left="210" w:leftChars="100" w:firstLine="480" w:firstLineChars="200"/>
        <w:jc w:val="left"/>
        <w:rPr>
          <w:rFonts w:hint="eastAsia"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1.1质量控制：乙方每周</w:t>
      </w:r>
      <w:r>
        <w:rPr>
          <w:rFonts w:hint="eastAsia" w:ascii="Times New Roman" w:hAnsi="Times New Roman" w:eastAsia="宋体" w:cs="Times New Roman"/>
          <w:color w:val="auto"/>
          <w:sz w:val="24"/>
          <w:szCs w:val="24"/>
          <w:highlight w:val="none"/>
        </w:rPr>
        <w:t>提供的配送商品质量需符合招标文件、《中华人民共和国食品安全法》及属地相关法律法规要求。如果在三年内的抽查中发现配送商品质量不合格的，经宁海县教育服务管理中心核实，第一次扣履约保证金50000元，第二次扣履约保证金80000元，第三次扣履约保证金100000元，第四次扣完所有履约保证金并解除定点采购协议。</w:t>
      </w:r>
    </w:p>
    <w:p w14:paraId="045FD84E">
      <w:pPr>
        <w:numPr>
          <w:ilvl w:val="0"/>
          <w:numId w:val="0"/>
        </w:numPr>
        <w:spacing w:beforeLines="0" w:afterLines="0" w:line="360" w:lineRule="auto"/>
        <w:ind w:left="210" w:leftChars="100" w:firstLine="480" w:firstLineChars="200"/>
        <w:jc w:val="left"/>
        <w:rPr>
          <w:rFonts w:hint="eastAsia"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1.2价格控制：乙方每周提供的配送商品报价不得高于当时当地物价部门提供的同一等级产品市场零售价格，且不得高于其他</w:t>
      </w:r>
      <w:r>
        <w:rPr>
          <w:rFonts w:hint="eastAsia" w:ascii="Times New Roman" w:hAnsi="Times New Roman" w:eastAsia="宋体" w:cs="Times New Roman"/>
          <w:color w:val="auto"/>
          <w:sz w:val="24"/>
          <w:szCs w:val="24"/>
          <w:highlight w:val="none"/>
        </w:rPr>
        <w:t>任何非政府采购及学校执行采购的价格（实际购供价格）。如果在抽查中发现商品报价超出当日市场采价平均价的，每一种商品发现一次扣履约保证金2000元，有二种的扣履约保证金4000元，以此类推。并以市场采价平均价与学校重新结算，经查未重新结算的，按超出部分3倍处罚。</w:t>
      </w:r>
    </w:p>
    <w:p w14:paraId="515C0BDA">
      <w:pPr>
        <w:numPr>
          <w:ilvl w:val="0"/>
          <w:numId w:val="0"/>
        </w:numPr>
        <w:spacing w:beforeLines="0" w:afterLines="0" w:line="360" w:lineRule="auto"/>
        <w:ind w:left="210" w:leftChars="100" w:firstLine="480" w:firstLineChars="200"/>
        <w:jc w:val="left"/>
        <w:rPr>
          <w:rFonts w:hint="eastAsia" w:ascii="Times New Roman" w:hAnsi="Times New Roman" w:eastAsia="Times New Roman" w:cs="Times New Roman"/>
          <w:color w:val="auto"/>
          <w:sz w:val="24"/>
          <w:szCs w:val="24"/>
          <w:highlight w:val="none"/>
        </w:rPr>
      </w:pPr>
      <w:r>
        <w:rPr>
          <w:rFonts w:hint="eastAsia" w:ascii="宋体" w:hAnsi="宋体" w:eastAsia="宋体" w:cs="Times New Roman"/>
          <w:color w:val="auto"/>
          <w:sz w:val="24"/>
          <w:szCs w:val="24"/>
          <w:highlight w:val="none"/>
        </w:rPr>
        <w:t>1.3服</w:t>
      </w:r>
      <w:r>
        <w:rPr>
          <w:rFonts w:hint="eastAsia" w:ascii="Times New Roman" w:hAnsi="Times New Roman" w:eastAsia="宋体" w:cs="Times New Roman"/>
          <w:color w:val="auto"/>
          <w:sz w:val="24"/>
          <w:szCs w:val="24"/>
          <w:highlight w:val="none"/>
        </w:rPr>
        <w:t>务控制：乙方提供的配送服务未达到学校配送要求的。经学校上报，并由甲方核实，一经</w:t>
      </w:r>
      <w:r>
        <w:rPr>
          <w:rFonts w:hint="eastAsia" w:ascii="宋体" w:hAnsi="宋体" w:eastAsia="宋体" w:cs="Times New Roman"/>
          <w:color w:val="auto"/>
          <w:sz w:val="24"/>
          <w:szCs w:val="24"/>
          <w:highlight w:val="none"/>
        </w:rPr>
        <w:t>查实</w:t>
      </w:r>
      <w:r>
        <w:rPr>
          <w:rFonts w:hint="eastAsia" w:ascii="Times New Roman" w:hAnsi="Times New Roman" w:eastAsia="宋体" w:cs="Times New Roman"/>
          <w:color w:val="auto"/>
          <w:sz w:val="24"/>
          <w:szCs w:val="24"/>
          <w:highlight w:val="none"/>
        </w:rPr>
        <w:t>，第一次扣履约保证金3000元，第二次扣履约保证金6000元。若二次均发生在同一学校的，甲方有权取消其该学校配送资格。</w:t>
      </w:r>
    </w:p>
    <w:p w14:paraId="19702C2E">
      <w:pPr>
        <w:tabs>
          <w:tab w:val="left" w:pos="0"/>
        </w:tabs>
        <w:spacing w:beforeLines="0" w:afterLines="0" w:line="360" w:lineRule="auto"/>
        <w:ind w:leftChars="100"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1.4如因品控问题，取消配送资格的学校由甲方从其他中标配送单位中抽签决定配送单位。</w:t>
      </w:r>
    </w:p>
    <w:p w14:paraId="500E228F">
      <w:pPr>
        <w:tabs>
          <w:tab w:val="left" w:pos="0"/>
        </w:tabs>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2、乙方未在甲方指定的平台（宁海县中小学食堂原材料采购平台）按时与学校进行商品的报价、议价、结算，发现一次扣履约保证金1000元。</w:t>
      </w:r>
    </w:p>
    <w:p w14:paraId="41588566">
      <w:pPr>
        <w:tabs>
          <w:tab w:val="left" w:pos="0"/>
        </w:tabs>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乙方每周提供的配送商品报价需严格执行合同折扣系数，经查未执行的，第一次扣履约保证金10000元，第二次抽查发现有以上现象的扣履约保证金50000元，第三次抽查发现解除定点采购协议。如乙方对惩处有异议的，由宁海县教育服务管理中心组织听证，听证人员由学校代表、家长代表、市场监督部门及纪监部门代表等组成。</w:t>
      </w:r>
    </w:p>
    <w:p w14:paraId="5F6101A1">
      <w:pPr>
        <w:tabs>
          <w:tab w:val="left" w:pos="0"/>
        </w:tabs>
        <w:spacing w:beforeLines="0" w:afterLines="0" w:line="360" w:lineRule="auto"/>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宁海县相关监督部门对乙方进行定期或不定期抽查，提高对所供食品的监督检验频率，发现乙方有不良行为或违反招标文件和投标文件中的服务承诺规定的，情节严重，一经查实，第一次扣除50%的履约保证金，第二次扣除所有的履约保证金，取消定点采购资格，三年内不得参加宁海县中小学食堂定点采购招标活动；对所供食品抽验不合格的，每种商品扣履约保证金3000元，直至扣完履约保证金，取消定点采购资格，三年内不得参加宁海县中小学食品定点采购招标活动。</w:t>
      </w:r>
    </w:p>
    <w:p w14:paraId="15489177">
      <w:pPr>
        <w:tabs>
          <w:tab w:val="left" w:pos="0"/>
        </w:tabs>
        <w:spacing w:beforeLines="0" w:afterLines="0" w:line="360" w:lineRule="auto"/>
        <w:ind w:firstLine="420"/>
        <w:rPr>
          <w:rFonts w:hint="default"/>
          <w:color w:val="auto"/>
          <w:sz w:val="24"/>
          <w:szCs w:val="24"/>
          <w:highlight w:val="none"/>
        </w:rPr>
      </w:pPr>
      <w:r>
        <w:rPr>
          <w:rFonts w:hint="eastAsia" w:ascii="宋体" w:hAnsi="宋体" w:eastAsia="宋体"/>
          <w:color w:val="auto"/>
          <w:sz w:val="24"/>
          <w:szCs w:val="24"/>
          <w:highlight w:val="none"/>
        </w:rPr>
        <w:t>5、乙方配送冷冻品、牛奶未在准入目录中的，一经查实，第一次扣履约保证金5000元，第二次扣履约保证金10000元，以此类推。</w:t>
      </w:r>
    </w:p>
    <w:p w14:paraId="065D2A2A">
      <w:pPr>
        <w:tabs>
          <w:tab w:val="left" w:pos="0"/>
        </w:tabs>
        <w:spacing w:beforeLines="0" w:afterLines="0" w:line="360" w:lineRule="auto"/>
        <w:ind w:firstLine="420"/>
        <w:rPr>
          <w:rFonts w:hint="eastAsia" w:ascii="Tahoma" w:hAnsi="Tahoma" w:eastAsia="宋体"/>
          <w:color w:val="auto"/>
          <w:sz w:val="24"/>
          <w:szCs w:val="24"/>
          <w:highlight w:val="none"/>
        </w:rPr>
      </w:pPr>
      <w:r>
        <w:rPr>
          <w:rFonts w:hint="eastAsia" w:ascii="宋体" w:hAnsi="宋体" w:eastAsia="宋体"/>
          <w:color w:val="auto"/>
          <w:sz w:val="24"/>
          <w:szCs w:val="24"/>
          <w:highlight w:val="none"/>
        </w:rPr>
        <w:t>6、如果以上现象导致履约保证金扣完，解除本次定点采购协议。</w:t>
      </w:r>
    </w:p>
    <w:p w14:paraId="77493208">
      <w:pPr>
        <w:tabs>
          <w:tab w:val="left" w:pos="0"/>
        </w:tabs>
        <w:spacing w:beforeLines="0" w:afterLines="0" w:line="360" w:lineRule="auto"/>
        <w:ind w:firstLine="420"/>
        <w:rPr>
          <w:rFonts w:hint="default"/>
          <w:color w:val="auto"/>
          <w:sz w:val="24"/>
          <w:szCs w:val="24"/>
          <w:highlight w:val="none"/>
        </w:rPr>
      </w:pPr>
      <w:r>
        <w:rPr>
          <w:rFonts w:hint="eastAsia" w:ascii="Times New Roman" w:hAnsi="宋体" w:eastAsia="宋体"/>
          <w:color w:val="auto"/>
          <w:sz w:val="24"/>
          <w:szCs w:val="24"/>
          <w:highlight w:val="none"/>
        </w:rPr>
        <w:t>四、未尽事宜，以宁海县公办学校食堂学生餐食品原材料（非粮油类）定点采购项目招标文件、乙方的投标文件及相关澄清和承诺为准。</w:t>
      </w:r>
    </w:p>
    <w:p w14:paraId="2E625E2A">
      <w:pPr>
        <w:tabs>
          <w:tab w:val="left" w:pos="0"/>
        </w:tabs>
        <w:spacing w:beforeLines="0" w:afterLines="0" w:line="360" w:lineRule="auto"/>
        <w:ind w:firstLine="420"/>
        <w:rPr>
          <w:rFonts w:hint="eastAsia" w:ascii="Times New Roman" w:hAnsi="宋体" w:eastAsia="Times New Roman"/>
          <w:color w:val="auto"/>
          <w:sz w:val="24"/>
          <w:szCs w:val="24"/>
          <w:highlight w:val="none"/>
        </w:rPr>
      </w:pPr>
      <w:r>
        <w:rPr>
          <w:rFonts w:hint="eastAsia" w:ascii="Times New Roman" w:hAnsi="宋体" w:eastAsia="宋体"/>
          <w:color w:val="auto"/>
          <w:sz w:val="24"/>
          <w:szCs w:val="24"/>
          <w:highlight w:val="none"/>
        </w:rPr>
        <w:t>五、本协议一式五份，双方各执二份、其中一份提供给浙江中基正采管理咨询有限公司备案用，签字盖章后生效。</w:t>
      </w:r>
    </w:p>
    <w:p w14:paraId="69DD1BF6">
      <w:pPr>
        <w:snapToGrid w:val="0"/>
        <w:spacing w:before="156" w:beforeLines="50" w:after="156" w:afterLines="50" w:line="40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（盖章）   乙方：            （盖章）</w:t>
      </w:r>
    </w:p>
    <w:p w14:paraId="16E2FBF3">
      <w:pPr>
        <w:snapToGrid w:val="0"/>
        <w:spacing w:before="156" w:beforeLines="50" w:after="156" w:afterLines="50" w:line="40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73C7821A">
      <w:pPr>
        <w:snapToGrid w:val="0"/>
        <w:spacing w:before="156" w:beforeLines="50" w:after="156" w:afterLines="50" w:line="40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                         代表：</w:t>
      </w:r>
    </w:p>
    <w:p w14:paraId="752A9813">
      <w:pPr>
        <w:snapToGrid w:val="0"/>
        <w:spacing w:before="156" w:beforeLines="50" w:after="156" w:afterLines="50" w:line="40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日期：</w:t>
      </w:r>
    </w:p>
    <w:p w14:paraId="65914EBA">
      <w:pPr>
        <w:pStyle w:val="61"/>
        <w:spacing w:beforeLines="0" w:afterLines="0" w:line="400" w:lineRule="exact"/>
        <w:rPr>
          <w:rFonts w:hint="eastAsia" w:eastAsia="Times New Roman"/>
          <w:color w:val="auto"/>
          <w:sz w:val="24"/>
          <w:szCs w:val="24"/>
          <w:highlight w:val="none"/>
          <w:lang w:val="en-US"/>
        </w:rPr>
      </w:pPr>
      <w:r>
        <w:rPr>
          <w:rFonts w:hint="eastAsia" w:ascii="宋体" w:hAnsi="宋体" w:cs="宋体"/>
          <w:color w:val="auto"/>
          <w:sz w:val="24"/>
          <w:szCs w:val="24"/>
          <w:highlight w:val="none"/>
          <w:lang w:val="en-US"/>
        </w:rPr>
        <w:t>签订地点：</w:t>
      </w:r>
    </w:p>
    <w:p w14:paraId="6C7ADFB0">
      <w:pPr>
        <w:snapToGrid w:val="0"/>
        <w:spacing w:before="156" w:beforeLines="50" w:after="156" w:afterLines="50" w:line="400" w:lineRule="exact"/>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见证方：浙江中基正采管理咨询有限公司 </w:t>
      </w:r>
    </w:p>
    <w:p w14:paraId="566E9332">
      <w:pPr>
        <w:tabs>
          <w:tab w:val="left" w:pos="0"/>
        </w:tabs>
        <w:spacing w:beforeLines="0" w:afterLines="0" w:line="360" w:lineRule="auto"/>
        <w:ind w:firstLine="420"/>
        <w:jc w:val="center"/>
        <w:rPr>
          <w:rFonts w:hint="eastAsia" w:ascii="Times New Roman" w:hAnsi="宋体" w:eastAsia="Times New Roman"/>
          <w:b/>
          <w:color w:val="auto"/>
          <w:sz w:val="24"/>
          <w:szCs w:val="24"/>
          <w:highlight w:val="none"/>
        </w:rPr>
      </w:pPr>
      <w:r>
        <w:rPr>
          <w:rFonts w:hint="default"/>
          <w:b/>
          <w:color w:val="auto"/>
          <w:sz w:val="24"/>
          <w:szCs w:val="24"/>
          <w:highlight w:val="none"/>
        </w:rPr>
        <w:br w:type="page"/>
      </w:r>
      <w:r>
        <w:rPr>
          <w:rFonts w:hint="eastAsia" w:eastAsia="宋体"/>
          <w:b/>
          <w:color w:val="auto"/>
          <w:sz w:val="24"/>
          <w:szCs w:val="24"/>
          <w:highlight w:val="none"/>
        </w:rPr>
        <w:t>宁海县学校食堂学生餐食品原材料（非粮油类）定点采购</w:t>
      </w:r>
      <w:r>
        <w:rPr>
          <w:rFonts w:hint="eastAsia" w:ascii="Times New Roman" w:hAnsi="宋体" w:eastAsia="宋体"/>
          <w:b/>
          <w:color w:val="auto"/>
          <w:sz w:val="24"/>
          <w:szCs w:val="24"/>
          <w:highlight w:val="none"/>
        </w:rPr>
        <w:t>合同（样本）</w:t>
      </w:r>
    </w:p>
    <w:p w14:paraId="172E9DA7">
      <w:pPr>
        <w:tabs>
          <w:tab w:val="left" w:pos="0"/>
        </w:tabs>
        <w:spacing w:beforeLines="0" w:afterLines="0" w:line="360" w:lineRule="auto"/>
        <w:jc w:val="center"/>
        <w:rPr>
          <w:rFonts w:hint="default"/>
          <w:b/>
          <w:color w:val="auto"/>
          <w:sz w:val="24"/>
          <w:szCs w:val="24"/>
          <w:highlight w:val="none"/>
        </w:rPr>
      </w:pPr>
    </w:p>
    <w:p w14:paraId="042190F9">
      <w:pPr>
        <w:tabs>
          <w:tab w:val="left" w:pos="0"/>
        </w:tabs>
        <w:spacing w:beforeLines="0" w:afterLines="0"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甲方（采购方）：</w:t>
      </w:r>
      <w:r>
        <w:rPr>
          <w:rFonts w:hint="eastAsia" w:ascii="宋体" w:hAnsi="宋体" w:eastAsia="宋体" w:cs="宋体"/>
          <w:color w:val="auto"/>
          <w:sz w:val="24"/>
          <w:szCs w:val="24"/>
          <w:highlight w:val="none"/>
          <w:u w:val="single"/>
        </w:rPr>
        <w:t xml:space="preserve">                         </w:t>
      </w:r>
    </w:p>
    <w:p w14:paraId="35F1313A">
      <w:pPr>
        <w:tabs>
          <w:tab w:val="left" w:pos="0"/>
        </w:tabs>
        <w:spacing w:beforeLines="0" w:afterLines="0"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乙方（供货方）：</w:t>
      </w:r>
      <w:r>
        <w:rPr>
          <w:rFonts w:hint="eastAsia" w:ascii="宋体" w:hAnsi="宋体" w:eastAsia="宋体" w:cs="宋体"/>
          <w:color w:val="auto"/>
          <w:sz w:val="24"/>
          <w:szCs w:val="24"/>
          <w:highlight w:val="none"/>
          <w:u w:val="single"/>
        </w:rPr>
        <w:t xml:space="preserve">                             </w:t>
      </w:r>
    </w:p>
    <w:p w14:paraId="4AD83753">
      <w:pPr>
        <w:tabs>
          <w:tab w:val="left" w:pos="0"/>
        </w:tabs>
        <w:spacing w:beforeLines="0" w:afterLines="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为了切实办好食堂，更好地为全体师生服务，经双方充分协商一致，特签订本合同，以供双方共同遵守。</w:t>
      </w:r>
    </w:p>
    <w:p w14:paraId="6012A9CE">
      <w:pPr>
        <w:tabs>
          <w:tab w:val="left" w:pos="0"/>
        </w:tabs>
        <w:spacing w:beforeLines="0" w:afterLines="0"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一、甲方采购项目：</w:t>
      </w:r>
      <w:r>
        <w:rPr>
          <w:rFonts w:hint="eastAsia" w:ascii="宋体" w:hAnsi="宋体" w:eastAsia="宋体" w:cs="宋体"/>
          <w:color w:val="auto"/>
          <w:sz w:val="24"/>
          <w:szCs w:val="24"/>
          <w:highlight w:val="none"/>
          <w:u w:val="single"/>
        </w:rPr>
        <w:t xml:space="preserve">              </w:t>
      </w:r>
    </w:p>
    <w:p w14:paraId="53E2BE37">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二、乙方资质</w:t>
      </w:r>
    </w:p>
    <w:p w14:paraId="710F7E6A">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乙方必须是宁海县公办学校食堂学生餐食品原材料（非粮油类）定点采购项目（招标编号：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）的中标人，必须向学校提供经营许可证，由学校复印备案。</w:t>
      </w:r>
    </w:p>
    <w:p w14:paraId="166E21F6">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三、食品货源、卫生及质量要求</w:t>
      </w:r>
    </w:p>
    <w:p w14:paraId="2B452B2E">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向学校食堂提供的食品必须符合食品卫生标准，质量上乘、数量足。食品必须符合卫生防疫部门检测标准。</w:t>
      </w:r>
    </w:p>
    <w:p w14:paraId="29EE8A12">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如出现因食品质量低劣及卫生不符合标准引起的事故，乙方必须负全责，赔偿学校因此造成的全部损失，并移送相关执法部门处理。</w:t>
      </w:r>
    </w:p>
    <w:p w14:paraId="661472C2">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w:t>
      </w:r>
    </w:p>
    <w:p w14:paraId="120F5FB5">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向学校食堂提供的食品采用送货上门形式，分别送到学校指定地方。学校食堂提前通知乙方所采购的食品种类、数量及时间要求，乙方送货必须按甲方要求，遇特殊问题，双方协商解决。乙方服务态度必须良好。</w:t>
      </w:r>
    </w:p>
    <w:p w14:paraId="0EAEB10C">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2、部分食品如果食堂有要求的，乙方必须提供初加工。</w:t>
      </w:r>
    </w:p>
    <w:p w14:paraId="7FEA8B84">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3、乙方必须履行优质服务、优惠措施的承诺。</w:t>
      </w:r>
    </w:p>
    <w:p w14:paraId="021DBDFC">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五、结算货款、付款方式</w:t>
      </w:r>
    </w:p>
    <w:p w14:paraId="2AF67659">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1、产品价格的约定：</w:t>
      </w:r>
    </w:p>
    <w:p w14:paraId="1717FB57">
      <w:pPr>
        <w:tabs>
          <w:tab w:val="left" w:pos="0"/>
        </w:tabs>
        <w:spacing w:beforeLines="0" w:afterLines="0"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（1）指导价格：</w:t>
      </w:r>
    </w:p>
    <w:p w14:paraId="20CA7FFD">
      <w:pPr>
        <w:tabs>
          <w:tab w:val="left" w:pos="0"/>
        </w:tabs>
        <w:spacing w:beforeLines="0" w:afterLines="0" w:line="360" w:lineRule="auto"/>
        <w:ind w:firstLine="420" w:firstLineChars="0"/>
        <w:rPr>
          <w:rFonts w:hint="eastAsia" w:ascii="宋体" w:hAnsi="宋体"/>
          <w:color w:val="auto"/>
          <w:sz w:val="24"/>
          <w:highlight w:val="none"/>
          <w:lang w:eastAsia="zh-CN"/>
        </w:rPr>
      </w:pPr>
      <w:r>
        <w:rPr>
          <w:rFonts w:hint="eastAsia" w:ascii="宋体" w:hAnsi="宋体" w:cs="宋体"/>
          <w:color w:val="auto"/>
          <w:sz w:val="24"/>
          <w:highlight w:val="none"/>
          <w:lang w:eastAsia="zh-CN"/>
        </w:rPr>
        <w:t>本次招标配送项目中所包含的食品原材料价格每周确定一次，该周内的市场价格不论涨跌均按所确定的价格结算。产品所报</w:t>
      </w:r>
      <w:r>
        <w:rPr>
          <w:rFonts w:hint="eastAsia" w:ascii="宋体" w:hAnsi="宋体"/>
          <w:color w:val="auto"/>
          <w:sz w:val="24"/>
          <w:highlight w:val="none"/>
          <w:lang w:val="en-US" w:eastAsia="zh-CN"/>
        </w:rPr>
        <w:t>投标折扣系数</w:t>
      </w:r>
      <w:r>
        <w:rPr>
          <w:rFonts w:hint="eastAsia" w:ascii="宋体" w:hAnsi="宋体"/>
          <w:color w:val="auto"/>
          <w:sz w:val="24"/>
          <w:highlight w:val="none"/>
          <w:lang w:eastAsia="zh-CN"/>
        </w:rPr>
        <w:t>依据的基准价为：每周一宁海县教育服务管理中心向</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和</w:t>
      </w:r>
      <w:r>
        <w:rPr>
          <w:rFonts w:hint="eastAsia" w:ascii="宋体" w:hAnsi="宋体"/>
          <w:color w:val="auto"/>
          <w:sz w:val="24"/>
          <w:highlight w:val="none"/>
          <w:lang w:val="en-US" w:eastAsia="zh-CN"/>
        </w:rPr>
        <w:t>学校</w:t>
      </w:r>
      <w:r>
        <w:rPr>
          <w:rFonts w:hint="eastAsia" w:ascii="宋体" w:hAnsi="宋体"/>
          <w:color w:val="auto"/>
          <w:sz w:val="24"/>
          <w:highlight w:val="none"/>
          <w:lang w:eastAsia="zh-CN"/>
        </w:rPr>
        <w:t>提供本周（本批次）货物市场零售指导价。</w:t>
      </w:r>
    </w:p>
    <w:p w14:paraId="76AE163A">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（2）结算价格：</w:t>
      </w:r>
    </w:p>
    <w:p w14:paraId="2667C667">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学校采价组根据市场实际采集确定本周（本批次）的最终市场零售价，作为结算基准价；如学校与配送企业出现价格纠纷由宁海县教育服务管理中心出面协调确定基准价。</w:t>
      </w:r>
    </w:p>
    <w:p w14:paraId="21E9BCF6">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市场零售价确定方法：以宁海跃龙、兴海、邻里等综合市场的平均零售价为准，如上述市场没有此种商品的，则调查范围扩大为大市范围内。禁止配送无市场实际零售商品或专供产品。</w:t>
      </w:r>
    </w:p>
    <w:p w14:paraId="28931F8A">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学校每周四下午2时前向配送企业报送下周的定货清单，各配送企业在每周一（每批次）确定本周（本批次）定货清单中的食品原料的建议零售价目表，同时在货物送达学校的清单上注明各食品原料的建议零售价。</w:t>
      </w:r>
    </w:p>
    <w:p w14:paraId="45FEA409">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）如遇法定节假日，当周配送天数少于3天（含3天）的，按最近一周的结算价进行结算。</w:t>
      </w:r>
    </w:p>
    <w:p w14:paraId="0AD59024">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）各类食品合同结算价：合同结算价=结算基准价（由各学校采集确定）×</w:t>
      </w:r>
      <w:r>
        <w:rPr>
          <w:rFonts w:hint="eastAsia" w:ascii="宋体" w:hAnsi="宋体"/>
          <w:color w:val="auto"/>
          <w:sz w:val="24"/>
          <w:szCs w:val="24"/>
          <w:highlight w:val="none"/>
          <w:lang w:eastAsia="zh-CN"/>
        </w:rPr>
        <w:t>合同执行折扣系数</w:t>
      </w:r>
      <w:r>
        <w:rPr>
          <w:rFonts w:hint="eastAsia" w:ascii="宋体" w:hAnsi="宋体" w:eastAsia="宋体"/>
          <w:color w:val="auto"/>
          <w:sz w:val="24"/>
          <w:szCs w:val="24"/>
          <w:highlight w:val="none"/>
        </w:rPr>
        <w:t>，其中</w:t>
      </w:r>
      <w:r>
        <w:rPr>
          <w:rFonts w:hint="eastAsia" w:ascii="宋体" w:hAnsi="宋体"/>
          <w:color w:val="auto"/>
          <w:sz w:val="24"/>
          <w:szCs w:val="24"/>
          <w:highlight w:val="none"/>
          <w:lang w:eastAsia="zh-CN"/>
        </w:rPr>
        <w:t>合同执行折扣系数</w:t>
      </w:r>
      <w:r>
        <w:rPr>
          <w:rFonts w:hint="eastAsia" w:ascii="宋体" w:hAnsi="宋体" w:eastAsia="宋体"/>
          <w:color w:val="auto"/>
          <w:sz w:val="24"/>
          <w:szCs w:val="24"/>
          <w:highlight w:val="none"/>
        </w:rPr>
        <w:t>为：所有中标人中该类别食品原材料的</w:t>
      </w:r>
      <w:r>
        <w:rPr>
          <w:rFonts w:hint="eastAsia" w:ascii="宋体" w:hAnsi="宋体"/>
          <w:color w:val="auto"/>
          <w:sz w:val="24"/>
          <w:szCs w:val="24"/>
          <w:highlight w:val="none"/>
          <w:lang w:val="en-US" w:eastAsia="zh-CN"/>
        </w:rPr>
        <w:t>最低</w:t>
      </w:r>
      <w:r>
        <w:rPr>
          <w:rFonts w:hint="eastAsia" w:ascii="宋体" w:hAnsi="宋体" w:eastAsia="宋体"/>
          <w:color w:val="auto"/>
          <w:sz w:val="24"/>
          <w:szCs w:val="24"/>
          <w:highlight w:val="none"/>
        </w:rPr>
        <w:t>投标</w:t>
      </w:r>
      <w:r>
        <w:rPr>
          <w:rFonts w:hint="eastAsia" w:ascii="宋体" w:hAnsi="宋体"/>
          <w:color w:val="auto"/>
          <w:sz w:val="24"/>
          <w:szCs w:val="24"/>
          <w:highlight w:val="none"/>
          <w:lang w:val="en-US" w:eastAsia="zh-CN"/>
        </w:rPr>
        <w:t>折扣系数</w:t>
      </w:r>
      <w:r>
        <w:rPr>
          <w:rFonts w:hint="eastAsia" w:ascii="宋体" w:hAnsi="宋体" w:eastAsia="宋体"/>
          <w:color w:val="auto"/>
          <w:sz w:val="24"/>
          <w:szCs w:val="24"/>
          <w:highlight w:val="none"/>
        </w:rPr>
        <w:t>（四舍五入，保留小数点后一位）。</w:t>
      </w:r>
    </w:p>
    <w:p w14:paraId="02C914C7">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）各类食品中标</w:t>
      </w:r>
      <w:r>
        <w:rPr>
          <w:rFonts w:hint="eastAsia" w:ascii="宋体" w:hAnsi="宋体"/>
          <w:color w:val="auto"/>
          <w:sz w:val="24"/>
          <w:szCs w:val="24"/>
          <w:highlight w:val="none"/>
          <w:lang w:val="en-US" w:eastAsia="zh-CN"/>
        </w:rPr>
        <w:t>折扣系数</w:t>
      </w:r>
      <w:r>
        <w:rPr>
          <w:rFonts w:hint="eastAsia" w:ascii="宋体" w:hAnsi="宋体" w:eastAsia="宋体"/>
          <w:color w:val="auto"/>
          <w:sz w:val="24"/>
          <w:szCs w:val="24"/>
          <w:highlight w:val="none"/>
        </w:rPr>
        <w:t>：鲜肉类：  %，蛋类：  %，鲜蔬类：  %，</w:t>
      </w:r>
      <w:r>
        <w:rPr>
          <w:rFonts w:hint="eastAsia" w:ascii="宋体" w:hAnsi="宋体" w:eastAsia="宋体" w:cs="宋体"/>
          <w:color w:val="auto"/>
          <w:sz w:val="24"/>
          <w:szCs w:val="24"/>
          <w:highlight w:val="none"/>
        </w:rPr>
        <w:t>鲜虾类：</w:t>
      </w:r>
      <w:r>
        <w:rPr>
          <w:rFonts w:hint="eastAsia" w:ascii="宋体" w:hAnsi="宋体" w:eastAsia="宋体"/>
          <w:color w:val="auto"/>
          <w:sz w:val="24"/>
          <w:szCs w:val="24"/>
          <w:highlight w:val="none"/>
        </w:rPr>
        <w:t xml:space="preserve">  %，，水产类：  %，豆制品类：  %，佐料类：  %水果类：  %，其他类：  %。</w:t>
      </w:r>
    </w:p>
    <w:p w14:paraId="351DE6B8">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2、货款结算方式：</w:t>
      </w:r>
    </w:p>
    <w:p w14:paraId="410D612D">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（1）货款结算方式：货款每月一结，需提供正式销售发票结算。</w:t>
      </w:r>
    </w:p>
    <w:p w14:paraId="4C987043">
      <w:pPr>
        <w:spacing w:beforeLines="0" w:afterLines="0" w:line="360" w:lineRule="auto"/>
        <w:ind w:firstLine="448" w:firstLineChars="18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货款结算总金额=各类食品的</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基准价×数量×</w:t>
      </w:r>
      <w:r>
        <w:rPr>
          <w:rFonts w:hint="eastAsia" w:ascii="宋体" w:hAnsi="宋体"/>
          <w:color w:val="auto"/>
          <w:sz w:val="24"/>
          <w:szCs w:val="24"/>
          <w:highlight w:val="none"/>
          <w:lang w:eastAsia="zh-CN"/>
        </w:rPr>
        <w:t>合同执行折扣系数）</w:t>
      </w:r>
      <w:r>
        <w:rPr>
          <w:rFonts w:hint="eastAsia" w:ascii="宋体" w:hAnsi="宋体" w:eastAsia="宋体"/>
          <w:color w:val="auto"/>
          <w:sz w:val="24"/>
          <w:szCs w:val="24"/>
          <w:highlight w:val="none"/>
        </w:rPr>
        <w:t>的总和。</w:t>
      </w:r>
    </w:p>
    <w:p w14:paraId="370BB651">
      <w:pPr>
        <w:spacing w:beforeLines="0" w:afterLines="0" w:line="360" w:lineRule="auto"/>
        <w:ind w:firstLine="448" w:firstLineChars="1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3、乙方在次月初向甲方食堂结算上月货款，结算时乙方须开具正式销售发票并提供汇总供货清单交食堂管理员，甲方审核后付款。</w:t>
      </w:r>
    </w:p>
    <w:p w14:paraId="229BFAE6">
      <w:pPr>
        <w:spacing w:beforeLines="0" w:afterLines="0" w:line="360" w:lineRule="auto"/>
        <w:ind w:firstLine="448" w:firstLineChars="1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4、每次进货的数量、市场价、结算价按要求在宁海县教育网上进行公示。</w:t>
      </w:r>
    </w:p>
    <w:p w14:paraId="6827F0CB">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w:t>
      </w:r>
    </w:p>
    <w:p w14:paraId="586DE51A">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校每天由食堂膳管会下设的“食用品质量数量验收小组”对供货方提供的食品质量数量进行验收。如发现下列行为之一的，甲方有权立即退货，扣除保证金，并解除本合同，情节严重造成不良后果的，由乙方向甲方另行赔偿。</w:t>
      </w:r>
    </w:p>
    <w:p w14:paraId="59C596E4">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①乙方提供的食品变质的，不符合卫生标准的；</w:t>
      </w:r>
    </w:p>
    <w:p w14:paraId="6F973955">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②乙方提供的食品短斤缺两的；</w:t>
      </w:r>
    </w:p>
    <w:p w14:paraId="229D42D1">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③乙方提供的食品价格不符合本合同第五款第一条之约定的；</w:t>
      </w:r>
    </w:p>
    <w:p w14:paraId="6A40999E">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④乙方提供的服务不周到、不到位，服务态度不好</w:t>
      </w:r>
      <w:r>
        <w:rPr>
          <w:rFonts w:hint="eastAsia" w:eastAsia="宋体"/>
          <w:color w:val="auto"/>
          <w:sz w:val="24"/>
          <w:szCs w:val="24"/>
          <w:highlight w:val="none"/>
        </w:rPr>
        <w:t>、</w:t>
      </w:r>
      <w:r>
        <w:rPr>
          <w:rFonts w:hint="eastAsia" w:ascii="宋体" w:hAnsi="宋体" w:eastAsia="宋体" w:cs="宋体"/>
          <w:color w:val="auto"/>
          <w:sz w:val="24"/>
          <w:szCs w:val="24"/>
          <w:highlight w:val="none"/>
        </w:rPr>
        <w:t>食堂不满意，送货不及时的。</w:t>
      </w:r>
    </w:p>
    <w:p w14:paraId="4E50128F">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2、乙方应及时听取甲方及师生关于所供食品质量、价格、服务的意见和建议，如师生不满意的，甲方有权暂停向乙方采购，惩罚性措施暂定多少时间由学校视违约程度确定。</w:t>
      </w:r>
    </w:p>
    <w:p w14:paraId="1BE64906">
      <w:pPr>
        <w:tabs>
          <w:tab w:val="left" w:pos="0"/>
        </w:tabs>
        <w:spacing w:beforeLines="0" w:afterLines="0" w:line="360" w:lineRule="auto"/>
        <w:ind w:firstLine="420"/>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rPr>
        <w:t>3、项目品控：</w:t>
      </w:r>
    </w:p>
    <w:p w14:paraId="19C8D4C2">
      <w:pPr>
        <w:numPr>
          <w:ilvl w:val="-1"/>
          <w:numId w:val="0"/>
        </w:numPr>
        <w:tabs>
          <w:tab w:val="left" w:pos="0"/>
        </w:tabs>
        <w:spacing w:beforeLines="0" w:afterLines="0"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质量控制：乙方每周提供的配送商品质量需符合招标文件、《中华人民共和国食品安全法》及属地相关法律法规要求。如果在三年内的抽查中发现配送商品质量不合格的，经宁海县教育服务管理中心核实，第一次扣履约保证金50000元，第二次扣履约保证金80000元，第三次扣履约保证金100000元，第四次扣完所有履约保证金并解除定点采购合同。</w:t>
      </w:r>
    </w:p>
    <w:p w14:paraId="0D45B396">
      <w:pPr>
        <w:numPr>
          <w:ilvl w:val="-1"/>
          <w:numId w:val="0"/>
        </w:numPr>
        <w:tabs>
          <w:tab w:val="left" w:pos="0"/>
        </w:tabs>
        <w:spacing w:beforeLines="0" w:afterLines="0"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价格控制：乙方每周提供的配送商品报价不得高于当时当地物价部门提供的同一等级产品市场零售价格，且不得高于其他任何非政府采购及学校执行采购的价格（实际购供价格）。如果在抽查中发现商品报价超出当日市场采价平均价的，每一种商品发现一次扣履约保证金2000元，有二种的扣履约保证金4000元，以此类推。并以市场采价平均价与学校重新结算，经查未重新结算的，按超出部分3倍处罚。</w:t>
      </w:r>
    </w:p>
    <w:p w14:paraId="41B65D35">
      <w:pPr>
        <w:numPr>
          <w:ilvl w:val="-1"/>
          <w:numId w:val="0"/>
        </w:numPr>
        <w:tabs>
          <w:tab w:val="left" w:pos="0"/>
        </w:tabs>
        <w:spacing w:beforeLines="0" w:afterLines="0" w:line="360" w:lineRule="auto"/>
        <w:ind w:firstLine="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服务控制：乙方提供的配送服务未达到学校配送要求的。经学校上报，并由宁海县教育服务管理中心核实，一经查实，第一次扣履约保证金3000元，第二次扣履约保证金6000元。若二次均发生在同一学校的，甲方有权解除合同。</w:t>
      </w:r>
    </w:p>
    <w:p w14:paraId="24246F1C">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七、诉讼</w:t>
      </w:r>
    </w:p>
    <w:p w14:paraId="25A17C40">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当双方在食堂质量、卫生、服务、违约上出现争执时，本着协商解决的原则，商量决定。如协商不成的，依法向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21B73E3E">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八、合同有效时间</w:t>
      </w:r>
    </w:p>
    <w:p w14:paraId="40DA677E">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本合同有效时间为：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066E578">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九、合同签订时间：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6E9080D">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十、合同份数</w:t>
      </w:r>
    </w:p>
    <w:p w14:paraId="42589D3E">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本合同一式三份，甲乙双方各执一份，见证方执一份，签字盖章后生效。</w:t>
      </w:r>
    </w:p>
    <w:p w14:paraId="027B7591">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十一、其它</w:t>
      </w:r>
    </w:p>
    <w:p w14:paraId="1A2A19E2">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1、食堂需采购的食品以学校每周菜谱为准。</w:t>
      </w:r>
    </w:p>
    <w:p w14:paraId="4CD1DDF4">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2、供货时间：</w:t>
      </w:r>
    </w:p>
    <w:p w14:paraId="5BA1BA73">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3、食堂遇教师加班、来客时的少量食品采购不在上述采购合同之列。</w:t>
      </w:r>
    </w:p>
    <w:p w14:paraId="5F883FF2">
      <w:pPr>
        <w:tabs>
          <w:tab w:val="left" w:pos="0"/>
        </w:tabs>
        <w:spacing w:beforeLines="0" w:afterLines="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未尽事宜，以宁海县公办学校食堂学生餐食品原材料（非粮油类）定点采购项目招标文件、乙方的投标文件及相关澄清和承诺为准。</w:t>
      </w:r>
    </w:p>
    <w:p w14:paraId="0E5618DA">
      <w:pPr>
        <w:snapToGrid w:val="0"/>
        <w:spacing w:before="156" w:beforeLines="50" w:after="156" w:afterLines="50" w:line="320" w:lineRule="exact"/>
        <w:ind w:left="450" w:leftChars="10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75AFEDDB">
      <w:pPr>
        <w:snapToGrid w:val="0"/>
        <w:spacing w:before="156" w:beforeLines="50" w:after="156" w:afterLines="5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14:paraId="7229BE86">
      <w:pPr>
        <w:snapToGrid w:val="0"/>
        <w:spacing w:before="156" w:beforeLines="50" w:after="156" w:afterLines="5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法定代表人：</w:t>
      </w:r>
    </w:p>
    <w:p w14:paraId="6F039DF4">
      <w:pPr>
        <w:snapToGrid w:val="0"/>
        <w:spacing w:before="156" w:beforeLines="50" w:after="156" w:afterLines="50" w:line="32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签订地点：                               签订地点：    </w:t>
      </w:r>
    </w:p>
    <w:p w14:paraId="2CBE43C1">
      <w:pPr>
        <w:snapToGrid w:val="0"/>
        <w:spacing w:before="156" w:beforeLines="50" w:after="156" w:afterLines="50" w:line="32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日期：</w:t>
      </w:r>
    </w:p>
    <w:p w14:paraId="2C3B9524">
      <w:pPr>
        <w:pStyle w:val="33"/>
        <w:spacing w:before="0" w:beforeLines="0" w:after="0" w:afterLines="0"/>
        <w:jc w:val="center"/>
        <w:outlineLvl w:val="0"/>
        <w:rPr>
          <w:rFonts w:hint="eastAsia" w:hAnsi="宋体" w:cs="宋体"/>
          <w:color w:val="auto"/>
          <w:sz w:val="24"/>
          <w:szCs w:val="24"/>
          <w:highlight w:val="none"/>
        </w:rPr>
      </w:pPr>
      <w:r>
        <w:rPr>
          <w:rFonts w:hint="eastAsia" w:hAnsi="宋体" w:cs="宋体"/>
          <w:color w:val="auto"/>
          <w:sz w:val="24"/>
          <w:szCs w:val="24"/>
          <w:highlight w:val="none"/>
        </w:rPr>
        <w:t xml:space="preserve">                     开户行及账号：</w:t>
      </w:r>
    </w:p>
    <w:p w14:paraId="7C9700D5">
      <w:pPr>
        <w:pStyle w:val="33"/>
        <w:spacing w:before="0" w:beforeLines="0" w:after="0" w:afterLines="0"/>
        <w:outlineLvl w:val="0"/>
        <w:rPr>
          <w:rFonts w:hint="eastAsia" w:hAnsi="宋体" w:cs="宋体"/>
          <w:color w:val="auto"/>
          <w:sz w:val="24"/>
          <w:szCs w:val="24"/>
          <w:highlight w:val="none"/>
        </w:rPr>
      </w:pPr>
    </w:p>
    <w:p w14:paraId="3D077B03">
      <w:pPr>
        <w:pStyle w:val="33"/>
        <w:spacing w:before="0" w:beforeLines="0" w:after="0" w:afterLines="0"/>
        <w:outlineLvl w:val="0"/>
        <w:rPr>
          <w:rFonts w:hint="eastAsia" w:hAnsi="宋体" w:cs="宋体"/>
          <w:color w:val="auto"/>
          <w:sz w:val="24"/>
          <w:szCs w:val="24"/>
          <w:highlight w:val="none"/>
        </w:rPr>
      </w:pPr>
    </w:p>
    <w:p w14:paraId="673F1E5F">
      <w:pPr>
        <w:pStyle w:val="33"/>
        <w:spacing w:before="0" w:beforeLines="0" w:after="0" w:afterLines="0"/>
        <w:outlineLvl w:val="0"/>
        <w:rPr>
          <w:rFonts w:hint="eastAsia" w:hAnsi="宋体" w:cs="宋体"/>
          <w:color w:val="auto"/>
          <w:sz w:val="24"/>
          <w:szCs w:val="24"/>
          <w:highlight w:val="none"/>
        </w:rPr>
      </w:pPr>
      <w:r>
        <w:rPr>
          <w:rFonts w:hint="eastAsia" w:hAnsi="宋体" w:cs="宋体"/>
          <w:color w:val="auto"/>
          <w:sz w:val="24"/>
          <w:szCs w:val="24"/>
          <w:highlight w:val="none"/>
        </w:rPr>
        <w:t>见证方：浙江中基正采管理咨询有限公司</w:t>
      </w:r>
    </w:p>
    <w:p w14:paraId="11E9D0EE">
      <w:pPr>
        <w:pStyle w:val="33"/>
        <w:spacing w:before="0" w:beforeLines="0" w:after="0" w:afterLines="0"/>
        <w:outlineLvl w:val="0"/>
        <w:rPr>
          <w:rFonts w:hint="eastAsia" w:hAnsi="宋体" w:cs="宋体"/>
          <w:color w:val="auto"/>
          <w:sz w:val="24"/>
          <w:szCs w:val="24"/>
          <w:highlight w:val="none"/>
        </w:rPr>
      </w:pPr>
      <w:r>
        <w:rPr>
          <w:rFonts w:hint="eastAsia" w:hAnsi="宋体" w:cs="宋体"/>
          <w:color w:val="auto"/>
          <w:sz w:val="24"/>
          <w:szCs w:val="24"/>
          <w:highlight w:val="none"/>
        </w:rPr>
        <w:t xml:space="preserve">盖章：    </w:t>
      </w:r>
    </w:p>
    <w:p w14:paraId="73DB2507">
      <w:pPr>
        <w:tabs>
          <w:tab w:val="left" w:pos="0"/>
        </w:tabs>
        <w:spacing w:beforeLines="0" w:afterLines="0" w:line="360" w:lineRule="auto"/>
        <w:ind w:firstLine="241" w:firstLineChars="100"/>
        <w:jc w:val="center"/>
        <w:rPr>
          <w:rFonts w:hint="eastAsia" w:ascii="Times New Roman" w:hAnsi="宋体" w:eastAsia="宋体"/>
          <w:b/>
          <w:color w:val="auto"/>
          <w:sz w:val="24"/>
          <w:szCs w:val="24"/>
          <w:highlight w:val="none"/>
        </w:rPr>
      </w:pPr>
    </w:p>
    <w:p w14:paraId="55D49032">
      <w:pPr>
        <w:tabs>
          <w:tab w:val="left" w:pos="0"/>
        </w:tabs>
        <w:spacing w:beforeLines="0" w:afterLines="0" w:line="360" w:lineRule="auto"/>
        <w:ind w:firstLine="241" w:firstLineChars="100"/>
        <w:jc w:val="center"/>
        <w:rPr>
          <w:rFonts w:hint="eastAsia" w:ascii="Times New Roman" w:hAnsi="宋体" w:eastAsia="宋体"/>
          <w:b/>
          <w:color w:val="auto"/>
          <w:sz w:val="24"/>
          <w:szCs w:val="24"/>
          <w:highlight w:val="none"/>
        </w:rPr>
      </w:pPr>
    </w:p>
    <w:p w14:paraId="3BC06AA0">
      <w:pPr>
        <w:tabs>
          <w:tab w:val="left" w:pos="0"/>
        </w:tabs>
        <w:spacing w:beforeLines="0" w:afterLines="0" w:line="360" w:lineRule="auto"/>
        <w:ind w:firstLine="241" w:firstLineChars="100"/>
        <w:jc w:val="center"/>
        <w:rPr>
          <w:rFonts w:hint="eastAsia" w:ascii="Times New Roman" w:hAnsi="宋体" w:eastAsia="宋体"/>
          <w:b/>
          <w:color w:val="auto"/>
          <w:sz w:val="24"/>
          <w:szCs w:val="24"/>
          <w:highlight w:val="none"/>
        </w:rPr>
      </w:pPr>
    </w:p>
    <w:p w14:paraId="0A6F3257">
      <w:pPr>
        <w:pStyle w:val="61"/>
        <w:spacing w:beforeLines="0" w:afterLines="0"/>
        <w:rPr>
          <w:rFonts w:hint="eastAsia"/>
          <w:color w:val="auto"/>
          <w:sz w:val="24"/>
          <w:szCs w:val="24"/>
          <w:highlight w:val="none"/>
        </w:rPr>
      </w:pPr>
    </w:p>
    <w:p w14:paraId="77A7BD8F">
      <w:pPr>
        <w:tabs>
          <w:tab w:val="left" w:pos="0"/>
        </w:tabs>
        <w:spacing w:beforeLines="0" w:afterLines="0" w:line="360" w:lineRule="auto"/>
        <w:ind w:firstLine="241" w:firstLineChars="100"/>
        <w:jc w:val="center"/>
        <w:rPr>
          <w:rFonts w:hint="eastAsia" w:ascii="宋体" w:hAnsi="宋体" w:eastAsia="宋体"/>
          <w:color w:val="auto"/>
          <w:sz w:val="24"/>
          <w:szCs w:val="24"/>
          <w:highlight w:val="none"/>
        </w:rPr>
      </w:pPr>
      <w:r>
        <w:rPr>
          <w:rFonts w:hint="eastAsia" w:ascii="Times New Roman" w:hAnsi="宋体" w:eastAsia="宋体"/>
          <w:b/>
          <w:color w:val="auto"/>
          <w:sz w:val="24"/>
          <w:szCs w:val="24"/>
          <w:highlight w:val="none"/>
        </w:rPr>
        <w:br w:type="page"/>
      </w:r>
      <w:r>
        <w:rPr>
          <w:rFonts w:hint="eastAsia" w:ascii="Times New Roman" w:hAnsi="宋体" w:eastAsia="宋体"/>
          <w:b/>
          <w:color w:val="auto"/>
          <w:sz w:val="24"/>
          <w:szCs w:val="24"/>
          <w:highlight w:val="none"/>
        </w:rPr>
        <w:t>宁海县</w:t>
      </w:r>
      <w:r>
        <w:rPr>
          <w:rFonts w:hint="eastAsia" w:ascii="宋体" w:hAnsi="宋体" w:eastAsia="宋体"/>
          <w:b/>
          <w:color w:val="auto"/>
          <w:sz w:val="24"/>
          <w:szCs w:val="24"/>
          <w:highlight w:val="none"/>
        </w:rPr>
        <w:t>学校食堂学生餐食品原材料定点采购廉政协议（样本）</w:t>
      </w:r>
    </w:p>
    <w:p w14:paraId="570F601D">
      <w:pPr>
        <w:spacing w:beforeLines="0" w:afterLines="0" w:line="360" w:lineRule="auto"/>
        <w:ind w:firstLine="585"/>
        <w:rPr>
          <w:rFonts w:hint="eastAsia" w:ascii="宋体" w:hAnsi="宋体" w:eastAsia="宋体"/>
          <w:color w:val="auto"/>
          <w:sz w:val="24"/>
          <w:szCs w:val="24"/>
          <w:highlight w:val="none"/>
        </w:rPr>
      </w:pPr>
    </w:p>
    <w:p w14:paraId="12CCAF18">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依据《中华人民共和国政府采购法》以及有关廉政建设的规定，为做好本项目建设中的党风廉政建设，保证项目建设高效优质，保证建设资金的安全和有效使用以及投资效益，</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以下</w:t>
      </w:r>
      <w:r>
        <w:rPr>
          <w:rFonts w:hint="eastAsia" w:ascii="宋体" w:hAnsi="宋体" w:eastAsia="宋体"/>
          <w:color w:val="auto"/>
          <w:sz w:val="24"/>
          <w:szCs w:val="24"/>
          <w:highlight w:val="none"/>
        </w:rPr>
        <w:t>称甲方）和</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（以下称乙方），特订立如下合同。</w:t>
      </w:r>
    </w:p>
    <w:p w14:paraId="19D8C804">
      <w:pPr>
        <w:spacing w:beforeLines="0" w:afterLines="0" w:line="360" w:lineRule="auto"/>
        <w:ind w:firstLine="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第一条  甲乙双方的权利</w:t>
      </w:r>
    </w:p>
    <w:p w14:paraId="3B1493A9">
      <w:pPr>
        <w:spacing w:beforeLines="0" w:afterLines="0" w:line="360" w:lineRule="auto"/>
        <w:ind w:left="58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（一）严格遵守党和国家、省市有关法律法规及行业的有关规定。</w:t>
      </w:r>
    </w:p>
    <w:p w14:paraId="55AE86BF">
      <w:pPr>
        <w:spacing w:beforeLines="0" w:afterLines="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（二）严格执行宁海县公办学校食堂学生餐食品原材料（非粮油类）定点采购项目的合同文件，自觉按合同办事。</w:t>
      </w:r>
    </w:p>
    <w:p w14:paraId="3D408AC4">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（三）双方的业务活动坚持公开、公正、诚信、透明的原则（除法律认定的商业秘密和合同文件另有规定之外），不得损害国家和集体利益，违反管理规章制度。</w:t>
      </w:r>
    </w:p>
    <w:p w14:paraId="657E2001">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（四）建立健全廉政制度，开展廉政教育，设立廉政告示牌，公布举报电话，监督并认真查处违法违纪行为。</w:t>
      </w:r>
    </w:p>
    <w:p w14:paraId="396866EF">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（五）发现对方在业务活动中有违反廉政规定的行为，有及时提醒对方纠正的权利和义务。</w:t>
      </w:r>
    </w:p>
    <w:p w14:paraId="3F06AF51">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（六）发现严重违反本合同义务条款的行为，有向其上级有关部门举报、建议给予处理并要求告知处理结果的权利。</w:t>
      </w:r>
    </w:p>
    <w:p w14:paraId="65EDC800">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第二条  甲方的义务</w:t>
      </w:r>
    </w:p>
    <w:p w14:paraId="7F512AB1">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（一）甲方及其工作人员不得索要或接受乙方的礼金、有价证券和贵重物品，不得在乙方报销任何应由甲方或个人支付的费用等。</w:t>
      </w:r>
    </w:p>
    <w:p w14:paraId="75636A03">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（二）甲方工作人员不得参加乙方安排的宴请和娱乐活动；不得接受乙方提供的通讯工具、交通工具和高档办公用品等。</w:t>
      </w:r>
    </w:p>
    <w:p w14:paraId="0EC02F72">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（三）甲方及其工作人员不得要求或者接受乙方为其房装修、婚丧嫁娶活动、配偶子女的工作安排以及出国出境、旅游等提供方便等。</w:t>
      </w:r>
    </w:p>
    <w:p w14:paraId="08137989">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（四）甲方工作人员的配偶、子女不得从事与甲方项目有关的材料设备供应、项目分包、劳务等经济活动等。</w:t>
      </w:r>
    </w:p>
    <w:p w14:paraId="4E8A625E">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（五）甲方及其工作人员不得以任何理由向乙方推荐分包单位，不得要求乙方购买合同规定外的材料和设备。</w:t>
      </w:r>
    </w:p>
    <w:p w14:paraId="4CF39F96">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第三条  乙方</w:t>
      </w:r>
      <w:r>
        <w:rPr>
          <w:rFonts w:hint="eastAsia" w:eastAsia="宋体"/>
          <w:color w:val="auto"/>
          <w:sz w:val="24"/>
          <w:szCs w:val="24"/>
          <w:highlight w:val="none"/>
        </w:rPr>
        <w:t>的</w:t>
      </w:r>
      <w:r>
        <w:rPr>
          <w:rFonts w:hint="eastAsia" w:ascii="宋体" w:hAnsi="宋体" w:eastAsia="宋体"/>
          <w:color w:val="auto"/>
          <w:sz w:val="24"/>
          <w:szCs w:val="24"/>
          <w:highlight w:val="none"/>
        </w:rPr>
        <w:t>义务</w:t>
      </w:r>
    </w:p>
    <w:p w14:paraId="72BFA186">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（一）乙方不得以任何理由向甲方及其工作人员行贿或馈赠礼金、有价证券、贵重礼品。</w:t>
      </w:r>
    </w:p>
    <w:p w14:paraId="56CFF1BB">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（二）乙方不得以任何名义向甲方及其工作人员报销应由甲方单位或个人支付的任何费用。</w:t>
      </w:r>
    </w:p>
    <w:p w14:paraId="5B658EC7">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（三）乙方不得以任何理由安排甲方工作人员参加宴请及娱乐活动。</w:t>
      </w:r>
    </w:p>
    <w:p w14:paraId="12110C29">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（四）乙方不得为甲方单位和个人购置或提供通讯工具、交通工具和高档办公用品等。</w:t>
      </w:r>
    </w:p>
    <w:p w14:paraId="55E9F2A7">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第四条  违约责任</w:t>
      </w:r>
    </w:p>
    <w:p w14:paraId="4E67A79D">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（一）甲方及其工作人员违反本合同第一、二条，按管理权限，依据有关规定给予党纪、政纪或组织处理；涉嫌犯罪的，移交司法机关追究刑事责任；给乙方单位造成经济损失的，应予以赔偿。</w:t>
      </w:r>
    </w:p>
    <w:p w14:paraId="0D4BE59B">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乙方及其工作人员违反本合同第一、三条，按管理权限，依据有关规定给予党纪、政纪或组织处理；给甲方单位造成经济损失的，应予以赔偿；情节严重的，甲方建议行业主管部门给予乙方一至三年内不得进入其主管的教育行业的处罚。</w:t>
      </w:r>
    </w:p>
    <w:p w14:paraId="7F1D7907">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45E7FA19">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第六条  本合同有效期为甲乙双方签署之日起至宁海县公办学校食堂学生餐食品原材料（非粮油类）定点采购项目服务期满后止。</w:t>
      </w:r>
    </w:p>
    <w:p w14:paraId="199C85C5">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第七条  本合同作为</w:t>
      </w:r>
      <w:r>
        <w:rPr>
          <w:rFonts w:hint="eastAsia" w:ascii="宋体" w:hAnsi="宋体" w:eastAsia="宋体"/>
          <w:color w:val="auto"/>
          <w:sz w:val="24"/>
          <w:szCs w:val="24"/>
          <w:highlight w:val="none"/>
          <w:u w:val="single"/>
        </w:rPr>
        <w:t>宁海县公办学校食堂学生餐食品原材料（非粮油类）定点采购项目</w:t>
      </w:r>
      <w:r>
        <w:rPr>
          <w:rFonts w:hint="eastAsia" w:ascii="宋体" w:hAnsi="宋体" w:eastAsia="宋体"/>
          <w:color w:val="auto"/>
          <w:sz w:val="24"/>
          <w:szCs w:val="24"/>
          <w:highlight w:val="none"/>
        </w:rPr>
        <w:t>合同文件的附件，与合同具有同等的法律效力，经合同双方签署立即生效。</w:t>
      </w:r>
    </w:p>
    <w:p w14:paraId="1F163346">
      <w:pPr>
        <w:spacing w:beforeLines="0" w:afterLines="0" w:line="360" w:lineRule="auto"/>
        <w:ind w:firstLine="6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第八条  本合同一式二份，甲、乙双方各执一份。</w:t>
      </w:r>
    </w:p>
    <w:p w14:paraId="2B455D05">
      <w:pPr>
        <w:spacing w:beforeLines="0" w:afterLines="0" w:line="360" w:lineRule="auto"/>
        <w:ind w:firstLine="600"/>
        <w:rPr>
          <w:rFonts w:hint="eastAsia" w:ascii="宋体" w:hAnsi="宋体" w:eastAsia="宋体"/>
          <w:color w:val="auto"/>
          <w:sz w:val="24"/>
          <w:szCs w:val="24"/>
          <w:highlight w:val="none"/>
        </w:rPr>
      </w:pPr>
    </w:p>
    <w:p w14:paraId="19F0C0DC">
      <w:pPr>
        <w:spacing w:beforeLines="0" w:afterLines="0" w:line="360" w:lineRule="auto"/>
        <w:ind w:firstLine="600"/>
        <w:rPr>
          <w:rFonts w:hint="eastAsia" w:ascii="宋体" w:hAnsi="宋体" w:eastAsia="宋体"/>
          <w:color w:val="auto"/>
          <w:sz w:val="24"/>
          <w:szCs w:val="24"/>
          <w:highlight w:val="none"/>
        </w:rPr>
      </w:pPr>
    </w:p>
    <w:p w14:paraId="34C4CF58">
      <w:pPr>
        <w:spacing w:beforeLines="0" w:afterLines="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甲方单位：（盖章）                         乙方单位：（盖章）</w:t>
      </w:r>
    </w:p>
    <w:p w14:paraId="6F3FE8ED">
      <w:pPr>
        <w:spacing w:beforeLines="0" w:afterLines="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                               法定代表人：</w:t>
      </w:r>
    </w:p>
    <w:p w14:paraId="3DEBBABB">
      <w:pPr>
        <w:spacing w:beforeLines="0" w:afterLines="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                                     地址：</w:t>
      </w:r>
    </w:p>
    <w:p w14:paraId="66C4ECF9">
      <w:pPr>
        <w:spacing w:beforeLines="0" w:afterLines="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电话：                                     电话：</w:t>
      </w:r>
    </w:p>
    <w:p w14:paraId="5F6B6038">
      <w:pPr>
        <w:widowControl/>
        <w:adjustRightInd/>
        <w:spacing w:line="360" w:lineRule="auto"/>
        <w:ind w:left="-420" w:leftChars="-200" w:right="-420" w:rightChars="-200" w:firstLine="960" w:firstLineChars="400"/>
        <w:jc w:val="both"/>
        <w:outlineLvl w:val="9"/>
        <w:rPr>
          <w:rFonts w:ascii="宋体" w:hAnsi="宋体" w:cs="宋体"/>
          <w:b/>
          <w:color w:val="auto"/>
          <w:sz w:val="36"/>
          <w:szCs w:val="20"/>
          <w:highlight w:val="none"/>
        </w:rPr>
      </w:pPr>
      <w:r>
        <w:rPr>
          <w:rFonts w:hint="eastAsia" w:ascii="宋体" w:hAnsi="宋体" w:eastAsia="宋体"/>
          <w:color w:val="auto"/>
          <w:sz w:val="24"/>
          <w:szCs w:val="24"/>
          <w:highlight w:val="none"/>
        </w:rPr>
        <w:t>年  月  日                               年  月  日</w:t>
      </w:r>
      <w:r>
        <w:rPr>
          <w:rFonts w:hint="eastAsia" w:ascii="宋体" w:hAnsi="宋体" w:eastAsia="宋体" w:cs="宋体"/>
          <w:color w:val="auto"/>
          <w:sz w:val="24"/>
          <w:szCs w:val="24"/>
          <w:highlight w:val="none"/>
        </w:rPr>
        <w:t xml:space="preserve"> </w:t>
      </w:r>
    </w:p>
    <w:p w14:paraId="6AE54BC4">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412" w:name="_Toc22947"/>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bookmarkEnd w:id="412"/>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413" w:name="_Toc8313"/>
      <w:r>
        <w:rPr>
          <w:rFonts w:hint="eastAsia" w:ascii="宋体" w:hAnsi="宋体" w:cs="宋体"/>
          <w:b/>
          <w:color w:val="auto"/>
          <w:kern w:val="0"/>
          <w:sz w:val="36"/>
          <w:szCs w:val="36"/>
          <w:highlight w:val="none"/>
        </w:rPr>
        <w:t>资格文件部分</w:t>
      </w:r>
      <w:bookmarkEnd w:id="413"/>
    </w:p>
    <w:p w14:paraId="77D33A58">
      <w:pPr>
        <w:spacing w:line="360" w:lineRule="auto"/>
        <w:jc w:val="center"/>
        <w:outlineLvl w:val="0"/>
        <w:rPr>
          <w:rFonts w:ascii="宋体" w:hAnsi="宋体" w:cs="宋体"/>
          <w:b/>
          <w:color w:val="auto"/>
          <w:kern w:val="0"/>
          <w:sz w:val="36"/>
          <w:szCs w:val="36"/>
          <w:highlight w:val="none"/>
        </w:rPr>
      </w:pPr>
      <w:bookmarkStart w:id="414" w:name="_Toc32371"/>
      <w:r>
        <w:rPr>
          <w:rFonts w:hint="eastAsia" w:ascii="宋体" w:hAnsi="宋体" w:cs="宋体"/>
          <w:b/>
          <w:color w:val="auto"/>
          <w:kern w:val="0"/>
          <w:sz w:val="36"/>
          <w:szCs w:val="36"/>
          <w:highlight w:val="none"/>
        </w:rPr>
        <w:t>目录</w:t>
      </w:r>
      <w:bookmarkEnd w:id="414"/>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宁海县教育服务管理中心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415" w:name="_Toc4930"/>
      <w:r>
        <w:rPr>
          <w:rFonts w:hint="eastAsia" w:ascii="宋体" w:hAnsi="宋体" w:cs="宋体"/>
          <w:b/>
          <w:color w:val="auto"/>
          <w:kern w:val="0"/>
          <w:sz w:val="28"/>
          <w:szCs w:val="28"/>
          <w:highlight w:val="none"/>
        </w:rPr>
        <w:t>目录</w:t>
      </w:r>
      <w:bookmarkEnd w:id="415"/>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416"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16"/>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宁海县教育服务管理中心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7"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17"/>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9CAE8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341CC41">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宁海县教育服务管理中心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宁海县教育服务管理中心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4C259A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F0CD07C">
      <w:pPr>
        <w:snapToGrid w:val="0"/>
        <w:spacing w:line="360" w:lineRule="auto"/>
        <w:rPr>
          <w:rFonts w:ascii="宋体" w:hAnsi="宋体" w:cs="宋体"/>
          <w:color w:val="auto"/>
          <w:kern w:val="0"/>
          <w:sz w:val="24"/>
          <w:highlight w:val="none"/>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003CE">
      <w:pPr>
        <w:jc w:val="center"/>
        <w:rPr>
          <w:rFonts w:ascii="宋体" w:hAnsi="宋体" w:cs="宋体"/>
          <w:b/>
          <w:color w:val="auto"/>
          <w:kern w:val="0"/>
          <w:sz w:val="32"/>
          <w:szCs w:val="32"/>
          <w:highlight w:val="none"/>
        </w:rPr>
      </w:pPr>
    </w:p>
    <w:p w14:paraId="366EB9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D1F7AC">
      <w:pPr>
        <w:jc w:val="center"/>
        <w:rPr>
          <w:rFonts w:ascii="宋体" w:hAnsi="宋体" w:cs="宋体"/>
          <w:b/>
          <w:color w:val="auto"/>
          <w:kern w:val="0"/>
          <w:sz w:val="32"/>
          <w:szCs w:val="32"/>
          <w:highlight w:val="none"/>
        </w:rPr>
      </w:pPr>
    </w:p>
    <w:p w14:paraId="22174EF6">
      <w:pPr>
        <w:jc w:val="center"/>
        <w:rPr>
          <w:rFonts w:ascii="宋体" w:hAnsi="宋体" w:cs="宋体"/>
          <w:b/>
          <w:color w:val="auto"/>
          <w:kern w:val="0"/>
          <w:sz w:val="32"/>
          <w:szCs w:val="32"/>
          <w:highlight w:val="none"/>
        </w:rPr>
      </w:pPr>
    </w:p>
    <w:p w14:paraId="733D0629">
      <w:pPr>
        <w:jc w:val="center"/>
        <w:rPr>
          <w:rFonts w:ascii="宋体" w:hAnsi="宋体" w:cs="宋体"/>
          <w:b/>
          <w:color w:val="auto"/>
          <w:kern w:val="0"/>
          <w:sz w:val="32"/>
          <w:szCs w:val="32"/>
          <w:highlight w:val="none"/>
        </w:rPr>
      </w:pPr>
    </w:p>
    <w:p w14:paraId="07224816">
      <w:pPr>
        <w:jc w:val="center"/>
        <w:rPr>
          <w:rFonts w:ascii="宋体" w:hAnsi="宋体" w:cs="宋体"/>
          <w:b/>
          <w:color w:val="auto"/>
          <w:kern w:val="0"/>
          <w:sz w:val="32"/>
          <w:szCs w:val="32"/>
          <w:highlight w:val="none"/>
        </w:rPr>
      </w:pPr>
    </w:p>
    <w:p w14:paraId="49342AC4">
      <w:pPr>
        <w:jc w:val="center"/>
        <w:rPr>
          <w:rFonts w:ascii="宋体" w:hAnsi="宋体" w:cs="宋体"/>
          <w:b/>
          <w:color w:val="auto"/>
          <w:kern w:val="0"/>
          <w:sz w:val="32"/>
          <w:szCs w:val="32"/>
          <w:highlight w:val="none"/>
        </w:rPr>
      </w:pPr>
    </w:p>
    <w:p w14:paraId="71597293">
      <w:pPr>
        <w:jc w:val="center"/>
        <w:rPr>
          <w:rFonts w:ascii="宋体" w:hAnsi="宋体" w:cs="宋体"/>
          <w:b/>
          <w:color w:val="auto"/>
          <w:kern w:val="0"/>
          <w:sz w:val="32"/>
          <w:szCs w:val="32"/>
          <w:highlight w:val="none"/>
        </w:rPr>
      </w:pPr>
    </w:p>
    <w:p w14:paraId="0F8D5549">
      <w:pPr>
        <w:jc w:val="center"/>
        <w:rPr>
          <w:rFonts w:ascii="宋体" w:hAnsi="宋体" w:cs="宋体"/>
          <w:b/>
          <w:color w:val="auto"/>
          <w:kern w:val="0"/>
          <w:sz w:val="32"/>
          <w:szCs w:val="32"/>
          <w:highlight w:val="none"/>
        </w:rPr>
      </w:pPr>
    </w:p>
    <w:p w14:paraId="3C0D89F1">
      <w:pPr>
        <w:jc w:val="center"/>
        <w:rPr>
          <w:rFonts w:ascii="宋体" w:hAnsi="宋体" w:cs="宋体"/>
          <w:b/>
          <w:color w:val="auto"/>
          <w:kern w:val="0"/>
          <w:sz w:val="32"/>
          <w:szCs w:val="32"/>
          <w:highlight w:val="none"/>
        </w:rPr>
      </w:pPr>
    </w:p>
    <w:p w14:paraId="6E71B3C5">
      <w:pPr>
        <w:jc w:val="center"/>
        <w:rPr>
          <w:rFonts w:ascii="宋体" w:hAnsi="宋体" w:cs="宋体"/>
          <w:b/>
          <w:color w:val="auto"/>
          <w:kern w:val="0"/>
          <w:sz w:val="32"/>
          <w:szCs w:val="32"/>
          <w:highlight w:val="none"/>
        </w:rPr>
      </w:pPr>
    </w:p>
    <w:p w14:paraId="1B0A88E0">
      <w:pPr>
        <w:jc w:val="center"/>
        <w:rPr>
          <w:rFonts w:ascii="宋体" w:hAnsi="宋体" w:cs="宋体"/>
          <w:b/>
          <w:color w:val="auto"/>
          <w:kern w:val="0"/>
          <w:sz w:val="32"/>
          <w:szCs w:val="32"/>
          <w:highlight w:val="none"/>
        </w:rPr>
      </w:pPr>
    </w:p>
    <w:p w14:paraId="7E31BA09">
      <w:pPr>
        <w:jc w:val="center"/>
        <w:rPr>
          <w:rFonts w:ascii="宋体" w:hAnsi="宋体" w:cs="宋体"/>
          <w:b/>
          <w:color w:val="auto"/>
          <w:kern w:val="0"/>
          <w:sz w:val="32"/>
          <w:szCs w:val="32"/>
          <w:highlight w:val="none"/>
        </w:rPr>
      </w:pPr>
    </w:p>
    <w:p w14:paraId="54BAE21B">
      <w:pPr>
        <w:jc w:val="center"/>
        <w:rPr>
          <w:rFonts w:ascii="宋体" w:hAnsi="宋体" w:cs="宋体"/>
          <w:b/>
          <w:color w:val="auto"/>
          <w:kern w:val="0"/>
          <w:sz w:val="32"/>
          <w:szCs w:val="32"/>
          <w:highlight w:val="none"/>
        </w:r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42339F">
      <w:pPr>
        <w:jc w:val="center"/>
        <w:rPr>
          <w:rFonts w:ascii="宋体" w:hAnsi="宋体" w:cs="宋体"/>
          <w:b/>
          <w:color w:val="auto"/>
          <w:kern w:val="0"/>
          <w:sz w:val="32"/>
          <w:szCs w:val="32"/>
          <w:highlight w:val="none"/>
        </w:rPr>
      </w:pPr>
    </w:p>
    <w:p w14:paraId="48C3125C">
      <w:pPr>
        <w:jc w:val="center"/>
        <w:rPr>
          <w:rFonts w:ascii="宋体" w:hAnsi="宋体" w:cs="宋体"/>
          <w:b/>
          <w:color w:val="auto"/>
          <w:kern w:val="0"/>
          <w:sz w:val="32"/>
          <w:szCs w:val="32"/>
          <w:highlight w:val="none"/>
        </w:rPr>
      </w:pPr>
    </w:p>
    <w:p w14:paraId="7EA424B7">
      <w:pPr>
        <w:jc w:val="center"/>
        <w:rPr>
          <w:rFonts w:ascii="宋体" w:hAnsi="宋体" w:cs="宋体"/>
          <w:b/>
          <w:color w:val="auto"/>
          <w:kern w:val="0"/>
          <w:sz w:val="32"/>
          <w:szCs w:val="32"/>
          <w:highlight w:val="none"/>
        </w:r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宁海县教育服务管理中心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90F88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484C5">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418" w:name="_Toc8616"/>
      <w:r>
        <w:rPr>
          <w:rFonts w:hint="eastAsia" w:ascii="宋体" w:hAnsi="宋体" w:cs="宋体"/>
          <w:b/>
          <w:color w:val="auto"/>
          <w:kern w:val="0"/>
          <w:sz w:val="36"/>
          <w:szCs w:val="36"/>
          <w:highlight w:val="none"/>
        </w:rPr>
        <w:t>报价文件部分</w:t>
      </w:r>
      <w:bookmarkEnd w:id="418"/>
    </w:p>
    <w:p w14:paraId="51F37381">
      <w:pPr>
        <w:spacing w:line="360" w:lineRule="auto"/>
        <w:jc w:val="center"/>
        <w:outlineLvl w:val="0"/>
        <w:rPr>
          <w:rFonts w:ascii="宋体" w:hAnsi="宋体" w:cs="宋体"/>
          <w:b/>
          <w:color w:val="auto"/>
          <w:kern w:val="0"/>
          <w:sz w:val="36"/>
          <w:szCs w:val="36"/>
          <w:highlight w:val="none"/>
        </w:rPr>
      </w:pPr>
      <w:bookmarkStart w:id="419" w:name="_Toc15307"/>
      <w:r>
        <w:rPr>
          <w:rFonts w:hint="eastAsia" w:ascii="宋体" w:hAnsi="宋体" w:cs="宋体"/>
          <w:b/>
          <w:color w:val="auto"/>
          <w:kern w:val="0"/>
          <w:sz w:val="36"/>
          <w:szCs w:val="36"/>
          <w:highlight w:val="none"/>
        </w:rPr>
        <w:t>目录</w:t>
      </w:r>
      <w:bookmarkEnd w:id="419"/>
    </w:p>
    <w:p w14:paraId="03A30A9C">
      <w:pPr>
        <w:spacing w:line="360" w:lineRule="auto"/>
        <w:jc w:val="center"/>
        <w:outlineLvl w:val="9"/>
        <w:rPr>
          <w:rFonts w:ascii="宋体" w:hAnsi="宋体" w:cs="宋体"/>
          <w:b/>
          <w:color w:val="auto"/>
          <w:kern w:val="0"/>
          <w:sz w:val="36"/>
          <w:szCs w:val="36"/>
          <w:highlight w:val="none"/>
        </w:rPr>
      </w:pPr>
    </w:p>
    <w:p w14:paraId="7091873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0436C2B3">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53050A9A">
      <w:pPr>
        <w:pStyle w:val="2"/>
        <w:rPr>
          <w:rFonts w:hAnsi="宋体" w:cs="宋体"/>
          <w:color w:val="auto"/>
          <w:highlight w:val="none"/>
        </w:rPr>
      </w:pPr>
    </w:p>
    <w:p w14:paraId="0374878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宁海县教育服务管理中心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218"/>
        <w:gridCol w:w="2634"/>
        <w:gridCol w:w="3597"/>
      </w:tblGrid>
      <w:tr w14:paraId="3390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vAlign w:val="center"/>
          </w:tcPr>
          <w:p w14:paraId="251DC5ED">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195" w:type="pct"/>
            <w:vAlign w:val="center"/>
          </w:tcPr>
          <w:p w14:paraId="023ED577">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1419" w:type="pct"/>
            <w:vAlign w:val="center"/>
          </w:tcPr>
          <w:p w14:paraId="3F8FEAD5">
            <w:pPr>
              <w:adjustRightInd/>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投标折扣系数</w:t>
            </w:r>
          </w:p>
        </w:tc>
        <w:tc>
          <w:tcPr>
            <w:tcW w:w="1937" w:type="pct"/>
            <w:vAlign w:val="center"/>
          </w:tcPr>
          <w:p w14:paraId="22720A5A">
            <w:pPr>
              <w:adjustRightInd/>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合同履行期限</w:t>
            </w:r>
          </w:p>
        </w:tc>
      </w:tr>
      <w:tr w14:paraId="10D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53AC5F79">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95" w:type="pct"/>
            <w:vAlign w:val="center"/>
          </w:tcPr>
          <w:p w14:paraId="16D78970">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鲜肉类</w:t>
            </w:r>
          </w:p>
        </w:tc>
        <w:tc>
          <w:tcPr>
            <w:tcW w:w="1419" w:type="pct"/>
            <w:vAlign w:val="center"/>
          </w:tcPr>
          <w:p w14:paraId="65C0576A">
            <w:pPr>
              <w:spacing w:line="460" w:lineRule="exact"/>
              <w:jc w:val="center"/>
              <w:rPr>
                <w:rFonts w:ascii="宋体" w:hAnsi="宋体" w:cs="宋体"/>
                <w:color w:val="auto"/>
                <w:sz w:val="24"/>
                <w:highlight w:val="none"/>
              </w:rPr>
            </w:pPr>
          </w:p>
        </w:tc>
        <w:tc>
          <w:tcPr>
            <w:tcW w:w="1937" w:type="pct"/>
            <w:vMerge w:val="restart"/>
            <w:vAlign w:val="center"/>
          </w:tcPr>
          <w:p w14:paraId="1DCFD1F2">
            <w:pPr>
              <w:adjustRightInd/>
              <w:snapToGrid w:val="0"/>
              <w:spacing w:line="360" w:lineRule="auto"/>
              <w:jc w:val="center"/>
              <w:rPr>
                <w:rFonts w:ascii="宋体" w:hAnsi="宋体" w:cs="宋体"/>
                <w:color w:val="auto"/>
                <w:sz w:val="24"/>
                <w:highlight w:val="none"/>
              </w:rPr>
            </w:pPr>
          </w:p>
        </w:tc>
      </w:tr>
      <w:tr w14:paraId="145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79D456A7">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95" w:type="pct"/>
            <w:vAlign w:val="center"/>
          </w:tcPr>
          <w:p w14:paraId="38A4FB1F">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蛋类</w:t>
            </w:r>
          </w:p>
        </w:tc>
        <w:tc>
          <w:tcPr>
            <w:tcW w:w="1419" w:type="pct"/>
            <w:vAlign w:val="center"/>
          </w:tcPr>
          <w:p w14:paraId="17E5C026">
            <w:pPr>
              <w:spacing w:line="460" w:lineRule="exact"/>
              <w:jc w:val="center"/>
              <w:rPr>
                <w:rFonts w:ascii="宋体" w:hAnsi="宋体" w:cs="宋体"/>
                <w:color w:val="auto"/>
                <w:sz w:val="24"/>
                <w:highlight w:val="none"/>
              </w:rPr>
            </w:pPr>
          </w:p>
        </w:tc>
        <w:tc>
          <w:tcPr>
            <w:tcW w:w="1937" w:type="pct"/>
            <w:vMerge w:val="continue"/>
            <w:vAlign w:val="center"/>
          </w:tcPr>
          <w:p w14:paraId="26C26468">
            <w:pPr>
              <w:adjustRightInd/>
              <w:snapToGrid w:val="0"/>
              <w:spacing w:line="360" w:lineRule="auto"/>
              <w:jc w:val="center"/>
              <w:rPr>
                <w:rFonts w:ascii="宋体" w:hAnsi="宋体" w:cs="宋体"/>
                <w:color w:val="auto"/>
                <w:sz w:val="24"/>
                <w:highlight w:val="none"/>
              </w:rPr>
            </w:pPr>
          </w:p>
        </w:tc>
      </w:tr>
      <w:tr w14:paraId="3B6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4FBCD660">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95" w:type="pct"/>
            <w:vAlign w:val="center"/>
          </w:tcPr>
          <w:p w14:paraId="56F0E38A">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鲜蔬类</w:t>
            </w:r>
          </w:p>
        </w:tc>
        <w:tc>
          <w:tcPr>
            <w:tcW w:w="1419" w:type="pct"/>
            <w:vAlign w:val="center"/>
          </w:tcPr>
          <w:p w14:paraId="011BF07C">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56EB34B5">
            <w:pPr>
              <w:adjustRightInd/>
              <w:snapToGrid w:val="0"/>
              <w:spacing w:line="360" w:lineRule="auto"/>
              <w:jc w:val="center"/>
              <w:rPr>
                <w:rFonts w:ascii="宋体" w:hAnsi="宋体" w:cs="宋体"/>
                <w:color w:val="auto"/>
                <w:sz w:val="24"/>
                <w:highlight w:val="none"/>
              </w:rPr>
            </w:pPr>
          </w:p>
        </w:tc>
      </w:tr>
      <w:tr w14:paraId="7C90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1891E598">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95" w:type="pct"/>
            <w:vAlign w:val="center"/>
          </w:tcPr>
          <w:p w14:paraId="06A67FD9">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鲜虾类</w:t>
            </w:r>
          </w:p>
        </w:tc>
        <w:tc>
          <w:tcPr>
            <w:tcW w:w="1419" w:type="pct"/>
            <w:vAlign w:val="center"/>
          </w:tcPr>
          <w:p w14:paraId="0C58DCA6">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35A72FE7">
            <w:pPr>
              <w:adjustRightInd/>
              <w:snapToGrid w:val="0"/>
              <w:spacing w:line="360" w:lineRule="auto"/>
              <w:jc w:val="center"/>
              <w:rPr>
                <w:rFonts w:ascii="宋体" w:hAnsi="宋体" w:cs="宋体"/>
                <w:color w:val="auto"/>
                <w:sz w:val="24"/>
                <w:highlight w:val="none"/>
              </w:rPr>
            </w:pPr>
          </w:p>
        </w:tc>
      </w:tr>
      <w:tr w14:paraId="088D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31609BEC">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95" w:type="pct"/>
            <w:vAlign w:val="center"/>
          </w:tcPr>
          <w:p w14:paraId="5F039F67">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水产类</w:t>
            </w:r>
          </w:p>
        </w:tc>
        <w:tc>
          <w:tcPr>
            <w:tcW w:w="1419" w:type="pct"/>
            <w:vAlign w:val="center"/>
          </w:tcPr>
          <w:p w14:paraId="59FD84EE">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1BF87474">
            <w:pPr>
              <w:adjustRightInd/>
              <w:snapToGrid w:val="0"/>
              <w:spacing w:line="360" w:lineRule="auto"/>
              <w:jc w:val="center"/>
              <w:rPr>
                <w:rFonts w:ascii="宋体" w:hAnsi="宋体" w:cs="宋体"/>
                <w:color w:val="auto"/>
                <w:sz w:val="24"/>
                <w:highlight w:val="none"/>
              </w:rPr>
            </w:pPr>
          </w:p>
        </w:tc>
      </w:tr>
      <w:tr w14:paraId="6AAD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41AFD906">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95" w:type="pct"/>
            <w:vAlign w:val="center"/>
          </w:tcPr>
          <w:p w14:paraId="0AAA86F2">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豆制品类</w:t>
            </w:r>
          </w:p>
        </w:tc>
        <w:tc>
          <w:tcPr>
            <w:tcW w:w="1419" w:type="pct"/>
            <w:vAlign w:val="center"/>
          </w:tcPr>
          <w:p w14:paraId="56B2AE5E">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6580123F">
            <w:pPr>
              <w:adjustRightInd/>
              <w:snapToGrid w:val="0"/>
              <w:spacing w:line="360" w:lineRule="auto"/>
              <w:jc w:val="center"/>
              <w:rPr>
                <w:rFonts w:ascii="宋体" w:hAnsi="宋体" w:cs="宋体"/>
                <w:color w:val="auto"/>
                <w:sz w:val="24"/>
                <w:highlight w:val="none"/>
              </w:rPr>
            </w:pPr>
          </w:p>
        </w:tc>
      </w:tr>
      <w:tr w14:paraId="16F8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5AE5A6E7">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195" w:type="pct"/>
            <w:vAlign w:val="center"/>
          </w:tcPr>
          <w:p w14:paraId="47205CB7">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佐料类</w:t>
            </w:r>
          </w:p>
        </w:tc>
        <w:tc>
          <w:tcPr>
            <w:tcW w:w="1419" w:type="pct"/>
            <w:vAlign w:val="center"/>
          </w:tcPr>
          <w:p w14:paraId="6725F2F8">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3FC808F6">
            <w:pPr>
              <w:adjustRightInd/>
              <w:snapToGrid w:val="0"/>
              <w:spacing w:line="360" w:lineRule="auto"/>
              <w:jc w:val="center"/>
              <w:rPr>
                <w:rFonts w:ascii="宋体" w:hAnsi="宋体" w:cs="宋体"/>
                <w:color w:val="auto"/>
                <w:sz w:val="24"/>
                <w:highlight w:val="none"/>
              </w:rPr>
            </w:pPr>
          </w:p>
        </w:tc>
      </w:tr>
      <w:tr w14:paraId="0F1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47263160">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195" w:type="pct"/>
            <w:vAlign w:val="center"/>
          </w:tcPr>
          <w:p w14:paraId="0F248E53">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水果类</w:t>
            </w:r>
          </w:p>
        </w:tc>
        <w:tc>
          <w:tcPr>
            <w:tcW w:w="1419" w:type="pct"/>
            <w:vAlign w:val="center"/>
          </w:tcPr>
          <w:p w14:paraId="6AA0CCDD">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6BECDE31">
            <w:pPr>
              <w:adjustRightInd/>
              <w:snapToGrid w:val="0"/>
              <w:spacing w:line="360" w:lineRule="auto"/>
              <w:jc w:val="center"/>
              <w:rPr>
                <w:rFonts w:ascii="宋体" w:hAnsi="宋体" w:cs="宋体"/>
                <w:color w:val="auto"/>
                <w:sz w:val="24"/>
                <w:highlight w:val="none"/>
              </w:rPr>
            </w:pPr>
          </w:p>
        </w:tc>
      </w:tr>
      <w:tr w14:paraId="1C1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1FCABD4D">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195" w:type="pct"/>
            <w:vAlign w:val="center"/>
          </w:tcPr>
          <w:p w14:paraId="64DC2D26">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冷冻品</w:t>
            </w:r>
          </w:p>
        </w:tc>
        <w:tc>
          <w:tcPr>
            <w:tcW w:w="1419" w:type="pct"/>
            <w:shd w:val="clear" w:color="auto" w:fill="auto"/>
            <w:vAlign w:val="center"/>
          </w:tcPr>
          <w:p w14:paraId="602F4C1E">
            <w:pPr>
              <w:snapToGrid w:val="0"/>
              <w:spacing w:before="50" w:after="50" w:line="360" w:lineRule="auto"/>
              <w:jc w:val="center"/>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highlight w:val="none"/>
                <w:lang w:val="en-US" w:eastAsia="zh-CN"/>
              </w:rPr>
              <w:t>82</w:t>
            </w:r>
            <w:r>
              <w:rPr>
                <w:rFonts w:hint="eastAsia" w:ascii="宋体" w:hAnsi="宋体"/>
                <w:b/>
                <w:bCs w:val="0"/>
                <w:color w:val="auto"/>
                <w:szCs w:val="21"/>
                <w:highlight w:val="none"/>
              </w:rPr>
              <w:t>%</w:t>
            </w:r>
          </w:p>
        </w:tc>
        <w:tc>
          <w:tcPr>
            <w:tcW w:w="1937" w:type="pct"/>
            <w:vMerge w:val="continue"/>
            <w:vAlign w:val="center"/>
          </w:tcPr>
          <w:p w14:paraId="675E5401">
            <w:pPr>
              <w:adjustRightInd/>
              <w:snapToGrid w:val="0"/>
              <w:spacing w:line="360" w:lineRule="auto"/>
              <w:jc w:val="center"/>
              <w:rPr>
                <w:rFonts w:ascii="宋体" w:hAnsi="宋体" w:cs="宋体"/>
                <w:color w:val="auto"/>
                <w:sz w:val="24"/>
                <w:highlight w:val="none"/>
              </w:rPr>
            </w:pPr>
          </w:p>
        </w:tc>
      </w:tr>
      <w:tr w14:paraId="5A6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66DD48F3">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195" w:type="pct"/>
            <w:vAlign w:val="center"/>
          </w:tcPr>
          <w:p w14:paraId="1A9E12D3">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牛奶类</w:t>
            </w:r>
          </w:p>
        </w:tc>
        <w:tc>
          <w:tcPr>
            <w:tcW w:w="1419" w:type="pct"/>
            <w:shd w:val="clear" w:color="auto" w:fill="auto"/>
            <w:vAlign w:val="center"/>
          </w:tcPr>
          <w:p w14:paraId="7D177415">
            <w:pPr>
              <w:snapToGrid w:val="0"/>
              <w:spacing w:before="50" w:after="50" w:line="360" w:lineRule="auto"/>
              <w:jc w:val="center"/>
              <w:rPr>
                <w:rFonts w:hint="eastAsia"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Cs w:val="21"/>
                <w:highlight w:val="none"/>
                <w:lang w:val="en-US" w:eastAsia="zh-CN"/>
              </w:rPr>
              <w:t>92</w:t>
            </w:r>
            <w:r>
              <w:rPr>
                <w:rFonts w:hint="eastAsia" w:ascii="宋体" w:hAnsi="宋体"/>
                <w:b/>
                <w:bCs w:val="0"/>
                <w:color w:val="auto"/>
                <w:szCs w:val="21"/>
                <w:highlight w:val="none"/>
              </w:rPr>
              <w:t>%</w:t>
            </w:r>
          </w:p>
        </w:tc>
        <w:tc>
          <w:tcPr>
            <w:tcW w:w="1937" w:type="pct"/>
            <w:vMerge w:val="continue"/>
            <w:vAlign w:val="center"/>
          </w:tcPr>
          <w:p w14:paraId="72334CB9">
            <w:pPr>
              <w:adjustRightInd/>
              <w:snapToGrid w:val="0"/>
              <w:spacing w:line="360" w:lineRule="auto"/>
              <w:jc w:val="center"/>
              <w:rPr>
                <w:rFonts w:ascii="宋体" w:hAnsi="宋体" w:cs="宋体"/>
                <w:color w:val="auto"/>
                <w:sz w:val="24"/>
                <w:highlight w:val="none"/>
              </w:rPr>
            </w:pPr>
          </w:p>
        </w:tc>
      </w:tr>
      <w:tr w14:paraId="49BC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7" w:type="pct"/>
            <w:vAlign w:val="center"/>
          </w:tcPr>
          <w:p w14:paraId="2F11097A">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195" w:type="pct"/>
            <w:vAlign w:val="center"/>
          </w:tcPr>
          <w:p w14:paraId="0518EB1F">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其他类（除以上种类外的其他食品）</w:t>
            </w:r>
          </w:p>
        </w:tc>
        <w:tc>
          <w:tcPr>
            <w:tcW w:w="1419" w:type="pct"/>
            <w:vAlign w:val="center"/>
          </w:tcPr>
          <w:p w14:paraId="6CE57A9E">
            <w:pPr>
              <w:spacing w:line="460" w:lineRule="exact"/>
              <w:jc w:val="center"/>
              <w:rPr>
                <w:rFonts w:hint="eastAsia" w:ascii="宋体" w:hAnsi="宋体" w:eastAsia="宋体" w:cs="宋体"/>
                <w:color w:val="auto"/>
                <w:sz w:val="24"/>
                <w:szCs w:val="24"/>
                <w:highlight w:val="none"/>
                <w:lang w:val="en-US" w:eastAsia="zh-CN"/>
              </w:rPr>
            </w:pPr>
          </w:p>
        </w:tc>
        <w:tc>
          <w:tcPr>
            <w:tcW w:w="1937" w:type="pct"/>
            <w:vMerge w:val="continue"/>
            <w:vAlign w:val="center"/>
          </w:tcPr>
          <w:p w14:paraId="010969C4">
            <w:pPr>
              <w:adjustRightInd/>
              <w:snapToGrid w:val="0"/>
              <w:spacing w:line="360" w:lineRule="auto"/>
              <w:jc w:val="center"/>
              <w:rPr>
                <w:rFonts w:ascii="宋体" w:hAnsi="宋体" w:cs="宋体"/>
                <w:color w:val="auto"/>
                <w:sz w:val="24"/>
                <w:highlight w:val="none"/>
              </w:rPr>
            </w:pPr>
          </w:p>
        </w:tc>
      </w:tr>
      <w:tr w14:paraId="240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642" w:type="pct"/>
            <w:gridSpan w:val="2"/>
            <w:vAlign w:val="center"/>
          </w:tcPr>
          <w:p w14:paraId="6B011A03">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3357" w:type="pct"/>
            <w:gridSpan w:val="2"/>
            <w:vAlign w:val="center"/>
          </w:tcPr>
          <w:p w14:paraId="244FC9DF">
            <w:pPr>
              <w:adjustRightInd/>
              <w:snapToGrid w:val="0"/>
              <w:spacing w:line="360" w:lineRule="auto"/>
              <w:jc w:val="left"/>
              <w:rPr>
                <w:rFonts w:ascii="宋体" w:hAnsi="宋体" w:cs="宋体"/>
                <w:color w:val="auto"/>
                <w:sz w:val="24"/>
                <w:highlight w:val="none"/>
              </w:rPr>
            </w:pPr>
            <w:r>
              <w:rPr>
                <w:rFonts w:hint="eastAsia" w:ascii="宋体" w:hAnsi="宋体"/>
                <w:b w:val="0"/>
                <w:bCs/>
                <w:color w:val="auto"/>
                <w:szCs w:val="21"/>
                <w:highlight w:val="none"/>
              </w:rPr>
              <w:t>我公司承诺如获中标，定点采购合同中各类别食品原材料的合同执行折扣系数以所有中标人中该类别食品原材料的</w:t>
            </w:r>
            <w:r>
              <w:rPr>
                <w:rFonts w:hint="eastAsia" w:ascii="宋体" w:hAnsi="宋体"/>
                <w:b w:val="0"/>
                <w:bCs/>
                <w:color w:val="auto"/>
                <w:szCs w:val="21"/>
                <w:highlight w:val="none"/>
                <w:lang w:val="en-US" w:eastAsia="zh-CN"/>
              </w:rPr>
              <w:t>最低投标</w:t>
            </w:r>
            <w:r>
              <w:rPr>
                <w:rFonts w:hint="eastAsia" w:ascii="宋体" w:hAnsi="宋体"/>
                <w:b w:val="0"/>
                <w:bCs/>
                <w:color w:val="auto"/>
                <w:szCs w:val="21"/>
                <w:highlight w:val="none"/>
              </w:rPr>
              <w:t>折扣系数为准（四舍五入，保留一位小数）。由此产生的风险由我公司自行承担。</w:t>
            </w: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B081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569FE6F2">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6BA7DB">
      <w:pPr>
        <w:spacing w:line="360" w:lineRule="auto"/>
        <w:ind w:firstLine="482" w:firstLineChars="200"/>
        <w:rPr>
          <w:rFonts w:ascii="宋体" w:hAnsi="宋体" w:cs="宋体"/>
          <w:b/>
          <w:color w:val="auto"/>
          <w:kern w:val="0"/>
          <w:sz w:val="24"/>
          <w:highlight w:val="none"/>
        </w:rPr>
      </w:pP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9899BEC">
      <w:pPr>
        <w:widowControl/>
        <w:spacing w:line="360" w:lineRule="auto"/>
        <w:ind w:firstLine="120" w:firstLineChars="50"/>
        <w:jc w:val="left"/>
        <w:rPr>
          <w:rFonts w:ascii="宋体" w:hAnsi="宋体" w:cs="宋体"/>
          <w:b/>
          <w:color w:val="auto"/>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0FAB337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0" w:name="_Toc3024"/>
      <w:r>
        <w:rPr>
          <w:rFonts w:hint="eastAsia" w:ascii="宋体" w:hAnsi="宋体" w:cs="宋体"/>
          <w:color w:val="auto"/>
          <w:highlight w:val="none"/>
        </w:rPr>
        <w:t>附件</w:t>
      </w:r>
      <w:bookmarkEnd w:id="420"/>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421" w:name="OLE_LINK14"/>
      <w:bookmarkStart w:id="422" w:name="OLE_LINK13"/>
      <w:r>
        <w:rPr>
          <w:rFonts w:hint="eastAsia" w:ascii="宋体" w:hAnsi="宋体" w:cs="宋体"/>
          <w:b/>
          <w:color w:val="auto"/>
          <w:spacing w:val="6"/>
          <w:sz w:val="32"/>
          <w:szCs w:val="32"/>
          <w:highlight w:val="none"/>
        </w:rPr>
        <w:t>残疾人福利性单位声明函</w:t>
      </w:r>
    </w:p>
    <w:bookmarkEnd w:id="421"/>
    <w:bookmarkEnd w:id="422"/>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宁海县公办学校食堂学生餐食品原材料（非粮油类）定点采购项目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宁海县教育服务管理中心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宁海县公办学校食堂学生餐食品原材料（非粮油类）定点采购项目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CBZJ-20256096G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3" w:name="_Hlk101131882"/>
      <w:r>
        <w:rPr>
          <w:rFonts w:hint="eastAsia" w:ascii="宋体" w:hAnsi="宋体" w:cs="宋体"/>
          <w:color w:val="auto"/>
          <w:kern w:val="0"/>
          <w:sz w:val="24"/>
          <w:highlight w:val="none"/>
          <w:u w:val="single"/>
        </w:rPr>
        <w:t>联合体成员X,……</w:t>
      </w:r>
      <w:bookmarkEnd w:id="4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4"/>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5"/>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426"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426"/>
    </w:p>
    <w:p w14:paraId="0BD89C0C">
      <w:pPr>
        <w:spacing w:line="360" w:lineRule="auto"/>
        <w:jc w:val="center"/>
        <w:rPr>
          <w:rFonts w:ascii="宋体" w:hAnsi="宋体" w:cs="宋体"/>
          <w:color w:val="auto"/>
          <w:sz w:val="24"/>
          <w:highlight w:val="none"/>
          <w:u w:val="single"/>
        </w:rPr>
      </w:pPr>
    </w:p>
    <w:p w14:paraId="0FE73534">
      <w:pPr>
        <w:spacing w:line="360" w:lineRule="auto"/>
        <w:jc w:val="center"/>
        <w:outlineLvl w:val="0"/>
        <w:rPr>
          <w:rFonts w:ascii="宋体" w:hAnsi="宋体" w:cs="宋体"/>
          <w:b/>
          <w:color w:val="auto"/>
          <w:sz w:val="32"/>
          <w:szCs w:val="32"/>
          <w:highlight w:val="none"/>
        </w:rPr>
      </w:pPr>
      <w:bookmarkStart w:id="427" w:name="_Toc28889"/>
      <w:r>
        <w:rPr>
          <w:rFonts w:hint="eastAsia" w:ascii="宋体" w:hAnsi="宋体" w:cs="宋体"/>
          <w:b/>
          <w:color w:val="auto"/>
          <w:sz w:val="32"/>
          <w:szCs w:val="32"/>
          <w:highlight w:val="none"/>
        </w:rPr>
        <w:t>中小企业声明函（服务）</w:t>
      </w:r>
      <w:bookmarkEnd w:id="427"/>
    </w:p>
    <w:p w14:paraId="33F0D24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宁海县教育服务管理中心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宁海县公办学校食堂学生餐食品原材料（非粮油类）定点采购项目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宁海县公办学校食堂学生餐食品原材料（非粮油类）定点采购项目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批发业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957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FB5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F35D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6153F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2C1AD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0D83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color w:val="auto"/>
          <w:sz w:val="24"/>
          <w:highlight w:val="none"/>
        </w:rPr>
      </w:pPr>
    </w:p>
    <w:p w14:paraId="1BAF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79C79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103243">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B73A2C">
      <w:pPr>
        <w:pStyle w:val="2"/>
        <w:rPr>
          <w:rFonts w:hAnsi="宋体" w:cs="宋体"/>
          <w:color w:val="auto"/>
          <w:highlight w:val="none"/>
        </w:rPr>
      </w:pPr>
    </w:p>
    <w:p w14:paraId="753F8279">
      <w:pPr>
        <w:pStyle w:val="5"/>
        <w:outlineLvl w:val="9"/>
        <w:rPr>
          <w:rFonts w:ascii="宋体" w:hAnsi="宋体" w:eastAsia="宋体" w:cs="宋体"/>
          <w:color w:val="auto"/>
          <w:highlight w:val="none"/>
          <w:lang w:val="en-US"/>
        </w:rPr>
      </w:pPr>
    </w:p>
    <w:p w14:paraId="207D49A8">
      <w:pPr>
        <w:spacing w:line="360" w:lineRule="auto"/>
        <w:ind w:right="420"/>
        <w:rPr>
          <w:rFonts w:ascii="宋体" w:hAnsi="宋体" w:cs="宋体"/>
          <w:color w:val="auto"/>
          <w:highlight w:val="none"/>
        </w:rPr>
      </w:pPr>
    </w:p>
    <w:p w14:paraId="5E176AA7">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2010601030101010101"/>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1"/>
      <w:pBdr>
        <w:bottom w:val="single" w:color="auto" w:sz="6" w:space="4"/>
      </w:pBdr>
      <w:jc w:val="right"/>
    </w:pPr>
    <w:r>
      <w:t></w:t>
    </w:r>
    <w:r>
      <w:rPr>
        <w:rFonts w:hint="eastAsia"/>
      </w:rPr>
      <w:t xml:space="preserve">             </w:t>
    </w:r>
    <w:r>
      <w:t>政府采购公开招标文件</w:t>
    </w:r>
  </w:p>
  <w:p w14:paraId="54C7A0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0472C"/>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5DF682E"/>
    <w:rsid w:val="05F06268"/>
    <w:rsid w:val="060E5941"/>
    <w:rsid w:val="06110FAF"/>
    <w:rsid w:val="061C01D9"/>
    <w:rsid w:val="06493CA7"/>
    <w:rsid w:val="065A6178"/>
    <w:rsid w:val="066F1CF3"/>
    <w:rsid w:val="06930BB8"/>
    <w:rsid w:val="07245D42"/>
    <w:rsid w:val="07264C62"/>
    <w:rsid w:val="07382945"/>
    <w:rsid w:val="0739350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62961"/>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3D20A1"/>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D589E"/>
    <w:rsid w:val="0DA01C73"/>
    <w:rsid w:val="0DD63300"/>
    <w:rsid w:val="0DF50604"/>
    <w:rsid w:val="0DF702FE"/>
    <w:rsid w:val="0E060E51"/>
    <w:rsid w:val="0E407B63"/>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50536C3"/>
    <w:rsid w:val="150C1963"/>
    <w:rsid w:val="151447A0"/>
    <w:rsid w:val="154A6454"/>
    <w:rsid w:val="15762120"/>
    <w:rsid w:val="15B2306C"/>
    <w:rsid w:val="15F61834"/>
    <w:rsid w:val="163724F8"/>
    <w:rsid w:val="16A8729C"/>
    <w:rsid w:val="16B33777"/>
    <w:rsid w:val="16BC70A7"/>
    <w:rsid w:val="16C6339E"/>
    <w:rsid w:val="16E32627"/>
    <w:rsid w:val="17221FE1"/>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836216"/>
    <w:rsid w:val="1A9570FB"/>
    <w:rsid w:val="1A984BAD"/>
    <w:rsid w:val="1AB8220E"/>
    <w:rsid w:val="1ACB068F"/>
    <w:rsid w:val="1AE4166C"/>
    <w:rsid w:val="1AF06CFB"/>
    <w:rsid w:val="1AF11B8D"/>
    <w:rsid w:val="1B067919"/>
    <w:rsid w:val="1B0C6FC4"/>
    <w:rsid w:val="1B11359C"/>
    <w:rsid w:val="1B2A271F"/>
    <w:rsid w:val="1B530544"/>
    <w:rsid w:val="1B713184"/>
    <w:rsid w:val="1BA209CF"/>
    <w:rsid w:val="1BB4777D"/>
    <w:rsid w:val="1BD75AB8"/>
    <w:rsid w:val="1C0459C2"/>
    <w:rsid w:val="1C1B3B4A"/>
    <w:rsid w:val="1C6D29DE"/>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02785"/>
    <w:rsid w:val="20B26522"/>
    <w:rsid w:val="20B44310"/>
    <w:rsid w:val="20C25505"/>
    <w:rsid w:val="211116EB"/>
    <w:rsid w:val="216133FC"/>
    <w:rsid w:val="21AD074F"/>
    <w:rsid w:val="21D56769"/>
    <w:rsid w:val="21E52EF3"/>
    <w:rsid w:val="21F279AA"/>
    <w:rsid w:val="21FB5D7B"/>
    <w:rsid w:val="22015E94"/>
    <w:rsid w:val="220B1C3D"/>
    <w:rsid w:val="221D1D20"/>
    <w:rsid w:val="22334A87"/>
    <w:rsid w:val="22BE6801"/>
    <w:rsid w:val="22F13C0B"/>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1C3F78"/>
    <w:rsid w:val="258B00E2"/>
    <w:rsid w:val="25A917A6"/>
    <w:rsid w:val="25BE27CC"/>
    <w:rsid w:val="25F74A5C"/>
    <w:rsid w:val="2628662C"/>
    <w:rsid w:val="262D45DE"/>
    <w:rsid w:val="26492784"/>
    <w:rsid w:val="2650413E"/>
    <w:rsid w:val="26871DC8"/>
    <w:rsid w:val="26A53EF9"/>
    <w:rsid w:val="26A94201"/>
    <w:rsid w:val="26AC274F"/>
    <w:rsid w:val="27044A29"/>
    <w:rsid w:val="271D34C8"/>
    <w:rsid w:val="27427F2B"/>
    <w:rsid w:val="274F426E"/>
    <w:rsid w:val="27543CD1"/>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D15014"/>
    <w:rsid w:val="2DD34A07"/>
    <w:rsid w:val="2DF72DE4"/>
    <w:rsid w:val="2E0220AF"/>
    <w:rsid w:val="2E4B082A"/>
    <w:rsid w:val="2E5D4E86"/>
    <w:rsid w:val="2E5D790B"/>
    <w:rsid w:val="2E9A3C18"/>
    <w:rsid w:val="2EBB0FEE"/>
    <w:rsid w:val="2EC63002"/>
    <w:rsid w:val="2F0A6B38"/>
    <w:rsid w:val="2F740E9D"/>
    <w:rsid w:val="2F946CCB"/>
    <w:rsid w:val="2F9A493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950E68"/>
    <w:rsid w:val="34986E94"/>
    <w:rsid w:val="34AF62C9"/>
    <w:rsid w:val="34CB4388"/>
    <w:rsid w:val="34FA6E12"/>
    <w:rsid w:val="354D7158"/>
    <w:rsid w:val="358D5588"/>
    <w:rsid w:val="35E80BFF"/>
    <w:rsid w:val="363A3B40"/>
    <w:rsid w:val="365302AE"/>
    <w:rsid w:val="36607A0A"/>
    <w:rsid w:val="366E227C"/>
    <w:rsid w:val="366F2E0D"/>
    <w:rsid w:val="367B6A5C"/>
    <w:rsid w:val="36924A5D"/>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8E61B1"/>
    <w:rsid w:val="3A906246"/>
    <w:rsid w:val="3B2349B7"/>
    <w:rsid w:val="3B616CFF"/>
    <w:rsid w:val="3B6259F6"/>
    <w:rsid w:val="3B6835EB"/>
    <w:rsid w:val="3B976654"/>
    <w:rsid w:val="3BC01EFC"/>
    <w:rsid w:val="3BCA786A"/>
    <w:rsid w:val="3BD31E2F"/>
    <w:rsid w:val="3BF15831"/>
    <w:rsid w:val="3C105946"/>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D77EB"/>
    <w:rsid w:val="40A0133A"/>
    <w:rsid w:val="40C31A53"/>
    <w:rsid w:val="40EC4875"/>
    <w:rsid w:val="40FF545D"/>
    <w:rsid w:val="410067C8"/>
    <w:rsid w:val="410D4CAE"/>
    <w:rsid w:val="418F0D2A"/>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7F54EE"/>
    <w:rsid w:val="43977AB6"/>
    <w:rsid w:val="43A3342B"/>
    <w:rsid w:val="43C77C27"/>
    <w:rsid w:val="43CB28F0"/>
    <w:rsid w:val="43DE09EE"/>
    <w:rsid w:val="44002FAD"/>
    <w:rsid w:val="441E0D93"/>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FF254F"/>
    <w:rsid w:val="4809698F"/>
    <w:rsid w:val="4811697D"/>
    <w:rsid w:val="487A3E25"/>
    <w:rsid w:val="488415F3"/>
    <w:rsid w:val="488B5503"/>
    <w:rsid w:val="48937E21"/>
    <w:rsid w:val="489A0361"/>
    <w:rsid w:val="48B94FF3"/>
    <w:rsid w:val="48E37AAB"/>
    <w:rsid w:val="48FD4B4C"/>
    <w:rsid w:val="490544DA"/>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C07BD6"/>
    <w:rsid w:val="4BEE2503"/>
    <w:rsid w:val="4C245A30"/>
    <w:rsid w:val="4C6C5AF1"/>
    <w:rsid w:val="4C924C55"/>
    <w:rsid w:val="4CB6685F"/>
    <w:rsid w:val="4CC367FE"/>
    <w:rsid w:val="4CC8426B"/>
    <w:rsid w:val="4D077F3C"/>
    <w:rsid w:val="4D123355"/>
    <w:rsid w:val="4D2A3B31"/>
    <w:rsid w:val="4D2C3E6A"/>
    <w:rsid w:val="4D312C52"/>
    <w:rsid w:val="4D4E12EF"/>
    <w:rsid w:val="4D7A4C4B"/>
    <w:rsid w:val="4D905305"/>
    <w:rsid w:val="4D964A72"/>
    <w:rsid w:val="4D9C1254"/>
    <w:rsid w:val="4DF65E1C"/>
    <w:rsid w:val="4E793892"/>
    <w:rsid w:val="4E800872"/>
    <w:rsid w:val="4E867065"/>
    <w:rsid w:val="4E8B1072"/>
    <w:rsid w:val="4EC569ED"/>
    <w:rsid w:val="4ED50EA1"/>
    <w:rsid w:val="4EEC050C"/>
    <w:rsid w:val="4F104EC3"/>
    <w:rsid w:val="4F47354A"/>
    <w:rsid w:val="4F911C54"/>
    <w:rsid w:val="4FE625E0"/>
    <w:rsid w:val="5021480F"/>
    <w:rsid w:val="50481639"/>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3F855F8"/>
    <w:rsid w:val="54013861"/>
    <w:rsid w:val="542E6D86"/>
    <w:rsid w:val="54487265"/>
    <w:rsid w:val="544D6070"/>
    <w:rsid w:val="54605E1E"/>
    <w:rsid w:val="54662C89"/>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211B88"/>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71225"/>
    <w:rsid w:val="5AD63A24"/>
    <w:rsid w:val="5B09532D"/>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DE2622C"/>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250DED"/>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37F14"/>
    <w:rsid w:val="63471762"/>
    <w:rsid w:val="634E4770"/>
    <w:rsid w:val="635600A5"/>
    <w:rsid w:val="635B1DB5"/>
    <w:rsid w:val="63711FED"/>
    <w:rsid w:val="63880DDC"/>
    <w:rsid w:val="638D750D"/>
    <w:rsid w:val="63910123"/>
    <w:rsid w:val="63AC6CC0"/>
    <w:rsid w:val="64025D23"/>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220B3B"/>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2E1CBE"/>
    <w:rsid w:val="6E8335BD"/>
    <w:rsid w:val="6E8E12EF"/>
    <w:rsid w:val="6E972936"/>
    <w:rsid w:val="6ED446C5"/>
    <w:rsid w:val="6EF214E2"/>
    <w:rsid w:val="6F1928EC"/>
    <w:rsid w:val="6F2A7D94"/>
    <w:rsid w:val="6F700D66"/>
    <w:rsid w:val="6F8331F1"/>
    <w:rsid w:val="6FAE1A09"/>
    <w:rsid w:val="6FD75BF8"/>
    <w:rsid w:val="707723D0"/>
    <w:rsid w:val="7087670B"/>
    <w:rsid w:val="70F5661B"/>
    <w:rsid w:val="71336FC4"/>
    <w:rsid w:val="71360107"/>
    <w:rsid w:val="713B688E"/>
    <w:rsid w:val="719E53B6"/>
    <w:rsid w:val="71D43752"/>
    <w:rsid w:val="71F1796A"/>
    <w:rsid w:val="72154626"/>
    <w:rsid w:val="72262B5D"/>
    <w:rsid w:val="72283FF7"/>
    <w:rsid w:val="722E7212"/>
    <w:rsid w:val="723A0474"/>
    <w:rsid w:val="725923E4"/>
    <w:rsid w:val="72864BF7"/>
    <w:rsid w:val="729023FC"/>
    <w:rsid w:val="73420532"/>
    <w:rsid w:val="73913779"/>
    <w:rsid w:val="73C0646E"/>
    <w:rsid w:val="73C82B32"/>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061E7B"/>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AC288C"/>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264A7"/>
    <w:rsid w:val="7D0C32F1"/>
    <w:rsid w:val="7D0F408D"/>
    <w:rsid w:val="7D491C6C"/>
    <w:rsid w:val="7D4E2537"/>
    <w:rsid w:val="7D5429C0"/>
    <w:rsid w:val="7D6E6D43"/>
    <w:rsid w:val="7D796894"/>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4"/>
    <w:qFormat/>
    <w:uiPriority w:val="0"/>
    <w:pPr>
      <w:ind w:firstLine="420"/>
    </w:pPr>
    <w:rPr>
      <w:rFonts w:hAnsi="Calibri" w:cs="Times New Roman"/>
      <w:snapToGrid/>
      <w:szCs w:val="20"/>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autoRedefine/>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标准"/>
    <w:basedOn w:val="1"/>
    <w:qFormat/>
    <w:uiPriority w:val="0"/>
    <w:pPr>
      <w:adjustRightInd w:val="0"/>
      <w:spacing w:line="312"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4636</Words>
  <Characters>5089</Characters>
  <Lines>311</Lines>
  <Paragraphs>87</Paragraphs>
  <TotalTime>38</TotalTime>
  <ScaleCrop>false</ScaleCrop>
  <LinksUpToDate>false</LinksUpToDate>
  <CharactersWithSpaces>5334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Jnkun</cp:lastModifiedBy>
  <cp:lastPrinted>2025-03-13T09:51:00Z</cp:lastPrinted>
  <dcterms:modified xsi:type="dcterms:W3CDTF">2025-06-06T06:23:23Z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8535047FD1A34387BD6B28DA5A2624B5_13</vt:lpwstr>
  </property>
  <property fmtid="{D5CDD505-2E9C-101B-9397-08002B2CF9AE}" pid="5" name="KSOTemplateDocerSaveRecord">
    <vt:lpwstr>eyJoZGlkIjoiYjQ0YmM1ZTJhMmZkNjg5YTNjMWY2YzVjMWJkMzkxYzEiLCJ1c2VySWQiOiIxNzg2MzQ1MCJ9</vt:lpwstr>
  </property>
</Properties>
</file>