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600" w:lineRule="exact"/>
        <w:jc w:val="center"/>
        <w:rPr>
          <w:rFonts w:ascii="宋体" w:hAnsi="宋体" w:cs="宋体"/>
          <w:color w:val="auto"/>
          <w:sz w:val="32"/>
          <w:szCs w:val="32"/>
          <w:highlight w:val="none"/>
        </w:rPr>
      </w:pPr>
    </w:p>
    <w:p>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政府采购</w:t>
      </w:r>
    </w:p>
    <w:p>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公开招标文件</w:t>
      </w:r>
    </w:p>
    <w:p>
      <w:pPr>
        <w:spacing w:beforeLines="50" w:beforeAutospacing="0" w:afterAutospacing="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（全一册）</w:t>
      </w:r>
    </w:p>
    <w:p>
      <w:pPr>
        <w:jc w:val="center"/>
        <w:rPr>
          <w:rFonts w:ascii="宋体" w:hAnsi="宋体" w:cs="宋体"/>
          <w:b/>
          <w:bCs/>
          <w:color w:val="auto"/>
          <w:sz w:val="100"/>
          <w:highlight w:val="none"/>
        </w:rPr>
      </w:pPr>
    </w:p>
    <w:p>
      <w:pPr>
        <w:jc w:val="center"/>
        <w:rPr>
          <w:rFonts w:ascii="宋体" w:hAnsi="宋体" w:cs="宋体"/>
          <w:b/>
          <w:bCs/>
          <w:color w:val="auto"/>
          <w:sz w:val="100"/>
          <w:highlight w:val="none"/>
        </w:rPr>
      </w:pPr>
    </w:p>
    <w:tbl>
      <w:tblPr>
        <w:tblStyle w:val="46"/>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采购项目：</w:t>
            </w:r>
          </w:p>
        </w:tc>
        <w:tc>
          <w:tcPr>
            <w:tcW w:w="6352"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宁海县桃源街道湖西社区党群服务中心空间设计及布展采购项目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项目编号：</w:t>
            </w:r>
          </w:p>
        </w:tc>
        <w:tc>
          <w:tcPr>
            <w:tcW w:w="6352"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CBZJ-20226167G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采购人：</w:t>
            </w:r>
          </w:p>
        </w:tc>
        <w:tc>
          <w:tcPr>
            <w:tcW w:w="6352"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宁海县人民政府桃源街道办事处</w:t>
            </w:r>
          </w:p>
        </w:tc>
      </w:tr>
    </w:tbl>
    <w:p>
      <w:pPr>
        <w:jc w:val="center"/>
        <w:rPr>
          <w:rFonts w:ascii="宋体" w:hAnsi="宋体" w:cs="宋体"/>
          <w:b/>
          <w:bCs/>
          <w:color w:val="auto"/>
          <w:sz w:val="100"/>
          <w:highlight w:val="none"/>
        </w:rPr>
      </w:pPr>
    </w:p>
    <w:p>
      <w:pPr>
        <w:jc w:val="center"/>
        <w:rPr>
          <w:rFonts w:ascii="宋体" w:hAnsi="宋体" w:cs="宋体"/>
          <w:b/>
          <w:bCs/>
          <w:color w:val="auto"/>
          <w:sz w:val="100"/>
          <w:highlight w:val="none"/>
        </w:rPr>
      </w:pP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浙江中基正采管理咨询有限公司</w:t>
      </w: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二〇二</w:t>
      </w:r>
      <w:r>
        <w:rPr>
          <w:rFonts w:hint="eastAsia" w:ascii="宋体" w:hAnsi="宋体" w:cs="宋体"/>
          <w:b/>
          <w:bCs/>
          <w:color w:val="auto"/>
          <w:sz w:val="44"/>
          <w:szCs w:val="44"/>
          <w:highlight w:val="none"/>
          <w:lang w:val="en-US" w:eastAsia="zh-CN"/>
        </w:rPr>
        <w:t>三</w:t>
      </w:r>
      <w:r>
        <w:rPr>
          <w:rFonts w:hint="eastAsia" w:ascii="宋体" w:hAnsi="宋体" w:cs="宋体"/>
          <w:b/>
          <w:bCs/>
          <w:color w:val="auto"/>
          <w:sz w:val="44"/>
          <w:szCs w:val="44"/>
          <w:highlight w:val="none"/>
        </w:rPr>
        <w:t>年</w:t>
      </w:r>
      <w:r>
        <w:rPr>
          <w:rFonts w:hint="eastAsia" w:ascii="宋体" w:hAnsi="宋体" w:cs="宋体"/>
          <w:b/>
          <w:bCs/>
          <w:color w:val="auto"/>
          <w:sz w:val="44"/>
          <w:szCs w:val="44"/>
          <w:highlight w:val="none"/>
          <w:lang w:val="en-US" w:eastAsia="zh-CN"/>
        </w:rPr>
        <w:t>三</w:t>
      </w:r>
      <w:r>
        <w:rPr>
          <w:rFonts w:hint="eastAsia" w:ascii="宋体" w:hAnsi="宋体" w:cs="宋体"/>
          <w:b/>
          <w:bCs/>
          <w:color w:val="auto"/>
          <w:sz w:val="44"/>
          <w:szCs w:val="44"/>
          <w:highlight w:val="none"/>
        </w:rPr>
        <w:t>月</w:t>
      </w: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br w:type="page"/>
      </w:r>
    </w:p>
    <w:p>
      <w:pPr>
        <w:pStyle w:val="45"/>
        <w:ind w:firstLine="344"/>
        <w:rPr>
          <w:rFonts w:hint="default" w:ascii="宋体" w:hAnsi="宋体" w:cs="宋体"/>
          <w:color w:val="auto"/>
          <w:highlight w:val="none"/>
        </w:rPr>
      </w:pPr>
    </w:p>
    <w:p>
      <w:pPr>
        <w:pStyle w:val="45"/>
        <w:ind w:firstLine="344"/>
        <w:rPr>
          <w:rFonts w:hint="default" w:ascii="宋体" w:hAnsi="宋体" w:cs="宋体"/>
          <w:color w:val="auto"/>
          <w:highlight w:val="none"/>
        </w:rPr>
        <w:sectPr>
          <w:headerReference r:id="rId3" w:type="default"/>
          <w:pgSz w:w="11906" w:h="16838"/>
          <w:pgMar w:top="1474" w:right="1797" w:bottom="1247" w:left="1797" w:header="851" w:footer="851" w:gutter="0"/>
          <w:pgBorders>
            <w:top w:val="none" w:sz="0" w:space="0"/>
            <w:left w:val="none" w:sz="0" w:space="0"/>
            <w:bottom w:val="none" w:sz="0" w:space="0"/>
            <w:right w:val="none" w:sz="0" w:space="0"/>
          </w:pgBorders>
          <w:pgNumType w:start="2"/>
          <w:cols w:space="720" w:num="1"/>
          <w:docGrid w:linePitch="312" w:charSpace="0"/>
        </w:sectPr>
      </w:pPr>
    </w:p>
    <w:p>
      <w:pPr>
        <w:snapToGrid w:val="0"/>
        <w:spacing w:beforeAutospacing="0" w:afterAutospacing="0" w:line="360" w:lineRule="auto"/>
        <w:jc w:val="center"/>
        <w:rPr>
          <w:rFonts w:ascii="宋体" w:hAnsi="宋体" w:cs="宋体"/>
          <w:b/>
          <w:color w:val="auto"/>
          <w:sz w:val="52"/>
          <w:szCs w:val="52"/>
          <w:highlight w:val="none"/>
        </w:rPr>
      </w:pPr>
    </w:p>
    <w:p>
      <w:pPr>
        <w:snapToGrid w:val="0"/>
        <w:spacing w:beforeAutospacing="0" w:afterAutospacing="0" w:line="480" w:lineRule="auto"/>
        <w:jc w:val="center"/>
        <w:rPr>
          <w:rFonts w:ascii="宋体" w:hAnsi="宋体" w:cs="宋体"/>
          <w:color w:val="auto"/>
          <w:sz w:val="30"/>
          <w:szCs w:val="20"/>
          <w:highlight w:val="none"/>
        </w:rPr>
      </w:pPr>
      <w:r>
        <w:rPr>
          <w:rFonts w:hint="eastAsia" w:ascii="宋体" w:hAnsi="宋体" w:cs="宋体"/>
          <w:b/>
          <w:color w:val="auto"/>
          <w:sz w:val="52"/>
          <w:szCs w:val="52"/>
          <w:highlight w:val="none"/>
        </w:rPr>
        <w:t>目    录</w:t>
      </w:r>
    </w:p>
    <w:p>
      <w:pPr>
        <w:pStyle w:val="33"/>
        <w:tabs>
          <w:tab w:val="right" w:leader="dot" w:pos="8302"/>
        </w:tabs>
        <w:spacing w:beforeAutospacing="0" w:afterAutospacing="0" w:line="480" w:lineRule="auto"/>
        <w:rPr>
          <w:rFonts w:ascii="宋体" w:hAnsi="宋体" w:cs="宋体"/>
          <w:color w:val="auto"/>
          <w:sz w:val="36"/>
          <w:szCs w:val="36"/>
          <w:highlight w:val="none"/>
        </w:rPr>
      </w:pPr>
    </w:p>
    <w:p>
      <w:pPr>
        <w:pStyle w:val="33"/>
        <w:tabs>
          <w:tab w:val="right" w:leader="dot" w:pos="8312"/>
        </w:tabs>
        <w:spacing w:beforeAutospacing="0" w:afterAutospacing="0" w:line="360" w:lineRule="auto"/>
        <w:rPr>
          <w:color w:val="auto"/>
          <w:sz w:val="36"/>
          <w:szCs w:val="44"/>
          <w:highlight w:val="none"/>
        </w:rPr>
      </w:pPr>
      <w:r>
        <w:rPr>
          <w:rFonts w:hint="eastAsia" w:ascii="宋体" w:hAnsi="宋体" w:cs="宋体"/>
          <w:color w:val="auto"/>
          <w:sz w:val="56"/>
          <w:szCs w:val="56"/>
          <w:highlight w:val="none"/>
        </w:rPr>
        <w:fldChar w:fldCharType="begin"/>
      </w:r>
      <w:r>
        <w:rPr>
          <w:rFonts w:hint="eastAsia" w:ascii="宋体" w:hAnsi="宋体" w:cs="宋体"/>
          <w:color w:val="auto"/>
          <w:sz w:val="56"/>
          <w:szCs w:val="56"/>
          <w:highlight w:val="none"/>
        </w:rPr>
        <w:instrText xml:space="preserve">TOC \o "1-1" \h \u </w:instrText>
      </w:r>
      <w:r>
        <w:rPr>
          <w:rFonts w:hint="eastAsia" w:ascii="宋体" w:hAnsi="宋体" w:cs="宋体"/>
          <w:color w:val="auto"/>
          <w:sz w:val="56"/>
          <w:szCs w:val="56"/>
          <w:highlight w:val="none"/>
        </w:rPr>
        <w:fldChar w:fldCharType="separate"/>
      </w:r>
      <w:r>
        <w:rPr>
          <w:color w:val="auto"/>
          <w:highlight w:val="none"/>
        </w:rPr>
        <w:fldChar w:fldCharType="begin"/>
      </w:r>
      <w:r>
        <w:rPr>
          <w:color w:val="auto"/>
          <w:highlight w:val="none"/>
        </w:rPr>
        <w:instrText xml:space="preserve"> HYPERLINK \l "_Toc7691" </w:instrText>
      </w:r>
      <w:r>
        <w:rPr>
          <w:color w:val="auto"/>
          <w:highlight w:val="none"/>
        </w:rPr>
        <w:fldChar w:fldCharType="separate"/>
      </w:r>
      <w:r>
        <w:rPr>
          <w:rFonts w:hint="eastAsia" w:ascii="宋体" w:hAnsi="宋体" w:cs="宋体"/>
          <w:color w:val="auto"/>
          <w:sz w:val="36"/>
          <w:szCs w:val="52"/>
          <w:highlight w:val="none"/>
        </w:rPr>
        <w:t xml:space="preserve">第一章  </w:t>
      </w:r>
      <w:r>
        <w:rPr>
          <w:rFonts w:hint="eastAsia" w:hAnsi="宋体" w:cs="宋体"/>
          <w:color w:val="auto"/>
          <w:sz w:val="36"/>
          <w:szCs w:val="52"/>
          <w:highlight w:val="none"/>
        </w:rPr>
        <w:t>公开招标公告</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_Toc7691 \h </w:instrText>
      </w:r>
      <w:r>
        <w:rPr>
          <w:color w:val="auto"/>
          <w:sz w:val="36"/>
          <w:szCs w:val="44"/>
          <w:highlight w:val="none"/>
        </w:rPr>
        <w:fldChar w:fldCharType="separate"/>
      </w:r>
      <w:r>
        <w:rPr>
          <w:color w:val="auto"/>
          <w:sz w:val="36"/>
          <w:szCs w:val="44"/>
          <w:highlight w:val="none"/>
        </w:rPr>
        <w:t>1</w:t>
      </w:r>
      <w:r>
        <w:rPr>
          <w:color w:val="auto"/>
          <w:sz w:val="36"/>
          <w:szCs w:val="44"/>
          <w:highlight w:val="none"/>
        </w:rPr>
        <w:fldChar w:fldCharType="end"/>
      </w:r>
      <w:r>
        <w:rPr>
          <w:color w:val="auto"/>
          <w:sz w:val="36"/>
          <w:szCs w:val="44"/>
          <w:highlight w:val="none"/>
        </w:rPr>
        <w:fldChar w:fldCharType="end"/>
      </w:r>
    </w:p>
    <w:p>
      <w:pPr>
        <w:pStyle w:val="33"/>
        <w:tabs>
          <w:tab w:val="right" w:leader="dot" w:pos="8312"/>
        </w:tabs>
        <w:spacing w:beforeAutospacing="0" w:afterAutospacing="0" w:line="360" w:lineRule="auto"/>
        <w:rPr>
          <w:color w:val="auto"/>
          <w:sz w:val="36"/>
          <w:szCs w:val="44"/>
          <w:highlight w:val="none"/>
        </w:rPr>
      </w:pPr>
      <w:r>
        <w:rPr>
          <w:color w:val="auto"/>
          <w:highlight w:val="none"/>
        </w:rPr>
        <w:fldChar w:fldCharType="begin"/>
      </w:r>
      <w:r>
        <w:rPr>
          <w:color w:val="auto"/>
          <w:highlight w:val="none"/>
        </w:rPr>
        <w:instrText xml:space="preserve"> HYPERLINK \l "_Toc21866" </w:instrText>
      </w:r>
      <w:r>
        <w:rPr>
          <w:color w:val="auto"/>
          <w:highlight w:val="none"/>
        </w:rPr>
        <w:fldChar w:fldCharType="separate"/>
      </w:r>
      <w:r>
        <w:rPr>
          <w:rFonts w:hint="eastAsia" w:ascii="宋体" w:hAnsi="宋体" w:cs="宋体"/>
          <w:color w:val="auto"/>
          <w:sz w:val="36"/>
          <w:szCs w:val="52"/>
          <w:highlight w:val="none"/>
        </w:rPr>
        <w:t>第二章  采购需求</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_Toc21866 \h </w:instrText>
      </w:r>
      <w:r>
        <w:rPr>
          <w:color w:val="auto"/>
          <w:sz w:val="36"/>
          <w:szCs w:val="44"/>
          <w:highlight w:val="none"/>
        </w:rPr>
        <w:fldChar w:fldCharType="separate"/>
      </w:r>
      <w:r>
        <w:rPr>
          <w:color w:val="auto"/>
          <w:sz w:val="36"/>
          <w:szCs w:val="44"/>
          <w:highlight w:val="none"/>
        </w:rPr>
        <w:t>4</w:t>
      </w:r>
      <w:r>
        <w:rPr>
          <w:color w:val="auto"/>
          <w:sz w:val="36"/>
          <w:szCs w:val="44"/>
          <w:highlight w:val="none"/>
        </w:rPr>
        <w:fldChar w:fldCharType="end"/>
      </w:r>
      <w:r>
        <w:rPr>
          <w:color w:val="auto"/>
          <w:sz w:val="36"/>
          <w:szCs w:val="44"/>
          <w:highlight w:val="none"/>
        </w:rPr>
        <w:fldChar w:fldCharType="end"/>
      </w:r>
    </w:p>
    <w:p>
      <w:pPr>
        <w:pStyle w:val="33"/>
        <w:tabs>
          <w:tab w:val="right" w:leader="dot" w:pos="8312"/>
        </w:tabs>
        <w:spacing w:beforeAutospacing="0" w:afterAutospacing="0" w:line="360" w:lineRule="auto"/>
        <w:rPr>
          <w:color w:val="auto"/>
          <w:sz w:val="36"/>
          <w:szCs w:val="44"/>
          <w:highlight w:val="none"/>
        </w:rPr>
      </w:pPr>
      <w:r>
        <w:rPr>
          <w:color w:val="auto"/>
          <w:highlight w:val="none"/>
        </w:rPr>
        <w:fldChar w:fldCharType="begin"/>
      </w:r>
      <w:r>
        <w:rPr>
          <w:color w:val="auto"/>
          <w:highlight w:val="none"/>
        </w:rPr>
        <w:instrText xml:space="preserve"> HYPERLINK \l "_Toc4265" </w:instrText>
      </w:r>
      <w:r>
        <w:rPr>
          <w:color w:val="auto"/>
          <w:highlight w:val="none"/>
        </w:rPr>
        <w:fldChar w:fldCharType="separate"/>
      </w:r>
      <w:r>
        <w:rPr>
          <w:rFonts w:hint="eastAsia" w:ascii="宋体" w:hAnsi="宋体" w:cs="宋体"/>
          <w:color w:val="auto"/>
          <w:sz w:val="36"/>
          <w:szCs w:val="52"/>
          <w:highlight w:val="none"/>
        </w:rPr>
        <w:t>第三章  供应商须知</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_Toc4265 \h </w:instrText>
      </w:r>
      <w:r>
        <w:rPr>
          <w:color w:val="auto"/>
          <w:sz w:val="36"/>
          <w:szCs w:val="44"/>
          <w:highlight w:val="none"/>
        </w:rPr>
        <w:fldChar w:fldCharType="separate"/>
      </w:r>
      <w:r>
        <w:rPr>
          <w:color w:val="auto"/>
          <w:sz w:val="36"/>
          <w:szCs w:val="44"/>
          <w:highlight w:val="none"/>
        </w:rPr>
        <w:t>25</w:t>
      </w:r>
      <w:r>
        <w:rPr>
          <w:color w:val="auto"/>
          <w:sz w:val="36"/>
          <w:szCs w:val="44"/>
          <w:highlight w:val="none"/>
        </w:rPr>
        <w:fldChar w:fldCharType="end"/>
      </w:r>
      <w:r>
        <w:rPr>
          <w:color w:val="auto"/>
          <w:sz w:val="36"/>
          <w:szCs w:val="44"/>
          <w:highlight w:val="none"/>
        </w:rPr>
        <w:fldChar w:fldCharType="end"/>
      </w:r>
    </w:p>
    <w:p>
      <w:pPr>
        <w:pStyle w:val="33"/>
        <w:tabs>
          <w:tab w:val="right" w:leader="dot" w:pos="8312"/>
        </w:tabs>
        <w:spacing w:beforeAutospacing="0" w:afterAutospacing="0" w:line="360" w:lineRule="auto"/>
        <w:rPr>
          <w:color w:val="auto"/>
          <w:sz w:val="36"/>
          <w:szCs w:val="44"/>
          <w:highlight w:val="none"/>
        </w:rPr>
      </w:pPr>
      <w:r>
        <w:rPr>
          <w:color w:val="auto"/>
          <w:highlight w:val="none"/>
        </w:rPr>
        <w:fldChar w:fldCharType="begin"/>
      </w:r>
      <w:r>
        <w:rPr>
          <w:color w:val="auto"/>
          <w:highlight w:val="none"/>
        </w:rPr>
        <w:instrText xml:space="preserve"> HYPERLINK \l "_Toc8968" </w:instrText>
      </w:r>
      <w:r>
        <w:rPr>
          <w:color w:val="auto"/>
          <w:highlight w:val="none"/>
        </w:rPr>
        <w:fldChar w:fldCharType="separate"/>
      </w:r>
      <w:r>
        <w:rPr>
          <w:rFonts w:hint="eastAsia" w:ascii="宋体" w:hAnsi="宋体" w:cs="宋体"/>
          <w:bCs/>
          <w:color w:val="auto"/>
          <w:sz w:val="36"/>
          <w:szCs w:val="52"/>
          <w:highlight w:val="none"/>
        </w:rPr>
        <w:t>第四章  评标办法及评分标准</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_Toc8968 \h </w:instrText>
      </w:r>
      <w:r>
        <w:rPr>
          <w:color w:val="auto"/>
          <w:sz w:val="36"/>
          <w:szCs w:val="44"/>
          <w:highlight w:val="none"/>
        </w:rPr>
        <w:fldChar w:fldCharType="separate"/>
      </w:r>
      <w:r>
        <w:rPr>
          <w:color w:val="auto"/>
          <w:sz w:val="36"/>
          <w:szCs w:val="44"/>
          <w:highlight w:val="none"/>
        </w:rPr>
        <w:t>35</w:t>
      </w:r>
      <w:r>
        <w:rPr>
          <w:color w:val="auto"/>
          <w:sz w:val="36"/>
          <w:szCs w:val="44"/>
          <w:highlight w:val="none"/>
        </w:rPr>
        <w:fldChar w:fldCharType="end"/>
      </w:r>
      <w:r>
        <w:rPr>
          <w:color w:val="auto"/>
          <w:sz w:val="36"/>
          <w:szCs w:val="44"/>
          <w:highlight w:val="none"/>
        </w:rPr>
        <w:fldChar w:fldCharType="end"/>
      </w:r>
    </w:p>
    <w:p>
      <w:pPr>
        <w:pStyle w:val="33"/>
        <w:tabs>
          <w:tab w:val="right" w:leader="dot" w:pos="8312"/>
        </w:tabs>
        <w:spacing w:beforeAutospacing="0" w:afterAutospacing="0" w:line="360" w:lineRule="auto"/>
        <w:rPr>
          <w:color w:val="auto"/>
          <w:sz w:val="36"/>
          <w:szCs w:val="44"/>
          <w:highlight w:val="none"/>
        </w:rPr>
      </w:pPr>
      <w:r>
        <w:rPr>
          <w:color w:val="auto"/>
          <w:highlight w:val="none"/>
        </w:rPr>
        <w:fldChar w:fldCharType="begin"/>
      </w:r>
      <w:r>
        <w:rPr>
          <w:color w:val="auto"/>
          <w:highlight w:val="none"/>
        </w:rPr>
        <w:instrText xml:space="preserve"> HYPERLINK \l "_Toc9993" </w:instrText>
      </w:r>
      <w:r>
        <w:rPr>
          <w:color w:val="auto"/>
          <w:highlight w:val="none"/>
        </w:rPr>
        <w:fldChar w:fldCharType="separate"/>
      </w:r>
      <w:r>
        <w:rPr>
          <w:rFonts w:hint="eastAsia" w:ascii="宋体" w:hAnsi="宋体" w:cs="宋体"/>
          <w:color w:val="auto"/>
          <w:sz w:val="36"/>
          <w:szCs w:val="52"/>
          <w:highlight w:val="none"/>
        </w:rPr>
        <w:t>第五章  政府采购合同主要条款</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_Toc9993 \h </w:instrText>
      </w:r>
      <w:r>
        <w:rPr>
          <w:color w:val="auto"/>
          <w:sz w:val="36"/>
          <w:szCs w:val="44"/>
          <w:highlight w:val="none"/>
        </w:rPr>
        <w:fldChar w:fldCharType="separate"/>
      </w:r>
      <w:r>
        <w:rPr>
          <w:color w:val="auto"/>
          <w:sz w:val="36"/>
          <w:szCs w:val="44"/>
          <w:highlight w:val="none"/>
        </w:rPr>
        <w:t>42</w:t>
      </w:r>
      <w:r>
        <w:rPr>
          <w:color w:val="auto"/>
          <w:sz w:val="36"/>
          <w:szCs w:val="44"/>
          <w:highlight w:val="none"/>
        </w:rPr>
        <w:fldChar w:fldCharType="end"/>
      </w:r>
      <w:r>
        <w:rPr>
          <w:color w:val="auto"/>
          <w:sz w:val="36"/>
          <w:szCs w:val="44"/>
          <w:highlight w:val="none"/>
        </w:rPr>
        <w:fldChar w:fldCharType="end"/>
      </w:r>
    </w:p>
    <w:p>
      <w:pPr>
        <w:pStyle w:val="33"/>
        <w:tabs>
          <w:tab w:val="right" w:leader="dot" w:pos="8312"/>
        </w:tabs>
        <w:spacing w:beforeAutospacing="0" w:afterAutospacing="0" w:line="360" w:lineRule="auto"/>
        <w:rPr>
          <w:color w:val="auto"/>
          <w:sz w:val="36"/>
          <w:szCs w:val="44"/>
          <w:highlight w:val="none"/>
        </w:rPr>
      </w:pPr>
      <w:r>
        <w:rPr>
          <w:color w:val="auto"/>
          <w:highlight w:val="none"/>
        </w:rPr>
        <w:fldChar w:fldCharType="begin"/>
      </w:r>
      <w:r>
        <w:rPr>
          <w:color w:val="auto"/>
          <w:highlight w:val="none"/>
        </w:rPr>
        <w:instrText xml:space="preserve"> HYPERLINK \l "_Toc4952" </w:instrText>
      </w:r>
      <w:r>
        <w:rPr>
          <w:color w:val="auto"/>
          <w:highlight w:val="none"/>
        </w:rPr>
        <w:fldChar w:fldCharType="separate"/>
      </w:r>
      <w:r>
        <w:rPr>
          <w:rFonts w:hint="eastAsia" w:ascii="宋体" w:hAnsi="宋体" w:cs="宋体"/>
          <w:color w:val="auto"/>
          <w:sz w:val="36"/>
          <w:szCs w:val="52"/>
          <w:highlight w:val="none"/>
        </w:rPr>
        <w:t>第六章　投标文件格式</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_Toc4952 \h </w:instrText>
      </w:r>
      <w:r>
        <w:rPr>
          <w:color w:val="auto"/>
          <w:sz w:val="36"/>
          <w:szCs w:val="44"/>
          <w:highlight w:val="none"/>
        </w:rPr>
        <w:fldChar w:fldCharType="separate"/>
      </w:r>
      <w:r>
        <w:rPr>
          <w:color w:val="auto"/>
          <w:sz w:val="36"/>
          <w:szCs w:val="44"/>
          <w:highlight w:val="none"/>
        </w:rPr>
        <w:t>45</w:t>
      </w:r>
      <w:r>
        <w:rPr>
          <w:color w:val="auto"/>
          <w:sz w:val="36"/>
          <w:szCs w:val="44"/>
          <w:highlight w:val="none"/>
        </w:rPr>
        <w:fldChar w:fldCharType="end"/>
      </w:r>
      <w:r>
        <w:rPr>
          <w:color w:val="auto"/>
          <w:sz w:val="36"/>
          <w:szCs w:val="44"/>
          <w:highlight w:val="none"/>
        </w:rPr>
        <w:fldChar w:fldCharType="end"/>
      </w:r>
    </w:p>
    <w:p>
      <w:pPr>
        <w:spacing w:beforeLines="100" w:beforeAutospacing="0" w:afterLines="100" w:afterAutospacing="0" w:line="360" w:lineRule="auto"/>
        <w:rPr>
          <w:rFonts w:ascii="宋体" w:hAnsi="宋体" w:cs="宋体"/>
          <w:color w:val="auto"/>
          <w:sz w:val="36"/>
          <w:szCs w:val="36"/>
          <w:highlight w:val="none"/>
        </w:rPr>
      </w:pPr>
      <w:r>
        <w:rPr>
          <w:rFonts w:hint="eastAsia" w:ascii="宋体" w:hAnsi="宋体" w:cs="宋体"/>
          <w:color w:val="auto"/>
          <w:sz w:val="36"/>
          <w:szCs w:val="56"/>
          <w:highlight w:val="none"/>
        </w:rPr>
        <w:fldChar w:fldCharType="end"/>
      </w:r>
    </w:p>
    <w:p>
      <w:pPr>
        <w:spacing w:beforeLines="100" w:beforeAutospacing="0" w:afterLines="100" w:afterAutospacing="0" w:line="360" w:lineRule="auto"/>
        <w:rPr>
          <w:rFonts w:ascii="宋体" w:hAnsi="宋体" w:cs="宋体"/>
          <w:color w:val="auto"/>
          <w:sz w:val="36"/>
          <w:szCs w:val="36"/>
          <w:highlight w:val="none"/>
        </w:rPr>
      </w:pPr>
      <w:r>
        <w:rPr>
          <w:rFonts w:hint="eastAsia" w:ascii="宋体" w:hAnsi="宋体" w:cs="宋体"/>
          <w:color w:val="auto"/>
          <w:sz w:val="36"/>
          <w:szCs w:val="36"/>
          <w:highlight w:val="none"/>
        </w:rPr>
        <w:br w:type="page"/>
      </w:r>
    </w:p>
    <w:p>
      <w:pPr>
        <w:pStyle w:val="26"/>
        <w:snapToGrid w:val="0"/>
        <w:spacing w:beforeLines="0" w:beforeAutospacing="0" w:afterLines="0" w:afterAutospacing="0" w:line="360" w:lineRule="auto"/>
        <w:rPr>
          <w:rFonts w:hint="default" w:hAnsi="宋体" w:cs="宋体"/>
          <w:b/>
          <w:color w:val="auto"/>
          <w:sz w:val="30"/>
          <w:szCs w:val="30"/>
          <w:highlight w:val="none"/>
        </w:rPr>
        <w:sectPr>
          <w:pgSz w:w="11906" w:h="16838"/>
          <w:pgMar w:top="1474" w:right="1797" w:bottom="1247" w:left="1797" w:header="851" w:footer="851" w:gutter="0"/>
          <w:pgBorders>
            <w:top w:val="none" w:sz="0" w:space="0"/>
            <w:left w:val="none" w:sz="0" w:space="0"/>
            <w:bottom w:val="none" w:sz="0" w:space="0"/>
            <w:right w:val="none" w:sz="0" w:space="0"/>
          </w:pgBorders>
          <w:pgNumType w:start="2"/>
          <w:cols w:space="720" w:num="1"/>
          <w:docGrid w:linePitch="312" w:charSpace="0"/>
        </w:sectPr>
      </w:pPr>
    </w:p>
    <w:p>
      <w:pPr>
        <w:pStyle w:val="26"/>
        <w:snapToGrid w:val="0"/>
        <w:spacing w:beforeLines="0" w:beforeAutospacing="0" w:afterLines="0" w:afterAutospacing="0" w:line="360" w:lineRule="auto"/>
        <w:jc w:val="center"/>
        <w:outlineLvl w:val="0"/>
        <w:rPr>
          <w:rFonts w:hint="default" w:hAnsi="宋体" w:cs="宋体"/>
          <w:b/>
          <w:color w:val="auto"/>
          <w:sz w:val="32"/>
          <w:szCs w:val="32"/>
          <w:highlight w:val="none"/>
        </w:rPr>
      </w:pPr>
      <w:bookmarkStart w:id="0" w:name="_Toc7691"/>
      <w:bookmarkEnd w:id="0"/>
      <w:bookmarkStart w:id="1" w:name="_Toc14924"/>
      <w:bookmarkEnd w:id="1"/>
      <w:r>
        <w:rPr>
          <w:rFonts w:hAnsi="宋体" w:cs="宋体"/>
          <w:b/>
          <w:color w:val="auto"/>
          <w:sz w:val="32"/>
          <w:szCs w:val="32"/>
          <w:highlight w:val="none"/>
        </w:rPr>
        <w:t>第一章  公开招标公告</w:t>
      </w:r>
    </w:p>
    <w:tbl>
      <w:tblPr>
        <w:tblStyle w:val="4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8" w:type="dxa"/>
          </w:tcPr>
          <w:p>
            <w:pPr>
              <w:adjustRightInd/>
              <w:spacing w:beforeAutospacing="0" w:afterAutospacing="0" w:line="360" w:lineRule="auto"/>
              <w:textAlignment w:val="auto"/>
              <w:rPr>
                <w:rFonts w:ascii="宋体" w:hAnsi="宋体" w:cs="宋体"/>
                <w:color w:val="auto"/>
                <w:szCs w:val="21"/>
                <w:highlight w:val="none"/>
              </w:rPr>
            </w:pPr>
            <w:r>
              <w:rPr>
                <w:rFonts w:hint="eastAsia" w:ascii="宋体" w:hAnsi="宋体" w:cs="宋体"/>
                <w:color w:val="auto"/>
                <w:szCs w:val="21"/>
                <w:highlight w:val="none"/>
              </w:rPr>
              <w:t>项目概况：</w:t>
            </w:r>
          </w:p>
          <w:p>
            <w:pPr>
              <w:adjustRightInd/>
              <w:spacing w:beforeAutospacing="0" w:afterAutospacing="0"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宁海县桃源街道湖西社区党群服务中心空间设计及布展采购项目</w:t>
            </w:r>
            <w:r>
              <w:rPr>
                <w:rFonts w:hint="eastAsia" w:ascii="宋体" w:hAnsi="宋体" w:cs="宋体"/>
                <w:color w:val="auto"/>
                <w:szCs w:val="21"/>
                <w:highlight w:val="none"/>
              </w:rPr>
              <w:t>招标项目的潜在投标人应在政府采购云平台（www.zcygov.cn）获取（下载）招标文件，并于</w:t>
            </w:r>
            <w:r>
              <w:rPr>
                <w:rFonts w:hint="eastAsia" w:ascii="宋体" w:hAnsi="宋体" w:cs="宋体"/>
                <w:color w:val="auto"/>
                <w:szCs w:val="21"/>
                <w:highlight w:val="none"/>
                <w:u w:val="single"/>
                <w:lang w:eastAsia="zh-CN"/>
              </w:rPr>
              <w:t>2023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03</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28</w:t>
            </w:r>
            <w:r>
              <w:rPr>
                <w:rFonts w:hint="eastAsia" w:ascii="宋体" w:hAnsi="宋体" w:cs="宋体"/>
                <w:bCs/>
                <w:color w:val="auto"/>
                <w:szCs w:val="21"/>
                <w:highlight w:val="none"/>
                <w:u w:val="single"/>
              </w:rPr>
              <w:t>日1</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0（北京时间）</w:t>
            </w:r>
            <w:r>
              <w:rPr>
                <w:rFonts w:hint="eastAsia" w:ascii="宋体" w:hAnsi="宋体" w:cs="宋体"/>
                <w:bCs/>
                <w:color w:val="auto"/>
                <w:szCs w:val="21"/>
                <w:highlight w:val="none"/>
              </w:rPr>
              <w:t>前递交（上传）投标文件</w:t>
            </w:r>
            <w:r>
              <w:rPr>
                <w:rFonts w:hint="eastAsia" w:ascii="宋体" w:hAnsi="宋体" w:cs="宋体"/>
                <w:color w:val="auto"/>
                <w:szCs w:val="21"/>
                <w:highlight w:val="none"/>
              </w:rPr>
              <w:t>。</w:t>
            </w:r>
          </w:p>
        </w:tc>
      </w:tr>
    </w:tbl>
    <w:p>
      <w:pPr>
        <w:pStyle w:val="5"/>
        <w:spacing w:before="0" w:beforeAutospacing="0" w:after="0" w:afterAutospacing="0" w:line="348" w:lineRule="auto"/>
        <w:rPr>
          <w:rFonts w:ascii="宋体" w:hAnsi="宋体" w:eastAsia="宋体" w:cs="宋体"/>
          <w:color w:val="auto"/>
          <w:sz w:val="21"/>
          <w:szCs w:val="21"/>
          <w:highlight w:val="none"/>
        </w:rPr>
      </w:pPr>
      <w:bookmarkStart w:id="2" w:name="_Toc35393790"/>
      <w:bookmarkEnd w:id="2"/>
      <w:bookmarkStart w:id="3" w:name="_Toc28359079"/>
      <w:bookmarkEnd w:id="3"/>
      <w:bookmarkStart w:id="4" w:name="_Toc28359002"/>
      <w:bookmarkEnd w:id="4"/>
      <w:bookmarkStart w:id="5" w:name="_Toc35393621"/>
      <w:bookmarkEnd w:id="5"/>
      <w:r>
        <w:rPr>
          <w:rFonts w:hint="eastAsia" w:ascii="宋体" w:hAnsi="宋体" w:eastAsia="宋体" w:cs="宋体"/>
          <w:color w:val="auto"/>
          <w:sz w:val="21"/>
          <w:szCs w:val="21"/>
          <w:highlight w:val="none"/>
        </w:rPr>
        <w:t>一、项目基本情况</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1.项目编号：CBZJ-20226167G</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2.项目名称：宁海县桃源街道湖西社区党群服务中心空间设计及布展采购项目</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3.预算金额（元）：1800000</w:t>
      </w:r>
    </w:p>
    <w:p>
      <w:pPr>
        <w:spacing w:beforeAutospacing="0" w:afterAutospacing="0" w:line="348"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4.最高限价（元）：</w:t>
      </w:r>
      <w:r>
        <w:rPr>
          <w:rFonts w:hint="eastAsia" w:ascii="宋体" w:hAnsi="宋体" w:cs="宋体"/>
          <w:color w:val="auto"/>
          <w:szCs w:val="21"/>
          <w:highlight w:val="none"/>
          <w:lang w:val="en-US" w:eastAsia="zh-CN"/>
        </w:rPr>
        <w:t>1743700</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5.采购需求：</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w:t>
      </w:r>
      <w:r>
        <w:rPr>
          <w:rFonts w:hint="eastAsia" w:ascii="宋体" w:hAnsi="宋体" w:cs="宋体"/>
          <w:color w:val="auto"/>
          <w:szCs w:val="21"/>
          <w:highlight w:val="none"/>
          <w:lang w:val="en-US" w:eastAsia="zh-CN"/>
        </w:rPr>
        <w:t>宁</w:t>
      </w:r>
      <w:r>
        <w:rPr>
          <w:rFonts w:hint="eastAsia" w:ascii="宋体" w:hAnsi="宋体" w:cs="宋体"/>
          <w:color w:val="auto"/>
          <w:szCs w:val="21"/>
          <w:highlight w:val="none"/>
        </w:rPr>
        <w:t>海县桃源街道湖西社区党群服务中心空间设计及布展采购</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数量:1项</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预算金额（元）:1800000</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olor w:val="auto"/>
          <w:highlight w:val="none"/>
        </w:rPr>
        <w:t>详见《第二章  采购需求》。用途：自用。</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备注：如为联合体投标的，组成联合体的成员数量不得超过2个。</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6.合同履行期限：签订合同后</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日内项目设计布展安装完成。</w:t>
      </w:r>
    </w:p>
    <w:p>
      <w:pPr>
        <w:spacing w:beforeAutospacing="0" w:afterAutospacing="0" w:line="348"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7.本项目（是）接受联合体投标。</w:t>
      </w:r>
    </w:p>
    <w:p>
      <w:pPr>
        <w:pStyle w:val="5"/>
        <w:spacing w:before="0" w:beforeAutospacing="0" w:after="0" w:afterAutospacing="0" w:line="348" w:lineRule="auto"/>
        <w:ind w:firstLine="422" w:firstLineChars="200"/>
        <w:rPr>
          <w:rFonts w:ascii="宋体" w:hAnsi="宋体" w:eastAsia="宋体" w:cs="宋体"/>
          <w:color w:val="auto"/>
          <w:sz w:val="21"/>
          <w:szCs w:val="21"/>
          <w:highlight w:val="none"/>
        </w:rPr>
      </w:pPr>
      <w:bookmarkStart w:id="6" w:name="_Toc35393622"/>
      <w:bookmarkEnd w:id="6"/>
      <w:bookmarkStart w:id="7" w:name="_Toc35393791"/>
      <w:bookmarkEnd w:id="7"/>
      <w:bookmarkStart w:id="8" w:name="_Toc28359080"/>
      <w:bookmarkEnd w:id="8"/>
      <w:bookmarkStart w:id="9" w:name="_Toc28359003"/>
      <w:bookmarkEnd w:id="9"/>
      <w:r>
        <w:rPr>
          <w:rFonts w:hint="eastAsia" w:ascii="宋体" w:hAnsi="宋体" w:eastAsia="宋体" w:cs="宋体"/>
          <w:color w:val="auto"/>
          <w:sz w:val="21"/>
          <w:szCs w:val="21"/>
          <w:highlight w:val="none"/>
        </w:rPr>
        <w:t>二、申请人的资格要求：</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beforeAutospacing="0" w:afterAutospacing="0" w:line="348" w:lineRule="auto"/>
        <w:ind w:firstLine="420" w:firstLineChars="200"/>
        <w:rPr>
          <w:rFonts w:ascii="宋体" w:hAnsi="宋体" w:cs="宋体"/>
          <w:color w:val="auto"/>
          <w:szCs w:val="21"/>
          <w:highlight w:val="none"/>
        </w:rPr>
      </w:pPr>
      <w:bookmarkStart w:id="10" w:name="_Toc28359004"/>
      <w:bookmarkStart w:id="11" w:name="_Toc28359081"/>
      <w:r>
        <w:rPr>
          <w:rFonts w:hint="eastAsia" w:ascii="宋体" w:hAnsi="宋体" w:cs="宋体"/>
          <w:color w:val="auto"/>
          <w:szCs w:val="21"/>
          <w:highlight w:val="none"/>
        </w:rPr>
        <w:t>2.落实政府采购政策需满足的资格要求：</w:t>
      </w:r>
      <w:r>
        <w:rPr>
          <w:rFonts w:hint="eastAsia" w:ascii="宋体" w:hAnsi="宋体" w:cs="宋体"/>
          <w:b/>
          <w:bCs/>
          <w:color w:val="auto"/>
          <w:szCs w:val="21"/>
          <w:highlight w:val="none"/>
        </w:rPr>
        <w:t>本项目为专门面向中小微企业采购项目，供应商须为中小微企业（如为联合体投标的则联合体双方均须为中小微企业）</w:t>
      </w:r>
      <w:r>
        <w:rPr>
          <w:rFonts w:hint="eastAsia" w:ascii="宋体" w:hAnsi="宋体" w:cs="宋体"/>
          <w:color w:val="auto"/>
          <w:szCs w:val="21"/>
          <w:highlight w:val="none"/>
        </w:rPr>
        <w:t>。</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3.1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3.2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bookmarkEnd w:id="10"/>
    <w:bookmarkEnd w:id="11"/>
    <w:p>
      <w:pPr>
        <w:pStyle w:val="5"/>
        <w:spacing w:before="0" w:beforeAutospacing="0" w:after="0" w:afterAutospacing="0" w:line="348" w:lineRule="auto"/>
        <w:rPr>
          <w:rFonts w:ascii="宋体" w:hAnsi="宋体" w:eastAsia="宋体" w:cs="宋体"/>
          <w:color w:val="auto"/>
          <w:sz w:val="21"/>
          <w:szCs w:val="21"/>
          <w:highlight w:val="none"/>
        </w:rPr>
      </w:pPr>
      <w:bookmarkStart w:id="12" w:name="_Toc35393792"/>
      <w:bookmarkEnd w:id="12"/>
      <w:bookmarkStart w:id="13" w:name="_Toc35393623"/>
      <w:bookmarkEnd w:id="13"/>
      <w:r>
        <w:rPr>
          <w:rFonts w:hint="eastAsia" w:ascii="宋体" w:hAnsi="宋体" w:eastAsia="宋体" w:cs="宋体"/>
          <w:color w:val="auto"/>
          <w:sz w:val="21"/>
          <w:szCs w:val="21"/>
          <w:highlight w:val="none"/>
        </w:rPr>
        <w:t>三、获取招标文件</w:t>
      </w:r>
    </w:p>
    <w:p>
      <w:pPr>
        <w:spacing w:beforeAutospacing="0" w:afterAutospacing="0" w:line="348" w:lineRule="auto"/>
        <w:ind w:firstLine="540"/>
        <w:rPr>
          <w:rFonts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s="宋体"/>
          <w:color w:val="auto"/>
          <w:szCs w:val="21"/>
          <w:highlight w:val="none"/>
          <w:u w:val="single"/>
          <w:lang w:eastAsia="zh-CN"/>
        </w:rPr>
        <w:t>2023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03</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rPr>
        <w:t>日</w:t>
      </w:r>
      <w:r>
        <w:rPr>
          <w:rFonts w:hint="eastAsia" w:ascii="宋体" w:hAnsi="宋体" w:cs="宋体"/>
          <w:color w:val="auto"/>
          <w:szCs w:val="21"/>
          <w:highlight w:val="none"/>
        </w:rPr>
        <w:t>至</w:t>
      </w:r>
      <w:r>
        <w:rPr>
          <w:rFonts w:hint="eastAsia" w:ascii="宋体" w:hAnsi="宋体" w:cs="宋体"/>
          <w:color w:val="auto"/>
          <w:szCs w:val="21"/>
          <w:highlight w:val="none"/>
          <w:u w:val="single"/>
          <w:lang w:eastAsia="zh-CN"/>
        </w:rPr>
        <w:t>2023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03</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16</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（北京时间，线上获取法定节假日均可，线下获取文件法定节假日除外）。</w:t>
      </w:r>
    </w:p>
    <w:p>
      <w:pPr>
        <w:spacing w:beforeAutospacing="0" w:afterAutospacing="0" w:line="348" w:lineRule="auto"/>
        <w:ind w:firstLine="540"/>
        <w:rPr>
          <w:rFonts w:ascii="宋体" w:hAnsi="宋体" w:cs="宋体"/>
          <w:color w:val="auto"/>
          <w:szCs w:val="21"/>
          <w:highlight w:val="none"/>
          <w:u w:val="single"/>
        </w:rPr>
      </w:pPr>
      <w:r>
        <w:rPr>
          <w:rFonts w:hint="eastAsia" w:ascii="宋体" w:hAnsi="宋体" w:cs="宋体"/>
          <w:color w:val="auto"/>
          <w:szCs w:val="21"/>
          <w:highlight w:val="none"/>
        </w:rPr>
        <w:t>2.地点（网址）：政府采购云平台（www.zcygov.cn）。</w:t>
      </w:r>
    </w:p>
    <w:p>
      <w:pPr>
        <w:spacing w:beforeAutospacing="0" w:afterAutospacing="0" w:line="348" w:lineRule="auto"/>
        <w:ind w:firstLine="540"/>
        <w:rPr>
          <w:rFonts w:ascii="宋体" w:hAnsi="宋体" w:cs="宋体"/>
          <w:color w:val="auto"/>
          <w:szCs w:val="21"/>
          <w:highlight w:val="none"/>
          <w:u w:val="single"/>
        </w:rPr>
      </w:pPr>
      <w:r>
        <w:rPr>
          <w:rFonts w:hint="eastAsia" w:ascii="宋体" w:hAnsi="宋体" w:cs="宋体"/>
          <w:color w:val="auto"/>
          <w:szCs w:val="21"/>
          <w:highlight w:val="none"/>
        </w:rPr>
        <w:t>3.方式：供应商注册后直接登录“政府采购云平台”（www.zcygov.cn）下载电子招标文件。供应商未在规定时间内或未按上述方式获取招标文件的，其投标无效。</w:t>
      </w:r>
    </w:p>
    <w:p>
      <w:pPr>
        <w:spacing w:beforeAutospacing="0" w:afterAutospacing="0" w:line="348" w:lineRule="auto"/>
        <w:ind w:firstLine="540"/>
        <w:rPr>
          <w:rFonts w:ascii="宋体" w:hAnsi="宋体" w:cs="宋体"/>
          <w:color w:val="auto"/>
          <w:szCs w:val="21"/>
          <w:highlight w:val="none"/>
        </w:rPr>
      </w:pPr>
      <w:r>
        <w:rPr>
          <w:rFonts w:hint="eastAsia" w:ascii="宋体" w:hAnsi="宋体" w:cs="宋体"/>
          <w:color w:val="auto"/>
          <w:szCs w:val="21"/>
          <w:highlight w:val="none"/>
        </w:rPr>
        <w:t>4.售价（元）：0</w:t>
      </w:r>
    </w:p>
    <w:p>
      <w:pPr>
        <w:pStyle w:val="5"/>
        <w:spacing w:before="0" w:beforeAutospacing="0" w:after="0" w:afterAutospacing="0" w:line="348" w:lineRule="auto"/>
        <w:rPr>
          <w:rFonts w:ascii="宋体" w:hAnsi="宋体" w:eastAsia="宋体" w:cs="宋体"/>
          <w:color w:val="auto"/>
          <w:sz w:val="21"/>
          <w:szCs w:val="21"/>
          <w:highlight w:val="none"/>
        </w:rPr>
      </w:pPr>
      <w:bookmarkStart w:id="14" w:name="_Toc35393793"/>
      <w:bookmarkEnd w:id="14"/>
      <w:bookmarkStart w:id="15" w:name="_Toc28359082"/>
      <w:bookmarkEnd w:id="15"/>
      <w:bookmarkStart w:id="16" w:name="_Toc35393624"/>
      <w:bookmarkEnd w:id="16"/>
      <w:bookmarkStart w:id="17" w:name="_Toc28359005"/>
      <w:bookmarkEnd w:id="17"/>
      <w:r>
        <w:rPr>
          <w:rFonts w:hint="eastAsia" w:ascii="宋体" w:hAnsi="宋体" w:eastAsia="宋体" w:cs="宋体"/>
          <w:color w:val="auto"/>
          <w:sz w:val="21"/>
          <w:szCs w:val="21"/>
          <w:highlight w:val="none"/>
        </w:rPr>
        <w:t>四、提交投标文件截止时间、开标时间和地点</w:t>
      </w:r>
    </w:p>
    <w:p>
      <w:pPr>
        <w:spacing w:beforeAutospacing="0" w:afterAutospacing="0" w:line="348" w:lineRule="auto"/>
        <w:ind w:firstLine="540"/>
        <w:rPr>
          <w:rFonts w:ascii="宋体" w:hAnsi="宋体" w:cs="宋体"/>
          <w:color w:val="auto"/>
          <w:szCs w:val="21"/>
          <w:highlight w:val="none"/>
        </w:rPr>
      </w:pPr>
      <w:r>
        <w:rPr>
          <w:rFonts w:hint="eastAsia" w:ascii="宋体" w:hAnsi="宋体" w:cs="宋体"/>
          <w:color w:val="auto"/>
          <w:szCs w:val="21"/>
          <w:highlight w:val="none"/>
        </w:rPr>
        <w:t>1.提交投标文件截止时间：</w:t>
      </w:r>
      <w:r>
        <w:rPr>
          <w:rFonts w:hint="eastAsia" w:ascii="宋体" w:hAnsi="宋体" w:cs="宋体"/>
          <w:color w:val="auto"/>
          <w:szCs w:val="21"/>
          <w:highlight w:val="none"/>
          <w:lang w:eastAsia="zh-CN"/>
        </w:rPr>
        <w:t>2023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0（北京时间）。</w:t>
      </w:r>
    </w:p>
    <w:p>
      <w:pPr>
        <w:spacing w:beforeAutospacing="0" w:afterAutospacing="0" w:line="348" w:lineRule="auto"/>
        <w:ind w:firstLine="540"/>
        <w:rPr>
          <w:rFonts w:ascii="宋体" w:hAnsi="宋体" w:cs="宋体"/>
          <w:color w:val="auto"/>
          <w:szCs w:val="21"/>
          <w:highlight w:val="none"/>
        </w:rPr>
      </w:pPr>
      <w:r>
        <w:rPr>
          <w:rFonts w:hint="eastAsia" w:ascii="宋体" w:hAnsi="宋体" w:cs="宋体"/>
          <w:color w:val="auto"/>
          <w:szCs w:val="21"/>
          <w:highlight w:val="none"/>
        </w:rPr>
        <w:t>2.投标地点（网址）：</w:t>
      </w:r>
      <w:r>
        <w:rPr>
          <w:rFonts w:hint="eastAsia" w:ascii="宋体" w:hAnsi="宋体" w:cs="宋体"/>
          <w:color w:val="auto"/>
          <w:szCs w:val="21"/>
          <w:highlight w:val="none"/>
          <w:u w:val="single"/>
        </w:rPr>
        <w:t>政府采购云平台（www.zcygov.cn）</w:t>
      </w:r>
      <w:r>
        <w:rPr>
          <w:rFonts w:hint="eastAsia" w:ascii="宋体" w:hAnsi="宋体" w:cs="宋体"/>
          <w:color w:val="auto"/>
          <w:szCs w:val="21"/>
          <w:highlight w:val="none"/>
        </w:rPr>
        <w:t>。</w:t>
      </w:r>
    </w:p>
    <w:p>
      <w:pPr>
        <w:spacing w:beforeAutospacing="0" w:afterAutospacing="0" w:line="348" w:lineRule="auto"/>
        <w:ind w:firstLine="540"/>
        <w:rPr>
          <w:rFonts w:ascii="宋体" w:hAnsi="宋体" w:cs="宋体"/>
          <w:color w:val="auto"/>
          <w:szCs w:val="21"/>
          <w:highlight w:val="none"/>
        </w:rPr>
      </w:pPr>
      <w:r>
        <w:rPr>
          <w:rFonts w:hint="eastAsia" w:ascii="宋体" w:hAnsi="宋体" w:cs="宋体"/>
          <w:color w:val="auto"/>
          <w:szCs w:val="21"/>
          <w:highlight w:val="none"/>
        </w:rPr>
        <w:t>3.开标时间：</w:t>
      </w:r>
      <w:r>
        <w:rPr>
          <w:rFonts w:hint="eastAsia" w:ascii="宋体" w:hAnsi="宋体" w:cs="宋体"/>
          <w:color w:val="auto"/>
          <w:szCs w:val="21"/>
          <w:highlight w:val="none"/>
          <w:lang w:eastAsia="zh-CN"/>
        </w:rPr>
        <w:t>2023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w:t>
      </w:r>
    </w:p>
    <w:p>
      <w:pPr>
        <w:spacing w:beforeAutospacing="0" w:afterAutospacing="0" w:line="348" w:lineRule="auto"/>
        <w:ind w:firstLine="540"/>
        <w:rPr>
          <w:rFonts w:ascii="宋体" w:hAnsi="宋体" w:cs="宋体"/>
          <w:color w:val="auto"/>
          <w:szCs w:val="21"/>
          <w:highlight w:val="none"/>
        </w:rPr>
      </w:pPr>
      <w:r>
        <w:rPr>
          <w:rFonts w:hint="eastAsia" w:ascii="宋体" w:hAnsi="宋体" w:cs="宋体"/>
          <w:color w:val="auto"/>
          <w:szCs w:val="21"/>
          <w:highlight w:val="none"/>
        </w:rPr>
        <w:t>4.开标地点（网址）：</w:t>
      </w:r>
      <w:r>
        <w:rPr>
          <w:rFonts w:hint="eastAsia" w:ascii="宋体" w:hAnsi="宋体" w:cs="宋体"/>
          <w:color w:val="auto"/>
          <w:szCs w:val="21"/>
          <w:highlight w:val="none"/>
          <w:u w:val="single"/>
        </w:rPr>
        <w:t>政府采购云平台（www.zcygov.cn）</w:t>
      </w:r>
      <w:r>
        <w:rPr>
          <w:rFonts w:hint="eastAsia" w:ascii="宋体" w:hAnsi="宋体" w:cs="宋体"/>
          <w:color w:val="auto"/>
          <w:szCs w:val="21"/>
          <w:highlight w:val="none"/>
        </w:rPr>
        <w:t>。</w:t>
      </w:r>
    </w:p>
    <w:p>
      <w:pPr>
        <w:pStyle w:val="5"/>
        <w:spacing w:before="0" w:beforeAutospacing="0" w:after="0" w:afterAutospacing="0" w:line="348" w:lineRule="auto"/>
        <w:rPr>
          <w:rFonts w:ascii="宋体" w:hAnsi="宋体" w:eastAsia="宋体" w:cs="宋体"/>
          <w:color w:val="auto"/>
          <w:sz w:val="21"/>
          <w:szCs w:val="21"/>
          <w:highlight w:val="none"/>
        </w:rPr>
      </w:pPr>
      <w:bookmarkStart w:id="18" w:name="_Toc28359084"/>
      <w:bookmarkEnd w:id="18"/>
      <w:bookmarkStart w:id="19" w:name="_Toc35393794"/>
      <w:bookmarkEnd w:id="19"/>
      <w:bookmarkStart w:id="20" w:name="_Toc35393625"/>
      <w:bookmarkEnd w:id="20"/>
      <w:bookmarkStart w:id="21" w:name="_Toc28359007"/>
      <w:bookmarkEnd w:id="21"/>
      <w:r>
        <w:rPr>
          <w:rFonts w:hint="eastAsia" w:ascii="宋体" w:hAnsi="宋体" w:eastAsia="宋体" w:cs="宋体"/>
          <w:color w:val="auto"/>
          <w:sz w:val="21"/>
          <w:szCs w:val="21"/>
          <w:highlight w:val="none"/>
        </w:rPr>
        <w:t>五、公告期限</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5"/>
        <w:spacing w:before="0" w:beforeAutospacing="0" w:after="0" w:afterAutospacing="0" w:line="348" w:lineRule="auto"/>
        <w:rPr>
          <w:rFonts w:ascii="宋体" w:hAnsi="宋体" w:eastAsia="宋体" w:cs="宋体"/>
          <w:color w:val="auto"/>
          <w:sz w:val="21"/>
          <w:szCs w:val="21"/>
          <w:highlight w:val="none"/>
        </w:rPr>
      </w:pPr>
      <w:bookmarkStart w:id="22" w:name="_Toc35393626"/>
      <w:bookmarkEnd w:id="22"/>
      <w:bookmarkStart w:id="23" w:name="_Toc35393795"/>
      <w:bookmarkEnd w:id="23"/>
      <w:r>
        <w:rPr>
          <w:rFonts w:hint="eastAsia" w:ascii="宋体" w:hAnsi="宋体" w:eastAsia="宋体" w:cs="宋体"/>
          <w:color w:val="auto"/>
          <w:sz w:val="21"/>
          <w:szCs w:val="21"/>
          <w:highlight w:val="none"/>
        </w:rPr>
        <w:t>六、其他补充事宜</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2.其他事项：</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2.1落实的政策：</w:t>
      </w:r>
    </w:p>
    <w:p>
      <w:pPr>
        <w:spacing w:beforeAutospacing="0" w:afterAutospacing="0" w:line="348"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2.1.1执行中小企业扶持政策（监狱企业、残疾人福利性单位视同小微企业）</w:t>
      </w:r>
      <w:r>
        <w:rPr>
          <w:rFonts w:hint="eastAsia" w:ascii="宋体" w:hAnsi="宋体" w:cs="宋体"/>
          <w:color w:val="auto"/>
          <w:kern w:val="0"/>
          <w:szCs w:val="21"/>
          <w:highlight w:val="none"/>
          <w:lang w:eastAsia="zh-CN"/>
        </w:rPr>
        <w:t>。</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2.2投标与开标注意事项</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2.2.1本项目实行网上投标，采用电子投标文件。若供应商参与投标，自行承担投标一切费用。</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2.2.2标前准备：因未办理CA数字证书等原因造成无法投标或投标失败等后果由供应商自行承担。</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2.2.3投标文件制作：</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2.2.3.1应按照本项目招标文件和政府采购云平台的要求编制、加密并递交投标文件。供应商在使用系统进行投标的过程中遇到涉及平台使用的任何问题，可致电政府采购云平台技术支持热线咨询，联系方式：</w:t>
      </w:r>
      <w:r>
        <w:rPr>
          <w:rFonts w:hint="eastAsia" w:ascii="宋体" w:hAnsi="宋体" w:cs="宋体"/>
          <w:color w:val="auto"/>
          <w:kern w:val="0"/>
          <w:szCs w:val="21"/>
          <w:highlight w:val="none"/>
          <w:lang w:eastAsia="zh-CN"/>
        </w:rPr>
        <w:t>95763</w:t>
      </w:r>
      <w:r>
        <w:rPr>
          <w:rFonts w:hint="eastAsia" w:ascii="宋体" w:hAnsi="宋体" w:cs="宋体"/>
          <w:color w:val="auto"/>
          <w:kern w:val="0"/>
          <w:szCs w:val="21"/>
          <w:highlight w:val="none"/>
        </w:rPr>
        <w:t>。</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2.2.3.2供应商通过政府采购云平台电子投标工具制作投标文件，电子投标工具请供应商自行前往浙江政府采购网下载并安装，投标文件制作具体流程详见政府采购云平台。</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2.2.3.3以U盘存储的电子备份投标文件1份，按政府采购云平台要求</w:t>
      </w:r>
      <w:r>
        <w:rPr>
          <w:rFonts w:hint="eastAsia" w:ascii="宋体" w:hAnsi="宋体" w:cs="宋体"/>
          <w:color w:val="auto"/>
          <w:szCs w:val="21"/>
          <w:highlight w:val="none"/>
        </w:rPr>
        <w:t>制作的电子备份文件</w:t>
      </w:r>
      <w:r>
        <w:rPr>
          <w:rFonts w:hint="eastAsia" w:ascii="宋体" w:hAnsi="宋体" w:cs="宋体"/>
          <w:color w:val="auto"/>
          <w:kern w:val="0"/>
          <w:szCs w:val="21"/>
          <w:highlight w:val="none"/>
        </w:rPr>
        <w:t>，以用于异常情况处理。</w:t>
      </w:r>
    </w:p>
    <w:p>
      <w:pPr>
        <w:spacing w:beforeAutospacing="0" w:afterAutospacing="0" w:line="348" w:lineRule="auto"/>
        <w:ind w:firstLine="420"/>
        <w:rPr>
          <w:rFonts w:ascii="宋体" w:hAnsi="宋体" w:cs="宋体"/>
          <w:bCs/>
          <w:color w:val="auto"/>
          <w:szCs w:val="21"/>
          <w:highlight w:val="none"/>
        </w:rPr>
      </w:pPr>
      <w:r>
        <w:rPr>
          <w:rFonts w:hint="eastAsia" w:ascii="宋体" w:hAnsi="宋体" w:cs="宋体"/>
          <w:color w:val="auto"/>
          <w:kern w:val="0"/>
          <w:szCs w:val="21"/>
          <w:highlight w:val="none"/>
        </w:rPr>
        <w:t>2.3本招标公告附件中的招标文件仅供阅览使用，供应商应在规定的招标文件获取期限内在政采云平台登录供应商注册的账号后获取招标文件，未按上述方式获取招标文件的，不得对招标文件提起质疑投诉。</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2.4供应商应于投标截止时间前将电子投标文件上传到政府采购云平台www.zcygov.cn，未上传电子投标文件，视为供应商放弃投标。</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2.5供应商如提供备份投标文件的，应于提交投标文件截止时间前，将以U盘存储的电子备份投标文件密封，递交至</w:t>
      </w:r>
      <w:r>
        <w:rPr>
          <w:rFonts w:hint="eastAsia" w:ascii="宋体" w:hAnsi="宋体" w:cs="宋体"/>
          <w:color w:val="auto"/>
          <w:szCs w:val="21"/>
          <w:highlight w:val="none"/>
          <w:u w:val="single"/>
        </w:rPr>
        <w:t>宁海县公共资源交易中心（宁海县桃源街道金水东路5号五楼，详见五楼大厅公告）</w:t>
      </w:r>
      <w:r>
        <w:rPr>
          <w:rFonts w:hint="eastAsia" w:ascii="宋体" w:hAnsi="宋体" w:cs="宋体"/>
          <w:color w:val="auto"/>
          <w:kern w:val="0"/>
          <w:szCs w:val="21"/>
          <w:highlight w:val="none"/>
        </w:rPr>
        <w:t>，逾期送达或未密封将予以拒收。供应商仅提供以U盘存储的电子备份投标文件的，投标无效。</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2.7供应商可采用邮寄（含快递）方式或现场方式递交备份投标文件。</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2.7.1采用邮寄方式递交备份投标文件，需按以下要求递交：</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拟在</w:t>
      </w:r>
      <w:r>
        <w:rPr>
          <w:rFonts w:hint="eastAsia" w:ascii="宋体" w:hAnsi="宋体" w:cs="宋体"/>
          <w:color w:val="auto"/>
          <w:kern w:val="0"/>
          <w:szCs w:val="21"/>
          <w:highlight w:val="none"/>
          <w:lang w:eastAsia="zh-CN"/>
        </w:rPr>
        <w:t>2023</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03</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27</w:t>
      </w:r>
      <w:r>
        <w:rPr>
          <w:rFonts w:hint="eastAsia" w:ascii="宋体" w:hAnsi="宋体" w:cs="宋体"/>
          <w:color w:val="auto"/>
          <w:kern w:val="0"/>
          <w:szCs w:val="21"/>
          <w:highlight w:val="none"/>
        </w:rPr>
        <w:t>日16:00（含）前到件的邮寄地址为：宁波市鄞州区天童南路666号中基大厦19楼业务六部；</w:t>
      </w:r>
    </w:p>
    <w:p>
      <w:pPr>
        <w:tabs>
          <w:tab w:val="left" w:pos="5153"/>
        </w:tabs>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收件人：张工   联系方式：0574-87425569</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请各供应商确保密封包装在邮寄过程密封包装完好，因邮寄过程的密封破损造成不符合开标要求的，本采购代理及采购人概不负责。</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2.7.2采用现场方式送达备份投标文件，需按以下要求递交：</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在投标截止时间前将备份投标文件送至：</w:t>
      </w:r>
      <w:r>
        <w:rPr>
          <w:rFonts w:hint="eastAsia" w:ascii="宋体" w:hAnsi="宋体" w:cs="宋体"/>
          <w:color w:val="auto"/>
          <w:szCs w:val="21"/>
          <w:highlight w:val="none"/>
          <w:u w:val="single"/>
        </w:rPr>
        <w:t>宁海县公共资源交易中心（宁海县桃源街道金水东路5号五楼，详见五楼大厅公告）</w:t>
      </w:r>
      <w:r>
        <w:rPr>
          <w:rFonts w:hint="eastAsia" w:ascii="宋体" w:hAnsi="宋体" w:cs="宋体"/>
          <w:color w:val="auto"/>
          <w:kern w:val="0"/>
          <w:szCs w:val="21"/>
          <w:highlight w:val="none"/>
        </w:rPr>
        <w:t>。投标文件递交时需同时递交供应商的法定代表人（或其委托代理人）联系方式，并保证开标期间联系方式的畅通。</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2.8开标过程全程视频监控记录。</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w:t>
      </w:r>
      <w:r>
        <w:rPr>
          <w:rFonts w:ascii="宋体" w:hAnsi="宋体" w:cs="宋体"/>
          <w:bCs/>
          <w:color w:val="auto"/>
          <w:szCs w:val="21"/>
          <w:highlight w:val="none"/>
        </w:rPr>
        <w:t>本招标公告中二、申请人的资格要求：第一条中的“重大税收违法案件当事人名单”即为“重大税收违法失信主体”。</w:t>
      </w:r>
    </w:p>
    <w:p>
      <w:pPr>
        <w:pStyle w:val="5"/>
        <w:spacing w:before="0" w:beforeAutospacing="0" w:after="0" w:afterAutospacing="0" w:line="348" w:lineRule="auto"/>
        <w:rPr>
          <w:rFonts w:ascii="宋体" w:hAnsi="宋体" w:eastAsia="宋体" w:cs="宋体"/>
          <w:color w:val="auto"/>
          <w:sz w:val="21"/>
          <w:szCs w:val="21"/>
          <w:highlight w:val="none"/>
        </w:rPr>
      </w:pPr>
      <w:bookmarkStart w:id="24" w:name="_Toc28359008"/>
      <w:bookmarkEnd w:id="24"/>
      <w:bookmarkStart w:id="25" w:name="_Toc35393796"/>
      <w:bookmarkEnd w:id="25"/>
      <w:bookmarkStart w:id="26" w:name="_Toc35393627"/>
      <w:bookmarkEnd w:id="26"/>
      <w:bookmarkStart w:id="27" w:name="_Toc28359085"/>
      <w:bookmarkEnd w:id="27"/>
      <w:r>
        <w:rPr>
          <w:rFonts w:hint="eastAsia" w:ascii="宋体" w:hAnsi="宋体" w:eastAsia="宋体" w:cs="宋体"/>
          <w:color w:val="auto"/>
          <w:sz w:val="21"/>
          <w:szCs w:val="21"/>
          <w:highlight w:val="none"/>
        </w:rPr>
        <w:t>七、对本次采购提出询问、质疑、投诉，请按以下方式联系。</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名称：宁海县人民政府桃源街道办事处</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地址：浙江省宁波市宁海县桃源街道科二路189号</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传真：/</w:t>
      </w:r>
    </w:p>
    <w:p>
      <w:pPr>
        <w:pStyle w:val="43"/>
        <w:spacing w:before="0" w:beforeAutospacing="0" w:after="0" w:afterAutospacing="0" w:line="348"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项目联系人（询问）：</w:t>
      </w:r>
      <w:r>
        <w:rPr>
          <w:rFonts w:hint="eastAsia" w:ascii="宋体" w:hAnsi="宋体" w:cs="宋体"/>
          <w:color w:val="auto"/>
          <w:sz w:val="21"/>
          <w:szCs w:val="21"/>
          <w:highlight w:val="none"/>
          <w:lang w:val="en-US" w:eastAsia="zh-CN"/>
        </w:rPr>
        <w:t>林女士</w:t>
      </w:r>
    </w:p>
    <w:p>
      <w:pPr>
        <w:pStyle w:val="43"/>
        <w:spacing w:before="0" w:beforeAutospacing="0" w:after="0" w:afterAutospacing="0" w:line="348"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项目联系方式（询问）：0574-</w:t>
      </w:r>
      <w:r>
        <w:rPr>
          <w:rFonts w:hint="eastAsia" w:ascii="宋体" w:hAnsi="宋体" w:cs="宋体"/>
          <w:color w:val="auto"/>
          <w:sz w:val="21"/>
          <w:szCs w:val="21"/>
          <w:highlight w:val="none"/>
          <w:lang w:val="en-US" w:eastAsia="zh-CN"/>
        </w:rPr>
        <w:t>65332165</w:t>
      </w:r>
    </w:p>
    <w:p>
      <w:pPr>
        <w:pStyle w:val="43"/>
        <w:spacing w:before="0" w:beforeAutospacing="0" w:after="0" w:afterAutospacing="0" w:line="348"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质疑联系人：</w:t>
      </w:r>
      <w:r>
        <w:rPr>
          <w:rFonts w:hint="eastAsia" w:ascii="宋体" w:hAnsi="宋体" w:cs="宋体"/>
          <w:color w:val="auto"/>
          <w:sz w:val="21"/>
          <w:szCs w:val="21"/>
          <w:highlight w:val="none"/>
          <w:lang w:val="en-US" w:eastAsia="zh-CN"/>
        </w:rPr>
        <w:t>丁女士</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质疑联系方式：0574-65358908</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名称：浙江中基正采管理咨询有限公司</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地址：宁波市鄞州区天童南路666号中基大厦19楼</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传真：0574-87425373</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项目联系人（询问）：王工、张工</w:t>
      </w:r>
      <w:bookmarkStart w:id="65" w:name="_GoBack"/>
      <w:bookmarkEnd w:id="65"/>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项目联系方式（询问）：0574-87425569</w:t>
      </w:r>
    </w:p>
    <w:p>
      <w:pPr>
        <w:pStyle w:val="43"/>
        <w:spacing w:before="0" w:beforeAutospacing="0" w:after="0" w:afterAutospacing="0" w:line="348"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质疑联系人：</w:t>
      </w:r>
      <w:r>
        <w:rPr>
          <w:rFonts w:hint="eastAsia" w:ascii="宋体" w:hAnsi="宋体" w:cs="宋体"/>
          <w:color w:val="auto"/>
          <w:sz w:val="21"/>
          <w:szCs w:val="21"/>
          <w:highlight w:val="none"/>
          <w:lang w:eastAsia="zh-CN"/>
        </w:rPr>
        <w:t>王</w:t>
      </w:r>
      <w:r>
        <w:rPr>
          <w:rFonts w:hint="eastAsia" w:ascii="宋体" w:hAnsi="宋体" w:cs="宋体"/>
          <w:color w:val="auto"/>
          <w:sz w:val="21"/>
          <w:szCs w:val="21"/>
          <w:highlight w:val="none"/>
          <w:lang w:val="en-US" w:eastAsia="zh-CN"/>
        </w:rPr>
        <w:t>近娜</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质疑联系方式：0574-</w:t>
      </w:r>
      <w:r>
        <w:rPr>
          <w:rFonts w:hint="eastAsia" w:ascii="宋体" w:hAnsi="宋体" w:cs="宋体"/>
          <w:color w:val="auto"/>
          <w:sz w:val="21"/>
          <w:szCs w:val="21"/>
          <w:highlight w:val="none"/>
          <w:lang w:val="en-US" w:eastAsia="zh-CN"/>
        </w:rPr>
        <w:t>87425583</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3.同级政府采购监督管理部门</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名称：宁海县政府采购管理办公室</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地址：宁海县跃龙街道桃源中路218号 </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传真：0574-65265612</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联系人：王老师</w:t>
      </w:r>
    </w:p>
    <w:p>
      <w:pPr>
        <w:spacing w:beforeAutospacing="0" w:afterAutospacing="0" w:line="348"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监督投诉电话：0574-65265668 </w:t>
      </w:r>
    </w:p>
    <w:p>
      <w:pPr>
        <w:spacing w:beforeAutospacing="0" w:afterAutospacing="0" w:line="348" w:lineRule="auto"/>
        <w:rPr>
          <w:color w:val="auto"/>
          <w:highlight w:val="none"/>
        </w:rPr>
      </w:pPr>
    </w:p>
    <w:p>
      <w:pPr>
        <w:spacing w:beforeAutospacing="0" w:afterAutospacing="0" w:line="348"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highlight w:val="none"/>
          <w:lang w:val="en-US" w:eastAsia="zh-CN"/>
        </w:rPr>
        <w:t xml:space="preserve">95763 </w:t>
      </w:r>
      <w:r>
        <w:rPr>
          <w:rFonts w:hint="eastAsia" w:ascii="宋体" w:hAnsi="宋体" w:cs="宋体"/>
          <w:color w:val="auto"/>
          <w:highlight w:val="none"/>
        </w:rPr>
        <w:t>获取热线服务帮助。</w:t>
      </w:r>
    </w:p>
    <w:p>
      <w:pPr>
        <w:spacing w:beforeAutospacing="0" w:afterAutospacing="0" w:line="348" w:lineRule="auto"/>
        <w:ind w:firstLine="420" w:firstLineChars="200"/>
        <w:rPr>
          <w:rFonts w:ascii="宋体" w:hAnsi="宋体" w:cs="宋体"/>
          <w:b/>
          <w:bCs/>
          <w:color w:val="auto"/>
          <w:sz w:val="28"/>
          <w:szCs w:val="28"/>
          <w:highlight w:val="none"/>
        </w:rPr>
      </w:pPr>
      <w:r>
        <w:rPr>
          <w:rFonts w:hint="eastAsia" w:ascii="宋体" w:hAnsi="宋体" w:cs="宋体"/>
          <w:color w:val="auto"/>
          <w:highlight w:val="none"/>
        </w:rPr>
        <w:t>CA问题联系电话（人工）：汇信CA 400-888-4636；天谷CA 400-087-8198。</w:t>
      </w:r>
    </w:p>
    <w:p>
      <w:pPr>
        <w:spacing w:beforeAutospacing="0" w:afterAutospacing="0" w:line="360" w:lineRule="auto"/>
        <w:ind w:firstLine="420" w:firstLineChars="200"/>
        <w:jc w:val="right"/>
        <w:rPr>
          <w:rFonts w:ascii="宋体" w:hAnsi="宋体" w:cs="宋体"/>
          <w:color w:val="auto"/>
          <w:szCs w:val="21"/>
          <w:highlight w:val="none"/>
        </w:rPr>
      </w:pPr>
    </w:p>
    <w:p>
      <w:pPr>
        <w:pStyle w:val="26"/>
        <w:snapToGrid w:val="0"/>
        <w:spacing w:beforeLines="0" w:beforeAutospacing="0" w:afterLines="0" w:afterAutospacing="0" w:line="360" w:lineRule="auto"/>
        <w:jc w:val="center"/>
        <w:outlineLvl w:val="0"/>
        <w:rPr>
          <w:rFonts w:hint="default" w:hAnsi="宋体" w:cs="宋体"/>
          <w:color w:val="auto"/>
          <w:sz w:val="32"/>
          <w:szCs w:val="32"/>
          <w:highlight w:val="none"/>
        </w:rPr>
      </w:pPr>
      <w:bookmarkStart w:id="28" w:name="_Toc21866"/>
      <w:bookmarkEnd w:id="28"/>
      <w:r>
        <w:rPr>
          <w:rFonts w:hAnsi="宋体" w:cs="宋体"/>
          <w:b/>
          <w:bCs/>
          <w:color w:val="auto"/>
          <w:sz w:val="32"/>
          <w:szCs w:val="32"/>
          <w:highlight w:val="none"/>
        </w:rPr>
        <w:br w:type="page"/>
      </w:r>
      <w:r>
        <w:rPr>
          <w:rFonts w:hAnsi="宋体" w:cs="宋体"/>
          <w:b/>
          <w:color w:val="auto"/>
          <w:sz w:val="32"/>
          <w:szCs w:val="32"/>
          <w:highlight w:val="none"/>
        </w:rPr>
        <w:t>第二章  采购需求</w:t>
      </w:r>
    </w:p>
    <w:p>
      <w:pPr>
        <w:spacing w:beforeAutospacing="0" w:afterAutospacing="0" w:line="360" w:lineRule="auto"/>
        <w:jc w:val="center"/>
        <w:rPr>
          <w:rFonts w:ascii="宋体" w:hAnsi="宋体" w:cs="宋体"/>
          <w:b/>
          <w:color w:val="auto"/>
          <w:sz w:val="24"/>
          <w:highlight w:val="none"/>
        </w:rPr>
      </w:pPr>
      <w:r>
        <w:rPr>
          <w:rFonts w:hint="eastAsia" w:ascii="宋体" w:hAnsi="宋体" w:cs="宋体"/>
          <w:b/>
          <w:color w:val="auto"/>
          <w:sz w:val="24"/>
          <w:highlight w:val="none"/>
        </w:rPr>
        <w:t>前附表</w:t>
      </w:r>
    </w:p>
    <w:tbl>
      <w:tblPr>
        <w:tblStyle w:val="46"/>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400"/>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13" w:type="dxa"/>
            <w:vAlign w:val="center"/>
          </w:tcPr>
          <w:p>
            <w:pPr>
              <w:spacing w:beforeAutospacing="0" w:afterAutospacing="0"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400" w:type="dxa"/>
            <w:vAlign w:val="center"/>
          </w:tcPr>
          <w:p>
            <w:pPr>
              <w:spacing w:beforeAutospacing="0" w:afterAutospacing="0"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5253" w:type="dxa"/>
            <w:vAlign w:val="center"/>
          </w:tcPr>
          <w:p>
            <w:pPr>
              <w:spacing w:beforeAutospacing="0" w:afterAutospacing="0"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采购内容</w:t>
            </w:r>
          </w:p>
        </w:tc>
        <w:tc>
          <w:tcPr>
            <w:tcW w:w="5253"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bCs/>
                <w:color w:val="auto"/>
                <w:szCs w:val="21"/>
                <w:highlight w:val="none"/>
              </w:rPr>
              <w:t>详见</w:t>
            </w:r>
            <w:r>
              <w:rPr>
                <w:rFonts w:hint="eastAsia" w:ascii="宋体" w:hAnsi="宋体" w:cs="宋体"/>
                <w:color w:val="auto"/>
                <w:szCs w:val="21"/>
                <w:highlight w:val="none"/>
              </w:rPr>
              <w:t>第一章  《公开招标公告》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单位及数量</w:t>
            </w:r>
          </w:p>
        </w:tc>
        <w:tc>
          <w:tcPr>
            <w:tcW w:w="5253"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bCs/>
                <w:color w:val="auto"/>
                <w:szCs w:val="21"/>
                <w:highlight w:val="none"/>
              </w:rPr>
              <w:t>详见</w:t>
            </w:r>
            <w:r>
              <w:rPr>
                <w:rFonts w:hint="eastAsia" w:ascii="宋体" w:hAnsi="宋体" w:cs="宋体"/>
                <w:color w:val="auto"/>
                <w:szCs w:val="21"/>
                <w:highlight w:val="none"/>
              </w:rPr>
              <w:t>第一章  《公开招标公告》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400" w:type="dxa"/>
            <w:vAlign w:val="center"/>
          </w:tcPr>
          <w:p>
            <w:pPr>
              <w:spacing w:beforeAutospacing="0" w:afterAutospacing="0"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5253" w:type="dxa"/>
            <w:vAlign w:val="center"/>
          </w:tcPr>
          <w:p>
            <w:pPr>
              <w:numPr>
                <w:ilvl w:val="0"/>
                <w:numId w:val="6"/>
              </w:num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服务期限：详见本章内容</w:t>
            </w:r>
          </w:p>
          <w:p>
            <w:pPr>
              <w:numPr>
                <w:ilvl w:val="0"/>
                <w:numId w:val="6"/>
              </w:num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实施地点：采购人指定地点。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400" w:type="dxa"/>
            <w:vAlign w:val="center"/>
          </w:tcPr>
          <w:p>
            <w:pPr>
              <w:spacing w:beforeAutospacing="0" w:afterAutospacing="0"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5253"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400" w:type="dxa"/>
            <w:vAlign w:val="center"/>
          </w:tcPr>
          <w:p>
            <w:pPr>
              <w:spacing w:beforeAutospacing="0" w:afterAutospacing="0"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执行的国家相关标准、行业标准、地方标准或者其它标准、规范</w:t>
            </w:r>
          </w:p>
        </w:tc>
        <w:tc>
          <w:tcPr>
            <w:tcW w:w="5253"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执行的国家相关标准、行业标准、地方标准或者其它标准、规范（如有）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技术规格要求</w:t>
            </w:r>
          </w:p>
        </w:tc>
        <w:tc>
          <w:tcPr>
            <w:tcW w:w="5253" w:type="dxa"/>
            <w:vAlign w:val="center"/>
          </w:tcPr>
          <w:p>
            <w:pPr>
              <w:spacing w:beforeAutospacing="0" w:afterAutospacing="0" w:line="360" w:lineRule="auto"/>
              <w:rPr>
                <w:rFonts w:ascii="宋体" w:hAnsi="宋体" w:cs="宋体"/>
                <w:color w:val="auto"/>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物理特性要求</w:t>
            </w:r>
          </w:p>
        </w:tc>
        <w:tc>
          <w:tcPr>
            <w:tcW w:w="5253" w:type="dxa"/>
            <w:vAlign w:val="center"/>
          </w:tcPr>
          <w:p>
            <w:pPr>
              <w:spacing w:beforeAutospacing="0" w:afterAutospacing="0" w:line="360" w:lineRule="auto"/>
              <w:rPr>
                <w:rFonts w:ascii="宋体" w:hAnsi="宋体" w:cs="宋体"/>
                <w:color w:val="auto"/>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质量、安全要求</w:t>
            </w:r>
          </w:p>
        </w:tc>
        <w:tc>
          <w:tcPr>
            <w:tcW w:w="5253" w:type="dxa"/>
            <w:vAlign w:val="center"/>
          </w:tcPr>
          <w:p>
            <w:pPr>
              <w:spacing w:beforeAutospacing="0" w:afterAutospacing="0" w:line="360" w:lineRule="auto"/>
              <w:rPr>
                <w:rFonts w:ascii="宋体" w:hAnsi="宋体" w:cs="宋体"/>
                <w:color w:val="auto"/>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服务标准、期限、效率(培训等）</w:t>
            </w:r>
          </w:p>
        </w:tc>
        <w:tc>
          <w:tcPr>
            <w:tcW w:w="5253" w:type="dxa"/>
            <w:vAlign w:val="center"/>
          </w:tcPr>
          <w:p>
            <w:pPr>
              <w:spacing w:beforeAutospacing="0" w:afterAutospacing="0" w:line="360" w:lineRule="auto"/>
              <w:jc w:val="left"/>
              <w:rPr>
                <w:rFonts w:ascii="宋体" w:hAnsi="宋体" w:cs="宋体"/>
                <w:color w:val="auto"/>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验收标准</w:t>
            </w:r>
          </w:p>
        </w:tc>
        <w:tc>
          <w:tcPr>
            <w:tcW w:w="5253" w:type="dxa"/>
            <w:vAlign w:val="center"/>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符合国家、浙江省、宁波市验收规范（从高）一次性验收合格标准及相关部门验收合格。</w:t>
            </w:r>
          </w:p>
          <w:p>
            <w:pPr>
              <w:spacing w:beforeAutospacing="0" w:afterAutospacing="0" w:line="360" w:lineRule="auto"/>
              <w:rPr>
                <w:rFonts w:ascii="宋体" w:hAnsi="宋体" w:cs="宋体"/>
                <w:color w:val="auto"/>
                <w:highlight w:val="none"/>
              </w:rPr>
            </w:pPr>
            <w:r>
              <w:rPr>
                <w:rFonts w:hint="eastAsia" w:ascii="宋体" w:hAnsi="宋体" w:cs="宋体"/>
                <w:color w:val="auto"/>
                <w:szCs w:val="21"/>
                <w:highlight w:val="none"/>
              </w:rPr>
              <w:t>按照采购文件和中标人提供的投标文件及中标人和采购人签订的政府采购合同为标准进行验收。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现场踏勘</w:t>
            </w:r>
          </w:p>
        </w:tc>
        <w:tc>
          <w:tcPr>
            <w:tcW w:w="5253" w:type="dxa"/>
            <w:vAlign w:val="center"/>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演示时间及地点</w:t>
            </w:r>
          </w:p>
        </w:tc>
        <w:tc>
          <w:tcPr>
            <w:tcW w:w="5253" w:type="dxa"/>
            <w:vAlign w:val="center"/>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样品要求</w:t>
            </w:r>
          </w:p>
        </w:tc>
        <w:tc>
          <w:tcPr>
            <w:tcW w:w="5253" w:type="dxa"/>
            <w:vAlign w:val="center"/>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本项目的核心产品</w:t>
            </w:r>
          </w:p>
        </w:tc>
        <w:tc>
          <w:tcPr>
            <w:tcW w:w="5253" w:type="dxa"/>
            <w:vAlign w:val="center"/>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无</w:t>
            </w:r>
          </w:p>
        </w:tc>
      </w:tr>
    </w:tbl>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color w:val="auto"/>
          <w:szCs w:val="21"/>
          <w:highlight w:val="none"/>
        </w:rPr>
        <w:t>★</w:t>
      </w:r>
      <w:r>
        <w:rPr>
          <w:rFonts w:hint="eastAsia" w:ascii="宋体" w:hAnsi="宋体" w:cs="宋体"/>
          <w:b/>
          <w:color w:val="auto"/>
          <w:szCs w:val="21"/>
          <w:highlight w:val="none"/>
        </w:rPr>
        <w:t>一、重要商务要求一览表</w:t>
      </w:r>
    </w:p>
    <w:tbl>
      <w:tblPr>
        <w:tblStyle w:val="46"/>
        <w:tblW w:w="84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50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1、服务期限</w:t>
            </w:r>
          </w:p>
        </w:tc>
        <w:tc>
          <w:tcPr>
            <w:tcW w:w="650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签订合同后</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日内项目设计布展安装完成。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2、付款方式</w:t>
            </w:r>
          </w:p>
        </w:tc>
        <w:tc>
          <w:tcPr>
            <w:tcW w:w="650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hint="default" w:ascii="宋体" w:hAnsi="宋体" w:cs="宋体"/>
                <w:color w:val="auto"/>
                <w:szCs w:val="21"/>
                <w:highlight w:val="none"/>
                <w:lang w:val="en-US"/>
              </w:rPr>
            </w:pPr>
            <w:r>
              <w:rPr>
                <w:rFonts w:hint="eastAsia" w:ascii="宋体" w:hAnsi="宋体" w:cs="宋体"/>
                <w:color w:val="auto"/>
                <w:szCs w:val="21"/>
                <w:highlight w:val="none"/>
              </w:rPr>
              <w:t>1、采购合同签订生效以及具备实施条件后</w:t>
            </w:r>
            <w:r>
              <w:rPr>
                <w:rFonts w:hint="eastAsia" w:ascii="宋体" w:hAnsi="宋体" w:cs="宋体"/>
                <w:color w:val="auto"/>
                <w:szCs w:val="21"/>
                <w:highlight w:val="none"/>
                <w:lang w:val="en-US" w:eastAsia="zh-CN"/>
              </w:rPr>
              <w:t>支付合同价的40%作为预付款</w:t>
            </w:r>
            <w:r>
              <w:rPr>
                <w:rFonts w:hint="eastAsia" w:ascii="宋体" w:hAnsi="宋体" w:cs="宋体"/>
                <w:color w:val="auto"/>
                <w:szCs w:val="21"/>
                <w:highlight w:val="none"/>
              </w:rPr>
              <w:t>（在签订合同时，如中标人明确不需要支付预付款或降低预付款金额的，采购人可调整预付款支付要求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；设计深化和工程总进度达到60%并经采购人确认后，支付合同价的20%；项目布展完成并验收通过后，根据审计结算金额付清审计价的余款。</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注：中标供应商须按照采购人要求提供增值税专用发票。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3、履约保证金</w:t>
            </w:r>
          </w:p>
        </w:tc>
        <w:tc>
          <w:tcPr>
            <w:tcW w:w="650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textAlignment w:val="baseline"/>
              <w:rPr>
                <w:color w:val="auto"/>
                <w:highlight w:val="none"/>
              </w:rPr>
            </w:pPr>
            <w:r>
              <w:rPr>
                <w:rFonts w:hint="eastAsia"/>
                <w:color w:val="auto"/>
                <w:highlight w:val="none"/>
              </w:rPr>
              <w:t>1、履约保证金金额：合同金额的</w:t>
            </w:r>
            <w:r>
              <w:rPr>
                <w:rFonts w:hint="eastAsia"/>
                <w:color w:val="auto"/>
                <w:highlight w:val="none"/>
                <w:lang w:val="en-US" w:eastAsia="zh-CN"/>
              </w:rPr>
              <w:t>1%</w:t>
            </w:r>
            <w:r>
              <w:rPr>
                <w:rFonts w:hint="eastAsia"/>
                <w:color w:val="auto"/>
                <w:highlight w:val="none"/>
              </w:rPr>
              <w:t>；</w:t>
            </w:r>
          </w:p>
          <w:p>
            <w:pPr>
              <w:spacing w:beforeAutospacing="0" w:afterAutospacing="0" w:line="360" w:lineRule="auto"/>
              <w:textAlignment w:val="baseline"/>
              <w:rPr>
                <w:color w:val="auto"/>
                <w:highlight w:val="none"/>
              </w:rPr>
            </w:pPr>
            <w:r>
              <w:rPr>
                <w:rFonts w:hint="eastAsia"/>
                <w:color w:val="auto"/>
                <w:highlight w:val="none"/>
              </w:rPr>
              <w:t>2、履约保证金形式：银行汇票（电汇）、支票（仅限于使用宁波大市区范围内的银行开具的支票）、保险保单和银行保函等非现金形式。</w:t>
            </w:r>
          </w:p>
          <w:p>
            <w:pPr>
              <w:spacing w:beforeAutospacing="0" w:afterAutospacing="0" w:line="360" w:lineRule="auto"/>
              <w:textAlignment w:val="baseline"/>
              <w:rPr>
                <w:color w:val="auto"/>
                <w:highlight w:val="none"/>
              </w:rPr>
            </w:pPr>
            <w:r>
              <w:rPr>
                <w:rFonts w:hint="eastAsia"/>
                <w:color w:val="auto"/>
                <w:highlight w:val="none"/>
              </w:rPr>
              <w:t>3、履约保证金提交时间：合同签订前交至采购人。</w:t>
            </w:r>
          </w:p>
          <w:p>
            <w:pPr>
              <w:pStyle w:val="198"/>
              <w:adjustRightInd/>
              <w:spacing w:beforeAutospacing="0" w:afterAutospacing="0" w:line="360" w:lineRule="auto"/>
              <w:ind w:left="0" w:leftChars="0" w:firstLine="0" w:firstLineChars="0"/>
              <w:rPr>
                <w:rFonts w:hint="eastAsia" w:eastAsia="宋体"/>
                <w:color w:val="auto"/>
                <w:highlight w:val="none"/>
                <w:lang w:val="en-US" w:eastAsia="zh-CN"/>
              </w:rPr>
            </w:pPr>
            <w:r>
              <w:rPr>
                <w:rFonts w:hint="eastAsia"/>
                <w:color w:val="auto"/>
                <w:highlight w:val="none"/>
              </w:rPr>
              <w:t>4、履约保证金的退取：履约保证金在中标人完成合同履约后无息退还（如中标人未能履行合同规定的任何义务，采购人有权扣除相应履约保证金</w:t>
            </w:r>
            <w:r>
              <w:rPr>
                <w:rFonts w:hint="eastAsia"/>
                <w:color w:val="auto"/>
                <w:highlight w:val="none"/>
                <w:lang w:eastAsia="zh-CN"/>
              </w:rPr>
              <w:t>。</w:t>
            </w:r>
            <w:r>
              <w:rPr>
                <w:rFonts w:hint="eastAsia" w:hAnsi="宋体" w:cs="宋体"/>
                <w:color w:val="auto"/>
                <w:szCs w:val="21"/>
                <w:highlight w:val="none"/>
              </w:rPr>
              <w:t>中标人按照已付</w:t>
            </w:r>
            <w:r>
              <w:rPr>
                <w:rFonts w:hint="eastAsia" w:hAnsi="宋体" w:cs="宋体"/>
                <w:color w:val="auto"/>
                <w:szCs w:val="21"/>
                <w:highlight w:val="none"/>
                <w:lang w:val="en-US" w:eastAsia="zh-CN"/>
              </w:rPr>
              <w:t>合同款</w:t>
            </w:r>
            <w:r>
              <w:rPr>
                <w:rFonts w:hint="eastAsia" w:hAnsi="宋体" w:cs="宋体"/>
                <w:color w:val="auto"/>
                <w:szCs w:val="21"/>
                <w:highlight w:val="none"/>
              </w:rPr>
              <w:t>的千分之一计算日违约金给付采购人违约金</w:t>
            </w:r>
            <w:r>
              <w:rPr>
                <w:rFonts w:hint="eastAsia"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4、质保期</w:t>
            </w:r>
          </w:p>
        </w:tc>
        <w:tc>
          <w:tcPr>
            <w:tcW w:w="650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hint="default" w:eastAsia="宋体"/>
                <w:color w:val="auto"/>
                <w:highlight w:val="none"/>
                <w:lang w:val="en-US" w:eastAsia="zh-CN"/>
              </w:rPr>
            </w:pPr>
            <w:r>
              <w:rPr>
                <w:rFonts w:hint="eastAsia"/>
                <w:color w:val="auto"/>
                <w:highlight w:val="none"/>
                <w:lang w:val="en-US" w:eastAsia="zh-CN"/>
              </w:rPr>
              <w:t>1、</w:t>
            </w:r>
            <w:r>
              <w:rPr>
                <w:rFonts w:hint="eastAsia"/>
                <w:color w:val="auto"/>
                <w:highlight w:val="none"/>
              </w:rPr>
              <w:t>项目通过验收合格后2年</w:t>
            </w:r>
            <w:r>
              <w:rPr>
                <w:rFonts w:hint="eastAsia"/>
                <w:color w:val="auto"/>
                <w:highlight w:val="none"/>
                <w:lang w:val="en-US" w:eastAsia="zh-CN"/>
              </w:rPr>
              <w:t>。</w:t>
            </w:r>
          </w:p>
          <w:p>
            <w:pPr>
              <w:spacing w:beforeAutospacing="0" w:afterAutospacing="0" w:line="360" w:lineRule="auto"/>
              <w:jc w:val="left"/>
              <w:rPr>
                <w:rFonts w:hint="eastAsia"/>
                <w:color w:val="auto"/>
                <w:highlight w:val="none"/>
              </w:rPr>
            </w:pPr>
            <w:r>
              <w:rPr>
                <w:rFonts w:hint="eastAsia"/>
                <w:color w:val="auto"/>
                <w:highlight w:val="none"/>
                <w:lang w:val="en-US" w:eastAsia="zh-CN"/>
              </w:rPr>
              <w:t>2、</w:t>
            </w:r>
            <w:r>
              <w:rPr>
                <w:rFonts w:hint="eastAsia"/>
                <w:color w:val="auto"/>
                <w:highlight w:val="none"/>
              </w:rPr>
              <w:t>修复通知</w:t>
            </w:r>
            <w:r>
              <w:rPr>
                <w:rFonts w:hint="eastAsia"/>
                <w:color w:val="auto"/>
                <w:highlight w:val="none"/>
                <w:lang w:eastAsia="zh-CN"/>
              </w:rPr>
              <w:t>：中标人</w:t>
            </w:r>
            <w:r>
              <w:rPr>
                <w:rFonts w:hint="eastAsia"/>
                <w:color w:val="auto"/>
                <w:highlight w:val="none"/>
              </w:rPr>
              <w:t>收到保修通知并到达工程现场的合理时间： 48小时内(含48小时)。</w:t>
            </w:r>
          </w:p>
          <w:p>
            <w:pPr>
              <w:spacing w:beforeAutospacing="0" w:afterAutospacing="0" w:line="360" w:lineRule="auto"/>
              <w:jc w:val="left"/>
              <w:rPr>
                <w:rFonts w:hint="eastAsia" w:ascii="Times New Roman" w:hAnsi="Times New Roman" w:eastAsia="宋体" w:cs="Times New Roman"/>
                <w:b w:val="0"/>
                <w:color w:val="auto"/>
                <w:kern w:val="2"/>
                <w:sz w:val="21"/>
                <w:szCs w:val="24"/>
                <w:highlight w:val="none"/>
                <w:lang w:val="en-US" w:eastAsia="zh-CN" w:bidi="ar-SA"/>
              </w:rPr>
            </w:pPr>
            <w:r>
              <w:rPr>
                <w:rFonts w:hint="eastAsia" w:ascii="Times New Roman" w:hAnsi="Times New Roman" w:eastAsia="宋体" w:cs="Times New Roman"/>
                <w:b w:val="0"/>
                <w:color w:val="auto"/>
                <w:kern w:val="2"/>
                <w:sz w:val="21"/>
                <w:szCs w:val="24"/>
                <w:highlight w:val="none"/>
                <w:lang w:val="en-US" w:eastAsia="zh-CN" w:bidi="ar-SA"/>
              </w:rPr>
              <w:t>3、本合同缺陷责任期为24个月。</w:t>
            </w:r>
          </w:p>
          <w:p>
            <w:pPr>
              <w:spacing w:beforeAutospacing="0" w:afterAutospacing="0" w:line="360" w:lineRule="auto"/>
              <w:jc w:val="left"/>
              <w:rPr>
                <w:rFonts w:hint="eastAsia" w:eastAsia="黑体"/>
                <w:color w:val="auto"/>
                <w:highlight w:val="none"/>
                <w:lang w:val="en-US" w:eastAsia="zh-CN"/>
              </w:rPr>
            </w:pPr>
            <w:r>
              <w:rPr>
                <w:rFonts w:hint="eastAsia" w:cs="Times New Roman"/>
                <w:b w:val="0"/>
                <w:color w:val="auto"/>
                <w:kern w:val="2"/>
                <w:sz w:val="21"/>
                <w:szCs w:val="24"/>
                <w:highlight w:val="none"/>
                <w:lang w:val="en-US" w:eastAsia="zh-CN" w:bidi="ar-SA"/>
              </w:rPr>
              <w:t>4、</w:t>
            </w:r>
            <w:r>
              <w:rPr>
                <w:rFonts w:hint="eastAsia" w:ascii="宋体" w:hAnsi="宋体" w:cs="宋体"/>
                <w:color w:val="auto"/>
                <w:szCs w:val="21"/>
                <w:highlight w:val="none"/>
                <w:lang w:val="en-US" w:eastAsia="zh-CN"/>
              </w:rPr>
              <w:t>项目</w:t>
            </w:r>
            <w:r>
              <w:rPr>
                <w:rFonts w:hint="eastAsia" w:ascii="Times New Roman" w:hAnsi="Times New Roman" w:eastAsia="宋体" w:cs="Times New Roman"/>
                <w:b w:val="0"/>
                <w:color w:val="auto"/>
                <w:kern w:val="2"/>
                <w:sz w:val="21"/>
                <w:szCs w:val="24"/>
                <w:highlight w:val="none"/>
                <w:lang w:val="en-US" w:eastAsia="zh-CN" w:bidi="ar-SA"/>
              </w:rPr>
              <w:t>竣工验收合格后，因</w:t>
            </w:r>
            <w:r>
              <w:rPr>
                <w:rFonts w:hint="eastAsia" w:cs="Times New Roman"/>
                <w:b w:val="0"/>
                <w:color w:val="auto"/>
                <w:kern w:val="2"/>
                <w:sz w:val="21"/>
                <w:szCs w:val="24"/>
                <w:highlight w:val="none"/>
                <w:lang w:val="en-US" w:eastAsia="zh-CN" w:bidi="ar-SA"/>
              </w:rPr>
              <w:t>中标人</w:t>
            </w:r>
            <w:r>
              <w:rPr>
                <w:rFonts w:hint="eastAsia" w:ascii="Times New Roman" w:hAnsi="Times New Roman" w:eastAsia="宋体" w:cs="Times New Roman"/>
                <w:b w:val="0"/>
                <w:color w:val="auto"/>
                <w:kern w:val="2"/>
                <w:sz w:val="21"/>
                <w:szCs w:val="24"/>
                <w:highlight w:val="none"/>
                <w:lang w:val="en-US" w:eastAsia="zh-CN" w:bidi="ar-SA"/>
              </w:rPr>
              <w:t>原因导致的缺陷使工程或某项主要设备不能按原定目的使用的，</w:t>
            </w:r>
            <w:r>
              <w:rPr>
                <w:rFonts w:hint="eastAsia" w:cs="Times New Roman"/>
                <w:b w:val="0"/>
                <w:color w:val="auto"/>
                <w:kern w:val="2"/>
                <w:sz w:val="21"/>
                <w:szCs w:val="24"/>
                <w:highlight w:val="none"/>
                <w:lang w:val="en-US" w:eastAsia="zh-CN" w:bidi="ar-SA"/>
              </w:rPr>
              <w:t>采购人</w:t>
            </w:r>
            <w:r>
              <w:rPr>
                <w:rFonts w:hint="eastAsia" w:ascii="Times New Roman" w:hAnsi="Times New Roman" w:eastAsia="宋体" w:cs="Times New Roman"/>
                <w:b w:val="0"/>
                <w:color w:val="auto"/>
                <w:kern w:val="2"/>
                <w:sz w:val="21"/>
                <w:szCs w:val="24"/>
                <w:highlight w:val="none"/>
                <w:lang w:val="en-US" w:eastAsia="zh-CN" w:bidi="ar-SA"/>
              </w:rPr>
              <w:t>有权在原缺陷责任期届满前要求</w:t>
            </w:r>
            <w:r>
              <w:rPr>
                <w:rFonts w:hint="eastAsia" w:cs="Times New Roman"/>
                <w:b w:val="0"/>
                <w:color w:val="auto"/>
                <w:kern w:val="2"/>
                <w:sz w:val="21"/>
                <w:szCs w:val="24"/>
                <w:highlight w:val="none"/>
                <w:lang w:val="en-US" w:eastAsia="zh-CN" w:bidi="ar-SA"/>
              </w:rPr>
              <w:t>中标人</w:t>
            </w:r>
            <w:r>
              <w:rPr>
                <w:rFonts w:hint="eastAsia" w:ascii="Times New Roman" w:hAnsi="Times New Roman" w:eastAsia="宋体" w:cs="Times New Roman"/>
                <w:b w:val="0"/>
                <w:color w:val="auto"/>
                <w:kern w:val="2"/>
                <w:sz w:val="21"/>
                <w:szCs w:val="24"/>
                <w:highlight w:val="none"/>
                <w:lang w:val="en-US" w:eastAsia="zh-CN" w:bidi="ar-SA"/>
              </w:rPr>
              <w:t>延长缺陷责任期，延长的缺陷责任期为24个月，所产生的修缮费用从</w:t>
            </w:r>
            <w:r>
              <w:rPr>
                <w:rFonts w:hint="eastAsia" w:cs="Times New Roman"/>
                <w:b w:val="0"/>
                <w:color w:val="auto"/>
                <w:kern w:val="2"/>
                <w:sz w:val="21"/>
                <w:szCs w:val="24"/>
                <w:highlight w:val="none"/>
                <w:lang w:val="en-US" w:eastAsia="zh-CN" w:bidi="ar-SA"/>
              </w:rPr>
              <w:t>履约保证</w:t>
            </w:r>
            <w:r>
              <w:rPr>
                <w:rFonts w:hint="eastAsia" w:ascii="Times New Roman" w:hAnsi="Times New Roman" w:eastAsia="宋体" w:cs="Times New Roman"/>
                <w:b w:val="0"/>
                <w:color w:val="auto"/>
                <w:kern w:val="2"/>
                <w:sz w:val="21"/>
                <w:szCs w:val="24"/>
                <w:highlight w:val="none"/>
                <w:lang w:val="en-US" w:eastAsia="zh-CN" w:bidi="ar-SA"/>
              </w:rPr>
              <w:t>金中支出，若履约保证金不足以支付修缮金，由中标人支付差价。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5、设计成果</w:t>
            </w:r>
          </w:p>
        </w:tc>
        <w:tc>
          <w:tcPr>
            <w:tcW w:w="650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color w:val="auto"/>
                <w:highlight w:val="none"/>
              </w:rPr>
            </w:pPr>
            <w:r>
              <w:rPr>
                <w:rFonts w:hint="eastAsia"/>
                <w:color w:val="auto"/>
                <w:highlight w:val="none"/>
                <w:lang w:val="en-US" w:eastAsia="zh-CN"/>
              </w:rPr>
              <w:t>1、</w:t>
            </w:r>
            <w:r>
              <w:rPr>
                <w:rFonts w:hint="eastAsia"/>
                <w:color w:val="auto"/>
                <w:highlight w:val="none"/>
              </w:rPr>
              <w:t>设计成果报告至少应包括设计文本、设计图纸及相关附件。上述资料的提供数量应按照项目实际需求确定。</w:t>
            </w:r>
          </w:p>
          <w:p>
            <w:pPr>
              <w:spacing w:beforeAutospacing="0" w:afterAutospacing="0" w:line="360" w:lineRule="auto"/>
              <w:jc w:val="left"/>
              <w:rPr>
                <w:rFonts w:hint="eastAsia"/>
                <w:color w:val="auto"/>
                <w:highlight w:val="none"/>
              </w:rPr>
            </w:pPr>
            <w:r>
              <w:rPr>
                <w:rFonts w:hint="eastAsia"/>
                <w:color w:val="auto"/>
                <w:highlight w:val="none"/>
                <w:lang w:val="en-US" w:eastAsia="zh-CN"/>
              </w:rPr>
              <w:t>2、</w:t>
            </w:r>
            <w:r>
              <w:rPr>
                <w:rFonts w:hint="eastAsia"/>
                <w:color w:val="auto"/>
                <w:highlight w:val="none"/>
              </w:rPr>
              <w:t>产权归属：本次设计成果所有权和使用权属采购人所有，未经允许，设计单位不得以任何借口转让和使用本项目的设计成果，否则承担因此产生的一切法律和经济责任。</w:t>
            </w:r>
          </w:p>
          <w:p>
            <w:pPr>
              <w:spacing w:beforeAutospacing="0" w:afterAutospacing="0" w:line="360" w:lineRule="auto"/>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r>
              <w:rPr>
                <w:rFonts w:hint="eastAsia" w:cs="Times New Roman"/>
                <w:b w:val="0"/>
                <w:color w:val="auto"/>
                <w:kern w:val="2"/>
                <w:sz w:val="21"/>
                <w:szCs w:val="24"/>
                <w:highlight w:val="none"/>
                <w:lang w:val="en-US" w:eastAsia="zh-CN" w:bidi="ar-SA"/>
              </w:rPr>
              <w:t>中标人</w:t>
            </w:r>
            <w:r>
              <w:rPr>
                <w:rFonts w:hint="eastAsia" w:ascii="Times New Roman" w:hAnsi="Times New Roman" w:eastAsia="宋体" w:cs="Times New Roman"/>
                <w:color w:val="auto"/>
                <w:highlight w:val="none"/>
              </w:rPr>
              <w:t>中标</w:t>
            </w:r>
            <w:r>
              <w:rPr>
                <w:rFonts w:hint="eastAsia" w:ascii="Times New Roman" w:hAnsi="Times New Roman" w:eastAsia="宋体" w:cs="Times New Roman"/>
                <w:color w:val="auto"/>
                <w:highlight w:val="none"/>
                <w:lang w:eastAsia="zh-CN"/>
              </w:rPr>
              <w:t>后</w:t>
            </w:r>
            <w:r>
              <w:rPr>
                <w:rFonts w:hint="eastAsia" w:ascii="Times New Roman" w:hAnsi="Times New Roman" w:eastAsia="宋体" w:cs="Times New Roman"/>
                <w:color w:val="auto"/>
                <w:highlight w:val="none"/>
              </w:rPr>
              <w:t>二次深化</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设计方对二次深化设计成果的质量和进度负责。</w:t>
            </w:r>
          </w:p>
          <w:p>
            <w:pPr>
              <w:spacing w:beforeAutospacing="0" w:afterAutospacing="0" w:line="360" w:lineRule="auto"/>
              <w:jc w:val="left"/>
              <w:rPr>
                <w:rFonts w:hint="eastAsia" w:eastAsia="黑体"/>
                <w:color w:val="auto"/>
                <w:highlight w:val="none"/>
                <w:lang w:val="en-US" w:eastAsia="zh-CN"/>
              </w:rPr>
            </w:pPr>
            <w:r>
              <w:rPr>
                <w:rFonts w:hint="eastAsia" w:ascii="Times New Roman" w:hAnsi="Times New Roman" w:eastAsia="宋体" w:cs="Times New Roman"/>
                <w:color w:val="auto"/>
                <w:highlight w:val="none"/>
                <w:lang w:val="en-US" w:eastAsia="zh-CN"/>
              </w:rPr>
              <w:t>4、</w:t>
            </w:r>
            <w:r>
              <w:rPr>
                <w:rFonts w:hint="eastAsia" w:cs="Times New Roman"/>
                <w:b w:val="0"/>
                <w:color w:val="auto"/>
                <w:kern w:val="2"/>
                <w:sz w:val="21"/>
                <w:szCs w:val="24"/>
                <w:highlight w:val="none"/>
                <w:lang w:val="en-US" w:eastAsia="zh-CN" w:bidi="ar-SA"/>
              </w:rPr>
              <w:t>中标人</w:t>
            </w:r>
            <w:r>
              <w:rPr>
                <w:rFonts w:hint="eastAsia" w:ascii="Times New Roman" w:hAnsi="Times New Roman" w:eastAsia="宋体" w:cs="Times New Roman"/>
                <w:color w:val="auto"/>
                <w:highlight w:val="none"/>
                <w:lang w:val="en-US" w:eastAsia="zh-CN"/>
              </w:rPr>
              <w:t>应根据</w:t>
            </w:r>
            <w:r>
              <w:rPr>
                <w:rFonts w:hint="eastAsia" w:cs="Times New Roman"/>
                <w:color w:val="auto"/>
                <w:highlight w:val="none"/>
                <w:lang w:val="en-US" w:eastAsia="zh-CN"/>
              </w:rPr>
              <w:t>采购人</w:t>
            </w:r>
            <w:r>
              <w:rPr>
                <w:rFonts w:hint="eastAsia" w:ascii="Times New Roman" w:hAnsi="Times New Roman" w:eastAsia="宋体" w:cs="Times New Roman"/>
                <w:color w:val="auto"/>
                <w:highlight w:val="none"/>
                <w:lang w:val="en-US" w:eastAsia="zh-CN"/>
              </w:rPr>
              <w:t>的意见建议进行文字升华提炼，并由专家把关通过，若</w:t>
            </w:r>
            <w:r>
              <w:rPr>
                <w:rFonts w:hint="eastAsia" w:cs="Times New Roman"/>
                <w:b w:val="0"/>
                <w:color w:val="auto"/>
                <w:kern w:val="2"/>
                <w:sz w:val="21"/>
                <w:szCs w:val="24"/>
                <w:highlight w:val="none"/>
                <w:lang w:val="en-US" w:eastAsia="zh-CN" w:bidi="ar-SA"/>
              </w:rPr>
              <w:t>中标人</w:t>
            </w:r>
            <w:r>
              <w:rPr>
                <w:rFonts w:hint="eastAsia" w:ascii="Times New Roman" w:hAnsi="Times New Roman" w:eastAsia="宋体" w:cs="Times New Roman"/>
                <w:color w:val="auto"/>
                <w:highlight w:val="none"/>
                <w:lang w:val="en-US" w:eastAsia="zh-CN"/>
              </w:rPr>
              <w:t>达不到</w:t>
            </w:r>
            <w:r>
              <w:rPr>
                <w:rFonts w:hint="eastAsia" w:cs="Times New Roman"/>
                <w:color w:val="auto"/>
                <w:highlight w:val="none"/>
                <w:lang w:val="en-US" w:eastAsia="zh-CN"/>
              </w:rPr>
              <w:t>采购人</w:t>
            </w:r>
            <w:r>
              <w:rPr>
                <w:rFonts w:hint="eastAsia" w:ascii="Times New Roman" w:hAnsi="Times New Roman" w:eastAsia="宋体" w:cs="Times New Roman"/>
                <w:color w:val="auto"/>
                <w:highlight w:val="none"/>
                <w:lang w:val="en-US" w:eastAsia="zh-CN"/>
              </w:rPr>
              <w:t>的要求，导致</w:t>
            </w:r>
            <w:r>
              <w:rPr>
                <w:rFonts w:hint="eastAsia" w:cs="Times New Roman"/>
                <w:color w:val="auto"/>
                <w:highlight w:val="none"/>
                <w:lang w:val="en-US" w:eastAsia="zh-CN"/>
              </w:rPr>
              <w:t>采购人</w:t>
            </w:r>
            <w:r>
              <w:rPr>
                <w:rFonts w:hint="eastAsia" w:ascii="Times New Roman" w:hAnsi="Times New Roman" w:eastAsia="宋体" w:cs="Times New Roman"/>
                <w:color w:val="auto"/>
                <w:highlight w:val="none"/>
                <w:lang w:val="en-US" w:eastAsia="zh-CN"/>
              </w:rPr>
              <w:t>需另请设计人所产生的全部费用，由</w:t>
            </w:r>
            <w:r>
              <w:rPr>
                <w:rFonts w:hint="eastAsia" w:cs="Times New Roman"/>
                <w:b w:val="0"/>
                <w:color w:val="auto"/>
                <w:kern w:val="2"/>
                <w:sz w:val="21"/>
                <w:szCs w:val="24"/>
                <w:highlight w:val="none"/>
                <w:lang w:val="en-US" w:eastAsia="zh-CN" w:bidi="ar-SA"/>
              </w:rPr>
              <w:t>中标人</w:t>
            </w:r>
            <w:r>
              <w:rPr>
                <w:rFonts w:hint="eastAsia" w:ascii="Times New Roman" w:hAnsi="Times New Roman" w:eastAsia="宋体" w:cs="Times New Roman"/>
                <w:color w:val="auto"/>
                <w:highlight w:val="none"/>
                <w:lang w:val="en-US" w:eastAsia="zh-CN"/>
              </w:rPr>
              <w:t>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6、合同终止</w:t>
            </w:r>
          </w:p>
        </w:tc>
        <w:tc>
          <w:tcPr>
            <w:tcW w:w="650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中标人在合同有效期内，不得以任何理由终止合同，确有特殊情况的，须提前两个月向采购人提出书面申请，经采购人同意后，方可终止合同。因中标人发生重大差错事故的，采购人可有权终止协议，中标人承担全部责任。</w:t>
            </w:r>
          </w:p>
        </w:tc>
      </w:tr>
    </w:tbl>
    <w:p>
      <w:pPr>
        <w:spacing w:beforeAutospacing="0" w:afterAutospacing="0" w:line="360" w:lineRule="auto"/>
        <w:jc w:val="left"/>
        <w:rPr>
          <w:rFonts w:ascii="宋体" w:hAnsi="宋体" w:cs="宋体"/>
          <w:b/>
          <w:color w:val="auto"/>
          <w:szCs w:val="21"/>
          <w:highlight w:val="none"/>
        </w:rPr>
      </w:pPr>
    </w:p>
    <w:p>
      <w:pPr>
        <w:numPr>
          <w:ilvl w:val="0"/>
          <w:numId w:val="7"/>
        </w:numPr>
        <w:spacing w:beforeAutospacing="0" w:afterAutospacing="0" w:line="360" w:lineRule="auto"/>
        <w:jc w:val="left"/>
        <w:rPr>
          <w:color w:val="auto"/>
          <w:highlight w:val="none"/>
        </w:rPr>
      </w:pPr>
      <w:r>
        <w:rPr>
          <w:rFonts w:hint="eastAsia" w:ascii="宋体" w:hAnsi="宋体" w:cs="宋体"/>
          <w:b/>
          <w:color w:val="auto"/>
          <w:szCs w:val="21"/>
          <w:highlight w:val="none"/>
        </w:rPr>
        <w:t>项目概况</w:t>
      </w:r>
    </w:p>
    <w:p>
      <w:pPr>
        <w:pageBreakBefore w:val="0"/>
        <w:widowControl w:val="0"/>
        <w:kinsoku/>
        <w:overflowPunct/>
        <w:topLinePunct w:val="0"/>
        <w:bidi w:val="0"/>
        <w:adjustRightInd/>
        <w:spacing w:beforeAutospacing="0" w:afterAutospacing="0" w:line="360" w:lineRule="auto"/>
        <w:ind w:firstLine="422" w:firstLineChars="200"/>
        <w:jc w:val="left"/>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1、项目概况及项目规模</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布局面积约1500平方米（详见图纸，具体布展区域以图纸为准）。依据用户需求和场地现状图进行党群服务中心效果图设计、施工图设计以及采购和施工及相关后续服务等。包括布展设计（总体平面布置、流线设计；党群服务中心的环境设计；展示效果灯光设计等）、布展与装修（展台、展柜、展板、展架、图文板等的制作与安装施工；党群服务中心环境装修施工；展厅效果灯光，系统安装调试等）。</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指导思想 ：湖西社区党群服务中心是根据《宁海县党群服务中心建设和管理规范》有关要求，按照“场所集中、功能集成、人员集约、开放共享”的原则，利用现有楼宇一楼部分区域及三楼区域设计升级改造党群服务中心。力求把湖西社区党群服务中心建设成一个规模较大，区域划分合理，功能完整明确的社区党群服务中心，成为党组织和基层党员、群众交流的空间。</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3、功能定位</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（1）湖西社区党群服务中心亮点工程</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力求把湖西社区党群服务中心建设成一个简洁时尚、区域划分合理、功能定位明确、具有数字化特色的社区党群服务中心。</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（2）智慧党建：以“智慧党建”为设计出发</w:t>
      </w:r>
      <w:r>
        <w:rPr>
          <w:rFonts w:hint="eastAsia" w:cs="Times New Roman"/>
          <w:color w:val="auto"/>
          <w:highlight w:val="none"/>
          <w:lang w:val="en-US" w:eastAsia="zh-CN"/>
        </w:rPr>
        <w:t>点</w:t>
      </w:r>
      <w:r>
        <w:rPr>
          <w:rFonts w:hint="eastAsia" w:ascii="Times New Roman" w:hAnsi="Times New Roman" w:eastAsia="宋体" w:cs="Times New Roman"/>
          <w:color w:val="auto"/>
          <w:highlight w:val="none"/>
        </w:rPr>
        <w:t>，结合社区特色，突出数字化、信息化、功能化建设，增加可视化、高科技电子设备。</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（3）特色党建交流学习平台：通过特色党建介绍和展示，可以让基层党员和群众全面了解到社区党建方面取得的成绩，加强交流互动学习。</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（4）党员和群众交流和服务平台：组织社区辖区内的社会组织和党员群众开展参观活动、举办主题教育、社会组织孵化、文化交流等，了解基层党员和群众实际需求开展相应的服务。</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4、设计原则：</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ascii="宋体" w:hAnsi="宋体" w:cs="宋体"/>
          <w:b/>
          <w:color w:val="auto"/>
          <w:szCs w:val="21"/>
          <w:highlight w:val="none"/>
        </w:rPr>
      </w:pPr>
      <w:r>
        <w:rPr>
          <w:rFonts w:hint="eastAsia" w:ascii="Times New Roman" w:hAnsi="Times New Roman" w:eastAsia="宋体" w:cs="Times New Roman"/>
          <w:color w:val="auto"/>
          <w:highlight w:val="none"/>
        </w:rPr>
        <w:t>（1）特色鲜明，避免众馆一面，突出“邻里汇  心向融”中心主题。文字创意要提炼深化。（2）装修风格简洁现代，大气时尚。（3）选用设备稳定、可靠、安全。（4）采用限额设计，社会效益经济效益兼顾。</w:t>
      </w:r>
    </w:p>
    <w:p>
      <w:pPr>
        <w:spacing w:beforeAutospacing="0" w:afterAutospacing="0" w:line="360" w:lineRule="auto"/>
        <w:jc w:val="left"/>
        <w:rPr>
          <w:rFonts w:ascii="宋体" w:hAnsi="宋体" w:cs="宋体"/>
          <w:b/>
          <w:color w:val="auto"/>
          <w:szCs w:val="21"/>
          <w:highlight w:val="none"/>
        </w:rPr>
        <w:sectPr>
          <w:headerReference r:id="rId4" w:type="default"/>
          <w:footerReference r:id="rId5" w:type="default"/>
          <w:pgSz w:w="11906" w:h="16838"/>
          <w:pgMar w:top="1474" w:right="1797" w:bottom="1247" w:left="1797" w:header="851" w:footer="851" w:gutter="0"/>
          <w:pgBorders>
            <w:top w:val="none" w:sz="0" w:space="0"/>
            <w:left w:val="none" w:sz="0" w:space="0"/>
            <w:bottom w:val="none" w:sz="0" w:space="0"/>
            <w:right w:val="none" w:sz="0" w:space="0"/>
          </w:pgBorders>
          <w:pgNumType w:fmt="decimal" w:start="1"/>
          <w:cols w:space="720" w:num="1"/>
          <w:docGrid w:linePitch="312" w:charSpace="0"/>
        </w:sectPr>
      </w:pPr>
    </w:p>
    <w:p>
      <w:pPr>
        <w:spacing w:beforeAutospacing="0" w:afterAutospacing="0" w:line="360" w:lineRule="auto"/>
        <w:jc w:val="left"/>
        <w:rPr>
          <w:rFonts w:ascii="宋体" w:hAnsi="宋体" w:cs="宋体"/>
          <w:color w:val="auto"/>
          <w:kern w:val="0"/>
          <w:szCs w:val="21"/>
          <w:highlight w:val="none"/>
        </w:rPr>
      </w:pPr>
      <w:r>
        <w:rPr>
          <w:rFonts w:hint="eastAsia" w:ascii="宋体" w:hAnsi="宋体" w:cs="宋体"/>
          <w:b/>
          <w:color w:val="auto"/>
          <w:szCs w:val="21"/>
          <w:highlight w:val="none"/>
        </w:rPr>
        <w:t>三、设备清单</w:t>
      </w:r>
    </w:p>
    <w:tbl>
      <w:tblPr>
        <w:tblStyle w:val="46"/>
        <w:tblW w:w="14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080"/>
        <w:gridCol w:w="690"/>
        <w:gridCol w:w="3570"/>
        <w:gridCol w:w="1422"/>
        <w:gridCol w:w="5093"/>
        <w:gridCol w:w="1614"/>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区域</w:t>
            </w: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编号</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项目名称</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项目特征描述</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单位</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14"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沿街区域</w:t>
            </w: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新时代文明实践站标志</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304不锈钢定制造型</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restart"/>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门头</w:t>
            </w: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入口大门整体设计改造</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上面宽≥18000*高10500*厚度900mm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下面门头宽度≥9600*高3000*厚度1150mm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0mm镀锌</w:t>
            </w:r>
            <w:r>
              <w:rPr>
                <w:rFonts w:hint="eastAsia" w:asciiTheme="minorEastAsia" w:hAnsiTheme="minorEastAsia" w:eastAsiaTheme="minorEastAsia" w:cstheme="minorEastAsia"/>
                <w:color w:val="auto"/>
                <w:sz w:val="21"/>
                <w:szCs w:val="21"/>
                <w:highlight w:val="none"/>
                <w:lang w:val="en-US" w:eastAsia="zh-CN"/>
              </w:rPr>
              <w:t>角铁</w:t>
            </w:r>
            <w:r>
              <w:rPr>
                <w:rFonts w:hint="eastAsia" w:asciiTheme="minorEastAsia" w:hAnsiTheme="minorEastAsia" w:eastAsiaTheme="minorEastAsia" w:cstheme="minorEastAsia"/>
                <w:color w:val="auto"/>
                <w:sz w:val="21"/>
                <w:szCs w:val="21"/>
                <w:highlight w:val="none"/>
              </w:rPr>
              <w:t>焊接骨架+</w:t>
            </w:r>
            <w:r>
              <w:rPr>
                <w:rFonts w:hint="eastAsia" w:asciiTheme="minorEastAsia" w:hAnsiTheme="minorEastAsia" w:eastAsiaTheme="minorEastAsia" w:cstheme="minorEastAsia"/>
                <w:color w:val="auto"/>
                <w:sz w:val="21"/>
                <w:szCs w:val="21"/>
                <w:highlight w:val="none"/>
                <w:lang w:val="en-US" w:eastAsia="zh-CN"/>
              </w:rPr>
              <w:t>铝方管</w:t>
            </w:r>
            <w:r>
              <w:rPr>
                <w:rFonts w:hint="eastAsia" w:asciiTheme="minorEastAsia" w:hAnsiTheme="minorEastAsia" w:eastAsiaTheme="minorEastAsia" w:cstheme="minorEastAsia"/>
                <w:color w:val="auto"/>
                <w:sz w:val="21"/>
                <w:szCs w:val="21"/>
                <w:highlight w:val="none"/>
              </w:rPr>
              <w:t>+铝塑板+</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mm线</w:t>
            </w:r>
            <w:r>
              <w:rPr>
                <w:rFonts w:hint="eastAsia" w:asciiTheme="minorEastAsia" w:hAnsiTheme="minorEastAsia" w:eastAsiaTheme="minorEastAsia" w:cstheme="minorEastAsia"/>
                <w:color w:val="auto"/>
                <w:sz w:val="21"/>
                <w:szCs w:val="21"/>
                <w:highlight w:val="none"/>
                <w:lang w:val="en-US" w:eastAsia="zh-CN"/>
              </w:rPr>
              <w:t>条</w:t>
            </w:r>
            <w:r>
              <w:rPr>
                <w:rFonts w:hint="eastAsia" w:asciiTheme="minorEastAsia" w:hAnsiTheme="minorEastAsia" w:eastAsiaTheme="minorEastAsia" w:cstheme="minorEastAsia"/>
                <w:color w:val="auto"/>
                <w:sz w:val="21"/>
                <w:szCs w:val="21"/>
                <w:highlight w:val="none"/>
              </w:rPr>
              <w:t>灯</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外墙立面，</w:t>
            </w:r>
            <w:r>
              <w:rPr>
                <w:rFonts w:hint="eastAsia" w:asciiTheme="minorEastAsia" w:hAnsiTheme="minorEastAsia" w:eastAsiaTheme="minorEastAsia" w:cstheme="minorEastAsia"/>
                <w:color w:val="auto"/>
                <w:sz w:val="21"/>
                <w:szCs w:val="21"/>
                <w:highlight w:val="none"/>
              </w:rPr>
              <w:t>门头发光字</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LOGO≥2000*2000mm 2个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LOGO≥1000*1000mm 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字≥500*500mm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亚克力不锈钢围边发光字</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LOGO：</w:t>
            </w: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字：十个</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湖西社区新时代文明实践站公示开放时间</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透明贴</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接待厅背景墙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不锈钢背光发光字LOGO</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亚克力立体字UV</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木龙骨+0.9阻燃板基层+石膏板+乳胶漆+LED灯带</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接待台</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定制实木多层板框架+岩板饰面接待台</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张</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休闲桌椅</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实木多层板定制软包座椅</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便民服务柜（小型饮水吧台，包括水槽台面）</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12mm实木多层板定制柜+超白玻璃门</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党建1+N文化墙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轻钢龙骨+0.9阻燃板基层+石膏板新建墙体</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铝方通造型</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LED灯带</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精品发光字；10-20mm雪弗板雕刻字烤漆；8mm亚克力+5mm亚克力立体字（镜钉）</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造型墙面</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0.9阻燃板基层+木饰面</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LED灯带</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接待厅吊顶</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木龙骨+石膏板吊灯</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镜面板</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成品吊灯</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新开入口门洞墙面</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成品实木门套定制</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restart"/>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睦邻文化展示区</w:t>
            </w: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1F湖西社区功能阵地布局图</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不锈钢腐蚀雕刻+铝镁合金电镀实心字</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1F楼梯口吊顶</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木龙骨+0.9阻燃板基层+石膏板造型+LED灯带</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1F及消防安全门装饰美化</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墙面涂料粉刷</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1F-1.5F楼梯墙面文化</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10-20mm雪弗板雕刻、uv；5mm亚克力立体字；10-20mm雪弗板雕刻+磁吸板+5mm亚克力背UV</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1.5F楼梯间平台造型墙（习书记语录）</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0.9阻燃板基层+木饰面+石膏板造型</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LED灯带</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不锈钢精工字</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8</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1.5F-2.5F楼梯文化墙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主题字：12mm厚高密度雪弗板或10mm亚克力烤漆，小字8mm高密度雪弗板或5mm亚克力烤漆， 线条3mm亚克力烤漆，画面：10mm高密度雪弗板侧边烤漆画面UV。</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2F酒店后门美化</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刷白，写真</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2.5F楼梯间幸福湖西标语</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不锈钢精工字</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3F楼期间平台文化墙</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主题字：20mm厚高密度雪弗板烤漆，小字及装饰线条10mm高密度雪弗板烤漆。</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restart"/>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一楼至三楼楼梯无障碍扶手</w:t>
            </w:r>
          </w:p>
        </w:tc>
        <w:tc>
          <w:tcPr>
            <w:tcW w:w="6515" w:type="dxa"/>
            <w:gridSpan w:val="2"/>
            <w:vMerge w:val="restart"/>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成品采购</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米</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一楼至三楼楼梯扶手</w:t>
            </w:r>
          </w:p>
        </w:tc>
        <w:tc>
          <w:tcPr>
            <w:tcW w:w="6515" w:type="dxa"/>
            <w:gridSpan w:val="2"/>
            <w:vMerge w:val="continue"/>
            <w:tcBorders>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米</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楼梯井顶灯</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成品组合造型吊灯</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（雷士/爱德朗/飞利浦）</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盏</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楼梯井吊顶</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木龙骨+0.9阻燃板基层+石膏板造型+LED灯带</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restart"/>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党政服务综治区</w:t>
            </w: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门厅形象墙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轻钢龙骨+0.9阻燃板基层，第一层实木硬包，第二层混油木饰面异形制作内置LED发光灯组+精工不锈钢背发光字</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门厅习书记语录</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亚克力烤漆字</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7</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湖西e家背景墙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轻钢龙骨+阻燃板基层+木饰面定制柜</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8</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湖西e家服务台</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定制实木多层板框架+岩板饰面接待台</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党群服务中心背景墙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轻钢龙骨+阻燃板基层+定制混油木饰面+烤漆玻璃</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线条灯</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精工不锈钢背发光字</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党群服务中心定制工位</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实木多层木饰面定制工位+软包沙发+桌椅采购</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大数据云平台电子屏墙面</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轻钢龙骨+0.9阻燃板基层，两边实木硬包，中间木饰面+LED灯带+不锈钢压边条</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大数据云平台文化墙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雪弗板烤漆+雪弗板UV展板+钢化玻璃内置灯带+不锈钢包边</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3</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领读直播间定制书柜</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12mm定制实木多层免漆板书柜</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领读直播间定制卡座造型柜</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12mm定制实木多层免漆板书柜+软包卡座</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领读直播间背景墙面</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轻钢龙骨阻燃板基层+定制铝板冲孔+内衬亚克力透光板+LED灯</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直播间不锈钢立体字</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金属立体字厚度10cm，底座25cm，焊接成型，烤漆。</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restart"/>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数智e家休闲区</w:t>
            </w: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7</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共享书房波浪型矮柜</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12mm定制实木多层免漆板定制矮柜</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8</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共享书房立柱</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阻燃板基层+定制木饰面</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39</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共享书房习书记语录</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亚克力烤漆字</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0</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共享书房书柜</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阻燃板基层+木饰面+12mm实木多层板定制书柜+LED灯带</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大匠天地（书画社）背景墙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木龙骨+阻燃板基层+布艺硬包墙面</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实木定制书柜+LED灯带</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不锈钢精工字</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大匠天地（书画社）造型书柜</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12mm实木多层免漆板定制书柜+LED灯带</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3</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大匠天地（书画社）新时代文化墙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20mm厚高密度雪弗板烤漆，小字及装饰线条10mm高密度雪弗板烤漆。软磁贴可更换画面</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引言文化墙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轻钢龙骨+0.9MM阻燃板+石膏板表面批腻子刷固化基膜基层制作</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宣绒布+20mm雪弗板UV内容+5mm亚克力字</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一个核心文化墙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轻钢龙骨+0.9MM阻燃板+石膏板表面批腻子刷固化基膜基层制作</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宣绒布+20mm雪弗板UV内容+5mm亚克力字+软磁贴可更换画面</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五汇五融五力文化墙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轻钢龙骨+0.9MM阻燃板+石膏板表面批腻子刷固化基膜基层制作</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宣绒布+20mm雪弗板UV内容+5mm亚克力字+软磁贴可更换画面</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7</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聚八方资源，益起@未来文化墙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轻钢龙骨+0.9MM阻燃板+石膏板表面批腻子刷固化基膜基层制作</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宣绒布+20mm雪弗板UV内容+5mm亚克力字+软磁贴可更换画面</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48</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新时代文明实践站文化墙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木工板基层（贴皮）；8mm亚克力雕刻字；20mm雪弗板雕刻、uv；5-8mm亚克力雕刻字喷漆；软磁贴可更换画面</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49</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“HOME”家办公区定制办公桌+</w:t>
            </w:r>
            <w:r>
              <w:rPr>
                <w:rFonts w:hint="eastAsia" w:asciiTheme="minorEastAsia" w:hAnsiTheme="minorEastAsia" w:eastAsiaTheme="minorEastAsia" w:cstheme="minorEastAsia"/>
                <w:color w:val="auto"/>
                <w:sz w:val="21"/>
                <w:szCs w:val="21"/>
                <w:highlight w:val="none"/>
                <w:lang w:val="en-US" w:eastAsia="zh-CN"/>
              </w:rPr>
              <w:t>水吧</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实木多层木饰面定制+人造石台面+亚克力面板发光字</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0</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“HOME”家办公区矮柜</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12mm实木多层免漆板定制矮柜</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水槽</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成品采购，含水管及龙头</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（JOMOW/乐格森/PULT）</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restart"/>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邻里共治服务区</w:t>
            </w: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书记办公室书柜</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12mm实木多层免漆板定制书柜</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3</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智汇邻里（活动室）人大联络站文化墙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20mm雪弗板UV内容+5mm亚克力字</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软磁贴可更换画面</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智汇邻里（活动室）党代表文化墙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20mm雪弗板UV内容+5mm亚克力字</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软磁贴可更换画面</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报告厅背景墙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轻钢龙骨+阻燃板基层+木饰面+暗门制作</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硬包墙面</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20mm厚高密度雪弗板烤漆，小字10mm亚克力字。</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报告厅党建文化墙、湖西学堂文化墙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主题字：12mm厚高密度雪弗板或10mm亚克力烤漆，小字8mm高密度雪弗板或5mm亚克力烤漆， 线条3mm亚克力烤漆。</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restart"/>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共享益家活动区</w:t>
            </w: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7</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烘培室新做墙面</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轻钢龙骨阻燃板+石膏板表面乳胶漆隔墙</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58</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烘培室整体橱柜</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12mm实木多层免漆板定制</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59</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中岛</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12mm实木多层免漆板定制+人造石台面</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61"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60</w:t>
            </w:r>
          </w:p>
        </w:tc>
        <w:tc>
          <w:tcPr>
            <w:tcW w:w="3570" w:type="dxa"/>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烘培室儿童之家书柜</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皇朝森林</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裕材家居</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蘑菇森林</w:t>
            </w:r>
          </w:p>
        </w:tc>
        <w:tc>
          <w:tcPr>
            <w:tcW w:w="1614" w:type="dxa"/>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烘培室儿童之家墙面装饰</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5mm亚克力uv+10mm雪弗板uv</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烘培室儿童之家软包墙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实木多层板+软包</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3</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烘培室儿童之家置物架</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实木组合置物架定制</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舞蹈室镜子墙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定制镜子+不锈钢压边</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舞蹈室把杆</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舞蹈室造型柜</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12mm实木多层免漆板定制造型柜</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7</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舞蹈室软包座</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实木多层板定制软包座椅</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68</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舞蹈室墙面文化</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白色磁性板+定制软磁贴</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61"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69</w:t>
            </w:r>
          </w:p>
        </w:tc>
        <w:tc>
          <w:tcPr>
            <w:tcW w:w="3570" w:type="dxa"/>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公益洗衣房（水槽、拖把池）</w:t>
            </w:r>
          </w:p>
        </w:tc>
        <w:tc>
          <w:tcPr>
            <w:tcW w:w="6515" w:type="dxa"/>
            <w:gridSpan w:val="2"/>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石英石洗衣池+拖把池</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大理石洗衣池+拖把池</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太空铝洗衣池+拖把池</w:t>
            </w:r>
          </w:p>
        </w:tc>
        <w:tc>
          <w:tcPr>
            <w:tcW w:w="1614" w:type="dxa"/>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70</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公益洗衣房标志及值班表</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雪弗板UV</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社区厨房橱柜</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12mm实木多层免漆板定制厨柜</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淋浴房标语</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5mm亚克力uv</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val="en-US" w:eastAsia="zh-CN"/>
              </w:rPr>
              <w:t>3</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淋浴房玻璃贴磨砂纸</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女厕所、淋浴房旁边美化</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无障碍厕所扶手</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男女厕所</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6" w:space="0"/>
              <w:bottom w:val="single" w:color="auto" w:sz="4"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窗帘</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成品采购</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自选）</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屋顶花园</w:t>
            </w: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屋顶天台背景墙</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定制户外造型墙</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77</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屋顶天台雨棚</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镀锌方管烤漆+钢化玻璃</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米</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78</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屋顶天台伸缩遮阳棚</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风行购物/明顺遮阳/大煜膜结构</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79</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屋顶天台防腐木花槽休闲椅</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40*40mm镀锌方管焊接框架+防腐木定制椅</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0</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屋顶天台防腐木花槽和种植土、一楼大门处两个花槽和种植土</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40*40mm镀锌方管焊接框架+1毫米不锈钢折弯+防腐木定制</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不锈钢立体字</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精工不锈钢烤漆字</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低碳环保文化版面</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主题字：12mm厚高密度雪弗板或10mm亚克力烤漆，小字8mm高密度雪弗板或5mm亚克力烤漆， 线条3mm亚克力烤漆。</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3</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标语立牌</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不锈钢造型牌定制</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种植喷淋</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成品采购</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（无品牌）</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种植园立体水管造型</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成品采购</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（无品牌）</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屋顶天台围墙塑木围栏</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塑木围栏</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87</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屋顶天台和楼梯瓷砖美缝</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88</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绿植</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89</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烘焙室工具、碗碟；会议室茶杯</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9"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val="en-US" w:eastAsia="zh-CN"/>
              </w:rPr>
              <w:t>0</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户外不锈钢水槽</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成品采购，含龙头</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restart"/>
            <w:tcBorders>
              <w:top w:val="single" w:color="auto" w:sz="4" w:space="0"/>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标识标牌</w:t>
            </w: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91</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工位牌</w:t>
            </w:r>
          </w:p>
        </w:tc>
        <w:tc>
          <w:tcPr>
            <w:tcW w:w="6515" w:type="dxa"/>
            <w:gridSpan w:val="2"/>
            <w:vMerge w:val="restart"/>
            <w:tcBorders>
              <w:top w:val="single" w:color="auto" w:sz="6" w:space="0"/>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定制</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92</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党员示范岗</w:t>
            </w:r>
          </w:p>
        </w:tc>
        <w:tc>
          <w:tcPr>
            <w:tcW w:w="6515" w:type="dxa"/>
            <w:gridSpan w:val="2"/>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93</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学雷锋志愿服务岗</w:t>
            </w:r>
          </w:p>
        </w:tc>
        <w:tc>
          <w:tcPr>
            <w:tcW w:w="6515" w:type="dxa"/>
            <w:gridSpan w:val="2"/>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94</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门牌</w:t>
            </w:r>
          </w:p>
        </w:tc>
        <w:tc>
          <w:tcPr>
            <w:tcW w:w="6515" w:type="dxa"/>
            <w:gridSpan w:val="2"/>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95</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应急疏散图</w:t>
            </w:r>
          </w:p>
        </w:tc>
        <w:tc>
          <w:tcPr>
            <w:tcW w:w="6515" w:type="dxa"/>
            <w:gridSpan w:val="2"/>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96</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警示标语</w:t>
            </w:r>
          </w:p>
        </w:tc>
        <w:tc>
          <w:tcPr>
            <w:tcW w:w="6515" w:type="dxa"/>
            <w:gridSpan w:val="2"/>
            <w:vMerge w:val="continue"/>
            <w:tcBorders>
              <w:left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97</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无障碍厕所</w:t>
            </w:r>
          </w:p>
        </w:tc>
        <w:tc>
          <w:tcPr>
            <w:tcW w:w="6515" w:type="dxa"/>
            <w:gridSpan w:val="2"/>
            <w:vMerge w:val="continue"/>
            <w:tcBorders>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4776" w:type="dxa"/>
            <w:gridSpan w:val="7"/>
            <w:tcBorders>
              <w:top w:val="single" w:color="auto" w:sz="4" w:space="0"/>
              <w:left w:val="single" w:color="auto" w:sz="4" w:space="0"/>
              <w:bottom w:val="single" w:color="auto" w:sz="4"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电子设备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接待大厅</w:t>
            </w: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98</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55寸触摸屏</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USB2.0*3、多媒体播放USB接口1个、红外触摸输出接口1个、HDMI输入接口1个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HDMI输出接口1个、USB3.0输出接口2个、USB2.0输出接口2个、VGA输出接口1个、网口输出接口1个、12-19V电源接口1个、耳机输出接口1个,麦克风输出接口1个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内置喇叭（10W×2），可外接扬声器</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党政服务综治区</w:t>
            </w:r>
          </w:p>
        </w:tc>
        <w:tc>
          <w:tcPr>
            <w:tcW w:w="690" w:type="dxa"/>
            <w:vMerge w:val="restart"/>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99</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98寸会议一体机</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 xml:space="preserve"> Android 9.0嵌入式系统；</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支持20点触控书写体验，满足不同用户需求；</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安卓白板智能粗细笔书写，自带笔锋，还原书写笔迹；</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会议扫码，轻松带走会议纪要，让资料分享更便捷；</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支持任意通道下连续批注；</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支持自定义更换静态壁纸；</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支持设备定时休眠待机，节能降耗；</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支持自定义无信号待机时间；</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支持USB设备全通道跟随；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支持二指敲击熄屏唤醒；</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支持一根网线Android和内置电脑上网功能；</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支持侧边栏快捷键无操作自动隐藏；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智能识别信号源，接入外置信号自动跳入该端口通道；</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支持三大系统主题风格切换，分别是会议主题，教育主题，</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经典主题；</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悬浮图标支持返回，白板，OPS电脑，批注，任务栏，安卓主页6个快捷功能菜单；</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支持在任意通道下点击左右侧边栏展开功能菜单，分别是</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返回上一页、返回主页、系统设置、文件管理、信号源列表（可切换通道）、控制面板（可打开快捷功能和运用、调节声音亮度等）、电源选项（关机、关OPS、休眠和重启），侧边栏展开状态下无任何操作10S后会自动隐藏；</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4K播放盒</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1.处理器不低于4核心处理，每个核心处理器不低于1.8GHz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2.最宽支持4096（4096*2160@60Hz）、最高支持4096( 2160*4096@60Hz)。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3.支持主流视频格式：MPG、AVI、MP4、RMVB、MKV、MOV。</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4.支持主流图片格式：JPG、PNG、GIF、BMP、JPEG。</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5.支持主流文档格式：PDF、PPT、WORD、EXCEL。</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6.支持流媒体协议：HLS、RTMP、RTSP。</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7.支持4K@60Hz、H265, H264、VP9 视频硬解码播放。</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8.支持多路视频开窗，2路4K、6路1080P、10路720P、20路360P。</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9.支持USB3.0接口，支持U盘节目导入播放和即插即播两种方式。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10.支持Wifi ap和Wifi sta可以随时切换。</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11.支持HDMI2.0输出接口，支持自适应和自定义两种模式。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12.支持232接口，支持第三方中控设备进行控制。</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13.支持通过USB接口与独立发送主控连接，实现远程对LED屏体的亮度、电源和开关屏等控制。</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14.支持千兆以太网通信。</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15.支持板载4G模块和5G模块。</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16.支持手动、射频模块、GPS和NTP对时同步播放机制。</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17.支持1路3.5mm音频输出接口。</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18.支持网页自动浏览刷新等。</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19.支持SNMP协议和诺瓦标准SDK协议。</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20.使用环境温度-20—60摄氏度。</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21.操作系统为Android11版本</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55寸壁挂式广告机</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屏幕尺寸：55英寸显示比例：16：9分辨率：1920*1080</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整机尺寸：（1268.6*739.4**23.9MM长*宽*最薄厚度）</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配置：I5配置八代8+128</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网络支持：以太网，WIFI</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数智e家休闲区</w:t>
            </w:r>
          </w:p>
        </w:tc>
        <w:tc>
          <w:tcPr>
            <w:tcW w:w="690" w:type="dxa"/>
            <w:vMerge w:val="restart"/>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100</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护眼直播环形灯</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光照面积较大，光线柔和</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适用于近距离自拍或直播价格便宜，小巧轻便，但续航能力一般</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适用于拍摄夜景和外出拍摄</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86寸移动触摸屏</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USB2.0*3、多媒体播放USB接口1个、红外触摸输出接口1个、HDMI输入接口1个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HDMI输出接口1个、USB3.0输出接口2个、USB2.0输出接口2个、VGA输出接口1个、网口输出接口1个、12-19V电源接口1个、耳机输出接口1个,麦克风输出接口1个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内置喇叭（10W×2），可外接扬声器</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43寸触摸屏</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USB2.0*3、多媒体播放USB接口1个、红外触摸输出接口1个、HDMI输入接口1个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HDMI输出接口1个、USB3.0输出接口2个、USB2.0输出接口2个、VGA输出接口1个、网口输出接口1个、12-19V电源接口1个、耳机输出接口1个,麦克风输出接口1个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内置喇叭（10W×2），可外接扬声器</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32寸触摸屏</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USB2.0*3、多媒体播放USB接口1个、红外触摸输出接口1个、HDMI输入接口1个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HDMI输出接口1个、USB3.0输出接口2个、USB2.0输出接口2个、VGA输出接口1个、网口输出接口1个、12-19V电源接口1个、耳机输出接口1个,麦克风输出接口1个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内置喇叭（10W×2），可外接扬声器</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43寸触摸屏</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USB2.0*3、多媒体播放USB接口1个、红外触摸输出接口1个、HDMI输入接口1个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HDMI输出接口1个、USB3.0输出接口2个、USB2.0输出接口2个、VGA输出接口1个、网口输出接口1个、12-19V电源接口1个、耳机输出接口1个,麦克风输出接口1个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内置喇叭（10W×2），可外接扬声器</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43寸（工业）电视机</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屏幕尺寸 43英寸</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屏幕比例 16:9</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屏幕分辨率 3840×2160</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高清格式 2160P</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观看距离 2.0-2.5米</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背光性能 直下式/DLED</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图像参数</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屏幕刷新频率 60Hz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图像性能 HDR</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音效性能</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多音效模式 支持多种音效模式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立体声 支持立体声</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扬声器 内置</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输入输出</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输入端口 HDMI接口,USB接口</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HDMI接口 2个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USB接口 2个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硬件(功能)参数</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CPU 四核心</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内存容量 1.5G</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存储空间 8</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操作系统 Android系统</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USB流媒体 支持USB流媒体播放</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WiFi(WLAN) 支持WiFi</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邻里共治服务区</w:t>
            </w:r>
          </w:p>
        </w:tc>
        <w:tc>
          <w:tcPr>
            <w:tcW w:w="690" w:type="dxa"/>
            <w:vMerge w:val="restart"/>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101</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国产定制</w:t>
            </w:r>
          </w:p>
        </w:tc>
        <w:tc>
          <w:tcPr>
            <w:tcW w:w="1422"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报告厅投影机</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支持画面比例: 16:9颜色分类: 白色变焦倍数: 1.2倍动态对比度: 10001:1-20000:1套餐: 官方标配 套餐一 套餐二 套餐三 套餐四 套餐五光源类型: UHE灯泡（冷光源灯泡）生产企业: 爱普生智能系统: 无操作系统适用场景: 商务办公 家庭影院是否支持自动对焦: 否配件类型: 投影机遥控器是否内置电池: 否是否支持WIFI: 支持梯形校正范围: ±30度灯泡寿命: 10000(不含)-12000(含)小时投射比: 1.2:1投影机亮度: 3400ISO流明是否可吊装: 是片源内容: 其他显示技术: LCD机体尺寸（mm）: 302x252x92mm投放画面大小: 30-300英寸光源功率: 230W</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功放+音箱</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两个功放+6只吸顶喇叭+4个无线话筒</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43寸壁挂式广告机</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京东方LED  16:9 1920*1080 300cd/m23000:11.06(10bit)全视角 178°/178°/178°/178°可调试主机配置核CORTEX-A7，1.2GHZDDR1GBEMMC8GB</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支持 高清 具备超强的计算性能、2D/3D图形处理能力和全高清视频编解码能力。HDMI 1.4标准输入接口， </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8欧·6W双路音频功放输出</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支持  网线接口   无线wif</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功放+音箱</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两只音柱+一个功放+2个无线话筒</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技术服务费</w:t>
            </w:r>
          </w:p>
        </w:tc>
        <w:tc>
          <w:tcPr>
            <w:tcW w:w="690" w:type="dxa"/>
            <w:vMerge w:val="restart"/>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102</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定制</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施工，安装，调试，培训</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线材</w:t>
            </w:r>
          </w:p>
        </w:tc>
        <w:tc>
          <w:tcPr>
            <w:tcW w:w="690" w:type="dxa"/>
            <w:vMerge w:val="continue"/>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线材及辅料</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高品质国标信号线、国标音响线、国标网线、转接头等。线材辅料：电源线、HDMI视频成品高清线、网线、相关接头配件等</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4776" w:type="dxa"/>
            <w:gridSpan w:val="7"/>
            <w:tcBorders>
              <w:top w:val="single" w:color="auto" w:sz="4" w:space="0"/>
              <w:left w:val="single" w:color="auto" w:sz="4" w:space="0"/>
              <w:bottom w:val="single" w:color="auto" w:sz="4"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restart"/>
            <w:tcBorders>
              <w:top w:val="single" w:color="auto" w:sz="4" w:space="0"/>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家具</w:t>
            </w: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103</w:t>
            </w:r>
          </w:p>
        </w:tc>
        <w:tc>
          <w:tcPr>
            <w:tcW w:w="3570"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办公椅</w:t>
            </w:r>
          </w:p>
        </w:tc>
        <w:tc>
          <w:tcPr>
            <w:tcW w:w="6515"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600*600mm</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把</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104</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大数据云平台会议桌</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4000*1500*750mm实木大板桌面</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105</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椅子</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550*550mm</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把</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106</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直播桌椅</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桌子：2100*1000*750mm</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107</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158展示区休闲沙发</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2400*1000mm皮制</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组</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108</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共享书房休闲桌椅</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1000*2400mm</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109</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大匠天地（书画社）桌椅</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桌子：1200*500mm中式实木桌椅</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110</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教师桌椅</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桌子：1200*600mm中式实木桌椅</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111</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书记办公室家具</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1800*750mm桌椅套装</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112</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智汇邻里（活动室）会议桌椅</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桌子：4800*1600mm</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113</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报告厅主席台+椅子（8把）</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6000*550*750mm</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114</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报告厅桌椅</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桌子1400*500mm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椅子500*500mm           课桌36张     椅子80把</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115</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烘培室儿童之家桌椅</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桌子1000*600*520mm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椅子坐高300mm           儿童桌椅采购一桌四椅</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116</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烘培室桌子</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1800*1000mm</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117</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烘培室折叠椅</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450*470*780mm</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把</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118</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屋顶天台休闲桌椅+遮阳伞</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圆桌直径1000mm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椅子600*600mm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遮阳伞3000*3000mm</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组</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119</w:t>
            </w:r>
          </w:p>
        </w:tc>
        <w:tc>
          <w:tcPr>
            <w:tcW w:w="4992" w:type="dxa"/>
            <w:gridSpan w:val="2"/>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老年人休息区折叠椅</w:t>
            </w:r>
          </w:p>
        </w:tc>
        <w:tc>
          <w:tcPr>
            <w:tcW w:w="5093"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1614"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4776" w:type="dxa"/>
            <w:gridSpan w:val="7"/>
            <w:tcBorders>
              <w:top w:val="single" w:color="auto" w:sz="4" w:space="0"/>
              <w:left w:val="single" w:color="auto" w:sz="4" w:space="0"/>
              <w:bottom w:val="single" w:color="auto" w:sz="4"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jc w:val="center"/>
        </w:trPr>
        <w:tc>
          <w:tcPr>
            <w:tcW w:w="1080" w:type="dxa"/>
            <w:vMerge w:val="restart"/>
            <w:tcBorders>
              <w:top w:val="single" w:color="auto" w:sz="4" w:space="0"/>
              <w:left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电器</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120</w:t>
            </w:r>
          </w:p>
        </w:tc>
        <w:tc>
          <w:tcPr>
            <w:tcW w:w="499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电磁炉双灶嵌入式</w:t>
            </w:r>
          </w:p>
        </w:tc>
        <w:tc>
          <w:tcPr>
            <w:tcW w:w="5093"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功能参数</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定时功能：支持定时功能</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过热保护：支持过热保护</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火力档位：9档</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预约功能：不支持预约功能</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是否是双灶：双灶 控制方式：旋钮式无极调节                     额定电压/频率：200V-50Hz      额定功率：3500W                           尺寸：760*450*105</w:t>
            </w:r>
          </w:p>
        </w:tc>
        <w:tc>
          <w:tcPr>
            <w:tcW w:w="1614"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w:t>
            </w:r>
          </w:p>
        </w:tc>
        <w:tc>
          <w:tcPr>
            <w:tcW w:w="499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抽油烟机</w:t>
            </w:r>
          </w:p>
        </w:tc>
        <w:tc>
          <w:tcPr>
            <w:tcW w:w="5093"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出风口径：185mm</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拢烟腔材质：喷涂</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操控方式：挥手感应</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外机尺寸：长895mm；宽351mm；高645mm</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面板材质：钢化玻璃</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产品净重：24.7kg</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风压：550Pa</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最大静压值：1000Pa</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排风量：25m³/min</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电机输入功率：260W</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声压级噪音：50dB</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照明功率: 2W</w:t>
            </w:r>
          </w:p>
        </w:tc>
        <w:tc>
          <w:tcPr>
            <w:tcW w:w="1614" w:type="dxa"/>
            <w:tcBorders>
              <w:top w:val="single" w:color="auto" w:sz="6" w:space="0"/>
              <w:left w:val="single" w:color="auto" w:sz="4"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w:t>
            </w:r>
          </w:p>
        </w:tc>
        <w:tc>
          <w:tcPr>
            <w:tcW w:w="499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消毒柜50升</w:t>
            </w:r>
          </w:p>
        </w:tc>
        <w:tc>
          <w:tcPr>
            <w:tcW w:w="5093"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额定电压：220V</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额定频率：50Hz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额定功率：400W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额定容积：50+-5L</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外形尺寸：448*350*525mm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工作方式：高温消毒</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净重：8.5KG</w:t>
            </w:r>
          </w:p>
        </w:tc>
        <w:tc>
          <w:tcPr>
            <w:tcW w:w="1614"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46"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123</w:t>
            </w:r>
          </w:p>
        </w:tc>
        <w:tc>
          <w:tcPr>
            <w:tcW w:w="499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消毒柜300升</w:t>
            </w:r>
          </w:p>
        </w:tc>
        <w:tc>
          <w:tcPr>
            <w:tcW w:w="5093"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容量：300L</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功率：900W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消毒方式：高温消毒</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消毒烘干方式：中温热力烘干</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消毒温度：60-95℃</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消毒时间：0-90min</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控制方式：旋钮控制</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外型尺寸：555*400*1630mm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产品重量：24.5kg</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电源类型：220V/50Hz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外形设计 可调节柜脚</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其他性能 发热管使用寿命：≥1000小时    </w:t>
            </w:r>
          </w:p>
        </w:tc>
        <w:tc>
          <w:tcPr>
            <w:tcW w:w="1614"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9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124</w:t>
            </w:r>
          </w:p>
        </w:tc>
        <w:tc>
          <w:tcPr>
            <w:tcW w:w="499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商用烤箱风炉发酵一体机</w:t>
            </w:r>
          </w:p>
        </w:tc>
        <w:tc>
          <w:tcPr>
            <w:tcW w:w="5093"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商品毛重：77.0kg                                                                                                                                                                                                                                     操控方式：电脑式                                                                                                                                                                                                                                     功率：1001-3000W                                                                                                                                                                                                                                  内胆材质：不锈钢</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内置照明灯：有内置照明灯</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额定电压：220V</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产品尺寸：750*750*679mm  840*760*440mm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840*760*910mm  </w:t>
            </w:r>
          </w:p>
        </w:tc>
        <w:tc>
          <w:tcPr>
            <w:tcW w:w="1614"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48"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125</w:t>
            </w:r>
          </w:p>
        </w:tc>
        <w:tc>
          <w:tcPr>
            <w:tcW w:w="499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直饮水机（50升）</w:t>
            </w:r>
          </w:p>
        </w:tc>
        <w:tc>
          <w:tcPr>
            <w:tcW w:w="5093"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过滤等级：5级反渗透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额定电压：380V</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额定电流：9.1A</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额定功率：6000w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热胆容量：60升</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外观尺寸：650*520*1810mm</w:t>
            </w:r>
          </w:p>
        </w:tc>
        <w:tc>
          <w:tcPr>
            <w:tcW w:w="1614"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8"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126</w:t>
            </w:r>
          </w:p>
        </w:tc>
        <w:tc>
          <w:tcPr>
            <w:tcW w:w="499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蒸箱</w:t>
            </w:r>
          </w:p>
        </w:tc>
        <w:tc>
          <w:tcPr>
            <w:tcW w:w="5093"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盘数：6盘</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电压：220V</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功率：6kw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插头：60A空开</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适用人数：90人</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蒸盘层距：8.5CM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蒸盘尺寸：60cm*40cm*4.5cm产品尺寸：680*520*1080</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毛重:29kg</w:t>
            </w:r>
          </w:p>
        </w:tc>
        <w:tc>
          <w:tcPr>
            <w:tcW w:w="1614"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1"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127</w:t>
            </w:r>
          </w:p>
        </w:tc>
        <w:tc>
          <w:tcPr>
            <w:tcW w:w="499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即热反渗透净水器家用直饮加热一体机</w:t>
            </w:r>
          </w:p>
        </w:tc>
        <w:tc>
          <w:tcPr>
            <w:tcW w:w="5093"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滤芯级数：4级</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过滤原理：反渗透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膜规格：600加仑</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额定功率：2100W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内机尺寸：宽178*高446*深467mm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插座要求：3孔（10A）</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热胆容量：&gt;=1L</w:t>
            </w:r>
          </w:p>
        </w:tc>
        <w:tc>
          <w:tcPr>
            <w:tcW w:w="1614"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128</w:t>
            </w:r>
          </w:p>
        </w:tc>
        <w:tc>
          <w:tcPr>
            <w:tcW w:w="499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微型消防站</w:t>
            </w:r>
          </w:p>
        </w:tc>
        <w:tc>
          <w:tcPr>
            <w:tcW w:w="5093"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180*120*40cm</w:t>
            </w:r>
          </w:p>
        </w:tc>
        <w:tc>
          <w:tcPr>
            <w:tcW w:w="1614" w:type="dxa"/>
            <w:tcBorders>
              <w:top w:val="single" w:color="auto" w:sz="6" w:space="0"/>
              <w:left w:val="single" w:color="auto" w:sz="4"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个</w:t>
            </w:r>
          </w:p>
        </w:tc>
        <w:tc>
          <w:tcPr>
            <w:tcW w:w="1307" w:type="dxa"/>
            <w:tcBorders>
              <w:top w:val="single" w:color="auto" w:sz="6" w:space="0"/>
              <w:left w:val="single" w:color="auto" w:sz="6" w:space="0"/>
              <w:bottom w:val="single" w:color="auto" w:sz="6" w:space="0"/>
              <w:right w:val="single" w:color="auto" w:sz="6" w:space="0"/>
              <w:tl2br w:val="nil"/>
              <w:tr2bl w:val="nil"/>
            </w:tcBorders>
            <w:shd w:val="clear" w:color="auto" w:fill="FFFFFF" w:themeFill="background1"/>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bl>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1、此清单所列包含但不仅限于以上内容；供应商可根据自行设计的图纸内容对各子项进行增加；</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2、此清单内容及数量需要与设计图纸对应统一；需按设计图纸填写工程量。供评标委员会评审时与设计图纸吻合情况提供依据。</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3、工程竣工结算编制依据及结算口径：</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3.1工程量按设计图纸及现场实际情况按实编制；</w:t>
      </w:r>
    </w:p>
    <w:p>
      <w:pPr>
        <w:pStyle w:val="198"/>
        <w:numPr>
          <w:ilvl w:val="0"/>
          <w:numId w:val="8"/>
        </w:numPr>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供应商编制的清单中与设计施工图中内容有任何有缺漏项报价的，包括漏项产生的费用，如果中标，合同价不予调整。（2）因业主方实际需要，如局部作细微调整，价格不再作调整；如调整较大（合同价的2%以上）；双方协商后可按照相关规定进行调整。（3）设计施工图纸及报价清单将作为验收依据。（4）涉及到项目内容数量有增减；报价清单有单项报价的，按单项报价按实计算；如无则按有关定额及信息价执行，如无定额或无信息价，则按市场询价后按市场价签证执行。</w:t>
      </w:r>
    </w:p>
    <w:p>
      <w:pPr>
        <w:pStyle w:val="198"/>
        <w:numPr>
          <w:ilvl w:val="0"/>
          <w:numId w:val="9"/>
        </w:numPr>
        <w:adjustRightInd/>
        <w:spacing w:beforeAutospacing="0" w:afterAutospacing="0" w:line="360" w:lineRule="auto"/>
        <w:ind w:left="0" w:firstLine="420" w:firstLineChars="200"/>
        <w:jc w:val="left"/>
        <w:rPr>
          <w:rFonts w:hint="eastAsia" w:ascii="宋体" w:hAnsi="宋体" w:eastAsia="宋体" w:cs="宋体"/>
          <w:color w:val="auto"/>
          <w:szCs w:val="21"/>
          <w:highlight w:val="none"/>
          <w:lang w:val="en-US" w:eastAsia="zh-CN"/>
        </w:rPr>
        <w:sectPr>
          <w:pgSz w:w="16838" w:h="11906" w:orient="landscape"/>
          <w:pgMar w:top="1797" w:right="1474" w:bottom="1797" w:left="124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color w:val="auto"/>
          <w:szCs w:val="21"/>
          <w:highlight w:val="none"/>
          <w:lang w:eastAsia="zh-CN"/>
        </w:rPr>
        <w:t>采购人</w:t>
      </w:r>
      <w:r>
        <w:rPr>
          <w:rFonts w:hint="eastAsia" w:hAnsi="宋体" w:cs="宋体"/>
          <w:color w:val="auto"/>
          <w:szCs w:val="21"/>
          <w:highlight w:val="none"/>
        </w:rPr>
        <w:t>与</w:t>
      </w:r>
      <w:r>
        <w:rPr>
          <w:rFonts w:hint="eastAsia" w:hAnsi="宋体" w:cs="宋体"/>
          <w:color w:val="auto"/>
          <w:szCs w:val="21"/>
          <w:highlight w:val="none"/>
          <w:lang w:eastAsia="zh-CN"/>
        </w:rPr>
        <w:t>中标人</w:t>
      </w:r>
      <w:r>
        <w:rPr>
          <w:rFonts w:hint="eastAsia" w:hAnsi="宋体" w:cs="宋体"/>
          <w:color w:val="auto"/>
          <w:szCs w:val="21"/>
          <w:highlight w:val="none"/>
        </w:rPr>
        <w:t>关于设计方案深化、施工工艺、家具家电选品、材质沟通机制：（1）中标单位需在30日内完成二次方案深化和文稿的提炼工作，需配合</w:t>
      </w:r>
      <w:r>
        <w:rPr>
          <w:rFonts w:hint="eastAsia" w:hAnsi="宋体" w:cs="宋体"/>
          <w:color w:val="auto"/>
          <w:szCs w:val="21"/>
          <w:highlight w:val="none"/>
          <w:lang w:eastAsia="zh-CN"/>
        </w:rPr>
        <w:t>采购人</w:t>
      </w:r>
      <w:r>
        <w:rPr>
          <w:rFonts w:hint="eastAsia" w:hAnsi="宋体" w:cs="宋体"/>
          <w:color w:val="auto"/>
          <w:szCs w:val="21"/>
          <w:highlight w:val="none"/>
        </w:rPr>
        <w:t>的意见进行及时修改。（2）</w:t>
      </w:r>
      <w:r>
        <w:rPr>
          <w:rFonts w:hint="eastAsia" w:hAnsi="宋体" w:cs="宋体"/>
          <w:color w:val="auto"/>
          <w:szCs w:val="21"/>
          <w:highlight w:val="none"/>
          <w:lang w:eastAsia="zh-CN"/>
        </w:rPr>
        <w:t>中标人</w:t>
      </w:r>
      <w:r>
        <w:rPr>
          <w:rFonts w:hint="eastAsia" w:hAnsi="宋体" w:cs="宋体"/>
          <w:color w:val="auto"/>
          <w:szCs w:val="21"/>
          <w:highlight w:val="none"/>
        </w:rPr>
        <w:t>的施工工艺需配合</w:t>
      </w:r>
      <w:r>
        <w:rPr>
          <w:rFonts w:hint="eastAsia" w:hAnsi="宋体" w:cs="宋体"/>
          <w:color w:val="auto"/>
          <w:szCs w:val="21"/>
          <w:highlight w:val="none"/>
          <w:lang w:eastAsia="zh-CN"/>
        </w:rPr>
        <w:t>采购人</w:t>
      </w:r>
      <w:r>
        <w:rPr>
          <w:rFonts w:hint="eastAsia" w:hAnsi="宋体" w:cs="宋体"/>
          <w:color w:val="auto"/>
          <w:szCs w:val="21"/>
          <w:highlight w:val="none"/>
        </w:rPr>
        <w:t>的意见进行施工。（3）家电家具的品牌及规格以</w:t>
      </w:r>
      <w:r>
        <w:rPr>
          <w:rFonts w:hint="eastAsia" w:hAnsi="宋体" w:cs="宋体"/>
          <w:color w:val="auto"/>
          <w:szCs w:val="21"/>
          <w:highlight w:val="none"/>
          <w:lang w:eastAsia="zh-CN"/>
        </w:rPr>
        <w:t>采购人</w:t>
      </w:r>
      <w:r>
        <w:rPr>
          <w:rFonts w:hint="eastAsia" w:hAnsi="宋体" w:cs="宋体"/>
          <w:color w:val="auto"/>
          <w:szCs w:val="21"/>
          <w:highlight w:val="none"/>
        </w:rPr>
        <w:t>的建议为主。定制类家具产品材质、制作工艺、款式等需在</w:t>
      </w:r>
      <w:r>
        <w:rPr>
          <w:rFonts w:hint="eastAsia" w:hAnsi="宋体" w:cs="宋体"/>
          <w:color w:val="auto"/>
          <w:szCs w:val="21"/>
          <w:highlight w:val="none"/>
          <w:lang w:eastAsia="zh-CN"/>
        </w:rPr>
        <w:t>采购人</w:t>
      </w:r>
      <w:r>
        <w:rPr>
          <w:rFonts w:hint="eastAsia" w:hAnsi="宋体" w:cs="宋体"/>
          <w:color w:val="auto"/>
          <w:szCs w:val="21"/>
          <w:highlight w:val="none"/>
        </w:rPr>
        <w:t>确认后方可进行制作生产。（4）广告及软装款式和材料需经</w:t>
      </w:r>
      <w:r>
        <w:rPr>
          <w:rFonts w:hint="eastAsia" w:hAnsi="宋体" w:cs="宋体"/>
          <w:color w:val="auto"/>
          <w:szCs w:val="21"/>
          <w:highlight w:val="none"/>
          <w:lang w:eastAsia="zh-CN"/>
        </w:rPr>
        <w:t>采购人</w:t>
      </w:r>
      <w:r>
        <w:rPr>
          <w:rFonts w:hint="eastAsia" w:hAnsi="宋体" w:cs="宋体"/>
          <w:color w:val="auto"/>
          <w:szCs w:val="21"/>
          <w:highlight w:val="none"/>
        </w:rPr>
        <w:t>确认后方可施工。</w:t>
      </w:r>
    </w:p>
    <w:p>
      <w:pPr>
        <w:pStyle w:val="198"/>
        <w:adjustRightInd/>
        <w:spacing w:beforeAutospacing="0" w:afterAutospacing="0" w:line="360" w:lineRule="auto"/>
        <w:ind w:left="0" w:firstLine="0"/>
        <w:rPr>
          <w:rFonts w:hAnsi="宋体" w:cs="宋体"/>
          <w:b/>
          <w:bCs/>
          <w:color w:val="auto"/>
          <w:szCs w:val="21"/>
          <w:highlight w:val="none"/>
        </w:rPr>
      </w:pPr>
      <w:r>
        <w:rPr>
          <w:rFonts w:hint="eastAsia" w:hAnsi="宋体" w:cs="宋体"/>
          <w:b/>
          <w:bCs/>
          <w:color w:val="auto"/>
          <w:szCs w:val="21"/>
          <w:highlight w:val="none"/>
        </w:rPr>
        <w:t>四、设计改造内容</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本项目位于宁海县桃源街道湖西社区党群服务中心，现拟对1500平方的场地进行改造设计及布展，打造全新的党群服务中心，布展内容（含效果图、施工图、广告制作、设计费）包括电路工程、顶部处理、墙面处理、背景墙、隔断隔墙含粉刷、木格栅、LED大屏、室内广告及场景布置、灯光布置，展示柜、桌椅、多媒体、实木成品门、窗帘、原场地搬迁、整理等配套内容。</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1.投标人应对本项目设计的理念和构思有充分的理解；</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2.改造和展陈及展品展项设计必须保证房屋的整体性、抗震性和结构的安全性，要内外协调；</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3.符合招标文件要求及国家有关规范规定；</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4.满足对公众开放的要求；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5.材料选择得当，色彩选配考究，线条处理协调，并且符合国家规范要求；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6.运用新材料、新工艺，提高布展中的科技含量；运用节能、环保材料和环保技术，充分考虑材料及工艺的安全性、通用性、牢固性、美观性、标准化；</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7.合理运用声、光、电和数字等现代技术；</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8.体现“以人为本”的原则，充分满足人民的需求，充分考虑不同层次人群的要求，采用多元化的表现形式；避免由于内容不合理而产生的枯燥感；充分考虑设置与展项融为一体的休闲设施；</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9.充分考虑安全性及延伸性，符合公共场所安全、消防规范。</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10.中标人布展完成的效果必须达到招标文件和采购人要求，如不能达到，在采购人允许的一定时间内进行修改、完善，达到其承诺的展示效果，所涉及的费用由中标人承担。</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11.按国家相关规定进行改造布展。</w:t>
      </w:r>
    </w:p>
    <w:p>
      <w:pPr>
        <w:pStyle w:val="198"/>
        <w:adjustRightInd/>
        <w:spacing w:beforeAutospacing="0" w:afterAutospacing="0" w:line="360" w:lineRule="auto"/>
        <w:ind w:left="0" w:firstLine="0"/>
        <w:rPr>
          <w:rFonts w:hAnsi="宋体" w:cs="宋体"/>
          <w:color w:val="auto"/>
          <w:szCs w:val="21"/>
          <w:highlight w:val="none"/>
        </w:rPr>
      </w:pPr>
      <w:r>
        <w:rPr>
          <w:rFonts w:hint="eastAsia" w:hAnsi="宋体" w:cs="宋体"/>
          <w:b/>
          <w:bCs/>
          <w:color w:val="auto"/>
          <w:szCs w:val="21"/>
          <w:highlight w:val="none"/>
        </w:rPr>
        <w:t>五、布展设计和实施的要求及说明</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(一)、主题要求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根据布展纲要和各自设计思路，投标单位自主设计布展流线、布展分区、展示方式等内容；展示内容要以传统文化和现代文明相结合,要采用图片、模型、数字媒体等多种展示手段进行展示,内容要引人入胜,通过展览要激发群众的热情和信心。</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(二)、空间设计要求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要求构思新颖，具有动感；展示重点突出，创造亮点空间；具有现代气息和高科技含量；风格简洁；材料环保；做到声、光、电一体化。</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 xml:space="preserve"> (三)、布展流线要求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布展流线顺畅，避免出现人流交叉现象，布展要考虑不同参观对象的不同需求，考虑人性化设计，无障碍设计。</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（四）其它</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1、中标单位中标后应根据中标方案结合采购人提出的效果展示方面的要求，进一步深化方案，并制作施工图纸。施工图纸满足国家的规范和标准要求.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2、投标单位应较为客观准确的计算各自方案的投资概算，如果超出，采购人有权认为其在投标时采取了不正当的竞争方式，并可采取扣减设计费用、重新设计等方式，补偿采购人所受到的影响。</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后期实施过程中，如因采购人原因发生重大设计变更（指规模、标准的变更）由设计单位出变更图或变更说明及现场签证，经采购人同意进行调整，若发生未经采购人同意并签证而形成的擅自变更，无论原因如何，一切费用均由承包方自行承担。</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3、本项目实施过程中，所有主要设备和材料的选购，须报采购人同意后，方可进行招标和安装。</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4、本项目实施过程中的质量、进度、安全、造价，由采购人组织有关技术人员进行全过程监理监督。</w:t>
      </w:r>
    </w:p>
    <w:p>
      <w:pPr>
        <w:spacing w:beforeAutospacing="0" w:afterAutospacing="0" w:line="360" w:lineRule="auto"/>
        <w:textAlignment w:val="baseline"/>
        <w:rPr>
          <w:rFonts w:ascii="宋体" w:hAnsi="宋体" w:cs="宋体"/>
          <w:color w:val="auto"/>
          <w:szCs w:val="21"/>
          <w:highlight w:val="none"/>
        </w:rPr>
      </w:pPr>
      <w:r>
        <w:rPr>
          <w:rFonts w:hint="eastAsia" w:ascii="宋体" w:hAnsi="宋体" w:cs="宋体"/>
          <w:b/>
          <w:bCs/>
          <w:color w:val="auto"/>
          <w:szCs w:val="21"/>
          <w:highlight w:val="none"/>
        </w:rPr>
        <w:t>六、方案成果要求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1、布展规划文字说明：</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(1)展览大纲的编写；</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(2)总体布展设计构思、布局结构、风格特点；</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(3)布展综合说明书：包括平面布置、流线说明，重要节点的处理和说明；</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(4)布展设计费用报价、布展实施投资概算、布展实施的质量和进度保证措施。</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(5)布展所用材料、材质等相关说明。</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2、布展设计成果：</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(1)方案设计说明---设计构想（项目构成及总体构想），结构、空调、环保等的技术特点，技术经济指标，造价估算。</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(2) 总平面图、重要位置的平面图、剖面图、立面图、表现图（整体效果图，局部效果图），以及其他能清晰反映思路和形式的相关图纸。</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(3)重要节点大样图（应真实反映材质）</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(4)分析图</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布展流线图</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功能流线分析图</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(5)布展效果图</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(6)投标单位可根据自身设计特点，增加图纸或其他表现手段，更为有效的表达布展思路和意图。</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3、数据光盘</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设计成果电子文U盘二套，包括文字说明等所有设计成果要求内容。文字要求中文。在投标时一并提供给采购人。</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4、图册</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将文件、图板缩印成册。包括：（1）封面（2）目录（3）说明（4）图纸</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PPT电子文档（适合汇报、展示之用）壹套。</w:t>
      </w:r>
    </w:p>
    <w:p>
      <w:pPr>
        <w:pStyle w:val="198"/>
        <w:adjustRightInd/>
        <w:spacing w:beforeAutospacing="0" w:afterAutospacing="0" w:line="360" w:lineRule="auto"/>
        <w:ind w:left="0" w:firstLine="0"/>
        <w:rPr>
          <w:rFonts w:hAnsi="宋体" w:cs="宋体"/>
          <w:b/>
          <w:bCs/>
          <w:color w:val="auto"/>
          <w:szCs w:val="21"/>
          <w:highlight w:val="none"/>
        </w:rPr>
      </w:pPr>
      <w:r>
        <w:rPr>
          <w:rFonts w:hint="eastAsia" w:hAnsi="宋体" w:cs="宋体"/>
          <w:b/>
          <w:bCs/>
          <w:color w:val="auto"/>
          <w:szCs w:val="21"/>
          <w:highlight w:val="none"/>
        </w:rPr>
        <w:t>七、其他要求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1、施工用水、电由供应商自行解决。</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2、本工程须配备专职质量安全员。</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3、工程实施过程中，为完成工程所需要办理的各项手续均由供应商自行解决，采购人予以配合。</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4、在施工过程中若出现工程质量、进度等问题，在采购人三次书面通知后仍未能采取有效措施的，采购人有权单方终止合同，并保留索赔的权利。中标单位项目负责人未能按规定到位，采购人可视情节作相应处理，直至将中标单位清退出场。</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5、在工程实施过程中，中标人应做好环境保护工作，防止建筑垃圾、噪声等污染情况发生。如有垃圾运输途中沿路抛弃的行为，一经发现，除负责清理外，中标人还应承担相应责任；中标人应做好施工安全工作，防止交通事故；安全用电，杜绝用电事故；如因中标人原因发生安全生产事故则由中标人负全责，并积极配合做好周围居民的解释工作。</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6、中标人必须做出工期履约保证，履约保证金为中标价的</w:t>
      </w:r>
      <w:r>
        <w:rPr>
          <w:rFonts w:hint="eastAsia" w:hAnsi="宋体" w:cs="宋体"/>
          <w:color w:val="auto"/>
          <w:szCs w:val="21"/>
          <w:highlight w:val="none"/>
          <w:lang w:val="en-US" w:eastAsia="zh-CN"/>
        </w:rPr>
        <w:t>1%-2.5</w:t>
      </w:r>
      <w:r>
        <w:rPr>
          <w:rFonts w:hint="eastAsia" w:hAnsi="宋体" w:cs="宋体"/>
          <w:color w:val="auto"/>
          <w:szCs w:val="21"/>
          <w:highlight w:val="none"/>
        </w:rPr>
        <w:t>%</w:t>
      </w:r>
      <w:r>
        <w:rPr>
          <w:rFonts w:hint="eastAsia" w:hAnsi="宋体" w:cs="宋体"/>
          <w:color w:val="auto"/>
          <w:szCs w:val="21"/>
          <w:highlight w:val="none"/>
          <w:lang w:eastAsia="zh-CN"/>
        </w:rPr>
        <w:t>（</w:t>
      </w:r>
      <w:r>
        <w:rPr>
          <w:rFonts w:hint="eastAsia" w:hAnsi="宋体" w:cs="宋体"/>
          <w:color w:val="auto"/>
          <w:szCs w:val="21"/>
          <w:highlight w:val="none"/>
          <w:lang w:val="en-US" w:eastAsia="zh-CN"/>
        </w:rPr>
        <w:t>根据中标单位的资质确定）</w:t>
      </w:r>
      <w:r>
        <w:rPr>
          <w:rFonts w:hint="eastAsia" w:hAnsi="宋体" w:cs="宋体"/>
          <w:color w:val="auto"/>
          <w:szCs w:val="21"/>
          <w:highlight w:val="none"/>
        </w:rPr>
        <w:t>，并在工程合同签订前提交给采购人，合同工期内完工的或非中标人原因造成工期延迟的在竣工验收并结算资料提交后15日内返还，由于中标人原因未能按时完工的，均视为违约，除工期履约保证金不予返还外，中标人按照已付工程款的千分之一计算日违约金给付采购人违约金，最高不超过工程款的10%。</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7、中标人需在中标通知书发出之日起30天内与采购人签订合同。</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8、中标人不得以任何理由拒绝采购人安排的施工任务，拒绝一次，除承担一万元违约金外，企业和项目负责人作为不良行为记录上报行政管理部门。</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9、接受维修工程委托后不在投标时的承诺时间到施工现场的，每一次扣1000元。</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10、本项目质保期为</w:t>
      </w:r>
      <w:r>
        <w:rPr>
          <w:rFonts w:hint="eastAsia" w:hAnsi="宋体" w:cs="宋体"/>
          <w:color w:val="auto"/>
          <w:szCs w:val="21"/>
          <w:highlight w:val="none"/>
          <w:lang w:val="en-US" w:eastAsia="zh-CN"/>
        </w:rPr>
        <w:t>两</w:t>
      </w:r>
      <w:r>
        <w:rPr>
          <w:rFonts w:hint="eastAsia" w:hAnsi="宋体" w:cs="宋体"/>
          <w:color w:val="auto"/>
          <w:szCs w:val="21"/>
          <w:highlight w:val="none"/>
        </w:rPr>
        <w:t>年。</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11、中标人采购材料、设备</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中标人采购材料、设备：材料由监理和采购人看样确认后由中标人自行采购，以符合设计和规范要求为原则。</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特殊要求：主材料必须按照采购人的要求采购，并经采购人签字认可方可使用。若所购主材料质量不能达到采购人要求，采购人有权改正主要材料，直至符合采购人要求为止。采购人认为需经其同意后方可使用的其他材料，必须经采购人认可后方可使用。</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应承担的违约责任：承担返工损失和工期、质量的违约责任  。</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所有材料必须有质保书和合格证，经认证许可，并且符合施工规范要求。</w:t>
      </w:r>
    </w:p>
    <w:p>
      <w:pPr>
        <w:spacing w:beforeAutospacing="0" w:afterAutospacing="0" w:line="360" w:lineRule="auto"/>
        <w:ind w:firstLine="593" w:firstLineChars="197"/>
        <w:jc w:val="center"/>
        <w:outlineLvl w:val="0"/>
        <w:rPr>
          <w:rFonts w:ascii="宋体" w:hAnsi="宋体" w:cs="宋体"/>
          <w:b/>
          <w:bCs/>
          <w:color w:val="auto"/>
          <w:sz w:val="32"/>
          <w:szCs w:val="32"/>
          <w:highlight w:val="none"/>
        </w:rPr>
      </w:pPr>
      <w:bookmarkStart w:id="29" w:name="_Toc4265"/>
      <w:bookmarkEnd w:id="29"/>
      <w:r>
        <w:rPr>
          <w:rFonts w:hint="eastAsia"/>
          <w:b/>
          <w:bCs/>
          <w:color w:val="auto"/>
          <w:sz w:val="30"/>
          <w:szCs w:val="30"/>
          <w:highlight w:val="none"/>
        </w:rPr>
        <w:br w:type="page"/>
      </w:r>
      <w:r>
        <w:rPr>
          <w:rFonts w:hint="eastAsia" w:ascii="宋体" w:hAnsi="宋体" w:cs="宋体"/>
          <w:b/>
          <w:color w:val="auto"/>
          <w:sz w:val="32"/>
          <w:szCs w:val="32"/>
          <w:highlight w:val="none"/>
        </w:rPr>
        <w:t>第三章  供应商须知</w:t>
      </w:r>
    </w:p>
    <w:p>
      <w:pPr>
        <w:spacing w:beforeAutospacing="0" w:afterAutospacing="0" w:line="360" w:lineRule="auto"/>
        <w:jc w:val="center"/>
        <w:rPr>
          <w:rFonts w:ascii="宋体" w:hAnsi="宋体" w:cs="宋体"/>
          <w:b/>
          <w:bCs/>
          <w:color w:val="auto"/>
          <w:sz w:val="44"/>
          <w:szCs w:val="32"/>
          <w:highlight w:val="none"/>
        </w:rPr>
      </w:pPr>
      <w:bookmarkStart w:id="30" w:name="_Toc1665"/>
      <w:bookmarkEnd w:id="30"/>
      <w:r>
        <w:rPr>
          <w:rFonts w:hint="eastAsia" w:ascii="宋体" w:hAnsi="宋体" w:cs="宋体"/>
          <w:b/>
          <w:color w:val="auto"/>
          <w:sz w:val="28"/>
          <w:szCs w:val="28"/>
          <w:highlight w:val="none"/>
        </w:rPr>
        <w:t>前 附 表</w:t>
      </w:r>
    </w:p>
    <w:tbl>
      <w:tblPr>
        <w:tblStyle w:val="46"/>
        <w:tblW w:w="84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7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58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b/>
                <w:color w:val="auto"/>
                <w:szCs w:val="21"/>
                <w:highlight w:val="none"/>
              </w:rPr>
            </w:pPr>
            <w:r>
              <w:rPr>
                <w:rFonts w:hint="eastAsia" w:ascii="宋体" w:hAnsi="宋体" w:cs="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758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rPr>
                <w:rFonts w:ascii="宋体" w:hAnsi="宋体" w:cs="宋体"/>
                <w:b/>
                <w:bCs/>
                <w:color w:val="auto"/>
                <w:szCs w:val="21"/>
                <w:highlight w:val="none"/>
              </w:rPr>
            </w:pPr>
            <w:r>
              <w:rPr>
                <w:rFonts w:hint="eastAsia" w:ascii="宋体" w:hAnsi="宋体" w:cs="宋体"/>
                <w:b/>
                <w:bCs/>
                <w:color w:val="auto"/>
                <w:szCs w:val="21"/>
                <w:highlight w:val="none"/>
              </w:rPr>
              <w:t>投标报价及费用：</w:t>
            </w:r>
          </w:p>
          <w:p>
            <w:pPr>
              <w:spacing w:beforeAutospacing="0" w:afterAutospacing="0" w:line="264" w:lineRule="auto"/>
              <w:rPr>
                <w:rFonts w:ascii="宋体" w:hAnsi="宋体" w:cs="宋体"/>
                <w:color w:val="auto"/>
                <w:szCs w:val="21"/>
                <w:highlight w:val="none"/>
              </w:rPr>
            </w:pPr>
            <w:r>
              <w:rPr>
                <w:rFonts w:hint="eastAsia" w:ascii="宋体" w:hAnsi="宋体" w:cs="宋体"/>
                <w:color w:val="auto"/>
                <w:szCs w:val="21"/>
                <w:highlight w:val="none"/>
              </w:rPr>
              <w:t>1）本项目投标应以人民币报价；</w:t>
            </w:r>
          </w:p>
          <w:p>
            <w:pPr>
              <w:spacing w:beforeAutospacing="0" w:afterAutospacing="0" w:line="264" w:lineRule="auto"/>
              <w:rPr>
                <w:rFonts w:ascii="宋体" w:hAnsi="宋体" w:cs="宋体"/>
                <w:color w:val="auto"/>
                <w:szCs w:val="21"/>
                <w:highlight w:val="none"/>
              </w:rPr>
            </w:pPr>
            <w:r>
              <w:rPr>
                <w:rFonts w:hint="eastAsia" w:ascii="宋体" w:hAnsi="宋体" w:cs="宋体"/>
                <w:color w:val="auto"/>
                <w:szCs w:val="21"/>
                <w:highlight w:val="none"/>
              </w:rPr>
              <w:t>2）本项目采购预算（最高限价）：详见《第一章  公开招标公告》；投标总价超过相应预算金额（最高限价）的，作无效标处理。</w:t>
            </w:r>
          </w:p>
          <w:p>
            <w:pPr>
              <w:pStyle w:val="19"/>
              <w:spacing w:beforeAutospacing="0" w:afterAutospacing="0" w:line="264" w:lineRule="auto"/>
              <w:rPr>
                <w:rFonts w:ascii="宋体" w:hAnsi="宋体" w:cs="宋体"/>
                <w:color w:val="auto"/>
                <w:szCs w:val="21"/>
                <w:highlight w:val="none"/>
              </w:rPr>
            </w:pPr>
            <w:r>
              <w:rPr>
                <w:rFonts w:hint="eastAsia" w:ascii="宋体" w:hAnsi="宋体" w:cs="宋体"/>
                <w:color w:val="auto"/>
                <w:szCs w:val="21"/>
                <w:highlight w:val="none"/>
              </w:rPr>
              <w:t>3）投标报价是履行合同的最终价格，须包括</w:t>
            </w:r>
            <w:r>
              <w:rPr>
                <w:rFonts w:hint="eastAsia" w:ascii="宋体" w:hAnsi="宋体" w:cs="宋体"/>
                <w:color w:val="auto"/>
                <w:szCs w:val="21"/>
                <w:highlight w:val="none"/>
                <w:lang w:val="en-US" w:eastAsia="zh-CN"/>
              </w:rPr>
              <w:t>人工费、设计费</w:t>
            </w:r>
            <w:r>
              <w:rPr>
                <w:rFonts w:hint="eastAsia" w:ascii="宋体" w:hAnsi="宋体" w:cs="宋体"/>
                <w:color w:val="auto"/>
                <w:szCs w:val="21"/>
                <w:highlight w:val="none"/>
              </w:rPr>
              <w:t>、技术支持与培训费</w:t>
            </w:r>
            <w:r>
              <w:rPr>
                <w:rFonts w:hint="eastAsia" w:ascii="宋体" w:hAnsi="宋体" w:cs="宋体"/>
                <w:color w:val="auto"/>
                <w:szCs w:val="21"/>
                <w:highlight w:val="none"/>
                <w:lang w:eastAsia="zh-CN"/>
              </w:rPr>
              <w:t>、墙体拆除，书柜拆除+组装</w:t>
            </w:r>
            <w:r>
              <w:rPr>
                <w:rFonts w:hint="eastAsia" w:ascii="宋体" w:hAnsi="宋体" w:cs="宋体"/>
                <w:color w:val="auto"/>
                <w:szCs w:val="21"/>
                <w:highlight w:val="none"/>
                <w:lang w:val="en-US" w:eastAsia="zh-CN"/>
              </w:rPr>
              <w:t>费用、设备维保、装修结束垃圾清运费、人工搬运费、装修全程保洁、垃圾清运费用</w:t>
            </w:r>
            <w:r>
              <w:rPr>
                <w:rFonts w:hint="eastAsia" w:ascii="宋体" w:hAnsi="宋体" w:cs="宋体"/>
                <w:color w:val="auto"/>
                <w:szCs w:val="21"/>
                <w:highlight w:val="none"/>
              </w:rPr>
              <w:t>和税费等费用。</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报价为</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所能承受的最低、最终一次性报价。供应商的报价为整个采购项目的总报价，清单或报价明细表如有漏项，视同漏项内容已包含在其总报价中，合同总价不做调整；在磋商小组审查时，若该供应商不同意漏项内容已包含在其总报价中，并认为其合同总价需作调整的，则该供应商的响应文件将被认定为没有实质性响应采购文件需求，其响应文件将被作为无效文件。</w:t>
            </w:r>
          </w:p>
          <w:p>
            <w:pPr>
              <w:pStyle w:val="19"/>
              <w:spacing w:beforeAutospacing="0" w:afterAutospacing="0" w:line="264" w:lineRule="auto"/>
              <w:rPr>
                <w:rFonts w:ascii="宋体" w:hAnsi="宋体" w:cs="宋体"/>
                <w:color w:val="auto"/>
                <w:szCs w:val="21"/>
                <w:highlight w:val="none"/>
              </w:rPr>
            </w:pPr>
            <w:r>
              <w:rPr>
                <w:rFonts w:hint="eastAsia" w:ascii="宋体" w:hAnsi="宋体" w:cs="宋体"/>
                <w:color w:val="auto"/>
                <w:szCs w:val="21"/>
                <w:highlight w:val="none"/>
              </w:rPr>
              <w:t>4）不论投标结果如何，供应商均应自行承担所有与投标有关的全部费用。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75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Autospacing="0" w:afterAutospacing="0" w:line="264" w:lineRule="auto"/>
              <w:textAlignment w:val="bottom"/>
              <w:rPr>
                <w:rFonts w:ascii="宋体" w:hAnsi="宋体" w:cs="宋体"/>
                <w:color w:val="auto"/>
                <w:szCs w:val="21"/>
                <w:highlight w:val="none"/>
              </w:rPr>
            </w:pPr>
            <w:r>
              <w:rPr>
                <w:rFonts w:hint="eastAsia" w:ascii="宋体" w:hAnsi="宋体" w:cs="宋体"/>
                <w:color w:val="auto"/>
                <w:szCs w:val="21"/>
                <w:highlight w:val="none"/>
              </w:rPr>
              <w:t>投标文件组成与份数：</w:t>
            </w:r>
          </w:p>
          <w:p>
            <w:pPr>
              <w:numPr>
                <w:ilvl w:val="0"/>
                <w:numId w:val="10"/>
              </w:numPr>
              <w:autoSpaceDE w:val="0"/>
              <w:autoSpaceDN w:val="0"/>
              <w:spacing w:beforeAutospacing="0" w:afterAutospacing="0" w:line="264" w:lineRule="auto"/>
              <w:textAlignment w:val="bottom"/>
              <w:rPr>
                <w:rFonts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numPr>
                <w:ilvl w:val="0"/>
                <w:numId w:val="10"/>
              </w:numPr>
              <w:autoSpaceDE w:val="0"/>
              <w:autoSpaceDN w:val="0"/>
              <w:spacing w:beforeAutospacing="0" w:afterAutospacing="0" w:line="264" w:lineRule="auto"/>
              <w:textAlignment w:val="bottom"/>
              <w:rPr>
                <w:rFonts w:ascii="宋体" w:hAnsi="宋体" w:cs="宋体"/>
                <w:color w:val="auto"/>
                <w:szCs w:val="21"/>
                <w:highlight w:val="none"/>
              </w:rPr>
            </w:pPr>
            <w:r>
              <w:rPr>
                <w:rFonts w:hint="eastAsia" w:ascii="宋体" w:hAnsi="宋体" w:cs="宋体"/>
                <w:color w:val="auto"/>
                <w:szCs w:val="21"/>
                <w:highlight w:val="none"/>
              </w:rPr>
              <w:t>以U盘存储的电子备份投标文件（含资格文件、商务技术文件、报价文件）1份。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5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Autospacing="0" w:afterAutospacing="0" w:line="264" w:lineRule="auto"/>
              <w:textAlignment w:val="bottom"/>
              <w:rPr>
                <w:rFonts w:ascii="宋体" w:hAnsi="宋体" w:cs="宋体"/>
                <w:color w:val="auto"/>
                <w:szCs w:val="21"/>
                <w:highlight w:val="none"/>
              </w:rPr>
            </w:pPr>
            <w:r>
              <w:rPr>
                <w:rFonts w:hint="eastAsia" w:ascii="宋体" w:hAnsi="宋体" w:cs="宋体"/>
                <w:color w:val="auto"/>
                <w:szCs w:val="21"/>
                <w:highlight w:val="none"/>
              </w:rPr>
              <w:t>评标结果公示：评标结束后，评标结果公示于浙江政府采购网、宁波市政府采购网、宁波市公共资源交易网宁海县分网、浙江中基正采管理咨询有限公司网（http://www.cbbidding.com/）等网站。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75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Autospacing="0" w:afterAutospacing="0" w:line="264" w:lineRule="auto"/>
              <w:textAlignment w:val="bottom"/>
              <w:rPr>
                <w:rFonts w:ascii="宋体" w:hAnsi="宋体" w:cs="宋体"/>
                <w:color w:val="auto"/>
                <w:szCs w:val="21"/>
                <w:highlight w:val="none"/>
              </w:rPr>
            </w:pPr>
            <w:r>
              <w:rPr>
                <w:rFonts w:hint="eastAsia" w:ascii="宋体" w:hAnsi="宋体" w:cs="宋体"/>
                <w:color w:val="auto"/>
                <w:szCs w:val="21"/>
                <w:highlight w:val="none"/>
              </w:rPr>
              <w:t>签订合同时间：中标通知书发出后</w:t>
            </w:r>
            <w:r>
              <w:rPr>
                <w:rFonts w:hint="eastAsia" w:ascii="宋体" w:hAnsi="宋体" w:cs="宋体"/>
                <w:color w:val="auto"/>
                <w:szCs w:val="21"/>
                <w:highlight w:val="none"/>
                <w:u w:val="single"/>
              </w:rPr>
              <w:t>30</w:t>
            </w:r>
            <w:r>
              <w:rPr>
                <w:rFonts w:hint="eastAsia" w:ascii="宋体" w:hAnsi="宋体" w:cs="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75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Autospacing="0" w:afterAutospacing="0" w:line="264" w:lineRule="auto"/>
              <w:textAlignment w:val="bottom"/>
              <w:rPr>
                <w:rFonts w:ascii="宋体" w:hAnsi="宋体" w:cs="宋体"/>
                <w:color w:val="auto"/>
                <w:szCs w:val="21"/>
                <w:highlight w:val="none"/>
              </w:rPr>
            </w:pPr>
            <w:r>
              <w:rPr>
                <w:rFonts w:hint="eastAsia" w:ascii="宋体" w:hAnsi="宋体" w:cs="宋体"/>
                <w:color w:val="auto"/>
                <w:szCs w:val="21"/>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758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rPr>
                <w:rFonts w:ascii="宋体" w:hAnsi="宋体" w:cs="宋体"/>
                <w:color w:val="auto"/>
                <w:szCs w:val="21"/>
                <w:highlight w:val="none"/>
              </w:rPr>
            </w:pPr>
            <w:r>
              <w:rPr>
                <w:rFonts w:hint="eastAsia" w:ascii="宋体" w:hAnsi="宋体" w:cs="宋体"/>
                <w:color w:val="auto"/>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Autospacing="0" w:afterAutospacing="0" w:line="264" w:lineRule="auto"/>
              <w:jc w:val="left"/>
              <w:textAlignment w:val="bottom"/>
              <w:rPr>
                <w:rFonts w:ascii="宋体" w:hAnsi="宋体" w:cs="宋体"/>
                <w:b/>
                <w:bCs/>
                <w:color w:val="auto"/>
                <w:szCs w:val="21"/>
                <w:highlight w:val="none"/>
              </w:rPr>
            </w:pPr>
            <w:r>
              <w:rPr>
                <w:rFonts w:hint="eastAsia" w:ascii="宋体" w:hAnsi="宋体" w:cs="宋体"/>
                <w:b/>
                <w:bCs/>
                <w:color w:val="auto"/>
                <w:szCs w:val="21"/>
                <w:highlight w:val="none"/>
              </w:rPr>
              <w:t>解释：本采购文件的解释权属于招标采购单位。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3"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rPr>
                <w:rFonts w:ascii="宋体" w:hAnsi="宋体" w:cs="宋体"/>
                <w:color w:val="auto"/>
                <w:szCs w:val="21"/>
                <w:highlight w:val="none"/>
              </w:rPr>
            </w:pPr>
            <w:r>
              <w:rPr>
                <w:rFonts w:hint="eastAsia" w:ascii="宋体" w:hAnsi="宋体" w:cs="宋体"/>
                <w:color w:val="auto"/>
                <w:szCs w:val="21"/>
                <w:highlight w:val="none"/>
              </w:rPr>
              <w:t>招标代理服务费的收取标准：采购代理机向中标人收取招标代理服务费人民币</w:t>
            </w:r>
            <w:r>
              <w:rPr>
                <w:rFonts w:hint="eastAsia" w:ascii="宋体" w:hAnsi="宋体" w:cs="宋体"/>
                <w:color w:val="auto"/>
                <w:szCs w:val="21"/>
                <w:highlight w:val="none"/>
                <w:lang w:val="en-US" w:eastAsia="zh-CN"/>
              </w:rPr>
              <w:t>21400</w:t>
            </w:r>
            <w:r>
              <w:rPr>
                <w:rFonts w:hint="eastAsia" w:ascii="宋体" w:hAnsi="宋体" w:cs="宋体"/>
                <w:color w:val="auto"/>
                <w:szCs w:val="21"/>
                <w:highlight w:val="none"/>
              </w:rPr>
              <w:t>元整。</w:t>
            </w:r>
            <w:r>
              <w:rPr>
                <w:rFonts w:hint="eastAsia" w:ascii="宋体" w:hAnsi="宋体" w:cs="宋体"/>
                <w:snapToGrid w:val="0"/>
                <w:color w:val="auto"/>
                <w:szCs w:val="21"/>
                <w:highlight w:val="none"/>
              </w:rPr>
              <w:t>备注：（1）招标代理服务费只收现金、银行票汇款、电汇款。（2）中标人接到本公司通知后5个工作日内向本采购代理机构支付招标代理服务费并领取中标通知书（根据中标人需求可采用邮寄或到采购代理机构现场领取）。（3）</w:t>
            </w:r>
            <w:r>
              <w:rPr>
                <w:rFonts w:hint="eastAsia" w:ascii="宋体" w:hAnsi="宋体" w:cs="宋体"/>
                <w:color w:val="auto"/>
                <w:szCs w:val="21"/>
                <w:highlight w:val="none"/>
              </w:rPr>
              <w:t>采购代理机构财务信息：</w:t>
            </w:r>
          </w:p>
          <w:p>
            <w:pPr>
              <w:spacing w:beforeAutospacing="0" w:afterAutospacing="0" w:line="264"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开户银行：宁波银行股份有限公司鄞州中心区支行</w:t>
            </w:r>
          </w:p>
          <w:p>
            <w:pPr>
              <w:spacing w:beforeAutospacing="0" w:afterAutospacing="0" w:line="264"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号：30010122001229488</w:t>
            </w:r>
          </w:p>
          <w:p>
            <w:pPr>
              <w:spacing w:beforeAutospacing="0" w:afterAutospacing="0" w:line="264"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户    名：浙江中基正采管理咨询有限公司</w:t>
            </w:r>
          </w:p>
        </w:tc>
      </w:tr>
    </w:tbl>
    <w:p>
      <w:pPr>
        <w:pStyle w:val="26"/>
        <w:snapToGrid w:val="0"/>
        <w:spacing w:beforeLines="0" w:beforeAutospacing="0" w:afterLines="0" w:afterAutospacing="0" w:line="240" w:lineRule="auto"/>
        <w:rPr>
          <w:rFonts w:hint="default" w:hAnsi="宋体" w:cs="宋体"/>
          <w:color w:val="auto"/>
          <w:highlight w:val="none"/>
        </w:rPr>
      </w:pPr>
    </w:p>
    <w:p>
      <w:pPr>
        <w:pStyle w:val="26"/>
        <w:snapToGrid w:val="0"/>
        <w:spacing w:beforeLines="0" w:beforeAutospacing="0" w:afterLines="0" w:afterAutospacing="0" w:line="360" w:lineRule="auto"/>
        <w:rPr>
          <w:rFonts w:hint="default" w:hAnsi="宋体" w:cs="宋体"/>
          <w:b/>
          <w:color w:val="auto"/>
          <w:highlight w:val="none"/>
        </w:rPr>
      </w:pPr>
      <w:r>
        <w:rPr>
          <w:rFonts w:hAnsi="宋体" w:cs="宋体"/>
          <w:b/>
          <w:color w:val="auto"/>
          <w:highlight w:val="none"/>
        </w:rPr>
        <w:br w:type="page"/>
      </w:r>
      <w:r>
        <w:rPr>
          <w:rFonts w:hAnsi="宋体" w:cs="宋体"/>
          <w:b/>
          <w:color w:val="auto"/>
          <w:highlight w:val="none"/>
        </w:rPr>
        <w:t>一   总  则</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31" w:name="_Toc1476"/>
      <w:bookmarkEnd w:id="31"/>
      <w:r>
        <w:rPr>
          <w:rFonts w:hint="eastAsia" w:ascii="宋体" w:hAnsi="宋体" w:cs="宋体"/>
          <w:b/>
          <w:color w:val="auto"/>
          <w:szCs w:val="21"/>
          <w:highlight w:val="none"/>
        </w:rPr>
        <w:t>（一） 适用范围</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本招标文件适用于本项目的招标、投标、评标、定标、验收、合同履约、付款等行为（法律、法规另有规定的，从其规定）。</w:t>
      </w:r>
    </w:p>
    <w:p>
      <w:pPr>
        <w:snapToGrid w:val="0"/>
        <w:spacing w:beforeAutospacing="0" w:afterAutospacing="0" w:line="360" w:lineRule="auto"/>
        <w:ind w:firstLine="310" w:firstLineChars="147"/>
        <w:jc w:val="left"/>
        <w:rPr>
          <w:rFonts w:ascii="宋体" w:hAnsi="宋体" w:cs="宋体"/>
          <w:b/>
          <w:color w:val="auto"/>
          <w:szCs w:val="21"/>
          <w:highlight w:val="none"/>
        </w:rPr>
      </w:pPr>
      <w:bookmarkStart w:id="32" w:name="_Toc7571"/>
      <w:bookmarkEnd w:id="32"/>
      <w:r>
        <w:rPr>
          <w:rFonts w:hint="eastAsia" w:ascii="宋体" w:hAnsi="宋体" w:cs="宋体"/>
          <w:b/>
          <w:color w:val="auto"/>
          <w:szCs w:val="21"/>
          <w:highlight w:val="none"/>
        </w:rPr>
        <w:t>（二）定义</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1、“招标采购单位”系指组织本次招标的采购代理机构和采购人。</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2、“供应商”系指向采购人提交投标文件的单位或个人。</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3、“产品”系指供应商按招标文件规定，须向采购人提供的一切设备、保险、税金、备品备件、工具、手册及其它有关技术资料和材料。</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4、“服务”系指招标文件规定供应商须承担的安装、调试、技术协助、校准、培训、技术指导以及其他类似的义务。</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5、“项目”系指供应商按招标文件规定向采购人提供的产品和服务。</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6、“书面形式”包括信函、传真、电函等。</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7、“★”系指实质性要求条款，供应商的投标对任何带“★”号的重要商务和技术条款的偏离和未作实质性响应都将直接导致投标无效。</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33" w:name="_Toc20685"/>
      <w:bookmarkEnd w:id="33"/>
      <w:r>
        <w:rPr>
          <w:rFonts w:hint="eastAsia" w:ascii="宋体" w:hAnsi="宋体" w:cs="宋体"/>
          <w:b/>
          <w:color w:val="auto"/>
          <w:szCs w:val="21"/>
          <w:highlight w:val="none"/>
        </w:rPr>
        <w:t>（三）招标方式</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本次招标采用公开招标方式进行。</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34" w:name="_Toc21721"/>
      <w:bookmarkEnd w:id="34"/>
      <w:r>
        <w:rPr>
          <w:rFonts w:hint="eastAsia" w:ascii="宋体" w:hAnsi="宋体" w:cs="宋体"/>
          <w:b/>
          <w:color w:val="auto"/>
          <w:szCs w:val="21"/>
          <w:highlight w:val="none"/>
        </w:rPr>
        <w:t>（四）投标委托</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如供应商派授权代表出席开标会议，授权代表须携带有效身份证件。如供应商代表不是法定代表人，须有法定代表人出具的授权委托书（正本用原件，副本用复印件，格式见第六章）。</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35" w:name="_Toc1659"/>
      <w:bookmarkEnd w:id="35"/>
      <w:r>
        <w:rPr>
          <w:rFonts w:hint="eastAsia" w:ascii="宋体" w:hAnsi="宋体" w:cs="宋体"/>
          <w:b/>
          <w:color w:val="auto"/>
          <w:szCs w:val="21"/>
          <w:highlight w:val="none"/>
        </w:rPr>
        <w:t>（五）投标费用</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不论投标结果如何，供应商均应自行承担所有与投标有关的全部费用（招标文件有其他规定除外）。</w:t>
      </w:r>
    </w:p>
    <w:p>
      <w:pPr>
        <w:snapToGrid w:val="0"/>
        <w:spacing w:beforeAutospacing="0" w:afterAutospacing="0"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（六）联合体投标</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本项目允许联合体投标。</w:t>
      </w:r>
    </w:p>
    <w:p>
      <w:pPr>
        <w:snapToGrid w:val="0"/>
        <w:spacing w:beforeAutospacing="0" w:afterAutospacing="0" w:line="360" w:lineRule="auto"/>
        <w:ind w:firstLine="413" w:firstLineChars="196"/>
        <w:rPr>
          <w:rFonts w:ascii="宋体" w:hAnsi="宋体" w:cs="宋体"/>
          <w:b/>
          <w:color w:val="auto"/>
          <w:kern w:val="0"/>
          <w:szCs w:val="21"/>
          <w:highlight w:val="none"/>
        </w:rPr>
      </w:pPr>
      <w:r>
        <w:rPr>
          <w:rFonts w:hint="eastAsia" w:ascii="宋体" w:hAnsi="宋体" w:cs="宋体"/>
          <w:b/>
          <w:color w:val="auto"/>
          <w:szCs w:val="21"/>
          <w:highlight w:val="none"/>
        </w:rPr>
        <w:t>（七）</w:t>
      </w:r>
      <w:r>
        <w:rPr>
          <w:rFonts w:hint="eastAsia" w:ascii="宋体" w:hAnsi="宋体" w:cs="宋体"/>
          <w:b/>
          <w:color w:val="auto"/>
          <w:kern w:val="0"/>
          <w:szCs w:val="21"/>
          <w:highlight w:val="none"/>
        </w:rPr>
        <w:t>转包与分包</w:t>
      </w:r>
    </w:p>
    <w:p>
      <w:pPr>
        <w:snapToGrid w:val="0"/>
        <w:spacing w:beforeAutospacing="0" w:afterAutospacing="0" w:line="360" w:lineRule="auto"/>
        <w:ind w:firstLine="411" w:firstLineChars="196"/>
        <w:rPr>
          <w:rFonts w:ascii="宋体" w:hAnsi="宋体" w:cs="宋体"/>
          <w:b/>
          <w:color w:val="auto"/>
          <w:kern w:val="0"/>
          <w:szCs w:val="21"/>
          <w:highlight w:val="none"/>
        </w:rPr>
      </w:pPr>
      <w:r>
        <w:rPr>
          <w:rFonts w:hint="eastAsia" w:ascii="宋体" w:hAnsi="宋体" w:cs="宋体"/>
          <w:color w:val="auto"/>
          <w:kern w:val="0"/>
          <w:szCs w:val="21"/>
          <w:highlight w:val="none"/>
        </w:rPr>
        <w:t>本项目不允许转包；未经采购人同意不得分包。</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36" w:name="_Toc13174"/>
      <w:bookmarkEnd w:id="36"/>
      <w:r>
        <w:rPr>
          <w:rFonts w:hint="eastAsia" w:ascii="宋体" w:hAnsi="宋体" w:cs="宋体"/>
          <w:b/>
          <w:color w:val="auto"/>
          <w:szCs w:val="21"/>
          <w:highlight w:val="none"/>
        </w:rPr>
        <w:t>（八）特别说明：</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1、提供相同品牌产品且通过资格审查、符合性审查的不同供应商参加同一合同项下投标的，按一家供应商计算。(如适用)</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若采用综合评分法进行评审的，评审后得分最高的同品牌供应商获得中标人推荐资格；评审得分相同的，由评标委员会按照招标文件规定的方式确定一个供应商获得中标人的推荐资格，招标文件未规定的采取随机抽取的方式确定，其他同品牌供应商不作为中标候选人。</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若采用最低评标价法进行评审的，以报价最低的供应商参加评审，报价相同的，由评标委员会按照招标文件规定的方式确定一个供应商获得中标人的推荐资格，招标文件未规定的采取随机抽取的方式确定，其他投标无效。</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 xml:space="preserve"> 非单一产品采购项目，供应商使用相同制造产品（相同制造产品是指招标文件中指定的“核心产品”）作为其项目的一部分，按一家供应商认定。</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2、供应商在投标活动中提供任何虚假材料,其投标无效，并报监管部门查处；中标后发现的,中标人须依照相关规定赔偿采购人，且民事赔偿并不免除违法供应商的行政与刑事责任。</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 xml:space="preserve">3、招标文件的澄清与修改 </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（1）采购人或者采购代理机构对招标文件进行必要的澄清或者修改的，澄清或者修改在原公告发布媒体上发布澄清公告。澄清或者修改的内容可能影响投标文件编制的，澄清公告</w:t>
      </w:r>
      <w:r>
        <w:rPr>
          <w:rFonts w:hAnsi="宋体" w:cs="宋体"/>
          <w:color w:val="auto"/>
          <w:kern w:val="1"/>
          <w:highlight w:val="none"/>
        </w:rPr>
        <w:t>在投标截止时间至少15日前发出；</w:t>
      </w:r>
      <w:r>
        <w:rPr>
          <w:rFonts w:hAnsi="宋体" w:cs="宋体"/>
          <w:bCs/>
          <w:color w:val="auto"/>
          <w:highlight w:val="none"/>
        </w:rPr>
        <w:t>不足15日的，顺延提交投标文件的截止时间。</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（3）招标文件澄清、答复、修改、补充的内容为招标文件的组成部分。当招标文件与招标文件的答复、澄清、修改、补充通知就同一内容的表述不一致时，以最后发出的澄清公告为准。</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（4）招标文件的澄清、答复、修改或补充都应该通过本代理机构以法定形式发布，采购人非通过本机构，不得擅自澄清、答复、修改或补充招标文件。</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4、关于分公司投标</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5、关于知识产权</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（2）投标报价应包含所有应向所有权人支付的专利权、商标权或其它知识产权的一切相关费用。</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（3）系统软件、通用软件必须是具有在中国境内的合法使用权或版权的正版软件，涉及到第三方提出侵权或知识产权的起诉及支付版税等费用由供应商承担所有责任及费用。</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6、供应商的风险</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（1）供应商应详细阅读招标文件中的全部内容和要求，按照招标文件的要求提交投标文件，没有按照招标文件要求提供投标文件和资料导致的风险由供应商承担,并对所提供的全部资料的真实性承担法律责任。</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（2）无论因何种原因导致本次采购活动终止致供应商损失的，相关责任人均不承担任何责任。</w:t>
      </w:r>
    </w:p>
    <w:p>
      <w:pPr>
        <w:pStyle w:val="26"/>
        <w:snapToGrid w:val="0"/>
        <w:spacing w:beforeLines="0" w:beforeAutospacing="0" w:afterLines="0" w:afterAutospacing="0" w:line="360" w:lineRule="auto"/>
        <w:ind w:left="2" w:leftChars="1" w:firstLine="420" w:firstLineChars="200"/>
        <w:rPr>
          <w:rFonts w:hint="default" w:hAnsi="宋体" w:cs="宋体"/>
          <w:b/>
          <w:color w:val="auto"/>
          <w:highlight w:val="none"/>
        </w:rPr>
      </w:pPr>
      <w:r>
        <w:rPr>
          <w:rFonts w:hAnsi="宋体" w:cs="宋体"/>
          <w:bCs/>
          <w:color w:val="auto"/>
          <w:highlight w:val="none"/>
        </w:rPr>
        <w:t>7、解释：本招标文件的解释权属于采购人。</w:t>
      </w:r>
    </w:p>
    <w:p>
      <w:pPr>
        <w:pStyle w:val="26"/>
        <w:snapToGrid w:val="0"/>
        <w:spacing w:beforeLines="0" w:beforeAutospacing="0" w:afterLines="0" w:afterAutospacing="0" w:line="360" w:lineRule="auto"/>
        <w:ind w:firstLine="413" w:firstLineChars="196"/>
        <w:rPr>
          <w:rFonts w:hint="default" w:hAnsi="宋体" w:cs="宋体"/>
          <w:b/>
          <w:bCs/>
          <w:color w:val="auto"/>
          <w:highlight w:val="none"/>
        </w:rPr>
      </w:pPr>
      <w:bookmarkStart w:id="37" w:name="_Toc13650"/>
      <w:bookmarkEnd w:id="37"/>
      <w:r>
        <w:rPr>
          <w:rFonts w:hAnsi="宋体" w:cs="宋体"/>
          <w:b/>
          <w:bCs/>
          <w:color w:val="auto"/>
          <w:highlight w:val="none"/>
        </w:rPr>
        <w:t>（九）质疑和投诉</w:t>
      </w:r>
    </w:p>
    <w:p>
      <w:pPr>
        <w:spacing w:beforeAutospacing="0" w:afterAutospacing="0" w:line="360" w:lineRule="auto"/>
        <w:ind w:firstLine="420" w:firstLineChars="200"/>
        <w:rPr>
          <w:rFonts w:ascii="宋体" w:hAnsi="宋体" w:cs="宋体"/>
          <w:color w:val="auto"/>
          <w:highlight w:val="none"/>
        </w:rPr>
      </w:pPr>
      <w:bookmarkStart w:id="38" w:name="_Toc27142"/>
      <w:r>
        <w:rPr>
          <w:rFonts w:hint="eastAsia" w:ascii="宋体" w:hAnsi="宋体" w:cs="宋体"/>
          <w:color w:val="auto"/>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beforeAutospacing="0" w:afterAutospacing="0" w:line="360" w:lineRule="auto"/>
        <w:ind w:firstLine="420" w:firstLineChars="200"/>
        <w:rPr>
          <w:rFonts w:ascii="宋体" w:hAnsi="宋体" w:cs="宋体"/>
          <w:color w:val="auto"/>
          <w:highlight w:val="none"/>
        </w:rPr>
      </w:pPr>
      <w:r>
        <w:rPr>
          <w:rFonts w:hint="eastAsia" w:ascii="宋体" w:hAnsi="宋体" w:cs="宋体"/>
          <w:color w:val="auto"/>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spacing w:beforeAutospacing="0" w:afterAutospacing="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3、供应商提出质疑应当提交质疑函和必要的证明材料，质疑函应当面以书面形式提出，质疑函格式和内容须符合财政部《质疑函范本》要求，供应商可到</w:t>
      </w:r>
      <w:r>
        <w:rPr>
          <w:rFonts w:hint="eastAsia" w:ascii="宋体" w:hAnsi="宋体"/>
          <w:color w:val="auto"/>
          <w:kern w:val="0"/>
          <w:highlight w:val="none"/>
        </w:rPr>
        <w:t>浙江政府采购网下载专区下载。</w:t>
      </w:r>
    </w:p>
    <w:p>
      <w:pPr>
        <w:spacing w:beforeAutospacing="0" w:afterAutospacing="0" w:line="360" w:lineRule="auto"/>
        <w:ind w:firstLine="420" w:firstLineChars="200"/>
        <w:rPr>
          <w:rFonts w:ascii="宋体" w:hAnsi="宋体" w:cs="宋体"/>
          <w:color w:val="auto"/>
          <w:highlight w:val="none"/>
        </w:rPr>
      </w:pPr>
      <w:r>
        <w:rPr>
          <w:rFonts w:hint="eastAsia" w:ascii="宋体" w:hAnsi="宋体" w:cs="宋体"/>
          <w:color w:val="auto"/>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有关联系方式。</w:t>
      </w:r>
    </w:p>
    <w:p>
      <w:pPr>
        <w:spacing w:beforeAutospacing="0" w:afterAutospacing="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5、供应商对采购人或采购代理机构的质疑答复不满意或者采购人或采购代理机构未在规定时间内作出答复的，可以在答复期满后十五个工作日内向同级采购监管部门投诉。</w:t>
      </w:r>
      <w:r>
        <w:rPr>
          <w:rFonts w:hint="eastAsia" w:ascii="宋体" w:hAnsi="宋体"/>
          <w:color w:val="auto"/>
          <w:kern w:val="0"/>
          <w:highlight w:val="none"/>
        </w:rPr>
        <w:t>投诉书范本请到浙江政府采购网下载专区下载。</w:t>
      </w:r>
    </w:p>
    <w:bookmarkEnd w:id="38"/>
    <w:p>
      <w:pPr>
        <w:pStyle w:val="26"/>
        <w:snapToGrid w:val="0"/>
        <w:spacing w:beforeLines="0" w:beforeAutospacing="0" w:afterLines="0" w:afterAutospacing="0" w:line="360" w:lineRule="auto"/>
        <w:ind w:firstLine="413" w:firstLineChars="196"/>
        <w:rPr>
          <w:rFonts w:hint="default" w:hAnsi="宋体" w:cs="宋体"/>
          <w:b/>
          <w:color w:val="auto"/>
          <w:highlight w:val="none"/>
        </w:rPr>
      </w:pPr>
      <w:r>
        <w:rPr>
          <w:rFonts w:hAnsi="宋体" w:cs="宋体"/>
          <w:b/>
          <w:color w:val="auto"/>
          <w:highlight w:val="none"/>
        </w:rPr>
        <w:t>二  招标文件</w:t>
      </w:r>
    </w:p>
    <w:p>
      <w:pPr>
        <w:snapToGrid w:val="0"/>
        <w:spacing w:beforeAutospacing="0" w:afterAutospacing="0"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（一）招标文件的构成。本招标文件由以下部分组成：</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1、公开招标公告</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2、采购需求</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3、供应商须知</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4、评标办法及评分标准</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5、政府采购合同主要条款</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6、投标文件格式</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7、本项目招标文件的澄清、答复、修改、补充的内容</w:t>
      </w:r>
    </w:p>
    <w:p>
      <w:pPr>
        <w:snapToGrid w:val="0"/>
        <w:spacing w:beforeAutospacing="0" w:afterAutospacing="0"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（二）供应商的风险</w:t>
      </w:r>
    </w:p>
    <w:p>
      <w:pPr>
        <w:pStyle w:val="38"/>
        <w:spacing w:beforeAutospacing="0" w:afterAutospacing="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供应商没有按照招标文件要求提供全部资料，或者供应商没有对招标文件在各方面作出实质性响应是供应商的风险，并可能导致其投标被拒绝。</w:t>
      </w:r>
    </w:p>
    <w:p>
      <w:pPr>
        <w:pStyle w:val="26"/>
        <w:snapToGrid w:val="0"/>
        <w:spacing w:beforeLines="0" w:beforeAutospacing="0" w:afterLines="0" w:afterAutospacing="0" w:line="360" w:lineRule="auto"/>
        <w:ind w:firstLine="413" w:firstLineChars="196"/>
        <w:rPr>
          <w:rFonts w:hint="default" w:hAnsi="宋体" w:cs="宋体"/>
          <w:b/>
          <w:color w:val="auto"/>
          <w:highlight w:val="none"/>
        </w:rPr>
      </w:pPr>
      <w:bookmarkStart w:id="39" w:name="_Toc24324"/>
      <w:bookmarkEnd w:id="39"/>
      <w:r>
        <w:rPr>
          <w:rFonts w:hAnsi="宋体" w:cs="宋体"/>
          <w:b/>
          <w:color w:val="auto"/>
          <w:highlight w:val="none"/>
        </w:rPr>
        <w:t>三、投标文件的编制</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40" w:name="_Toc16622"/>
      <w:bookmarkEnd w:id="40"/>
      <w:r>
        <w:rPr>
          <w:rFonts w:hint="eastAsia" w:ascii="宋体" w:hAnsi="宋体" w:cs="宋体"/>
          <w:b/>
          <w:color w:val="auto"/>
          <w:szCs w:val="21"/>
          <w:highlight w:val="none"/>
        </w:rPr>
        <w:t>（一）投标文件的组成</w:t>
      </w:r>
    </w:p>
    <w:p>
      <w:pPr>
        <w:spacing w:beforeAutospacing="0" w:afterAutospacing="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投标文件由资格文件、商务技术文件和报价文件三部分组成。</w:t>
      </w:r>
    </w:p>
    <w:p>
      <w:pPr>
        <w:numPr>
          <w:ilvl w:val="0"/>
          <w:numId w:val="11"/>
        </w:numPr>
        <w:snapToGrid w:val="0"/>
        <w:spacing w:beforeAutospacing="0" w:afterAutospacing="0"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资格文件：</w:t>
      </w:r>
    </w:p>
    <w:p>
      <w:pPr>
        <w:numPr>
          <w:ilvl w:val="0"/>
          <w:numId w:val="12"/>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供应商资格声明函（格式见附件）；</w:t>
      </w:r>
    </w:p>
    <w:p>
      <w:pPr>
        <w:numPr>
          <w:ilvl w:val="0"/>
          <w:numId w:val="12"/>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有效的企业法人营业执照（或事业法人登记证）、其他组织（个体工商户）的营业执照或者民办非企业单位登记证书复印件；</w:t>
      </w:r>
      <w:r>
        <w:rPr>
          <w:rFonts w:hint="eastAsia" w:ascii="宋体" w:hAnsi="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highlight w:val="none"/>
        </w:rPr>
        <w:t>；</w:t>
      </w:r>
    </w:p>
    <w:p>
      <w:pPr>
        <w:numPr>
          <w:ilvl w:val="0"/>
          <w:numId w:val="12"/>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供应商特定资格条件的证明文件：详见“第一章  公开招标公告  二、申请人的资格要求3.本项目的特定资格要求”；</w:t>
      </w:r>
    </w:p>
    <w:p>
      <w:pPr>
        <w:numPr>
          <w:ilvl w:val="0"/>
          <w:numId w:val="12"/>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联合体协议（如有，格式见附件）；</w:t>
      </w:r>
    </w:p>
    <w:p>
      <w:pPr>
        <w:numPr>
          <w:ilvl w:val="0"/>
          <w:numId w:val="12"/>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numPr>
          <w:ilvl w:val="0"/>
          <w:numId w:val="12"/>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szCs w:val="21"/>
          <w:highlight w:val="none"/>
        </w:rPr>
        <w:t>招标文件要求的其他资格条件证明材料（如有）；</w:t>
      </w:r>
    </w:p>
    <w:p>
      <w:pPr>
        <w:numPr>
          <w:ilvl w:val="0"/>
          <w:numId w:val="11"/>
        </w:numPr>
        <w:snapToGrid w:val="0"/>
        <w:spacing w:beforeAutospacing="0" w:afterAutospacing="0"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商务技术文件内容包括：</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符合性自查表（格式见附件）；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供应商响应表（格式见附件）；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商务条款偏离表（格式见附件）；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投标函（格式见附件）；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法定代表人身份证明或法定代表人授权委托书（格式见附件）；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技术（服务）条款偏离表（格式见附件）；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供应商基本情况表（格式见附件）；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本项目负责人简历表（格式见附件）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本项目组人员配备情况表（格式见附件）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同类业绩情况一览表（格式见附件）；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技术部分：针对本项目第二章采购需求和第四章评分标准中的条款拟定完整方案，格式自拟；</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第四章评标办法及评分标准中需提供的其他相关证书及合同复印件等并加盖公章；</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供应商认为有需要提供的其它有关证明资料。</w:t>
      </w:r>
    </w:p>
    <w:p>
      <w:pPr>
        <w:numPr>
          <w:ilvl w:val="0"/>
          <w:numId w:val="11"/>
        </w:numPr>
        <w:snapToGrid w:val="0"/>
        <w:spacing w:beforeAutospacing="0" w:afterAutospacing="0"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报价文件内容包括：</w:t>
      </w:r>
    </w:p>
    <w:p>
      <w:pPr>
        <w:numPr>
          <w:ilvl w:val="0"/>
          <w:numId w:val="14"/>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开标一览表（格式见附件）；</w:t>
      </w:r>
    </w:p>
    <w:p>
      <w:pPr>
        <w:numPr>
          <w:ilvl w:val="0"/>
          <w:numId w:val="14"/>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投标报价明细表（格式见附件）；</w:t>
      </w:r>
    </w:p>
    <w:p>
      <w:pPr>
        <w:numPr>
          <w:ilvl w:val="0"/>
          <w:numId w:val="14"/>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供应商针对报价需要说明的其他文件和说明（格式自拟）；</w:t>
      </w:r>
    </w:p>
    <w:p>
      <w:pPr>
        <w:snapToGrid w:val="0"/>
        <w:spacing w:beforeAutospacing="0" w:afterAutospacing="0"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 注：1、法定代表人授权委托书必须由法定代表人签署（签名或印章）并加盖单位公章；供应商资格声明函、投标函、开标一览表必须由法定代表人或授权代表签署（签名或印章）并加盖单位公章。</w:t>
      </w:r>
    </w:p>
    <w:p>
      <w:pPr>
        <w:snapToGrid w:val="0"/>
        <w:spacing w:beforeAutospacing="0" w:afterAutospacing="0"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2、联合体投标的，除采购文件要求双方均需提供并签字（签章）盖章的，由联合体牵头人提供并签字（签章）盖章即可</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41" w:name="_Toc10734"/>
      <w:bookmarkEnd w:id="41"/>
      <w:r>
        <w:rPr>
          <w:rFonts w:hint="eastAsia" w:ascii="宋体" w:hAnsi="宋体" w:cs="宋体"/>
          <w:b/>
          <w:color w:val="auto"/>
          <w:szCs w:val="21"/>
          <w:highlight w:val="none"/>
        </w:rPr>
        <w:t>★（二）投标文件的语言及计量</w:t>
      </w:r>
    </w:p>
    <w:p>
      <w:pPr>
        <w:snapToGrid w:val="0"/>
        <w:spacing w:beforeAutospacing="0" w:afterAutospacing="0"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（1）投标文件以及供应商与采购人就有关投标事宜的所有来往函电，均应以中文汉语书写。除签名、盖章、专用名称等特殊情形外，以中文汉语以外的文字表述的投标文件视同未提供。</w:t>
      </w:r>
    </w:p>
    <w:p>
      <w:pPr>
        <w:snapToGrid w:val="0"/>
        <w:spacing w:beforeAutospacing="0" w:afterAutospacing="0"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42" w:name="_Toc3681"/>
      <w:bookmarkEnd w:id="42"/>
      <w:r>
        <w:rPr>
          <w:rFonts w:hint="eastAsia" w:ascii="宋体" w:hAnsi="宋体" w:cs="宋体"/>
          <w:b/>
          <w:color w:val="auto"/>
          <w:szCs w:val="21"/>
          <w:highlight w:val="none"/>
        </w:rPr>
        <w:t>（三）投标报价</w:t>
      </w:r>
    </w:p>
    <w:p>
      <w:pPr>
        <w:pStyle w:val="26"/>
        <w:snapToGrid w:val="0"/>
        <w:spacing w:beforeLines="0" w:beforeAutospacing="0" w:afterLines="0" w:afterAutospacing="0" w:line="360" w:lineRule="auto"/>
        <w:ind w:firstLine="420" w:firstLineChars="200"/>
        <w:jc w:val="left"/>
        <w:rPr>
          <w:rFonts w:hint="default" w:hAnsi="宋体" w:cs="宋体"/>
          <w:color w:val="auto"/>
          <w:highlight w:val="none"/>
        </w:rPr>
      </w:pPr>
      <w:r>
        <w:rPr>
          <w:rFonts w:hAnsi="宋体" w:cs="宋体"/>
          <w:color w:val="auto"/>
          <w:highlight w:val="none"/>
        </w:rPr>
        <w:t>1、投标报价应按招标文件中相关附表格式填写。</w:t>
      </w:r>
    </w:p>
    <w:p>
      <w:pPr>
        <w:pStyle w:val="26"/>
        <w:snapToGrid w:val="0"/>
        <w:spacing w:beforeLines="0" w:beforeAutospacing="0" w:afterLines="0" w:afterAutospacing="0" w:line="360" w:lineRule="auto"/>
        <w:ind w:firstLine="420" w:firstLineChars="200"/>
        <w:jc w:val="left"/>
        <w:rPr>
          <w:rFonts w:hint="default" w:hAnsi="宋体" w:cs="宋体"/>
          <w:bCs/>
          <w:color w:val="auto"/>
          <w:highlight w:val="none"/>
        </w:rPr>
      </w:pPr>
      <w:r>
        <w:rPr>
          <w:rFonts w:hAnsi="宋体" w:cs="宋体"/>
          <w:bCs/>
          <w:color w:val="auto"/>
          <w:highlight w:val="none"/>
        </w:rPr>
        <w:t xml:space="preserve">★2、投标报价是履行合同的最终价格，具体详见第三章《供应商须知》。 </w:t>
      </w:r>
    </w:p>
    <w:p>
      <w:pPr>
        <w:pStyle w:val="26"/>
        <w:snapToGrid w:val="0"/>
        <w:spacing w:beforeLines="0" w:beforeAutospacing="0" w:afterLines="0" w:afterAutospacing="0" w:line="360" w:lineRule="auto"/>
        <w:ind w:firstLine="420" w:firstLineChars="200"/>
        <w:jc w:val="left"/>
        <w:rPr>
          <w:rFonts w:hint="default" w:hAnsi="宋体" w:cs="宋体"/>
          <w:color w:val="auto"/>
          <w:highlight w:val="none"/>
        </w:rPr>
      </w:pPr>
      <w:r>
        <w:rPr>
          <w:rFonts w:hAnsi="宋体" w:cs="宋体"/>
          <w:color w:val="auto"/>
          <w:highlight w:val="none"/>
        </w:rPr>
        <w:t>★3、投标文件只允许有一个报价，有选择的或有条件的报价将不予接受。</w:t>
      </w:r>
    </w:p>
    <w:p>
      <w:pPr>
        <w:pStyle w:val="15"/>
        <w:widowControl w:val="0"/>
        <w:tabs>
          <w:tab w:val="clear" w:pos="454"/>
        </w:tabs>
        <w:snapToGrid w:val="0"/>
        <w:spacing w:beforeAutospacing="0" w:afterLines="0" w:afterAutospacing="0" w:line="360" w:lineRule="auto"/>
        <w:ind w:left="0"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（四）投标文件的有效期</w:t>
      </w:r>
    </w:p>
    <w:p>
      <w:pPr>
        <w:pStyle w:val="15"/>
        <w:widowControl w:val="0"/>
        <w:tabs>
          <w:tab w:val="clear" w:pos="454"/>
        </w:tabs>
        <w:snapToGrid w:val="0"/>
        <w:spacing w:beforeAutospacing="0" w:afterLines="0" w:afterAutospacing="0" w:line="360" w:lineRule="auto"/>
        <w:ind w:left="0"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★1、自投标截止日起</w:t>
      </w:r>
      <w:r>
        <w:rPr>
          <w:rFonts w:hint="eastAsia" w:ascii="宋体" w:hAnsi="宋体" w:cs="宋体"/>
          <w:b/>
          <w:color w:val="auto"/>
          <w:sz w:val="21"/>
          <w:szCs w:val="21"/>
          <w:highlight w:val="none"/>
          <w:u w:val="single"/>
        </w:rPr>
        <w:t>90</w:t>
      </w:r>
      <w:r>
        <w:rPr>
          <w:rFonts w:hint="eastAsia" w:ascii="宋体" w:hAnsi="宋体" w:cs="宋体"/>
          <w:b/>
          <w:color w:val="auto"/>
          <w:sz w:val="21"/>
          <w:szCs w:val="21"/>
          <w:highlight w:val="none"/>
        </w:rPr>
        <w:t>天投标文件应保持有效。</w:t>
      </w:r>
    </w:p>
    <w:p>
      <w:pPr>
        <w:pStyle w:val="15"/>
        <w:widowControl w:val="0"/>
        <w:tabs>
          <w:tab w:val="clear" w:pos="454"/>
        </w:tabs>
        <w:snapToGrid w:val="0"/>
        <w:spacing w:beforeAutospacing="0" w:afterLines="0" w:afterAutospacing="0"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2、在特殊情况下，采购人可与供应商协商延长投标书的有效期，这种要求和答复均以书面形式进行。</w:t>
      </w:r>
    </w:p>
    <w:p>
      <w:pPr>
        <w:snapToGrid w:val="0"/>
        <w:spacing w:beforeAutospacing="0" w:afterAutospacing="0" w:line="360" w:lineRule="auto"/>
        <w:ind w:firstLine="420" w:firstLineChars="200"/>
        <w:jc w:val="left"/>
        <w:rPr>
          <w:rFonts w:ascii="宋体" w:hAnsi="宋体" w:cs="宋体"/>
          <w:b/>
          <w:color w:val="auto"/>
          <w:szCs w:val="21"/>
          <w:highlight w:val="none"/>
        </w:rPr>
      </w:pPr>
      <w:bookmarkStart w:id="43" w:name="_Toc24481"/>
      <w:bookmarkEnd w:id="43"/>
      <w:r>
        <w:rPr>
          <w:rFonts w:hint="eastAsia" w:ascii="宋体" w:hAnsi="宋体" w:cs="宋体"/>
          <w:color w:val="auto"/>
          <w:szCs w:val="21"/>
          <w:highlight w:val="none"/>
        </w:rPr>
        <w:t>3、同意延长有效期的供应商不能修改投标文件。</w:t>
      </w:r>
    </w:p>
    <w:p>
      <w:pPr>
        <w:snapToGrid w:val="0"/>
        <w:spacing w:beforeAutospacing="0" w:afterAutospacing="0" w:line="360" w:lineRule="auto"/>
        <w:ind w:firstLine="420" w:firstLineChars="200"/>
        <w:jc w:val="left"/>
        <w:rPr>
          <w:rFonts w:ascii="宋体" w:hAnsi="宋体" w:cs="宋体"/>
          <w:b/>
          <w:color w:val="auto"/>
          <w:szCs w:val="21"/>
          <w:highlight w:val="none"/>
        </w:rPr>
      </w:pPr>
      <w:bookmarkStart w:id="44" w:name="_Toc6471"/>
      <w:bookmarkEnd w:id="44"/>
      <w:r>
        <w:rPr>
          <w:rFonts w:hint="eastAsia" w:ascii="宋体" w:hAnsi="宋体" w:cs="宋体"/>
          <w:color w:val="auto"/>
          <w:szCs w:val="21"/>
          <w:highlight w:val="none"/>
        </w:rPr>
        <w:t>4、中标人的投标文件自开标之日起至合同履行完毕止均应保持有效。</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45" w:name="_Toc14508"/>
      <w:bookmarkEnd w:id="45"/>
      <w:r>
        <w:rPr>
          <w:rFonts w:hint="eastAsia" w:ascii="宋体" w:hAnsi="宋体" w:cs="宋体"/>
          <w:b/>
          <w:color w:val="auto"/>
          <w:szCs w:val="21"/>
          <w:highlight w:val="none"/>
        </w:rPr>
        <w:t>（五）投标文件的签署和份数</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w:t>
      </w:r>
      <w:r>
        <w:rPr>
          <w:rFonts w:hint="eastAsia" w:ascii="宋体" w:hAnsi="宋体" w:cs="宋体"/>
          <w:color w:val="auto"/>
          <w:highlight w:val="none"/>
        </w:rPr>
        <w:t>供应商应按本招标文件规定的格式和顺序编制、装订投标文件</w:t>
      </w:r>
      <w:r>
        <w:rPr>
          <w:rFonts w:hint="eastAsia" w:ascii="宋体" w:hAnsi="宋体" w:cs="宋体"/>
          <w:color w:val="auto"/>
          <w:szCs w:val="21"/>
          <w:highlight w:val="none"/>
        </w:rPr>
        <w:t>，投标文件要求有目录并标注页码</w:t>
      </w:r>
      <w:r>
        <w:rPr>
          <w:rFonts w:hint="eastAsia" w:ascii="宋体" w:hAnsi="宋体" w:cs="宋体"/>
          <w:color w:val="auto"/>
          <w:highlight w:val="none"/>
        </w:rPr>
        <w:t>，投标文件内容不完整、编排混乱导致投标文件被误读、漏读或者查找不到相关内容的，是供应商的责任。</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2、投标文件的份数：</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本项目实行网上投标，供应商应准备以下投标文件：</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（1）上传到政府采购云平台的电子投标文件（含资格文件、商务技术文件、报价文件）1份。</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（2）以U盘存储的电子备份投标文件（含资格文件、商务技术文件、报价文件）1份。</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3、电子投标文件：</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highlight w:val="none"/>
        </w:rPr>
        <w:t>及本招标文件规定的格式和顺序编制电子投标文件并进行关联定位。</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4、投标文件不得涂改，若有修改错漏处，须加盖单位公章或者法定代表人或授权委托人签名或盖章。投标文件因字迹潦草或表达不清所引起的后果由供应商负责。</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5、投标文件须由供应商在规定位置盖章并由法定代表人或法定代表人的授权委托人签署，供应商应写全称。</w:t>
      </w:r>
    </w:p>
    <w:p>
      <w:pPr>
        <w:snapToGrid w:val="0"/>
        <w:spacing w:beforeAutospacing="0" w:afterAutospacing="0"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（六）投标文件的包装、递交、修改和撤回</w:t>
      </w:r>
    </w:p>
    <w:p>
      <w:pPr>
        <w:snapToGrid w:val="0"/>
        <w:spacing w:beforeAutospacing="0" w:afterAutospacing="0"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用封袋密封后递交。</w:t>
      </w:r>
    </w:p>
    <w:p>
      <w:pPr>
        <w:snapToGrid w:val="0"/>
        <w:spacing w:beforeAutospacing="0" w:afterAutospacing="0"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的包装封面上应注明供应商名称、供应商地址、投标文件名称(电子备份投标文件)、投标项目名称、项目编号、标项号，并加盖供应商公章。</w:t>
      </w:r>
    </w:p>
    <w:p>
      <w:pPr>
        <w:snapToGrid w:val="0"/>
        <w:spacing w:beforeAutospacing="0" w:afterAutospacing="0"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3、未按规定密封或标记的</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将被拒绝，由此造成</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被提前拆封的风险由供应商承担。</w:t>
      </w:r>
    </w:p>
    <w:p>
      <w:pPr>
        <w:snapToGrid w:val="0"/>
        <w:spacing w:beforeAutospacing="0" w:afterAutospacing="0"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4、供应商在投标截止时间之前，可以对已提交的</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进行修改或撤回，并书面通知招标采购单位；投标截止时间后，供应商不得撤回、修改</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。修改后重新递交的</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应当按本招标文件的要求签署、盖章和密封。</w:t>
      </w:r>
    </w:p>
    <w:p>
      <w:pPr>
        <w:snapToGrid w:val="0"/>
        <w:spacing w:beforeAutospacing="0" w:afterAutospacing="0"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26"/>
        <w:snapToGrid w:val="0"/>
        <w:spacing w:beforeLines="0" w:beforeAutospacing="0" w:afterLines="0" w:afterAutospacing="0" w:line="360" w:lineRule="auto"/>
        <w:ind w:left="772" w:leftChars="267" w:hanging="211" w:hangingChars="100"/>
        <w:rPr>
          <w:rFonts w:hint="default" w:hAnsi="宋体" w:cs="宋体"/>
          <w:b/>
          <w:color w:val="auto"/>
          <w:highlight w:val="none"/>
        </w:rPr>
      </w:pPr>
      <w:bookmarkStart w:id="46" w:name="_Toc2054"/>
      <w:r>
        <w:rPr>
          <w:rFonts w:hAnsi="宋体" w:cs="宋体"/>
          <w:b/>
          <w:color w:val="auto"/>
          <w:highlight w:val="none"/>
        </w:rPr>
        <w:t>（七）投标文件的形式和效力</w:t>
      </w:r>
    </w:p>
    <w:p>
      <w:pPr>
        <w:snapToGrid w:val="0"/>
        <w:spacing w:beforeAutospacing="0" w:afterAutospacing="0"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1、投标文件分为：“电子投标文件”和“电子备份投标文件”。</w:t>
      </w:r>
    </w:p>
    <w:p>
      <w:pPr>
        <w:snapToGrid w:val="0"/>
        <w:spacing w:beforeAutospacing="0" w:afterAutospacing="0"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2、“电子投标文件”是指通过“政采云电子交易客户端”完成投标文件编制后生成并加密的数据电文形式的投标文件（文件后缀为：jmbs）。</w:t>
      </w:r>
    </w:p>
    <w:p>
      <w:pPr>
        <w:snapToGrid w:val="0"/>
        <w:spacing w:beforeAutospacing="0" w:afterAutospacing="0"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3、“电子备份投标文件”是指与“电子投标文件”同时生成的数据电文形式的电子文件文件后缀为：bfbs（备份标书），其他方式编制的备份投标文件视为无效备份投标文件。</w:t>
      </w:r>
    </w:p>
    <w:p>
      <w:pPr>
        <w:snapToGrid w:val="0"/>
        <w:spacing w:beforeAutospacing="0" w:afterAutospacing="0"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投标文件的效力：投标文件的启用，按先后顺位分别为“电子投标文件”、“电子备份投标文件”。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bookmarkEnd w:id="46"/>
    <w:p>
      <w:pPr>
        <w:pStyle w:val="26"/>
        <w:snapToGrid w:val="0"/>
        <w:spacing w:beforeLines="0" w:beforeAutospacing="0" w:afterLines="0" w:afterAutospacing="0" w:line="360" w:lineRule="auto"/>
        <w:ind w:left="772" w:leftChars="267" w:hanging="211" w:hangingChars="100"/>
        <w:rPr>
          <w:rFonts w:hint="default" w:hAnsi="宋体" w:cs="宋体"/>
          <w:b/>
          <w:color w:val="auto"/>
          <w:highlight w:val="none"/>
        </w:rPr>
      </w:pPr>
      <w:r>
        <w:rPr>
          <w:rFonts w:hAnsi="宋体" w:cs="宋体"/>
          <w:b/>
          <w:color w:val="auto"/>
          <w:highlight w:val="none"/>
        </w:rPr>
        <w:t>四、特别说明</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1、本项目</w:t>
      </w:r>
      <w:r>
        <w:rPr>
          <w:rFonts w:hint="eastAsia" w:ascii="宋体" w:hAnsi="宋体" w:cs="宋体"/>
          <w:color w:val="auto"/>
          <w:szCs w:val="21"/>
          <w:highlight w:val="none"/>
          <w:u w:val="single"/>
          <w:lang w:val="zh-CN"/>
        </w:rPr>
        <w:t xml:space="preserve"> 是</w:t>
      </w:r>
      <w:r>
        <w:rPr>
          <w:rFonts w:hint="eastAsia" w:ascii="宋体" w:hAnsi="宋体" w:cs="宋体"/>
          <w:color w:val="auto"/>
          <w:szCs w:val="21"/>
          <w:highlight w:val="none"/>
          <w:lang w:val="zh-CN"/>
        </w:rPr>
        <w:t>专门面向中小企业采购。</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b/>
          <w:bCs/>
          <w:color w:val="auto"/>
          <w:szCs w:val="21"/>
          <w:highlight w:val="none"/>
        </w:rPr>
        <w:t>★所有参与本项目的供应商均需提供《中小企业声明函》，否则予以无效标处理。</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2、本项目对应的中小企业划分标准所属行业：</w:t>
      </w:r>
      <w:r>
        <w:rPr>
          <w:rFonts w:hint="eastAsia" w:hAnsi="宋体" w:cs="宋体"/>
          <w:color w:val="auto"/>
          <w:szCs w:val="21"/>
          <w:highlight w:val="none"/>
          <w:u w:val="single"/>
        </w:rPr>
        <w:t xml:space="preserve"> 其他未列明行业 </w:t>
      </w:r>
      <w:r>
        <w:rPr>
          <w:rFonts w:hint="eastAsia" w:ascii="宋体" w:hAnsi="宋体" w:cs="宋体"/>
          <w:color w:val="auto"/>
          <w:szCs w:val="21"/>
          <w:highlight w:val="none"/>
          <w:lang w:val="zh-CN"/>
        </w:rPr>
        <w:t xml:space="preserve">。 </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3、小微企业是指中华人民共和国境内依法设立，依据国务院批准的中小企业划分标准确定的小型企业和微型企业，但与大企业的负责人为同一人，或者与大企业存在直接控股、管理关系的除外。</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符合中小企业划分标准的个体工商户，在政府采购活动中视同中小企业。</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国务院批准的中小企业划分标准：具体见工信部联企业[2011]300号。</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b/>
          <w:bCs/>
          <w:color w:val="auto"/>
          <w:szCs w:val="21"/>
          <w:highlight w:val="none"/>
        </w:rPr>
        <w:t>（不适用）</w:t>
      </w:r>
      <w:r>
        <w:rPr>
          <w:rFonts w:hint="eastAsia" w:ascii="宋体" w:hAnsi="宋体" w:cs="宋体"/>
          <w:color w:val="auto"/>
          <w:szCs w:val="21"/>
          <w:highlight w:val="none"/>
          <w:lang w:val="zh-CN"/>
        </w:rPr>
        <w:t>4、在政府采购活动中，供应商提供的货物、工程或者服务符合下列情形的，可享受小型、微型企业（以下简称小微企业）的价格扣除：</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（1）在货物采购项目中，货物由小微企业制造，即货物由小微企业生产且使用该小微企业商号或者注册商标；</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（2）在工程采购项目中，工程由小微企业承建，即工程施工单位为小微企业；</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（3）在服务采购项目中，服务由小微企业承接，即提供服务的人员为小微企业依照《中华人民共和国劳动合同法》订立劳动合同的从业人员。</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以联合体形式参加政府采购活动，联合体各方均为小微企业的，联合体视同小微企业。</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5、在货物采购项目中，供应商提供的货物既有中小企业制造货物，也有大型企业制造货物的，不享受的小微企业价格扣除。</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b/>
          <w:bCs/>
          <w:color w:val="auto"/>
          <w:szCs w:val="21"/>
          <w:highlight w:val="none"/>
        </w:rPr>
        <w:t>（不适用）</w:t>
      </w:r>
      <w:r>
        <w:rPr>
          <w:rFonts w:hint="eastAsia" w:ascii="宋体" w:hAnsi="宋体" w:cs="宋体"/>
          <w:color w:val="auto"/>
          <w:szCs w:val="21"/>
          <w:highlight w:val="none"/>
          <w:lang w:val="zh-CN"/>
        </w:rPr>
        <w:t>6、本项目对符合《政府采购促进中小企业发展管理办法》（财库﹝2020﹞46号）规定的小微企业报价给予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w:t>
      </w:r>
      <w:r>
        <w:rPr>
          <w:rFonts w:hint="eastAsia" w:ascii="宋体" w:hAnsi="宋体" w:cs="宋体"/>
          <w:color w:val="auto"/>
          <w:szCs w:val="21"/>
          <w:highlight w:val="none"/>
          <w:lang w:val="zh-CN"/>
        </w:rPr>
        <w:t>%（工程项目为</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%）的扣除，用扣除后的价格参加评审。</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%（工程项目为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%）的扣除，用扣除后的价格参加评审。组成联合体或者接受分包的小微企业与联合体内其他企业、分包企业之间存在直接控股、管理关系的，不享受价格扣除优惠政策。</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7、小微企业应按照招标文件格式要求提供《中小企业声明函》。</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10、按规定享受扶持政策获得政府采购合同的，小微企业不得将合同分包给大中型企业，中型企业不得将合同分包给大型企业。</w:t>
      </w:r>
    </w:p>
    <w:p>
      <w:pPr>
        <w:snapToGrid w:val="0"/>
        <w:spacing w:beforeAutospacing="0" w:afterAutospacing="0" w:line="360" w:lineRule="auto"/>
        <w:ind w:firstLine="420"/>
        <w:jc w:val="left"/>
        <w:rPr>
          <w:rFonts w:ascii="宋体" w:hAnsi="宋体" w:cs="宋体"/>
          <w:b/>
          <w:bCs/>
          <w:color w:val="auto"/>
          <w:sz w:val="32"/>
          <w:szCs w:val="32"/>
          <w:highlight w:val="none"/>
        </w:rPr>
      </w:pPr>
      <w:r>
        <w:rPr>
          <w:rFonts w:hint="eastAsia" w:ascii="宋体" w:hAnsi="宋体" w:cs="宋体"/>
          <w:color w:val="auto"/>
          <w:szCs w:val="21"/>
          <w:highlight w:val="none"/>
          <w:lang w:val="zh-CN"/>
        </w:rPr>
        <w:t>11、供应商按照《政府采购促进中小企业发展管理办法》（财库﹝2020﹞46号）规定提供声明函内容不实的，属于提供虚假材料谋取中标、成交，依照《中华人民共和国政府采购法》等国家有关规定追究相应责任。</w:t>
      </w:r>
    </w:p>
    <w:p>
      <w:pPr>
        <w:pStyle w:val="2"/>
        <w:rPr>
          <w:color w:val="auto"/>
          <w:highlight w:val="none"/>
        </w:rPr>
      </w:pPr>
    </w:p>
    <w:p>
      <w:pPr>
        <w:pStyle w:val="2"/>
        <w:rPr>
          <w:color w:val="auto"/>
          <w:highlight w:val="none"/>
        </w:rPr>
        <w:sectPr>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pPr>
    </w:p>
    <w:p>
      <w:pPr>
        <w:snapToGrid w:val="0"/>
        <w:spacing w:beforeAutospacing="0" w:afterAutospacing="0" w:line="360" w:lineRule="auto"/>
        <w:jc w:val="center"/>
        <w:outlineLvl w:val="0"/>
        <w:rPr>
          <w:rFonts w:ascii="宋体" w:hAnsi="宋体" w:cs="宋体"/>
          <w:color w:val="auto"/>
          <w:highlight w:val="none"/>
        </w:rPr>
      </w:pPr>
      <w:bookmarkStart w:id="47" w:name="_Toc8968"/>
      <w:bookmarkEnd w:id="47"/>
      <w:r>
        <w:rPr>
          <w:rFonts w:hint="eastAsia" w:ascii="宋体" w:hAnsi="宋体" w:cs="宋体"/>
          <w:b/>
          <w:bCs/>
          <w:color w:val="auto"/>
          <w:sz w:val="32"/>
          <w:szCs w:val="32"/>
          <w:highlight w:val="none"/>
        </w:rPr>
        <w:t>第四章  评标办法及评分标准</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 xml:space="preserve">本办法严格遵照《中华人民共和国政府采购法》、《政府采购货物和服务招标投标管理办法》，结合项目所在地政府有关政府采购规定和项目的实际情况制定。 </w:t>
      </w: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szCs w:val="21"/>
          <w:highlight w:val="none"/>
        </w:rPr>
        <w:t>一、开标准备</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采购代理机构将在政府采购云平台进行开标，供应商的法定代表人或其授权代表可在线参加开标会。供应商的法定代表人或其授权代表未参加开标会的，视同放弃开标监督权利、认可开标结果。</w:t>
      </w:r>
    </w:p>
    <w:p>
      <w:pPr>
        <w:spacing w:beforeAutospacing="0" w:afterAutospacing="0" w:line="360" w:lineRule="auto"/>
        <w:rPr>
          <w:rFonts w:ascii="宋体" w:hAnsi="宋体" w:cs="宋体"/>
          <w:color w:val="auto"/>
          <w:szCs w:val="21"/>
          <w:highlight w:val="none"/>
        </w:rPr>
      </w:pPr>
      <w:r>
        <w:rPr>
          <w:rFonts w:hint="eastAsia" w:ascii="宋体" w:hAnsi="宋体" w:cs="宋体"/>
          <w:b/>
          <w:bCs/>
          <w:color w:val="auto"/>
          <w:szCs w:val="21"/>
          <w:highlight w:val="none"/>
        </w:rPr>
        <w:t>二、开标程序：</w:t>
      </w:r>
    </w:p>
    <w:p>
      <w:pPr>
        <w:spacing w:beforeAutospacing="0" w:afterAutospacing="0"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1、电子招投标开标程序：</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第一阶段：</w:t>
      </w:r>
    </w:p>
    <w:p>
      <w:pPr>
        <w:numPr>
          <w:ilvl w:val="0"/>
          <w:numId w:val="15"/>
        </w:num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投标截止时间后，供应商登录政府采购云平台，用“项目采购-开标评标”功能对电子投标文件进行在线解密，在线解密电子投标文件时间为开标时间后30分钟内。</w:t>
      </w:r>
    </w:p>
    <w:p>
      <w:pPr>
        <w:numPr>
          <w:ilvl w:val="0"/>
          <w:numId w:val="15"/>
        </w:num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在政府采购云平台开启已解密供应商的“资格文件、商务技术文件”，并做开标记录；</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第二阶段：</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宣告第一阶段评审无效供应商名单及理由；</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（2）公布经第一阶段评审符合招标文件要求的供应商的商务技术得分情况；</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开启除第一阶段无效标外的供应商的“报价文件”，并做开标记录；</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公布评审结果。</w:t>
      </w:r>
    </w:p>
    <w:p>
      <w:pPr>
        <w:spacing w:beforeAutospacing="0" w:afterAutospacing="0"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（5）开标会议结束。</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s="宋体"/>
          <w:color w:val="auto"/>
          <w:szCs w:val="21"/>
          <w:highlight w:val="none"/>
        </w:rPr>
        <w:t>，但有以下情形之一的，按以下情况处理：</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，上传至政采云平台项目采购模块，以完成开标，电子投标文件自动失效。</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2.1电子交易平台发生故障而无法登录访问的； </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2.2电子交易平台应用或数据库出现错误，不能进行正常操作的；</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2.3电子交易平台发现严重安全漏洞，有潜在泄密危险的；</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2.4病毒发作导致不能进行正常操作的； </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2.5其他无法保证电子交易的公平、公正和安全的情况。</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szCs w:val="21"/>
          <w:highlight w:val="none"/>
        </w:rPr>
        <w:t>三、评标委员会</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（一）本次招标依法组建评标委员会。</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（三）评审专家有下列情形之一的，受到邀请应主动提出回避，采购当事人也可以要求该评审专家回避：</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1、参加采购活动前三年内，与供应商存在劳动关系，或者担任过供应商的董事、监事，或者是供应商的控股股东或实际控制人；</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2、与供应商的法定代表人或者负责人有夫妻、直系血亲、三代以内旁系血亲或者近姻亲关系；</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3、与供应商有其他可能影响政府采购活动公平、公正进行的关系；</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4、参与过采购项目进口产品论证的专家应当回避；</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5、通过随机抽到本单位的评审专家，采购人已经指定了采购人代表，该评审专家应当回避，采购人自行选定相应专业领域评审专家情形除外；</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6、法律、法规、规章规定应当回避以及其他可能影响公正评审的。</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szCs w:val="21"/>
          <w:highlight w:val="none"/>
        </w:rPr>
        <w:t>四、评标方法</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w:t>
      </w:r>
      <w:r>
        <w:rPr>
          <w:rFonts w:hint="eastAsia" w:ascii="宋体" w:hAnsi="宋体" w:cs="宋体"/>
          <w:bCs/>
          <w:color w:val="auto"/>
          <w:highlight w:val="none"/>
        </w:rPr>
        <w:t>推荐3名及以上</w:t>
      </w:r>
      <w:r>
        <w:rPr>
          <w:rFonts w:hint="eastAsia" w:ascii="宋体" w:hAnsi="宋体" w:cs="宋体"/>
          <w:color w:val="auto"/>
          <w:szCs w:val="21"/>
          <w:highlight w:val="none"/>
        </w:rPr>
        <w:t>中标</w:t>
      </w:r>
      <w:r>
        <w:rPr>
          <w:rFonts w:hint="eastAsia" w:ascii="宋体" w:hAnsi="宋体" w:cs="宋体"/>
          <w:bCs/>
          <w:color w:val="auto"/>
          <w:highlight w:val="none"/>
        </w:rPr>
        <w:t>候选人</w:t>
      </w:r>
      <w:r>
        <w:rPr>
          <w:rFonts w:hint="eastAsia" w:ascii="宋体" w:hAnsi="宋体" w:cs="宋体"/>
          <w:color w:val="auto"/>
          <w:szCs w:val="21"/>
          <w:highlight w:val="none"/>
        </w:rPr>
        <w:t>。得分相同的，按投标报价由低到高顺序排列。得分且投标报价相同的并列，则抽签决定。</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若出现参与的供应商或者对招标文件作出实质性响应的供应商不足3家的情况，本项目作废标处理。</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（三）投标文件的澄清</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1、对于投标文件中含义不明确、同类问题表述不一致或者有明显文字和计算错误的内容，评标委员会应当以书面形式要求供应商作出必要的澄清、说明或者补正。</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（四）投标文件错误修正原则</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1、投标文件中开标一览表（报价表）内容与投标文件中相应内容不一致的，以开标一览表（报价表）为准；</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numPr>
          <w:ilvl w:val="0"/>
          <w:numId w:val="16"/>
        </w:numPr>
        <w:autoSpaceDE w:val="0"/>
        <w:spacing w:beforeAutospacing="0" w:afterAutospacing="0"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政采云平台填报的开标一览表中的价格与上传的报价文件中开标一览表的报价不一致的，以上传的报价文件为准。</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同时出现两种以上不一致的，按照前款规定的顺序修正。修正后的报价按照投标文件澄清第二款的规定经供应商确认后产生约束力，供应商不确认的，其投标无效。</w:t>
      </w:r>
    </w:p>
    <w:p>
      <w:pPr>
        <w:pStyle w:val="29"/>
        <w:spacing w:beforeAutospacing="0" w:afterAutospacing="0" w:line="360" w:lineRule="auto"/>
        <w:ind w:firstLine="0" w:firstLineChars="0"/>
        <w:rPr>
          <w:rFonts w:ascii="宋体" w:hAnsi="宋体" w:cs="宋体"/>
          <w:color w:val="auto"/>
          <w:szCs w:val="21"/>
          <w:highlight w:val="none"/>
        </w:rPr>
      </w:pPr>
    </w:p>
    <w:p>
      <w:pPr>
        <w:numPr>
          <w:ilvl w:val="0"/>
          <w:numId w:val="17"/>
        </w:numPr>
        <w:spacing w:beforeAutospacing="0" w:afterAutospacing="0" w:line="360" w:lineRule="auto"/>
        <w:rPr>
          <w:rFonts w:ascii="宋体" w:hAnsi="宋体" w:cs="宋体"/>
          <w:b/>
          <w:bCs/>
          <w:color w:val="auto"/>
          <w:szCs w:val="21"/>
          <w:highlight w:val="none"/>
        </w:rPr>
      </w:pPr>
      <w:bookmarkStart w:id="48" w:name="_Toc481567077"/>
      <w:bookmarkEnd w:id="48"/>
      <w:bookmarkStart w:id="49" w:name="_Toc493058318"/>
      <w:bookmarkEnd w:id="49"/>
      <w:r>
        <w:rPr>
          <w:rFonts w:hint="eastAsia" w:ascii="宋体" w:hAnsi="宋体" w:cs="宋体"/>
          <w:b/>
          <w:bCs/>
          <w:color w:val="auto"/>
          <w:szCs w:val="21"/>
          <w:highlight w:val="none"/>
        </w:rPr>
        <w:t>评标程序</w:t>
      </w:r>
    </w:p>
    <w:p>
      <w:pPr>
        <w:spacing w:beforeAutospacing="0" w:afterAutospacing="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（一）资格条件审查</w:t>
      </w:r>
    </w:p>
    <w:p>
      <w:pPr>
        <w:spacing w:beforeAutospacing="0" w:afterAutospacing="0" w:line="360" w:lineRule="auto"/>
        <w:ind w:firstLine="522" w:firstLineChars="249"/>
        <w:rPr>
          <w:rFonts w:ascii="宋体" w:hAnsi="宋体" w:cs="宋体"/>
          <w:color w:val="auto"/>
          <w:szCs w:val="21"/>
          <w:highlight w:val="none"/>
        </w:rPr>
      </w:pPr>
      <w:r>
        <w:rPr>
          <w:rFonts w:hint="eastAsia" w:ascii="宋体" w:hAnsi="宋体" w:cs="宋体"/>
          <w:color w:val="auto"/>
          <w:szCs w:val="21"/>
          <w:highlight w:val="none"/>
        </w:rPr>
        <w:t>由采购人或采购代理机构对供应商的资格进行审查。</w:t>
      </w:r>
    </w:p>
    <w:tbl>
      <w:tblPr>
        <w:tblStyle w:val="4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521" w:type="dxa"/>
          </w:tcPr>
          <w:p>
            <w:pPr>
              <w:spacing w:beforeAutospacing="0" w:afterAutospacing="0"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794" w:type="dxa"/>
          </w:tcPr>
          <w:p>
            <w:pPr>
              <w:spacing w:beforeAutospacing="0" w:afterAutospacing="0"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vAlign w:val="center"/>
          </w:tcPr>
          <w:p>
            <w:pPr>
              <w:spacing w:beforeAutospacing="0" w:afterAutospacing="0" w:line="336" w:lineRule="auto"/>
              <w:jc w:val="center"/>
              <w:rPr>
                <w:rFonts w:ascii="宋体" w:hAnsi="宋体" w:cs="宋体"/>
                <w:color w:val="auto"/>
                <w:szCs w:val="21"/>
                <w:highlight w:val="none"/>
              </w:rPr>
            </w:pPr>
            <w:r>
              <w:rPr>
                <w:rFonts w:hint="eastAsia" w:ascii="宋体" w:hAnsi="宋体" w:cs="宋体"/>
                <w:color w:val="auto"/>
                <w:szCs w:val="21"/>
                <w:highlight w:val="none"/>
              </w:rPr>
              <w:t>资格条件审查</w:t>
            </w:r>
          </w:p>
        </w:tc>
        <w:tc>
          <w:tcPr>
            <w:tcW w:w="6794" w:type="dxa"/>
          </w:tcPr>
          <w:p>
            <w:pPr>
              <w:numPr>
                <w:ilvl w:val="0"/>
                <w:numId w:val="18"/>
              </w:numPr>
              <w:spacing w:beforeAutospacing="0" w:afterAutospacing="0" w:line="336" w:lineRule="auto"/>
              <w:rPr>
                <w:rFonts w:ascii="宋体" w:hAnsi="宋体" w:cs="宋体"/>
                <w:color w:val="auto"/>
                <w:highlight w:val="none"/>
              </w:rPr>
            </w:pPr>
            <w:r>
              <w:rPr>
                <w:rFonts w:hint="eastAsia" w:ascii="宋体" w:hAnsi="宋体" w:cs="宋体"/>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794" w:type="dxa"/>
          </w:tcPr>
          <w:p>
            <w:pPr>
              <w:numPr>
                <w:ilvl w:val="0"/>
                <w:numId w:val="18"/>
              </w:num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落实政府采购政策需满足的资格要求：本项目为专门面向中小微企业采购项目，供应商须为中小微企业。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beforeAutospacing="0" w:afterAutospacing="0" w:line="336" w:lineRule="auto"/>
              <w:rPr>
                <w:rFonts w:ascii="宋体" w:hAnsi="宋体" w:cs="宋体"/>
                <w:color w:val="auto"/>
                <w:szCs w:val="21"/>
                <w:highlight w:val="none"/>
              </w:rPr>
            </w:pPr>
          </w:p>
        </w:tc>
        <w:tc>
          <w:tcPr>
            <w:tcW w:w="6794" w:type="dxa"/>
          </w:tcPr>
          <w:p>
            <w:pPr>
              <w:spacing w:beforeAutospacing="0" w:afterAutospacing="0" w:line="336" w:lineRule="auto"/>
              <w:rPr>
                <w:rFonts w:ascii="宋体" w:hAnsi="宋体" w:cs="宋体"/>
                <w:color w:val="auto"/>
                <w:highlight w:val="none"/>
              </w:rPr>
            </w:pPr>
            <w:r>
              <w:rPr>
                <w:rFonts w:hint="eastAsia" w:ascii="宋体" w:hAnsi="宋体" w:cs="宋体"/>
                <w:color w:val="auto"/>
                <w:highlight w:val="none"/>
              </w:rPr>
              <w:t>（三）特定资格条件：详见“第一章  公开招标公告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beforeAutospacing="0" w:afterAutospacing="0" w:line="336" w:lineRule="auto"/>
              <w:rPr>
                <w:rFonts w:ascii="宋体" w:hAnsi="宋体" w:cs="宋体"/>
                <w:color w:val="auto"/>
                <w:szCs w:val="21"/>
                <w:highlight w:val="none"/>
              </w:rPr>
            </w:pPr>
          </w:p>
        </w:tc>
        <w:tc>
          <w:tcPr>
            <w:tcW w:w="6794" w:type="dxa"/>
          </w:tcPr>
          <w:p>
            <w:pPr>
              <w:spacing w:beforeAutospacing="0" w:afterAutospacing="0" w:line="336" w:lineRule="auto"/>
              <w:rPr>
                <w:rFonts w:ascii="宋体" w:hAnsi="宋体" w:cs="宋体"/>
                <w:color w:val="auto"/>
                <w:highlight w:val="none"/>
              </w:rPr>
            </w:pPr>
            <w:r>
              <w:rPr>
                <w:rFonts w:hint="eastAsia" w:ascii="宋体" w:hAnsi="宋体" w:cs="宋体"/>
                <w:color w:val="auto"/>
                <w:szCs w:val="21"/>
                <w:highlight w:val="none"/>
              </w:rPr>
              <w:t>（四）</w:t>
            </w:r>
            <w:r>
              <w:rPr>
                <w:rFonts w:hint="eastAsia" w:ascii="宋体" w:hAnsi="宋体" w:cs="宋体"/>
                <w:color w:val="auto"/>
                <w:highlight w:val="none"/>
              </w:rPr>
              <w:t>本项目接受联合体投标；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beforeAutospacing="0" w:afterAutospacing="0" w:line="336" w:lineRule="auto"/>
              <w:rPr>
                <w:rFonts w:ascii="宋体" w:hAnsi="宋体" w:cs="宋体"/>
                <w:color w:val="auto"/>
                <w:szCs w:val="21"/>
                <w:highlight w:val="none"/>
              </w:rPr>
            </w:pPr>
          </w:p>
        </w:tc>
        <w:tc>
          <w:tcPr>
            <w:tcW w:w="6794" w:type="dxa"/>
          </w:tcPr>
          <w:p>
            <w:pPr>
              <w:spacing w:beforeAutospacing="0" w:afterAutospacing="0" w:line="336" w:lineRule="auto"/>
              <w:rPr>
                <w:rFonts w:ascii="宋体" w:hAnsi="宋体" w:cs="宋体"/>
                <w:color w:val="auto"/>
                <w:highlight w:val="none"/>
              </w:rPr>
            </w:pPr>
            <w:r>
              <w:rPr>
                <w:rFonts w:hint="eastAsia" w:ascii="宋体" w:hAnsi="宋体" w:cs="宋体"/>
                <w:color w:val="auto"/>
                <w:szCs w:val="21"/>
                <w:highlight w:val="none"/>
              </w:rPr>
              <w:t>（五）招标文件要求的其他资格条件（如有）。</w:t>
            </w:r>
          </w:p>
        </w:tc>
      </w:tr>
    </w:tbl>
    <w:p>
      <w:pPr>
        <w:spacing w:beforeAutospacing="0" w:afterAutospacing="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（二）符合性审查</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评标委员会应当对符合资格的供应商的投标文件进行符合性审查，以确定其是否满足招标文件的实质性要求。</w:t>
      </w:r>
    </w:p>
    <w:tbl>
      <w:tblPr>
        <w:tblStyle w:val="4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tcPr>
          <w:p>
            <w:pPr>
              <w:spacing w:beforeAutospacing="0" w:afterAutospacing="0"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525" w:type="dxa"/>
          </w:tcPr>
          <w:p>
            <w:pPr>
              <w:spacing w:beforeAutospacing="0" w:afterAutospacing="0"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restart"/>
            <w:vAlign w:val="center"/>
          </w:tcPr>
          <w:p>
            <w:pPr>
              <w:spacing w:beforeAutospacing="0" w:afterAutospacing="0" w:line="336"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beforeAutospacing="0" w:afterAutospacing="0" w:line="336" w:lineRule="auto"/>
              <w:jc w:val="center"/>
              <w:rPr>
                <w:rFonts w:ascii="宋体" w:hAnsi="宋体" w:cs="宋体"/>
                <w:color w:val="auto"/>
                <w:szCs w:val="21"/>
                <w:highlight w:val="none"/>
              </w:rPr>
            </w:pPr>
            <w:r>
              <w:rPr>
                <w:rFonts w:hint="eastAsia" w:ascii="宋体" w:hAnsi="宋体" w:cs="宋体"/>
                <w:color w:val="auto"/>
                <w:szCs w:val="21"/>
                <w:highlight w:val="none"/>
              </w:rPr>
              <w:t>（商务技术文件）</w:t>
            </w: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（一）投标函已提交并符合招标文件要求；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（二）按照招标文件规定要求签署或盖章；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（三）投标文件有法定代表人签署本人姓名（或印盖本人姓名章），或签署人提供有效的法定代表人授权委托书且授权委托书填写项目齐全的；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（四）投标文件项目齐全；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kern w:val="0"/>
                <w:szCs w:val="21"/>
                <w:highlight w:val="none"/>
              </w:rPr>
            </w:pPr>
            <w:r>
              <w:rPr>
                <w:rFonts w:hint="eastAsia" w:ascii="宋体" w:hAnsi="宋体" w:cs="宋体"/>
                <w:color w:val="auto"/>
                <w:szCs w:val="21"/>
                <w:highlight w:val="none"/>
              </w:rPr>
              <w:t>（五）投标文件标明的响应或偏离与事实相符且无虚假投标的；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（六）投标文件的实质性内容使用中文表述且意思表述明确，前后无矛盾且使用计量单位符合招标文件要求的；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（七）带“★”的条款满足招标文件要求、已实质性响应招标文件要求且投标文件无采购人不能接受的附加条件的；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（八）投标技术方案明确，不存在一个或一个以上备选（替代）投标方案的；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（九）商务技术文件中未出现报价或单价的；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（十）不存在法律、法规和招标文件规定的其他无效情形；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（十一）不存在投标文件的有效期不满足招标文件要求情形；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restart"/>
            <w:vAlign w:val="center"/>
          </w:tcPr>
          <w:p>
            <w:pPr>
              <w:spacing w:beforeAutospacing="0" w:afterAutospacing="0" w:line="336"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beforeAutospacing="0" w:afterAutospacing="0" w:line="336" w:lineRule="auto"/>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（报价文件）</w:t>
            </w: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（三）采用人民币报价或者按照招标文件标明的币种报价的；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（九）不存在法律、法规和招标文件规定的其他无效情形；</w:t>
            </w:r>
          </w:p>
        </w:tc>
      </w:tr>
    </w:tbl>
    <w:p>
      <w:pPr>
        <w:spacing w:beforeAutospacing="0" w:afterAutospacing="0" w:line="360" w:lineRule="auto"/>
        <w:ind w:firstLine="422" w:firstLineChars="200"/>
        <w:rPr>
          <w:rFonts w:ascii="宋体" w:hAnsi="宋体" w:cs="宋体"/>
          <w:b/>
          <w:color w:val="auto"/>
          <w:highlight w:val="none"/>
        </w:rPr>
      </w:pPr>
      <w:bookmarkStart w:id="50" w:name="_Toc249866767"/>
      <w:bookmarkEnd w:id="50"/>
      <w:bookmarkStart w:id="51" w:name="_Toc259108323"/>
      <w:bookmarkEnd w:id="51"/>
      <w:r>
        <w:rPr>
          <w:rFonts w:hint="eastAsia" w:ascii="宋体" w:hAnsi="宋体" w:cs="宋体"/>
          <w:b/>
          <w:color w:val="auto"/>
          <w:highlight w:val="none"/>
        </w:rPr>
        <w:t>（三）投标无效的情形</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没有响应招标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spacing w:beforeAutospacing="0" w:afterAutospacing="0" w:line="360" w:lineRule="auto"/>
        <w:ind w:firstLine="422" w:firstLineChars="200"/>
        <w:rPr>
          <w:color w:val="auto"/>
          <w:highlight w:val="none"/>
        </w:rPr>
      </w:pPr>
      <w:r>
        <w:rPr>
          <w:rFonts w:hint="eastAsia" w:ascii="宋体" w:hAnsi="宋体" w:cs="宋体"/>
          <w:b/>
          <w:bCs/>
          <w:color w:val="auto"/>
          <w:szCs w:val="21"/>
          <w:highlight w:val="none"/>
        </w:rPr>
        <w:t>★上传投标文件同一网卡地址、同一IP地址的为无效标。</w:t>
      </w: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szCs w:val="21"/>
          <w:highlight w:val="none"/>
        </w:rPr>
        <w:t>A、在资格审查时，如发现下列情形之一的，将被视为无效投标文件：</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1、资格证明文件不全的或者不符合招标文件标明的资格要求的；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2、供应商资格声明函无法定代表人或授权代表签名或盖章；</w:t>
      </w: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szCs w:val="21"/>
          <w:highlight w:val="none"/>
        </w:rPr>
        <w:t>B、在符合性审查（商务技术文件）时，如发现下列情形之一的，将被视为无效投标文件：</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w:t>
      </w:r>
      <w:r>
        <w:rPr>
          <w:rFonts w:hint="eastAsia" w:ascii="宋体" w:hAnsi="宋体" w:cs="宋体"/>
          <w:color w:val="auto"/>
          <w:highlight w:val="none"/>
        </w:rPr>
        <w:t>提交投标函或投标函内容不符合招标文件要求；</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2、未按照招标文件规定要求签署或盖章；</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3、投标文件无法定代表人签署本人姓名（或印盖本人姓名章），或签署人未提供有效的法定代表人授权委托书或授权委托书填写项目不齐全的； </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4、投标文件项目不齐全；</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5、投标文件标明的响应或偏离与事实不符或虚假投标的；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6、投标文件的实质性内容未使用中文表述、意思表述不明确、前后矛盾或者使用计量单位不符合招标文件要求的（经评标委员会认定并允许其当场更正的笔误除外）；</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7、带“★”的条款不能满足招标文件要求、未实质性响应招标文件要求或者投标文件有采购人不能接受的附加条件的；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8、投标技术方案不明确，存在一个或一个以上备选（替代）投标方案的；</w:t>
      </w:r>
    </w:p>
    <w:p>
      <w:pPr>
        <w:spacing w:beforeAutospacing="0" w:afterAutospacing="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9、商务技术文件中出现报价或单价的；</w:t>
      </w:r>
    </w:p>
    <w:p>
      <w:pPr>
        <w:spacing w:beforeAutospacing="0" w:afterAutospacing="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10、法律、法规和招标文件规定的其他无效情形；</w:t>
      </w:r>
    </w:p>
    <w:p>
      <w:pPr>
        <w:spacing w:beforeAutospacing="0" w:afterAutospacing="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11、投标文件的有效期不满足招标文件要求；</w:t>
      </w: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szCs w:val="21"/>
          <w:highlight w:val="none"/>
        </w:rPr>
        <w:t>C、在符合性审查（报价文件）时，如发现下列情形之一的，将被视为无效投标文件：</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1、未按照招标文件规定要求签署或盖章；</w:t>
      </w:r>
    </w:p>
    <w:p>
      <w:pPr>
        <w:spacing w:beforeAutospacing="0" w:afterAutospacing="0"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2、投标文件项目不齐全；</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3、未采用人民币报价或者未按照招标文件标明的币种报价的；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4、报价超出最高限价，或者超出采购预算金额，采购人不能支付的；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5、投标报价具有选择性的；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6、投标报价中出现重大缺项、漏项；</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8、投标文件（报价文件）内容与投标文件（商务技术文件）内容有重大差异的；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9、法律、法规和招标文件规定的其他无效情形；</w:t>
      </w:r>
    </w:p>
    <w:p>
      <w:pPr>
        <w:numPr>
          <w:ilvl w:val="0"/>
          <w:numId w:val="19"/>
        </w:numPr>
        <w:spacing w:beforeAutospacing="0" w:afterAutospacing="0" w:line="360" w:lineRule="exac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评分标准（兼评委打分表）</w:t>
      </w:r>
    </w:p>
    <w:tbl>
      <w:tblPr>
        <w:tblStyle w:val="46"/>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31"/>
        <w:gridCol w:w="5899"/>
        <w:gridCol w:w="66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评分项目</w:t>
            </w:r>
          </w:p>
        </w:tc>
        <w:tc>
          <w:tcPr>
            <w:tcW w:w="1331" w:type="dxa"/>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5899" w:type="dxa"/>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评分细则</w:t>
            </w:r>
          </w:p>
        </w:tc>
        <w:tc>
          <w:tcPr>
            <w:tcW w:w="660" w:type="dxa"/>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c>
          <w:tcPr>
            <w:tcW w:w="982" w:type="dxa"/>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0分）</w:t>
            </w:r>
          </w:p>
        </w:tc>
        <w:tc>
          <w:tcPr>
            <w:tcW w:w="133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投标报价</w:t>
            </w:r>
          </w:p>
        </w:tc>
        <w:tc>
          <w:tcPr>
            <w:tcW w:w="5899" w:type="dxa"/>
            <w:vAlign w:val="center"/>
          </w:tcPr>
          <w:p>
            <w:pPr>
              <w:rPr>
                <w:rFonts w:ascii="宋体" w:hAnsi="宋体" w:cs="宋体"/>
                <w:bCs/>
                <w:color w:val="auto"/>
                <w:szCs w:val="21"/>
                <w:highlight w:val="none"/>
              </w:rPr>
            </w:pPr>
            <w:r>
              <w:rPr>
                <w:rFonts w:hint="eastAsia" w:ascii="宋体" w:hAnsi="宋体" w:cs="宋体"/>
                <w:bCs/>
                <w:color w:val="auto"/>
                <w:szCs w:val="21"/>
                <w:highlight w:val="none"/>
              </w:rPr>
              <w:t>参与评审的价格=投标报价；</w:t>
            </w:r>
          </w:p>
          <w:p>
            <w:pPr>
              <w:rPr>
                <w:rFonts w:ascii="宋体" w:hAnsi="宋体" w:cs="宋体"/>
                <w:bCs/>
                <w:color w:val="auto"/>
                <w:szCs w:val="21"/>
                <w:highlight w:val="none"/>
              </w:rPr>
            </w:pPr>
            <w:r>
              <w:rPr>
                <w:rFonts w:hint="eastAsia" w:ascii="宋体" w:hAnsi="宋体" w:cs="宋体"/>
                <w:bCs/>
                <w:color w:val="auto"/>
                <w:szCs w:val="21"/>
                <w:highlight w:val="none"/>
              </w:rPr>
              <w:t>基准价=满足招标文件要求且最低的参与评审的价格，基准价</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0分；</w:t>
            </w:r>
          </w:p>
          <w:p>
            <w:pPr>
              <w:rPr>
                <w:rFonts w:ascii="宋体" w:hAnsi="宋体" w:cs="宋体"/>
                <w:color w:val="auto"/>
                <w:szCs w:val="21"/>
                <w:highlight w:val="none"/>
              </w:rPr>
            </w:pPr>
            <w:r>
              <w:rPr>
                <w:rFonts w:hint="eastAsia" w:ascii="宋体" w:hAnsi="宋体" w:cs="宋体"/>
                <w:bCs/>
                <w:color w:val="auto"/>
                <w:szCs w:val="21"/>
                <w:highlight w:val="none"/>
              </w:rPr>
              <w:t>其余供应商得分为：报价得分=（基准价/参与评审的价格）×</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0%×100。</w:t>
            </w:r>
          </w:p>
        </w:tc>
        <w:tc>
          <w:tcPr>
            <w:tcW w:w="66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813" w:type="dxa"/>
            <w:vMerge w:val="restart"/>
            <w:vAlign w:val="center"/>
          </w:tcPr>
          <w:p>
            <w:pPr>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商务技术分（70分）</w:t>
            </w:r>
          </w:p>
        </w:tc>
        <w:tc>
          <w:tcPr>
            <w:tcW w:w="1331" w:type="dxa"/>
            <w:vAlign w:val="center"/>
          </w:tcPr>
          <w:p>
            <w:pPr>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1、需求响应情况</w:t>
            </w:r>
          </w:p>
        </w:tc>
        <w:tc>
          <w:tcPr>
            <w:tcW w:w="5899" w:type="dxa"/>
            <w:vAlign w:val="center"/>
          </w:tcPr>
          <w:p>
            <w:pPr>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根据供应商对第二章  采购需求 三、设备清单的响应情况进行打分，全部响应未偏离的得满分15分，每有一项负偏离的扣0.5分，扣完为止。</w:t>
            </w:r>
          </w:p>
        </w:tc>
        <w:tc>
          <w:tcPr>
            <w:tcW w:w="660" w:type="dxa"/>
            <w:vAlign w:val="center"/>
          </w:tcPr>
          <w:p>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982" w:type="dxa"/>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813" w:type="dxa"/>
            <w:vMerge w:val="continue"/>
            <w:vAlign w:val="center"/>
          </w:tcPr>
          <w:p>
            <w:pPr>
              <w:jc w:val="left"/>
              <w:rPr>
                <w:rFonts w:hint="default" w:ascii="宋体" w:hAnsi="宋体" w:eastAsia="宋体" w:cs="宋体"/>
                <w:color w:val="auto"/>
                <w:kern w:val="0"/>
                <w:szCs w:val="21"/>
                <w:highlight w:val="none"/>
                <w:lang w:val="en-US" w:eastAsia="zh-CN"/>
              </w:rPr>
            </w:pPr>
          </w:p>
        </w:tc>
        <w:tc>
          <w:tcPr>
            <w:tcW w:w="1331" w:type="dxa"/>
            <w:vMerge w:val="restart"/>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、展示主题创意</w:t>
            </w:r>
          </w:p>
        </w:tc>
        <w:tc>
          <w:tcPr>
            <w:tcW w:w="5899" w:type="dxa"/>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对本项目</w:t>
            </w:r>
            <w:r>
              <w:rPr>
                <w:rFonts w:hint="eastAsia" w:ascii="宋体" w:hAnsi="宋体" w:cs="宋体"/>
                <w:color w:val="auto"/>
                <w:kern w:val="0"/>
                <w:szCs w:val="21"/>
                <w:highlight w:val="none"/>
                <w:lang w:eastAsia="zh-CN"/>
              </w:rPr>
              <w:t>①</w:t>
            </w:r>
            <w:r>
              <w:rPr>
                <w:rFonts w:hint="eastAsia" w:ascii="宋体" w:hAnsi="宋体" w:cs="宋体"/>
                <w:color w:val="auto"/>
                <w:kern w:val="0"/>
                <w:szCs w:val="21"/>
                <w:highlight w:val="none"/>
              </w:rPr>
              <w:t>项目资料研读理解</w:t>
            </w:r>
            <w:r>
              <w:rPr>
                <w:rFonts w:hint="eastAsia" w:ascii="宋体" w:hAnsi="宋体" w:cs="宋体"/>
                <w:color w:val="auto"/>
                <w:kern w:val="0"/>
                <w:szCs w:val="21"/>
                <w:highlight w:val="none"/>
                <w:lang w:val="en-US" w:eastAsia="zh-CN"/>
              </w:rPr>
              <w:t>②</w:t>
            </w:r>
            <w:r>
              <w:rPr>
                <w:rFonts w:hint="eastAsia" w:ascii="宋体" w:hAnsi="宋体" w:cs="宋体"/>
                <w:color w:val="auto"/>
                <w:kern w:val="0"/>
                <w:szCs w:val="21"/>
                <w:highlight w:val="none"/>
              </w:rPr>
              <w:t>对展厅定位</w:t>
            </w:r>
            <w:r>
              <w:rPr>
                <w:rFonts w:hint="eastAsia" w:ascii="宋体" w:hAnsi="宋体" w:cs="宋体"/>
                <w:color w:val="auto"/>
                <w:kern w:val="0"/>
                <w:szCs w:val="21"/>
                <w:highlight w:val="none"/>
                <w:lang w:eastAsia="zh-CN"/>
              </w:rPr>
              <w:t>是否深刻</w:t>
            </w:r>
            <w:r>
              <w:rPr>
                <w:rFonts w:hint="eastAsia" w:ascii="宋体" w:hAnsi="宋体" w:cs="宋体"/>
                <w:color w:val="auto"/>
                <w:kern w:val="0"/>
                <w:szCs w:val="21"/>
                <w:highlight w:val="none"/>
                <w:lang w:val="en-US" w:eastAsia="zh-CN"/>
              </w:rPr>
              <w:t>透彻、是否全面、是否准确、</w:t>
            </w:r>
            <w:r>
              <w:rPr>
                <w:rFonts w:hint="eastAsia" w:ascii="宋体" w:hAnsi="宋体" w:cs="宋体"/>
                <w:color w:val="auto"/>
                <w:kern w:val="0"/>
                <w:szCs w:val="21"/>
                <w:highlight w:val="none"/>
                <w:lang w:eastAsia="zh-CN"/>
              </w:rPr>
              <w:t>且</w:t>
            </w:r>
            <w:r>
              <w:rPr>
                <w:rFonts w:hint="eastAsia" w:ascii="宋体" w:hAnsi="宋体" w:cs="宋体"/>
                <w:color w:val="auto"/>
                <w:kern w:val="0"/>
                <w:szCs w:val="21"/>
                <w:highlight w:val="none"/>
              </w:rPr>
              <w:t>符合项目实际情况</w:t>
            </w:r>
            <w:r>
              <w:rPr>
                <w:rFonts w:hint="eastAsia" w:ascii="宋体" w:hAnsi="宋体" w:cs="宋体"/>
                <w:color w:val="auto"/>
                <w:kern w:val="0"/>
                <w:szCs w:val="21"/>
                <w:highlight w:val="none"/>
                <w:lang w:eastAsia="zh-CN"/>
              </w:rPr>
              <w:t>进行</w:t>
            </w:r>
            <w:r>
              <w:rPr>
                <w:rFonts w:hint="eastAsia" w:ascii="宋体" w:hAnsi="宋体" w:cs="宋体"/>
                <w:color w:val="auto"/>
                <w:kern w:val="0"/>
                <w:szCs w:val="21"/>
                <w:highlight w:val="none"/>
              </w:rPr>
              <w:t>综合评定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内容欠合理的每项扣0.5分，内容不合理的每项扣1分，无相应内容的不得分，扣完为止，本项最高得5分</w:t>
            </w:r>
            <w:r>
              <w:rPr>
                <w:rFonts w:hint="eastAsia" w:ascii="宋体" w:hAnsi="宋体" w:cs="宋体"/>
                <w:color w:val="auto"/>
                <w:kern w:val="0"/>
                <w:szCs w:val="21"/>
                <w:highlight w:val="none"/>
                <w:lang w:eastAsia="zh-CN"/>
              </w:rPr>
              <w:t>。</w:t>
            </w:r>
          </w:p>
        </w:tc>
        <w:tc>
          <w:tcPr>
            <w:tcW w:w="660" w:type="dxa"/>
            <w:vAlign w:val="center"/>
          </w:tcPr>
          <w:p>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813" w:type="dxa"/>
            <w:vMerge w:val="continue"/>
            <w:vAlign w:val="center"/>
          </w:tcPr>
          <w:p>
            <w:pPr>
              <w:jc w:val="center"/>
              <w:rPr>
                <w:color w:val="auto"/>
                <w:highlight w:val="none"/>
              </w:rPr>
            </w:pPr>
          </w:p>
        </w:tc>
        <w:tc>
          <w:tcPr>
            <w:tcW w:w="1331" w:type="dxa"/>
            <w:vMerge w:val="continue"/>
            <w:vAlign w:val="center"/>
          </w:tcPr>
          <w:p>
            <w:pPr>
              <w:jc w:val="left"/>
              <w:rPr>
                <w:rFonts w:hint="eastAsia" w:ascii="宋体" w:hAnsi="宋体" w:cs="宋体"/>
                <w:color w:val="auto"/>
                <w:kern w:val="0"/>
                <w:szCs w:val="21"/>
                <w:highlight w:val="none"/>
                <w:lang w:val="en-US" w:eastAsia="zh-CN"/>
              </w:rPr>
            </w:pPr>
          </w:p>
        </w:tc>
        <w:tc>
          <w:tcPr>
            <w:tcW w:w="5899" w:type="dxa"/>
            <w:vAlign w:val="center"/>
          </w:tcPr>
          <w:p>
            <w:p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根据供应商对本项目提供方案的主题、特色、展陈主题提炼是否精准、是否亮点鲜明、是否体现湖西社区党群服务中心的特色、思路是否清晰全面、是否合理进行综合评定，内容欠合理的每项扣0.5分，内容不合理的每项扣1分，无相应内容的不得分，扣完为止，本项最高得5分。</w:t>
            </w:r>
          </w:p>
        </w:tc>
        <w:tc>
          <w:tcPr>
            <w:tcW w:w="660" w:type="dxa"/>
            <w:vAlign w:val="center"/>
          </w:tcPr>
          <w:p>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982" w:type="dxa"/>
            <w:vAlign w:val="center"/>
          </w:tcPr>
          <w:p>
            <w:pPr>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Merge w:val="restart"/>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、展示内容</w:t>
            </w:r>
            <w:r>
              <w:rPr>
                <w:rFonts w:hint="eastAsia" w:ascii="宋体" w:hAnsi="宋体" w:cs="宋体"/>
                <w:color w:val="auto"/>
                <w:kern w:val="0"/>
                <w:szCs w:val="21"/>
                <w:highlight w:val="none"/>
                <w:lang w:val="en-US" w:eastAsia="zh-CN"/>
              </w:rPr>
              <w:t>深化</w:t>
            </w:r>
            <w:r>
              <w:rPr>
                <w:rFonts w:hint="eastAsia" w:ascii="宋体" w:hAnsi="宋体" w:cs="宋体"/>
                <w:color w:val="auto"/>
                <w:kern w:val="0"/>
                <w:szCs w:val="21"/>
                <w:highlight w:val="none"/>
              </w:rPr>
              <w:t>设计</w:t>
            </w:r>
          </w:p>
        </w:tc>
        <w:tc>
          <w:tcPr>
            <w:tcW w:w="5899" w:type="dxa"/>
            <w:vAlign w:val="center"/>
          </w:tcPr>
          <w:p>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供应商对本项目提供方案的内容全面性，是否精准、是否全面完整、是否具有系统性、重点是否突出、是否合理进行综合评定，内容欠合理的每项扣0.5分，内容不合理的每项扣1分，无相应内容的不得分，扣完为止，本项最高得4分。</w:t>
            </w:r>
          </w:p>
        </w:tc>
        <w:tc>
          <w:tcPr>
            <w:tcW w:w="660" w:type="dxa"/>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982" w:type="dxa"/>
            <w:vMerge w:val="restart"/>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13" w:type="dxa"/>
            <w:vMerge w:val="continue"/>
            <w:vAlign w:val="center"/>
          </w:tcPr>
          <w:p>
            <w:pPr>
              <w:spacing w:beforeAutospacing="0" w:afterAutospacing="0" w:line="460" w:lineRule="exact"/>
              <w:rPr>
                <w:color w:val="auto"/>
                <w:highlight w:val="none"/>
              </w:rPr>
            </w:pPr>
          </w:p>
        </w:tc>
        <w:tc>
          <w:tcPr>
            <w:tcW w:w="1331" w:type="dxa"/>
            <w:vMerge w:val="continue"/>
            <w:vAlign w:val="center"/>
          </w:tcPr>
          <w:p>
            <w:pPr>
              <w:spacing w:beforeAutospacing="0" w:afterAutospacing="0" w:line="460" w:lineRule="exact"/>
              <w:rPr>
                <w:color w:val="auto"/>
                <w:highlight w:val="none"/>
              </w:rPr>
            </w:pPr>
          </w:p>
        </w:tc>
        <w:tc>
          <w:tcPr>
            <w:tcW w:w="5899" w:type="dxa"/>
            <w:vAlign w:val="center"/>
          </w:tcPr>
          <w:p>
            <w:pPr>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供应商提供的展示大纲能否参照内容结构提供尽量详尽的文字材料与图片材料（有且不限于三级目录的结构、文字内容框架与图文示范），且材料是否完整科学、是否合理全面，进行评审，提供展示大纲且科学全面的得满分</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分，内容欠合理的每项扣0.5分，内容不合理的每项扣1分，无相应内容的不得分，扣完为止</w:t>
            </w:r>
            <w:r>
              <w:rPr>
                <w:rFonts w:hint="eastAsia" w:ascii="宋体" w:hAnsi="宋体" w:cs="宋体"/>
                <w:color w:val="auto"/>
                <w:kern w:val="0"/>
                <w:szCs w:val="21"/>
                <w:highlight w:val="none"/>
                <w:lang w:val="en-US" w:eastAsia="zh-CN"/>
              </w:rPr>
              <w:t>。</w:t>
            </w:r>
          </w:p>
        </w:tc>
        <w:tc>
          <w:tcPr>
            <w:tcW w:w="660" w:type="dxa"/>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982" w:type="dxa"/>
            <w:vMerge w:val="continue"/>
            <w:vAlign w:val="center"/>
          </w:tcPr>
          <w:p>
            <w:pPr>
              <w:jc w:val="center"/>
              <w:rPr>
                <w:rFonts w:hint="eastAsia" w:ascii="宋体" w:hAnsi="宋体" w:eastAsia="宋体" w:cs="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13" w:type="dxa"/>
            <w:vMerge w:val="continue"/>
            <w:vAlign w:val="center"/>
          </w:tcPr>
          <w:p>
            <w:pPr>
              <w:spacing w:beforeAutospacing="0" w:afterAutospacing="0" w:line="460" w:lineRule="exact"/>
              <w:rPr>
                <w:color w:val="auto"/>
                <w:highlight w:val="none"/>
              </w:rPr>
            </w:pPr>
          </w:p>
        </w:tc>
        <w:tc>
          <w:tcPr>
            <w:tcW w:w="1331" w:type="dxa"/>
            <w:vMerge w:val="continue"/>
            <w:vAlign w:val="center"/>
          </w:tcPr>
          <w:p>
            <w:pPr>
              <w:spacing w:beforeAutospacing="0" w:afterAutospacing="0" w:line="460" w:lineRule="exact"/>
              <w:rPr>
                <w:color w:val="auto"/>
                <w:highlight w:val="none"/>
              </w:rPr>
            </w:pPr>
          </w:p>
        </w:tc>
        <w:tc>
          <w:tcPr>
            <w:tcW w:w="5899" w:type="dxa"/>
            <w:vAlign w:val="center"/>
          </w:tcPr>
          <w:p>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供应商对本项目提供的深化设计方案，是否完整齐全、是否符合项目实际情况、是否图文并茂、是否描述清晰、是否科学合理进行综合评定，内容欠合理的每项扣0.5分，内容不合理的每项扣1分，无相应内容的不得分，扣完为止，本项最高得5分。</w:t>
            </w:r>
          </w:p>
        </w:tc>
        <w:tc>
          <w:tcPr>
            <w:tcW w:w="660" w:type="dxa"/>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982" w:type="dxa"/>
            <w:vMerge w:val="continue"/>
            <w:vAlign w:val="center"/>
          </w:tcPr>
          <w:p>
            <w:pPr>
              <w:spacing w:beforeAutospacing="0" w:afterAutospacing="0" w:line="460" w:lineRule="exact"/>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813" w:type="dxa"/>
            <w:vMerge w:val="continue"/>
            <w:vAlign w:val="center"/>
          </w:tcPr>
          <w:p>
            <w:pPr>
              <w:spacing w:beforeAutospacing="0" w:afterAutospacing="0" w:line="460" w:lineRule="exact"/>
              <w:rPr>
                <w:color w:val="auto"/>
                <w:highlight w:val="none"/>
              </w:rPr>
            </w:pPr>
          </w:p>
        </w:tc>
        <w:tc>
          <w:tcPr>
            <w:tcW w:w="1331" w:type="dxa"/>
            <w:vMerge w:val="continue"/>
            <w:vAlign w:val="center"/>
          </w:tcPr>
          <w:p>
            <w:pPr>
              <w:spacing w:beforeAutospacing="0" w:afterAutospacing="0" w:line="460" w:lineRule="exact"/>
              <w:rPr>
                <w:color w:val="auto"/>
                <w:highlight w:val="none"/>
              </w:rPr>
            </w:pPr>
          </w:p>
        </w:tc>
        <w:tc>
          <w:tcPr>
            <w:tcW w:w="5899" w:type="dxa"/>
            <w:vAlign w:val="center"/>
          </w:tcPr>
          <w:p>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根据供应商对本项目提供的</w:t>
            </w:r>
            <w:r>
              <w:rPr>
                <w:rFonts w:hint="eastAsia" w:ascii="宋体" w:hAnsi="宋体" w:cs="宋体"/>
                <w:color w:val="auto"/>
                <w:kern w:val="0"/>
                <w:szCs w:val="21"/>
                <w:highlight w:val="none"/>
                <w:lang w:val="en-US" w:eastAsia="zh-CN"/>
              </w:rPr>
              <w:t>深化</w:t>
            </w:r>
            <w:r>
              <w:rPr>
                <w:rFonts w:hint="eastAsia" w:ascii="宋体" w:hAnsi="宋体" w:eastAsia="宋体" w:cs="宋体"/>
                <w:color w:val="auto"/>
                <w:kern w:val="0"/>
                <w:szCs w:val="21"/>
                <w:highlight w:val="none"/>
                <w:lang w:val="en-US" w:eastAsia="zh-CN"/>
              </w:rPr>
              <w:t>设计图纸，是否完整齐全、是否符合项目实际情况、是否符合规范、是否科学合理进行综合评定，内容欠合理的每项扣0.5分，内容不合理的每项扣1分，无相应内容的不得分，扣完为止，本项最高得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w:t>
            </w:r>
          </w:p>
        </w:tc>
        <w:tc>
          <w:tcPr>
            <w:tcW w:w="660" w:type="dxa"/>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982" w:type="dxa"/>
            <w:vMerge w:val="continue"/>
            <w:vAlign w:val="center"/>
          </w:tcPr>
          <w:p>
            <w:pPr>
              <w:spacing w:beforeAutospacing="0" w:afterAutospacing="0" w:line="460" w:lineRule="exact"/>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、重点、亮点的营造和表现</w:t>
            </w:r>
          </w:p>
        </w:tc>
        <w:tc>
          <w:tcPr>
            <w:tcW w:w="5899"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根据供应商对本项目提供的方案的重点、亮点的营造和表现是否突出、是否视觉新颖、辅助站票是否运用恰当、是否符合规范、是否完整全面进行综合评定，内容欠合理的每项扣0.5分，内容不合理的每项扣1分，无相应内容的不得分，扣完为止，本项最高得4分。</w:t>
            </w:r>
          </w:p>
        </w:tc>
        <w:tc>
          <w:tcPr>
            <w:tcW w:w="660" w:type="dxa"/>
            <w:vAlign w:val="center"/>
          </w:tcPr>
          <w:p>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、安全生产与文明施工保证措施</w:t>
            </w:r>
          </w:p>
        </w:tc>
        <w:tc>
          <w:tcPr>
            <w:tcW w:w="5899"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eastAsia="zh-CN"/>
              </w:rPr>
              <w:t>供应商对本</w:t>
            </w:r>
            <w:r>
              <w:rPr>
                <w:rFonts w:hint="eastAsia" w:ascii="宋体" w:hAnsi="宋体" w:cs="宋体"/>
                <w:color w:val="auto"/>
                <w:kern w:val="0"/>
                <w:szCs w:val="21"/>
                <w:highlight w:val="none"/>
              </w:rPr>
              <w:t>项目制定</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安全文明施工保证计划</w:t>
            </w:r>
            <w:r>
              <w:rPr>
                <w:rFonts w:hint="eastAsia" w:ascii="宋体" w:hAnsi="宋体" w:cs="宋体"/>
                <w:color w:val="auto"/>
                <w:kern w:val="0"/>
                <w:szCs w:val="21"/>
                <w:highlight w:val="none"/>
                <w:lang w:eastAsia="zh-CN"/>
              </w:rPr>
              <w:t>，关键地点、工序、环节控制保障措施，承诺安全文明施工标准等方面，</w:t>
            </w:r>
            <w:r>
              <w:rPr>
                <w:rFonts w:hint="eastAsia" w:ascii="宋体" w:hAnsi="宋体" w:cs="宋体"/>
                <w:color w:val="auto"/>
                <w:kern w:val="0"/>
                <w:szCs w:val="21"/>
                <w:highlight w:val="none"/>
                <w:lang w:val="en-US" w:eastAsia="zh-CN"/>
              </w:rPr>
              <w:t>是否详尽、是否全面、是否可行、是否符合相关情况且是否合理的情况</w:t>
            </w:r>
            <w:r>
              <w:rPr>
                <w:rFonts w:hint="eastAsia" w:ascii="宋体" w:hAnsi="宋体" w:cs="宋体"/>
                <w:color w:val="auto"/>
                <w:kern w:val="0"/>
                <w:szCs w:val="21"/>
                <w:highlight w:val="none"/>
              </w:rPr>
              <w:t>进行评议</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内容欠合理的每项扣0.5分，内容不合理的每项扣1分，无相应内容的不得分，扣完为止，本项最高得4分。</w:t>
            </w:r>
          </w:p>
        </w:tc>
        <w:tc>
          <w:tcPr>
            <w:tcW w:w="660" w:type="dxa"/>
            <w:vAlign w:val="center"/>
          </w:tcPr>
          <w:p>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、施工进度计划及保证措施</w:t>
            </w:r>
          </w:p>
        </w:tc>
        <w:tc>
          <w:tcPr>
            <w:tcW w:w="5899"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根据供应商对本项目提供的进度计划是否科学、措施是否齐全、是否合理完善、是否具有操作性、是否具有针对性进行综合评定，内容欠合理的每项扣0.5分，内容不合理的每项扣1分，无相应内容的不得分，扣完为止，本项最高得5分。</w:t>
            </w:r>
          </w:p>
        </w:tc>
        <w:tc>
          <w:tcPr>
            <w:tcW w:w="660" w:type="dxa"/>
            <w:vAlign w:val="center"/>
          </w:tcPr>
          <w:p>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施工组织方案</w:t>
            </w:r>
          </w:p>
        </w:tc>
        <w:tc>
          <w:tcPr>
            <w:tcW w:w="5899" w:type="dxa"/>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根据供应商对本项目设计施工组织方案是否详细、是否全面、是否可行、是否符合相关情况、是否合理进行综合评定，内容欠合理的每项扣0.5分，内容不合理的每项扣1分，无相应内容的不得分，扣完为止，本项最高得5分。</w:t>
            </w:r>
          </w:p>
        </w:tc>
        <w:tc>
          <w:tcPr>
            <w:tcW w:w="660" w:type="dxa"/>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982" w:type="dxa"/>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、售后服务</w:t>
            </w:r>
          </w:p>
        </w:tc>
        <w:tc>
          <w:tcPr>
            <w:tcW w:w="5899" w:type="dxa"/>
            <w:vAlign w:val="center"/>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eastAsia="zh-CN"/>
              </w:rPr>
              <w:t>根据供应商对本项目提供的售后方案的维保费用、服务响应时间方式等具体售后服务承诺情况，是否详细、是否全面、是否可行、是否合理进行综合评定，内容欠合理的每项扣0.5分，内容不合理的每项扣1分，无相应内容的不得分，扣完为止，本项最高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val="zh-CN" w:eastAsia="zh-CN"/>
              </w:rPr>
              <w:t>分。</w:t>
            </w:r>
          </w:p>
        </w:tc>
        <w:tc>
          <w:tcPr>
            <w:tcW w:w="660" w:type="dxa"/>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成果验收方案</w:t>
            </w:r>
          </w:p>
        </w:tc>
        <w:tc>
          <w:tcPr>
            <w:tcW w:w="5899"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根据供应商针对本项目的成果验收方案（包括专家组织方案可行、验收流程合理）进行评议：方案可行、流程合理的满分5分，方案欠可行、流程欠合理的每一项扣1分；方案不可行、流程不合理的每一项扣2分，没有相关内容的不得分。</w:t>
            </w:r>
          </w:p>
        </w:tc>
        <w:tc>
          <w:tcPr>
            <w:tcW w:w="66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bl>
    <w:p>
      <w:pPr>
        <w:spacing w:beforeAutospacing="0" w:afterAutospacing="0"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注：1、小数点后保留一位数。2、各评标委员会成员自行按以上参考分值评分。3、重大事件由评标委员会集体讨论，应当按照少数服从多数的原则作出结论。</w:t>
      </w:r>
      <w:r>
        <w:rPr>
          <w:rFonts w:hint="eastAsia" w:ascii="宋体" w:hAnsi="宋体" w:cs="宋体"/>
          <w:b/>
          <w:bCs/>
          <w:color w:val="auto"/>
          <w:szCs w:val="21"/>
          <w:highlight w:val="none"/>
        </w:rPr>
        <w:t>4、联合体中任意一方具有上述证明材料的均予以认可。</w:t>
      </w:r>
    </w:p>
    <w:p>
      <w:pPr>
        <w:pStyle w:val="26"/>
        <w:spacing w:beforeLines="0" w:beforeAutospacing="0" w:afterLines="0" w:afterAutospacing="0" w:line="360" w:lineRule="auto"/>
        <w:rPr>
          <w:rFonts w:hint="default" w:hAnsi="宋体" w:cs="宋体"/>
          <w:b/>
          <w:color w:val="auto"/>
          <w:highlight w:val="none"/>
        </w:rPr>
      </w:pPr>
      <w:bookmarkStart w:id="52" w:name="_Toc9029"/>
      <w:bookmarkEnd w:id="52"/>
      <w:bookmarkStart w:id="53" w:name="_Toc14242"/>
      <w:r>
        <w:rPr>
          <w:rFonts w:hAnsi="宋体" w:cs="宋体"/>
          <w:b/>
          <w:color w:val="auto"/>
          <w:highlight w:val="none"/>
        </w:rPr>
        <w:t>六、定标</w:t>
      </w:r>
    </w:p>
    <w:p>
      <w:pPr>
        <w:pStyle w:val="26"/>
        <w:spacing w:beforeLines="0" w:beforeAutospacing="0" w:afterLines="0" w:afterAutospacing="0" w:line="360" w:lineRule="auto"/>
        <w:ind w:firstLine="413" w:firstLineChars="196"/>
        <w:rPr>
          <w:rFonts w:hint="default" w:hAnsi="宋体" w:cs="宋体"/>
          <w:b/>
          <w:bCs/>
          <w:color w:val="auto"/>
          <w:highlight w:val="none"/>
        </w:rPr>
      </w:pPr>
      <w:r>
        <w:rPr>
          <w:rFonts w:hAnsi="宋体" w:cs="宋体"/>
          <w:b/>
          <w:bCs/>
          <w:color w:val="auto"/>
          <w:highlight w:val="none"/>
        </w:rPr>
        <w:t>（一）确定中标人。本项目由采购人（或采购人事先授权评标委员会）确定中标人。</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确定排名第一的中标候选人为中标人）。如有供应商对评标结果提出质疑的，采购人可在质疑处理完毕后确定中标供应商。</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3.采购人依法确定中标供应商后2个工作日内，采购代理机构以书面形式发出《中标通知书》,并同时在相关网站上发布中标公告。</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4.若中标供应商放弃中标，或因不可抗力提出不能履行合同，或不按采购文件规定提交履约担保，或其它原因被依法撤销中标资格，则采购人可确定排名第二的中标候选人为中标人或重新组织招标。</w:t>
      </w:r>
    </w:p>
    <w:p>
      <w:pPr>
        <w:pStyle w:val="26"/>
        <w:spacing w:beforeLines="0" w:beforeAutospacing="0" w:afterLines="0" w:afterAutospacing="0" w:line="360" w:lineRule="auto"/>
        <w:rPr>
          <w:rFonts w:hint="default" w:hAnsi="宋体" w:cs="宋体"/>
          <w:b/>
          <w:bCs/>
          <w:color w:val="auto"/>
          <w:highlight w:val="none"/>
        </w:rPr>
      </w:pPr>
      <w:r>
        <w:rPr>
          <w:rFonts w:hAnsi="宋体" w:cs="宋体"/>
          <w:b/>
          <w:bCs/>
          <w:color w:val="auto"/>
          <w:highlight w:val="none"/>
        </w:rPr>
        <w:t>七、评标过程的监控与保密</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1、本项目评标过程实行全程录音、录像监控，供应商在评标过程中所进行的试图影响评标结果的不公正活动，可能导致其投标被拒绝。</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pPr>
        <w:pStyle w:val="26"/>
        <w:spacing w:beforeLines="0" w:beforeAutospacing="0" w:afterLines="0" w:afterAutospacing="0" w:line="360" w:lineRule="auto"/>
        <w:rPr>
          <w:rFonts w:hint="default" w:hAnsi="宋体" w:cs="宋体"/>
          <w:b/>
          <w:bCs/>
          <w:color w:val="auto"/>
          <w:highlight w:val="none"/>
        </w:rPr>
      </w:pPr>
      <w:bookmarkStart w:id="54" w:name="_Toc17747"/>
      <w:bookmarkEnd w:id="54"/>
      <w:r>
        <w:rPr>
          <w:rFonts w:hAnsi="宋体" w:cs="宋体"/>
          <w:b/>
          <w:color w:val="auto"/>
          <w:highlight w:val="none"/>
        </w:rPr>
        <w:t>八、</w:t>
      </w:r>
      <w:r>
        <w:rPr>
          <w:rFonts w:hAnsi="宋体" w:cs="宋体"/>
          <w:b/>
          <w:bCs/>
          <w:color w:val="auto"/>
          <w:highlight w:val="none"/>
        </w:rPr>
        <w:t>合同</w:t>
      </w:r>
      <w:r>
        <w:rPr>
          <w:rFonts w:hAnsi="宋体" w:cs="宋体"/>
          <w:b/>
          <w:color w:val="auto"/>
          <w:highlight w:val="none"/>
        </w:rPr>
        <w:t>授予：</w:t>
      </w:r>
      <w:r>
        <w:rPr>
          <w:rFonts w:hAnsi="宋体" w:cs="宋体"/>
          <w:b/>
          <w:bCs/>
          <w:color w:val="auto"/>
          <w:highlight w:val="none"/>
        </w:rPr>
        <w:t>签订合同</w:t>
      </w:r>
    </w:p>
    <w:p>
      <w:pPr>
        <w:spacing w:beforeAutospacing="0" w:afterAutospacing="0"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采购人不得向中标人提出任何不合理的要求作为签订合同的条件。</w:t>
      </w:r>
    </w:p>
    <w:p>
      <w:pPr>
        <w:pStyle w:val="26"/>
        <w:spacing w:beforeLines="0" w:beforeAutospacing="0" w:afterLines="0" w:afterAutospacing="0" w:line="360" w:lineRule="auto"/>
        <w:ind w:firstLine="411" w:firstLineChars="196"/>
        <w:rPr>
          <w:rFonts w:hint="default" w:hAnsi="宋体" w:cs="宋体"/>
          <w:bCs/>
          <w:color w:val="auto"/>
          <w:highlight w:val="none"/>
        </w:rPr>
      </w:pPr>
      <w:r>
        <w:rPr>
          <w:rFonts w:hAnsi="宋体" w:cs="宋体"/>
          <w:bCs/>
          <w:color w:val="auto"/>
          <w:highlight w:val="none"/>
        </w:rPr>
        <w:t>2</w:t>
      </w:r>
      <w:r>
        <w:rPr>
          <w:rFonts w:hAnsi="宋体" w:cs="宋体"/>
          <w:color w:val="auto"/>
          <w:highlight w:val="none"/>
        </w:rPr>
        <w:t>.</w:t>
      </w:r>
      <w:r>
        <w:rPr>
          <w:rFonts w:hAnsi="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pStyle w:val="26"/>
        <w:spacing w:beforeLines="0" w:beforeAutospacing="0" w:afterLines="0" w:afterAutospacing="0" w:line="360" w:lineRule="auto"/>
        <w:ind w:firstLine="411" w:firstLineChars="196"/>
        <w:rPr>
          <w:rFonts w:hint="default" w:hAnsi="宋体" w:cs="宋体"/>
          <w:bCs/>
          <w:color w:val="auto"/>
          <w:highlight w:val="none"/>
        </w:rPr>
      </w:pPr>
      <w:r>
        <w:rPr>
          <w:rFonts w:hAnsi="宋体" w:cs="宋体"/>
          <w:bCs/>
          <w:color w:val="auto"/>
          <w:highlight w:val="none"/>
        </w:rPr>
        <w:t>3</w:t>
      </w:r>
      <w:r>
        <w:rPr>
          <w:rFonts w:hAnsi="宋体" w:cs="宋体"/>
          <w:color w:val="auto"/>
          <w:highlight w:val="none"/>
        </w:rPr>
        <w:t>.</w:t>
      </w:r>
      <w:r>
        <w:rPr>
          <w:rFonts w:hAnsi="宋体" w:cs="宋体"/>
          <w:bCs/>
          <w:color w:val="auto"/>
          <w:highlight w:val="none"/>
        </w:rPr>
        <w:t>招标文件、</w:t>
      </w:r>
      <w:r>
        <w:rPr>
          <w:rFonts w:hAnsi="宋体" w:cs="宋体"/>
          <w:color w:val="auto"/>
          <w:highlight w:val="none"/>
        </w:rPr>
        <w:t>中标人</w:t>
      </w:r>
      <w:r>
        <w:rPr>
          <w:rFonts w:hAnsi="宋体" w:cs="宋体"/>
          <w:bCs/>
          <w:color w:val="auto"/>
          <w:highlight w:val="none"/>
        </w:rPr>
        <w:t>的投标文件及评标过程中有关的澄清文件均应作为合同签订的附件。</w:t>
      </w:r>
    </w:p>
    <w:p>
      <w:pPr>
        <w:pStyle w:val="26"/>
        <w:spacing w:beforeLines="0" w:beforeAutospacing="0" w:afterLines="0" w:afterAutospacing="0" w:line="360" w:lineRule="auto"/>
        <w:ind w:firstLine="411" w:firstLineChars="196"/>
        <w:rPr>
          <w:rFonts w:hint="default" w:hAnsi="宋体" w:cs="宋体"/>
          <w:bCs/>
          <w:color w:val="auto"/>
          <w:highlight w:val="none"/>
        </w:rPr>
      </w:pPr>
      <w:r>
        <w:rPr>
          <w:rFonts w:hAnsi="宋体" w:cs="宋体"/>
          <w:bCs/>
          <w:color w:val="auto"/>
          <w:highlight w:val="none"/>
        </w:rPr>
        <w:t>4.中标或者成交供应商拒绝与采购人签订合同的，采购人应重新招标。</w:t>
      </w:r>
    </w:p>
    <w:p>
      <w:pPr>
        <w:pStyle w:val="26"/>
        <w:spacing w:beforeLines="0" w:beforeAutospacing="0" w:afterLines="0" w:afterAutospacing="0" w:line="360" w:lineRule="auto"/>
        <w:ind w:firstLine="411" w:firstLineChars="196"/>
        <w:rPr>
          <w:rFonts w:hint="default" w:hAnsi="宋体" w:cs="宋体"/>
          <w:bCs/>
          <w:color w:val="auto"/>
          <w:highlight w:val="none"/>
        </w:rPr>
      </w:pPr>
      <w:r>
        <w:rPr>
          <w:rFonts w:hAnsi="宋体" w:cs="宋体"/>
          <w:bCs/>
          <w:color w:val="auto"/>
          <w:highlight w:val="none"/>
        </w:rPr>
        <w:t>5.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pStyle w:val="26"/>
        <w:spacing w:beforeLines="0" w:beforeAutospacing="0" w:afterLines="0" w:afterAutospacing="0" w:line="360" w:lineRule="auto"/>
        <w:rPr>
          <w:rFonts w:hint="default" w:hAnsi="宋体" w:cs="宋体"/>
          <w:b/>
          <w:color w:val="auto"/>
          <w:highlight w:val="none"/>
        </w:rPr>
      </w:pPr>
      <w:r>
        <w:rPr>
          <w:rFonts w:hAnsi="宋体" w:cs="宋体"/>
          <w:b/>
          <w:color w:val="auto"/>
          <w:highlight w:val="none"/>
        </w:rPr>
        <w:t>九、</w:t>
      </w:r>
      <w:r>
        <w:rPr>
          <w:rFonts w:hAnsi="宋体" w:cs="宋体"/>
          <w:b/>
          <w:bCs/>
          <w:color w:val="auto"/>
          <w:highlight w:val="none"/>
        </w:rPr>
        <w:t>履约</w:t>
      </w:r>
      <w:r>
        <w:rPr>
          <w:rFonts w:hAnsi="宋体" w:cs="宋体"/>
          <w:b/>
          <w:color w:val="auto"/>
          <w:highlight w:val="none"/>
        </w:rPr>
        <w:t>验收：</w:t>
      </w:r>
    </w:p>
    <w:p>
      <w:pPr>
        <w:spacing w:beforeAutospacing="0" w:afterAutospacing="0"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采购人负责对中标供应商的履约行为进行验收。政府向社会公众提供的公共服务项目，验收时应当邀请服务对象参与并出具意见，验收结果应当向社会公告。</w:t>
      </w:r>
    </w:p>
    <w:bookmarkEnd w:id="53"/>
    <w:p>
      <w:pPr>
        <w:pStyle w:val="154"/>
        <w:spacing w:beforeAutospacing="0" w:afterAutospacing="0" w:line="700" w:lineRule="exact"/>
        <w:ind w:firstLine="0" w:firstLineChars="0"/>
        <w:jc w:val="center"/>
        <w:outlineLvl w:val="0"/>
        <w:rPr>
          <w:rFonts w:ascii="宋体" w:hAnsi="宋体" w:cs="宋体"/>
          <w:b/>
          <w:bCs/>
          <w:color w:val="auto"/>
          <w:sz w:val="32"/>
          <w:szCs w:val="32"/>
          <w:highlight w:val="none"/>
        </w:rPr>
      </w:pPr>
      <w:bookmarkStart w:id="55" w:name="_Toc9993"/>
      <w:bookmarkEnd w:id="55"/>
      <w:r>
        <w:rPr>
          <w:rFonts w:hint="eastAsia" w:ascii="宋体" w:hAnsi="宋体" w:cs="宋体"/>
          <w:bCs/>
          <w:color w:val="auto"/>
          <w:highlight w:val="none"/>
        </w:rPr>
        <w:br w:type="page"/>
      </w:r>
      <w:r>
        <w:rPr>
          <w:rFonts w:hint="eastAsia" w:ascii="宋体" w:hAnsi="宋体" w:cs="宋体"/>
          <w:b/>
          <w:color w:val="auto"/>
          <w:sz w:val="32"/>
          <w:szCs w:val="32"/>
          <w:highlight w:val="none"/>
        </w:rPr>
        <w:t>第五章  政府采购合同主要条款</w:t>
      </w:r>
    </w:p>
    <w:p>
      <w:pPr>
        <w:spacing w:beforeAutospacing="0" w:afterAutospacing="0" w:line="360" w:lineRule="auto"/>
        <w:rPr>
          <w:rFonts w:ascii="宋体" w:hAnsi="宋体" w:cs="宋体"/>
          <w:color w:val="auto"/>
          <w:szCs w:val="21"/>
          <w:highlight w:val="none"/>
        </w:rPr>
      </w:pP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项目名称：                                     项目编号：</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甲方：（以下简称甲方）</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乙方：（以下简称乙方）</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根据《中华人民共和国政府采购法》、《中华人民共和国政府采购法实施条例》、《政府采购货物和服务招标投标管理办法》等法律法规，</w:t>
      </w:r>
      <w:r>
        <w:rPr>
          <w:rFonts w:hint="eastAsia" w:ascii="宋体" w:hAnsi="宋体" w:cs="宋体"/>
          <w:color w:val="auto"/>
          <w:szCs w:val="21"/>
          <w:highlight w:val="none"/>
          <w:u w:val="single"/>
        </w:rPr>
        <w:t>项目名称（项目编号：）</w:t>
      </w:r>
      <w:r>
        <w:rPr>
          <w:rFonts w:hint="eastAsia" w:ascii="宋体" w:hAnsi="宋体" w:cs="宋体"/>
          <w:color w:val="auto"/>
          <w:szCs w:val="21"/>
          <w:highlight w:val="none"/>
        </w:rPr>
        <w:t>于年月日，在宁波市宁海县公共资源交易中心进行公开招标，经结果公告确定由乙方中标。按照《中华人民共和国民法典》的有关规定，在自愿、平等、公平、诚信的基础上，经双方协商一致，签订本合同。</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下述文件作为附件，是合同的一部分，并与本合同一起阅读和解释：</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a.采购文件；</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b.投标文件及澄清文件；</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c.中标通知书；</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上述文件与合同若有不一致之处，优先次序第一应为合同、第二应为附件(附件的优先次序为 c,b,a)。</w:t>
      </w:r>
    </w:p>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一、项目名称、服务期限、服务内容</w:t>
      </w:r>
    </w:p>
    <w:p>
      <w:pPr>
        <w:spacing w:beforeAutospacing="0" w:afterAutospacing="0" w:line="360" w:lineRule="auto"/>
        <w:rPr>
          <w:rFonts w:ascii="宋体" w:hAnsi="宋体" w:cs="宋体"/>
          <w:bCs/>
          <w:color w:val="auto"/>
          <w:szCs w:val="21"/>
          <w:highlight w:val="none"/>
        </w:rPr>
      </w:pPr>
      <w:r>
        <w:rPr>
          <w:rFonts w:hint="eastAsia" w:ascii="宋体" w:hAnsi="宋体" w:cs="宋体"/>
          <w:bCs/>
          <w:color w:val="auto"/>
          <w:szCs w:val="21"/>
          <w:highlight w:val="none"/>
        </w:rPr>
        <w:t>1.1项目名称：</w:t>
      </w:r>
    </w:p>
    <w:p>
      <w:pPr>
        <w:spacing w:beforeAutospacing="0" w:afterAutospacing="0" w:line="360" w:lineRule="auto"/>
        <w:rPr>
          <w:rFonts w:ascii="宋体" w:hAnsi="宋体" w:cs="宋体"/>
          <w:bCs/>
          <w:color w:val="auto"/>
          <w:szCs w:val="21"/>
          <w:highlight w:val="none"/>
        </w:rPr>
      </w:pPr>
      <w:r>
        <w:rPr>
          <w:rFonts w:hint="eastAsia" w:ascii="宋体" w:hAnsi="宋体" w:cs="宋体"/>
          <w:bCs/>
          <w:color w:val="auto"/>
          <w:szCs w:val="21"/>
          <w:highlight w:val="none"/>
        </w:rPr>
        <w:t>1.2服务期限：</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1.3服务内容：</w:t>
      </w:r>
    </w:p>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二、合同金额</w:t>
      </w:r>
    </w:p>
    <w:p>
      <w:pPr>
        <w:spacing w:beforeAutospacing="0" w:afterAutospacing="0" w:line="360" w:lineRule="auto"/>
        <w:ind w:left="359" w:hanging="359" w:hangingChars="171"/>
        <w:rPr>
          <w:rFonts w:ascii="宋体" w:hAnsi="宋体" w:cs="宋体"/>
          <w:color w:val="auto"/>
          <w:szCs w:val="21"/>
          <w:highlight w:val="none"/>
        </w:rPr>
      </w:pPr>
      <w:r>
        <w:rPr>
          <w:rFonts w:hint="eastAsia" w:ascii="宋体" w:hAnsi="宋体" w:cs="宋体"/>
          <w:color w:val="auto"/>
          <w:szCs w:val="21"/>
          <w:highlight w:val="none"/>
        </w:rPr>
        <w:t>2.1本合同金额为（大写）：元</w:t>
      </w:r>
      <w:r>
        <w:rPr>
          <w:rFonts w:hint="eastAsia" w:ascii="宋体" w:hAnsi="宋体" w:cs="宋体"/>
          <w:color w:val="auto"/>
          <w:szCs w:val="21"/>
          <w:highlight w:val="none"/>
          <w:u w:val="single"/>
        </w:rPr>
        <w:t>（￥                元）</w:t>
      </w:r>
      <w:r>
        <w:rPr>
          <w:rFonts w:hint="eastAsia" w:ascii="宋体" w:hAnsi="宋体" w:cs="宋体"/>
          <w:color w:val="auto"/>
          <w:szCs w:val="21"/>
          <w:highlight w:val="none"/>
        </w:rPr>
        <w:t>人民币。</w:t>
      </w:r>
    </w:p>
    <w:p>
      <w:pPr>
        <w:spacing w:beforeAutospacing="0" w:afterAutospacing="0" w:line="360" w:lineRule="auto"/>
        <w:ind w:left="358" w:hanging="358" w:hangingChars="170"/>
        <w:rPr>
          <w:rFonts w:ascii="宋体" w:hAnsi="宋体" w:cs="宋体"/>
          <w:b/>
          <w:color w:val="auto"/>
          <w:szCs w:val="21"/>
          <w:highlight w:val="none"/>
        </w:rPr>
      </w:pPr>
      <w:r>
        <w:rPr>
          <w:rFonts w:hint="eastAsia" w:ascii="宋体" w:hAnsi="宋体" w:cs="宋体"/>
          <w:b/>
          <w:color w:val="auto"/>
          <w:szCs w:val="21"/>
          <w:highlight w:val="none"/>
        </w:rPr>
        <w:t>三、履约保证金</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3.1履约保证金金额：</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3.2履约保证金形式：</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3.3担保收件人：</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3.4履约保证金的退取：</w:t>
      </w:r>
    </w:p>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四、转包或分包</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4.1本合同范围的服务，应由乙方直接提供，不得转让他人；</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4.2 除非得到甲方的书面同意，乙方不得部分分包给他人。甲方有绝对权力阻止分包。</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4.3如有转让和未经甲方同意的分包行为，甲方有权给予终止合同。</w:t>
      </w:r>
    </w:p>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五、合同付款方法</w:t>
      </w:r>
    </w:p>
    <w:p>
      <w:pPr>
        <w:spacing w:beforeAutospacing="0" w:afterAutospacing="0"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w:t>
      </w:r>
    </w:p>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六、税</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6.1本合同执行中相关的一切税费均由乙方负担。</w:t>
      </w:r>
    </w:p>
    <w:p>
      <w:pPr>
        <w:spacing w:beforeAutospacing="0" w:afterAutospacing="0" w:line="360" w:lineRule="auto"/>
        <w:ind w:left="360" w:hanging="361" w:hangingChars="171"/>
        <w:rPr>
          <w:rFonts w:ascii="宋体" w:hAnsi="宋体" w:cs="宋体"/>
          <w:color w:val="auto"/>
          <w:szCs w:val="21"/>
          <w:highlight w:val="none"/>
        </w:rPr>
      </w:pPr>
      <w:r>
        <w:rPr>
          <w:rFonts w:hint="eastAsia" w:ascii="宋体" w:hAnsi="宋体" w:cs="宋体"/>
          <w:b/>
          <w:color w:val="auto"/>
          <w:szCs w:val="21"/>
          <w:highlight w:val="none"/>
        </w:rPr>
        <w:t>七、完成质量要求</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7.1 服务期间乙方不得随意更换项目负责人，如有特殊情况需要更换，须经甲方同意确认。</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7.2服务期间，乙方须配备足够的人员和设备。</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7.3合同执行过程中，乙方如有弄虚作假行为，甲方有权单方面解除合同并没收全部履约保证金，由此引起的所以损失由乙方承担。</w:t>
      </w:r>
    </w:p>
    <w:p>
      <w:pPr>
        <w:spacing w:beforeAutospacing="0" w:afterAutospacing="0" w:line="360" w:lineRule="auto"/>
        <w:ind w:left="360" w:hanging="361" w:hangingChars="171"/>
        <w:rPr>
          <w:rFonts w:ascii="宋体" w:hAnsi="宋体" w:cs="宋体"/>
          <w:b/>
          <w:color w:val="auto"/>
          <w:szCs w:val="21"/>
          <w:highlight w:val="none"/>
        </w:rPr>
      </w:pPr>
      <w:r>
        <w:rPr>
          <w:rFonts w:hint="eastAsia" w:ascii="宋体" w:hAnsi="宋体" w:cs="宋体"/>
          <w:b/>
          <w:color w:val="auto"/>
          <w:szCs w:val="21"/>
          <w:highlight w:val="none"/>
        </w:rPr>
        <w:t>八、违约责任</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8.1 甲方无正当理由拒收接受服务的，甲方向乙方偿付合同款项百分之五作为违约金。</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8.2 甲方无故逾期验收和办理款项支付手续的，甲方应按逾期付款总额每日万分之五向乙方支付违约金。</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spacing w:beforeAutospacing="0" w:afterAutospacing="0" w:line="360" w:lineRule="auto"/>
        <w:ind w:left="360" w:hanging="361" w:hangingChars="171"/>
        <w:rPr>
          <w:rFonts w:ascii="宋体" w:hAnsi="宋体" w:cs="宋体"/>
          <w:b/>
          <w:color w:val="auto"/>
          <w:szCs w:val="21"/>
          <w:highlight w:val="none"/>
        </w:rPr>
      </w:pPr>
      <w:r>
        <w:rPr>
          <w:rFonts w:hint="eastAsia" w:ascii="宋体" w:hAnsi="宋体" w:cs="宋体"/>
          <w:b/>
          <w:color w:val="auto"/>
          <w:szCs w:val="21"/>
          <w:highlight w:val="none"/>
        </w:rPr>
        <w:t>九、不可抗力事件处理</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9.1 在合同有效期内，任何一方因不可抗力事件导致不能履行合同，则合同履行期可延长，其延长期与不可抗力影响期相同。</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9.2 不可抗力事件发生后，应立即通知对方，并寄送有关权威机构出具的证明。</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9.3 不可抗力事件延续120天以上，双方应通过友好协商，确定是否继续履行合同。</w:t>
      </w:r>
    </w:p>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十、诉讼</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10.1 双方在执行合同中所发生的一切争议，应通过协商解决。如协商不成，可向合同签订地法院起诉。</w:t>
      </w:r>
    </w:p>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十一、合同生效及其它</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11.1 合同经双方法定代表人或授权委托代理人签字并加盖单位公章后生效。</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11.2合同执行中涉及采购资金和采购内容修改或补充的，须经财政部门审批，并签书面补充协议报政府采购监督管理部门备案，方可作为主合同不可分割的一部分。</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11.3本合同未尽事宜，遵照《中华人民共和国民法典》有关条文、补充协议、投标承诺、投标文件、采购文件及补充执行。</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11.4本合同正本一式   份，甲乙双方各执  份；副本  份，甲乙双方各执  份。合同正副本具有同等法律效力。</w:t>
      </w:r>
    </w:p>
    <w:p>
      <w:pPr>
        <w:rPr>
          <w:rFonts w:ascii="Calibri" w:hAnsi="Calibri"/>
          <w:color w:val="auto"/>
          <w:highlight w:val="none"/>
        </w:rPr>
      </w:pPr>
    </w:p>
    <w:p>
      <w:pPr>
        <w:spacing w:beforeAutospacing="0" w:afterAutospacing="0" w:line="360" w:lineRule="auto"/>
        <w:jc w:val="left"/>
        <w:rPr>
          <w:rFonts w:ascii="宋体" w:hAnsi="宋体" w:cs="宋体"/>
          <w:color w:val="auto"/>
          <w:kern w:val="0"/>
          <w:szCs w:val="21"/>
          <w:highlight w:val="none"/>
        </w:rPr>
      </w:pPr>
    </w:p>
    <w:p>
      <w:pPr>
        <w:spacing w:beforeAutospacing="0" w:afterAutospacing="0" w:line="360" w:lineRule="auto"/>
        <w:jc w:val="left"/>
        <w:rPr>
          <w:rFonts w:ascii="宋体" w:hAnsi="宋体" w:cs="宋体"/>
          <w:color w:val="auto"/>
          <w:kern w:val="0"/>
          <w:szCs w:val="21"/>
          <w:highlight w:val="none"/>
        </w:rPr>
      </w:pPr>
    </w:p>
    <w:p>
      <w:pPr>
        <w:spacing w:beforeAutospacing="0" w:afterAutospacing="0" w:line="360" w:lineRule="auto"/>
        <w:jc w:val="left"/>
        <w:rPr>
          <w:rFonts w:ascii="宋体" w:hAnsi="宋体" w:cs="宋体"/>
          <w:color w:val="auto"/>
          <w:kern w:val="0"/>
          <w:szCs w:val="21"/>
          <w:highlight w:val="none"/>
        </w:rPr>
      </w:pPr>
    </w:p>
    <w:p>
      <w:pPr>
        <w:spacing w:beforeAutospacing="0" w:afterAutospacing="0" w:line="360" w:lineRule="auto"/>
        <w:jc w:val="left"/>
        <w:rPr>
          <w:rFonts w:ascii="宋体" w:hAnsi="宋体" w:cs="宋体"/>
          <w:color w:val="auto"/>
          <w:kern w:val="0"/>
          <w:szCs w:val="21"/>
          <w:highlight w:val="none"/>
        </w:rPr>
      </w:pPr>
    </w:p>
    <w:p>
      <w:pPr>
        <w:spacing w:beforeAutospacing="0" w:afterAutospacing="0" w:line="360" w:lineRule="auto"/>
        <w:jc w:val="left"/>
        <w:rPr>
          <w:rFonts w:ascii="宋体" w:hAnsi="宋体" w:cs="宋体"/>
          <w:color w:val="auto"/>
          <w:kern w:val="0"/>
          <w:szCs w:val="21"/>
          <w:highlight w:val="none"/>
        </w:rPr>
      </w:pP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甲方：(公章)                               乙方：(公章)</w:t>
      </w: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地址：                                     地址：</w:t>
      </w: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法定代表人：(签字)                         法定代表人：(签字)</w:t>
      </w: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委托代理人：(签字)                         委托代理人：(签字)</w:t>
      </w: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电话：                                     电话：</w:t>
      </w: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传真：                                     传真：</w:t>
      </w: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开户银行：                                 开户银行：</w:t>
      </w: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账号：                                     账号：</w:t>
      </w:r>
    </w:p>
    <w:p>
      <w:pPr>
        <w:spacing w:beforeAutospacing="0" w:afterAutospacing="0" w:line="360" w:lineRule="auto"/>
        <w:jc w:val="left"/>
        <w:rPr>
          <w:rFonts w:ascii="Calibri" w:hAnsi="Calibri"/>
          <w:color w:val="auto"/>
          <w:highlight w:val="none"/>
        </w:rPr>
      </w:pPr>
      <w:r>
        <w:rPr>
          <w:rFonts w:hint="eastAsia" w:ascii="宋体" w:hAnsi="宋体" w:cs="宋体"/>
          <w:color w:val="auto"/>
          <w:szCs w:val="21"/>
          <w:highlight w:val="none"/>
        </w:rPr>
        <w:t>邮政编码：                                 邮政编码：</w:t>
      </w:r>
    </w:p>
    <w:p>
      <w:pPr>
        <w:spacing w:beforeAutospacing="0" w:afterAutospacing="0" w:line="360" w:lineRule="auto"/>
        <w:rPr>
          <w:rFonts w:ascii="宋体" w:hAnsi="宋体" w:cs="宋体"/>
          <w:color w:val="auto"/>
          <w:szCs w:val="21"/>
          <w:highlight w:val="none"/>
        </w:rPr>
      </w:pPr>
    </w:p>
    <w:p>
      <w:pPr>
        <w:spacing w:beforeAutospacing="0" w:afterAutospacing="0" w:line="360" w:lineRule="auto"/>
        <w:rPr>
          <w:rFonts w:ascii="宋体" w:hAnsi="宋体" w:cs="宋体"/>
          <w:color w:val="auto"/>
          <w:szCs w:val="21"/>
          <w:highlight w:val="none"/>
        </w:rPr>
      </w:pPr>
    </w:p>
    <w:p>
      <w:pPr>
        <w:spacing w:beforeAutospacing="0" w:afterAutospacing="0" w:line="360" w:lineRule="auto"/>
        <w:contextualSpacing/>
        <w:rPr>
          <w:rFonts w:ascii="宋体" w:hAnsi="宋体" w:cs="宋体"/>
          <w:color w:val="auto"/>
          <w:szCs w:val="21"/>
          <w:highlight w:val="none"/>
        </w:rPr>
      </w:pPr>
      <w:r>
        <w:rPr>
          <w:rFonts w:hint="eastAsia" w:ascii="宋体" w:hAnsi="宋体" w:cs="宋体"/>
          <w:color w:val="auto"/>
          <w:szCs w:val="21"/>
          <w:highlight w:val="none"/>
        </w:rPr>
        <w:t>合同见证方：浙江中基正采管理咨询有限公司</w:t>
      </w:r>
    </w:p>
    <w:p>
      <w:pPr>
        <w:pStyle w:val="26"/>
        <w:spacing w:beforeLines="0" w:beforeAutospacing="0" w:afterLines="0" w:afterAutospacing="0"/>
        <w:outlineLvl w:val="0"/>
        <w:rPr>
          <w:rFonts w:hint="default"/>
          <w:color w:val="auto"/>
          <w:highlight w:val="none"/>
        </w:rPr>
      </w:pPr>
      <w:r>
        <w:rPr>
          <w:rFonts w:hAnsi="宋体" w:cs="宋体"/>
          <w:color w:val="auto"/>
          <w:highlight w:val="none"/>
        </w:rPr>
        <w:t>见证日期：</w:t>
      </w:r>
    </w:p>
    <w:p>
      <w:pPr>
        <w:pStyle w:val="26"/>
        <w:spacing w:beforeLines="0" w:beforeAutospacing="0" w:afterLines="0" w:afterAutospacing="0"/>
        <w:jc w:val="center"/>
        <w:outlineLvl w:val="0"/>
        <w:rPr>
          <w:rFonts w:hint="default"/>
          <w:color w:val="auto"/>
          <w:highlight w:val="none"/>
        </w:rPr>
      </w:pPr>
    </w:p>
    <w:p>
      <w:pPr>
        <w:pStyle w:val="26"/>
        <w:spacing w:beforeLines="0" w:beforeAutospacing="0" w:afterLines="0" w:afterAutospacing="0"/>
        <w:jc w:val="center"/>
        <w:outlineLvl w:val="0"/>
        <w:rPr>
          <w:rFonts w:hint="default" w:hAnsi="宋体" w:cs="宋体"/>
          <w:b/>
          <w:color w:val="auto"/>
          <w:highlight w:val="none"/>
        </w:rPr>
      </w:pPr>
      <w:bookmarkStart w:id="56" w:name="_Toc4952"/>
      <w:bookmarkEnd w:id="56"/>
      <w:bookmarkStart w:id="57" w:name="_Toc32283"/>
      <w:bookmarkEnd w:id="57"/>
      <w:r>
        <w:rPr>
          <w:color w:val="auto"/>
          <w:highlight w:val="none"/>
        </w:rPr>
        <w:br w:type="page"/>
      </w:r>
      <w:r>
        <w:rPr>
          <w:rFonts w:hAnsi="宋体" w:cs="宋体"/>
          <w:b/>
          <w:color w:val="auto"/>
          <w:sz w:val="32"/>
          <w:szCs w:val="32"/>
          <w:highlight w:val="none"/>
        </w:rPr>
        <w:t>第六章　投标文件格式</w:t>
      </w:r>
    </w:p>
    <w:p>
      <w:pPr>
        <w:snapToGrid w:val="0"/>
        <w:spacing w:beforeAutospacing="0" w:afterAutospacing="0" w:line="360" w:lineRule="auto"/>
        <w:jc w:val="center"/>
        <w:rPr>
          <w:rFonts w:ascii="宋体" w:hAnsi="宋体" w:cs="宋体"/>
          <w:b/>
          <w:bCs/>
          <w:color w:val="auto"/>
          <w:sz w:val="28"/>
          <w:szCs w:val="28"/>
          <w:highlight w:val="none"/>
        </w:rPr>
      </w:pPr>
    </w:p>
    <w:p>
      <w:pPr>
        <w:snapToGrid w:val="0"/>
        <w:spacing w:beforeAutospacing="0" w:afterAutospacing="0"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一、资格文件、商务技术文件格式</w:t>
      </w:r>
    </w:p>
    <w:p>
      <w:pPr>
        <w:snapToGrid w:val="0"/>
        <w:spacing w:beforeAutospacing="0" w:afterAutospacing="0" w:line="360" w:lineRule="auto"/>
        <w:jc w:val="left"/>
        <w:rPr>
          <w:rFonts w:ascii="宋体" w:hAnsi="宋体" w:cs="宋体"/>
          <w:bCs/>
          <w:color w:val="auto"/>
          <w:sz w:val="28"/>
          <w:szCs w:val="28"/>
          <w:highlight w:val="none"/>
        </w:rPr>
      </w:pPr>
      <w:r>
        <w:rPr>
          <w:rFonts w:hint="eastAsia" w:ascii="宋体" w:hAnsi="宋体" w:cs="宋体"/>
          <w:color w:val="auto"/>
          <w:highlight w:val="none"/>
        </w:rPr>
        <w:t>1、</w:t>
      </w:r>
      <w:r>
        <w:rPr>
          <w:rFonts w:hint="eastAsia" w:ascii="宋体" w:hAnsi="宋体" w:cs="宋体"/>
          <w:color w:val="auto"/>
          <w:szCs w:val="21"/>
          <w:highlight w:val="none"/>
        </w:rPr>
        <w:t>资格、商务技术文件</w:t>
      </w:r>
      <w:r>
        <w:rPr>
          <w:rFonts w:hint="eastAsia" w:ascii="宋体" w:hAnsi="宋体" w:cs="宋体"/>
          <w:color w:val="auto"/>
          <w:highlight w:val="none"/>
        </w:rPr>
        <w:t>封面格式：</w:t>
      </w:r>
    </w:p>
    <w:p>
      <w:pPr>
        <w:snapToGrid w:val="0"/>
        <w:spacing w:beforeAutospacing="0" w:afterAutospacing="0" w:line="360" w:lineRule="auto"/>
        <w:ind w:firstLine="275" w:firstLineChars="98"/>
        <w:rPr>
          <w:rFonts w:ascii="宋体" w:hAnsi="宋体" w:cs="宋体"/>
          <w:b/>
          <w:color w:val="auto"/>
          <w:sz w:val="28"/>
          <w:szCs w:val="28"/>
          <w:highlight w:val="none"/>
        </w:rPr>
      </w:pPr>
    </w:p>
    <w:p>
      <w:pPr>
        <w:snapToGrid w:val="0"/>
        <w:spacing w:beforeAutospacing="0" w:afterAutospacing="0" w:line="360" w:lineRule="auto"/>
        <w:ind w:firstLine="275" w:firstLineChars="98"/>
        <w:rPr>
          <w:rFonts w:ascii="宋体" w:hAnsi="宋体" w:cs="宋体"/>
          <w:b/>
          <w:color w:val="auto"/>
          <w:sz w:val="28"/>
          <w:szCs w:val="28"/>
          <w:highlight w:val="none"/>
        </w:rPr>
      </w:pPr>
      <w:r>
        <w:rPr>
          <w:rFonts w:hint="eastAsia" w:ascii="宋体" w:hAnsi="宋体" w:cs="宋体"/>
          <w:b/>
          <w:color w:val="auto"/>
          <w:sz w:val="28"/>
          <w:szCs w:val="28"/>
          <w:highlight w:val="none"/>
        </w:rPr>
        <w:t>封面格式：</w:t>
      </w:r>
    </w:p>
    <w:p>
      <w:pPr>
        <w:snapToGrid w:val="0"/>
        <w:spacing w:beforeAutospacing="0" w:afterAutospacing="0" w:line="360" w:lineRule="auto"/>
        <w:jc w:val="center"/>
        <w:rPr>
          <w:rFonts w:ascii="宋体" w:hAnsi="宋体" w:cs="宋体"/>
          <w:bCs/>
          <w:color w:val="auto"/>
          <w:sz w:val="28"/>
          <w:szCs w:val="28"/>
          <w:highlight w:val="none"/>
        </w:rPr>
      </w:pPr>
    </w:p>
    <w:p>
      <w:pPr>
        <w:snapToGrid w:val="0"/>
        <w:spacing w:beforeAutospacing="0" w:afterAutospacing="0" w:line="360" w:lineRule="auto"/>
        <w:jc w:val="center"/>
        <w:rPr>
          <w:rFonts w:ascii="宋体" w:hAnsi="宋体" w:cs="宋体"/>
          <w:bCs/>
          <w:color w:val="auto"/>
          <w:sz w:val="24"/>
          <w:highlight w:val="none"/>
        </w:rPr>
      </w:pPr>
      <w:r>
        <w:rPr>
          <w:rFonts w:hint="eastAsia" w:ascii="宋体" w:hAnsi="宋体" w:cs="宋体"/>
          <w:bCs/>
          <w:color w:val="auto"/>
          <w:sz w:val="40"/>
          <w:szCs w:val="40"/>
          <w:highlight w:val="none"/>
        </w:rPr>
        <w:t>资格、商务技术文件</w:t>
      </w:r>
    </w:p>
    <w:p>
      <w:pPr>
        <w:snapToGrid w:val="0"/>
        <w:spacing w:beforeAutospacing="0" w:afterAutospacing="0" w:line="360" w:lineRule="auto"/>
        <w:ind w:firstLine="6919" w:firstLineChars="2883"/>
        <w:rPr>
          <w:rFonts w:ascii="宋体" w:hAnsi="宋体" w:cs="宋体"/>
          <w:bCs/>
          <w:color w:val="auto"/>
          <w:sz w:val="24"/>
          <w:highlight w:val="none"/>
        </w:rPr>
      </w:pP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项目名称：</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标项号：</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供应商名称（加盖公章）：</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供应商地址：</w:t>
      </w:r>
    </w:p>
    <w:p>
      <w:pPr>
        <w:snapToGrid w:val="0"/>
        <w:spacing w:beforeAutospacing="0" w:afterAutospacing="0" w:line="360" w:lineRule="auto"/>
        <w:rPr>
          <w:rFonts w:ascii="宋体" w:hAnsi="宋体" w:cs="宋体"/>
          <w:color w:val="auto"/>
          <w:sz w:val="20"/>
          <w:szCs w:val="20"/>
          <w:highlight w:val="none"/>
        </w:rPr>
      </w:pPr>
      <w:bookmarkStart w:id="58" w:name="_Toc9414"/>
      <w:bookmarkEnd w:id="58"/>
      <w:r>
        <w:rPr>
          <w:rFonts w:hint="eastAsia" w:ascii="宋体" w:hAnsi="宋体" w:cs="宋体"/>
          <w:bCs/>
          <w:color w:val="auto"/>
          <w:sz w:val="24"/>
          <w:highlight w:val="none"/>
        </w:rPr>
        <w:t>年  月  日</w:t>
      </w:r>
    </w:p>
    <w:p>
      <w:pPr>
        <w:snapToGrid w:val="0"/>
        <w:spacing w:beforeAutospacing="0" w:afterAutospacing="0" w:line="360" w:lineRule="auto"/>
        <w:rPr>
          <w:rFonts w:ascii="宋体" w:hAnsi="宋体" w:cs="Arial"/>
          <w:b/>
          <w:bCs/>
          <w:color w:val="auto"/>
          <w:sz w:val="24"/>
          <w:szCs w:val="22"/>
          <w:highlight w:val="none"/>
        </w:rPr>
      </w:pPr>
    </w:p>
    <w:p>
      <w:pPr>
        <w:pStyle w:val="26"/>
        <w:snapToGrid w:val="0"/>
        <w:spacing w:beforeLines="0" w:beforeAutospacing="0" w:afterLines="0" w:afterAutospacing="0" w:line="240" w:lineRule="auto"/>
        <w:rPr>
          <w:rFonts w:hint="default" w:hAnsi="宋体" w:cs="宋体"/>
          <w:color w:val="auto"/>
          <w:highlight w:val="none"/>
        </w:rPr>
      </w:pPr>
    </w:p>
    <w:p>
      <w:pPr>
        <w:snapToGrid w:val="0"/>
        <w:spacing w:beforeAutospacing="0" w:afterAutospacing="0" w:line="360" w:lineRule="auto"/>
        <w:jc w:val="left"/>
        <w:rPr>
          <w:rFonts w:ascii="宋体" w:hAnsi="宋体" w:cs="宋体"/>
          <w:b/>
          <w:bCs/>
          <w:color w:val="auto"/>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（三）</w:t>
      </w:r>
      <w:r>
        <w:rPr>
          <w:rFonts w:hint="eastAsia" w:ascii="宋体" w:hAnsi="宋体" w:cs="宋体"/>
          <w:b/>
          <w:bCs/>
          <w:color w:val="auto"/>
          <w:highlight w:val="none"/>
        </w:rPr>
        <w:t>资格文件：</w:t>
      </w:r>
    </w:p>
    <w:p>
      <w:pPr>
        <w:numPr>
          <w:ilvl w:val="0"/>
          <w:numId w:val="20"/>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供应商资格声明函（格式见附件）；</w:t>
      </w:r>
    </w:p>
    <w:p>
      <w:pPr>
        <w:numPr>
          <w:ilvl w:val="0"/>
          <w:numId w:val="20"/>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有效的企业法人营业执照（或事业法人登记证）、其他组织（个体工商户）的营业执照或者民办非企业单位登记证书复印件；</w:t>
      </w:r>
      <w:r>
        <w:rPr>
          <w:rFonts w:hint="eastAsia" w:ascii="宋体" w:hAnsi="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highlight w:val="none"/>
        </w:rPr>
        <w:t>；</w:t>
      </w:r>
    </w:p>
    <w:p>
      <w:pPr>
        <w:numPr>
          <w:ilvl w:val="0"/>
          <w:numId w:val="20"/>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供应商特定资格条件的证明文件：详见“第一章  公开招标公告 二、申请人的资格要求：3.本项目的特定资格要求”；</w:t>
      </w:r>
    </w:p>
    <w:p>
      <w:pPr>
        <w:numPr>
          <w:ilvl w:val="0"/>
          <w:numId w:val="20"/>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联合体协议（如有，格式见附件）；</w:t>
      </w:r>
    </w:p>
    <w:p>
      <w:pPr>
        <w:numPr>
          <w:ilvl w:val="0"/>
          <w:numId w:val="20"/>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numPr>
          <w:ilvl w:val="0"/>
          <w:numId w:val="20"/>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招标文件要求的其他资格条件证明材料（如有）；</w:t>
      </w:r>
    </w:p>
    <w:p>
      <w:pPr>
        <w:snapToGrid w:val="0"/>
        <w:spacing w:beforeAutospacing="0" w:afterAutospacing="0" w:line="360" w:lineRule="auto"/>
        <w:jc w:val="left"/>
        <w:rPr>
          <w:rFonts w:ascii="宋体" w:hAnsi="宋体" w:cs="宋体"/>
          <w:b/>
          <w:bCs/>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（1）供应商资格声明函格式；</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供应商资格声明函</w:t>
      </w:r>
    </w:p>
    <w:p>
      <w:pPr>
        <w:snapToGrid w:val="0"/>
        <w:rPr>
          <w:rFonts w:ascii="宋体" w:hAnsi="宋体" w:cs="宋体"/>
          <w:b/>
          <w:color w:val="auto"/>
          <w:szCs w:val="21"/>
          <w:highlight w:val="none"/>
        </w:rPr>
      </w:pPr>
    </w:p>
    <w:p>
      <w:pPr>
        <w:spacing w:beforeAutospacing="0" w:afterAutospacing="0" w:line="360" w:lineRule="auto"/>
        <w:ind w:right="420" w:firstLine="3150" w:firstLineChars="1500"/>
        <w:rPr>
          <w:rFonts w:ascii="宋体" w:hAnsi="宋体" w:cs="宋体"/>
          <w:color w:val="auto"/>
          <w:highlight w:val="none"/>
        </w:rPr>
      </w:pPr>
    </w:p>
    <w:p>
      <w:pPr>
        <w:spacing w:beforeAutospacing="0" w:afterAutospacing="0" w:line="360" w:lineRule="auto"/>
        <w:rPr>
          <w:rFonts w:ascii="宋体" w:hAnsi="宋体" w:cs="宋体"/>
          <w:b/>
          <w:color w:val="auto"/>
          <w:highlight w:val="none"/>
        </w:rPr>
      </w:pPr>
      <w:r>
        <w:rPr>
          <w:rFonts w:hint="eastAsia" w:ascii="宋体" w:hAnsi="宋体" w:cs="宋体"/>
          <w:b/>
          <w:color w:val="auto"/>
          <w:highlight w:val="none"/>
        </w:rPr>
        <w:t>浙江中基正采管理咨询有限公司：</w:t>
      </w:r>
    </w:p>
    <w:p>
      <w:pPr>
        <w:snapToGrid w:val="0"/>
        <w:spacing w:beforeLines="50"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关于贵司年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日发布</w:t>
      </w:r>
      <w:r>
        <w:rPr>
          <w:rFonts w:hint="eastAsia" w:ascii="宋体" w:hAnsi="宋体" w:cs="宋体"/>
          <w:color w:val="auto"/>
          <w:kern w:val="28"/>
          <w:highlight w:val="none"/>
          <w:u w:val="single"/>
        </w:rPr>
        <w:t>XXXXXXXXXXXXXXXXXXXXXXXXXXXX</w:t>
      </w:r>
      <w:r>
        <w:rPr>
          <w:rFonts w:hint="eastAsia" w:ascii="宋体" w:hAnsi="宋体" w:cs="宋体"/>
          <w:color w:val="auto"/>
          <w:highlight w:val="none"/>
        </w:rPr>
        <w:t>项目（项目编号：　　　）的公开招标公告，本公司（企业）愿意参加投标，并声明：</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1、本公司（企业）具备《中华人民共和国政府采购法》第二十二条资格条件：</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1.1、具有独立承担民事责任的能力；</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1.2、具有良好的商业信誉和健全的财务会计制度；</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1.3、具有履行合同所必需的设备和专业技术能力；</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1.4、有依法缴纳税收和社会保障资金的良好记录；</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1.5、参加政府采购活动前三年内，在经营活动中没有重大违法记录；</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1.6、法律、行政法规规定的其他条件。</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本公司（企业）的法定代表人或单位负责人与所参投的本采购项目的其他供应商的法定代表人或单位负责人不为同一人且与其他供应商之间不存在直接控股、管理关系。</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szCs w:val="21"/>
          <w:highlight w:val="none"/>
        </w:rPr>
        <w:t>根据《中华人民共和国政府采购法</w:t>
      </w:r>
      <w:r>
        <w:rPr>
          <w:rFonts w:hint="eastAsia" w:ascii="宋体" w:hAnsi="宋体" w:cs="宋体"/>
          <w:color w:val="auto"/>
          <w:highlight w:val="none"/>
        </w:rPr>
        <w:t>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beforeAutospacing="0" w:afterAutospacing="0" w:line="360" w:lineRule="auto"/>
        <w:ind w:firstLine="426" w:firstLineChars="202"/>
        <w:rPr>
          <w:rFonts w:ascii="宋体" w:hAnsi="宋体" w:cs="宋体"/>
          <w:b/>
          <w:bCs/>
          <w:color w:val="auto"/>
          <w:highlight w:val="none"/>
        </w:rPr>
      </w:pPr>
      <w:r>
        <w:rPr>
          <w:rFonts w:hint="eastAsia" w:ascii="宋体" w:hAnsi="宋体" w:cs="宋体"/>
          <w:b/>
          <w:bCs/>
          <w:color w:val="auto"/>
          <w:highlight w:val="none"/>
        </w:rPr>
        <w:t>本公司（企业）</w:t>
      </w:r>
      <w:r>
        <w:rPr>
          <w:rFonts w:hint="eastAsia" w:ascii="宋体" w:hAnsi="宋体" w:cs="宋体"/>
          <w:b/>
          <w:bCs/>
          <w:color w:val="auto"/>
          <w:szCs w:val="21"/>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在中国裁判文书网有行贿犯罪相关记录。</w:t>
      </w:r>
      <w:r>
        <w:rPr>
          <w:rFonts w:hint="eastAsia" w:ascii="宋体" w:hAnsi="宋体" w:cs="宋体"/>
          <w:b/>
          <w:bCs/>
          <w:color w:val="auto"/>
          <w:highlight w:val="none"/>
        </w:rPr>
        <w:t>否则，由此所造成的损失、不良后果及法律责任，一律由我公司（企业）承担。</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我公司已清楚招标文件的要求及有关文件规定。本次招标采购活动中，如有违法、违规、弄虚作假行为，所造成的损失、不良后果及法律责任，一律由我公司（企业）承担。</w:t>
      </w:r>
    </w:p>
    <w:p>
      <w:pPr>
        <w:spacing w:beforeAutospacing="0" w:afterAutospacing="0" w:line="360" w:lineRule="auto"/>
        <w:ind w:firstLine="420"/>
        <w:rPr>
          <w:rFonts w:ascii="宋体" w:hAnsi="宋体" w:cs="宋体"/>
          <w:b/>
          <w:color w:val="auto"/>
          <w:highlight w:val="none"/>
        </w:rPr>
      </w:pPr>
      <w:r>
        <w:rPr>
          <w:rFonts w:hint="eastAsia" w:ascii="宋体" w:hAnsi="宋体" w:cs="宋体"/>
          <w:b/>
          <w:color w:val="auto"/>
          <w:highlight w:val="none"/>
        </w:rPr>
        <w:t>特此声明！</w:t>
      </w:r>
    </w:p>
    <w:p>
      <w:pPr>
        <w:adjustRightInd w:val="0"/>
        <w:snapToGrid w:val="0"/>
        <w:spacing w:beforeAutospacing="0" w:afterAutospacing="0" w:line="360" w:lineRule="auto"/>
        <w:ind w:left="425"/>
        <w:rPr>
          <w:rFonts w:ascii="宋体" w:hAnsi="宋体" w:cs="宋体"/>
          <w:color w:val="auto"/>
          <w:spacing w:val="4"/>
          <w:highlight w:val="none"/>
        </w:rPr>
      </w:pPr>
    </w:p>
    <w:p>
      <w:pPr>
        <w:spacing w:beforeAutospacing="0" w:afterAutospacing="0" w:line="360" w:lineRule="auto"/>
        <w:ind w:right="420" w:firstLine="3150" w:firstLineChars="1500"/>
        <w:rPr>
          <w:rFonts w:ascii="宋体" w:hAnsi="宋体" w:cs="宋体"/>
          <w:color w:val="auto"/>
          <w:highlight w:val="none"/>
        </w:rPr>
      </w:pPr>
      <w:r>
        <w:rPr>
          <w:rFonts w:hint="eastAsia" w:ascii="宋体" w:hAnsi="宋体" w:cs="宋体"/>
          <w:color w:val="auto"/>
          <w:highlight w:val="none"/>
        </w:rPr>
        <w:t>法定代表人或授权代表（签名或印章）：</w:t>
      </w:r>
    </w:p>
    <w:p>
      <w:pPr>
        <w:spacing w:beforeAutospacing="0" w:afterAutospacing="0" w:line="360" w:lineRule="auto"/>
        <w:ind w:right="420" w:firstLine="3150" w:firstLineChars="1500"/>
        <w:rPr>
          <w:rFonts w:ascii="宋体" w:hAnsi="宋体" w:cs="宋体"/>
          <w:color w:val="auto"/>
          <w:highlight w:val="none"/>
        </w:rPr>
      </w:pPr>
      <w:r>
        <w:rPr>
          <w:rFonts w:hint="eastAsia" w:ascii="宋体" w:hAnsi="宋体" w:cs="宋体"/>
          <w:color w:val="auto"/>
          <w:highlight w:val="none"/>
        </w:rPr>
        <w:t>供应商公章：</w:t>
      </w:r>
    </w:p>
    <w:p>
      <w:pPr>
        <w:spacing w:beforeAutospacing="0" w:afterAutospacing="0" w:line="360" w:lineRule="auto"/>
        <w:ind w:right="420" w:firstLine="3150" w:firstLineChars="1500"/>
        <w:rPr>
          <w:rFonts w:ascii="宋体" w:hAnsi="宋体" w:cs="宋体"/>
          <w:color w:val="auto"/>
          <w:highlight w:val="none"/>
        </w:rPr>
      </w:pPr>
      <w:r>
        <w:rPr>
          <w:rFonts w:hint="eastAsia" w:ascii="宋体" w:hAnsi="宋体" w:cs="宋体"/>
          <w:color w:val="auto"/>
          <w:highlight w:val="none"/>
        </w:rPr>
        <w:t>年    月    日</w:t>
      </w:r>
    </w:p>
    <w:p>
      <w:pPr>
        <w:snapToGrid w:val="0"/>
        <w:rPr>
          <w:rFonts w:ascii="宋体" w:hAnsi="宋体" w:cs="宋体"/>
          <w:color w:val="auto"/>
          <w:szCs w:val="21"/>
          <w:highlight w:val="none"/>
        </w:rPr>
      </w:pPr>
      <w:r>
        <w:rPr>
          <w:rFonts w:hint="eastAsia" w:ascii="宋体" w:hAnsi="宋体" w:cs="宋体"/>
          <w:b/>
          <w:color w:val="auto"/>
          <w:highlight w:val="none"/>
        </w:rPr>
        <w:t>注：联合体投标的，可只由联合体牵头人签章。</w:t>
      </w:r>
      <w:r>
        <w:rPr>
          <w:rFonts w:hint="eastAsia" w:ascii="宋体" w:hAnsi="宋体" w:cs="宋体"/>
          <w:color w:val="auto"/>
          <w:highlight w:val="none"/>
        </w:rPr>
        <w:br w:type="page"/>
      </w:r>
      <w:r>
        <w:rPr>
          <w:rFonts w:hint="eastAsia" w:ascii="宋体" w:hAnsi="宋体" w:cs="宋体"/>
          <w:b/>
          <w:bCs/>
          <w:color w:val="auto"/>
          <w:highlight w:val="none"/>
        </w:rPr>
        <w:t>（2）</w:t>
      </w:r>
      <w:r>
        <w:rPr>
          <w:rFonts w:hint="eastAsia" w:ascii="宋体" w:hAnsi="宋体" w:cs="宋体"/>
          <w:color w:val="auto"/>
          <w:highlight w:val="none"/>
        </w:rPr>
        <w:t>有效的企业法人营业执照（或事业法人登记证）、其他组织（个体工商户）的营业执照或者民办非企业单位登记证书复印件；</w:t>
      </w:r>
      <w:r>
        <w:rPr>
          <w:rFonts w:hint="eastAsia" w:ascii="宋体" w:hAnsi="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highlight w:val="none"/>
        </w:rPr>
        <w:t>；</w:t>
      </w:r>
    </w:p>
    <w:p>
      <w:pPr>
        <w:snapToGrid w:val="0"/>
        <w:rPr>
          <w:rFonts w:ascii="宋体" w:hAnsi="宋体" w:cs="宋体"/>
          <w:color w:val="auto"/>
          <w:szCs w:val="21"/>
          <w:highlight w:val="none"/>
        </w:rPr>
      </w:pPr>
    </w:p>
    <w:p>
      <w:pPr>
        <w:snapToGrid w:val="0"/>
        <w:rPr>
          <w:rFonts w:ascii="宋体" w:hAnsi="宋体" w:cs="宋体"/>
          <w:color w:val="auto"/>
          <w:szCs w:val="21"/>
          <w:highlight w:val="none"/>
        </w:rPr>
      </w:pPr>
      <w:r>
        <w:rPr>
          <w:rFonts w:hint="eastAsia" w:ascii="宋体" w:hAnsi="宋体" w:cs="宋体"/>
          <w:b/>
          <w:bCs/>
          <w:color w:val="auto"/>
          <w:highlight w:val="none"/>
        </w:rPr>
        <w:t>注：联合体投标的，联合体各方均须提供。</w:t>
      </w:r>
    </w:p>
    <w:p>
      <w:pPr>
        <w:rPr>
          <w:rFonts w:ascii="宋体" w:hAnsi="宋体" w:cs="宋体"/>
          <w:color w:val="auto"/>
          <w:szCs w:val="21"/>
          <w:highlight w:val="none"/>
        </w:rPr>
      </w:pPr>
      <w:r>
        <w:rPr>
          <w:rFonts w:hint="eastAsia" w:ascii="宋体" w:hAnsi="宋体" w:cs="宋体"/>
          <w:color w:val="auto"/>
          <w:szCs w:val="21"/>
          <w:highlight w:val="none"/>
        </w:rPr>
        <w:br w:type="page"/>
      </w:r>
    </w:p>
    <w:p>
      <w:pPr>
        <w:rPr>
          <w:color w:val="auto"/>
          <w:highlight w:val="none"/>
        </w:rPr>
      </w:pPr>
      <w:r>
        <w:rPr>
          <w:rFonts w:hint="eastAsia"/>
          <w:b/>
          <w:bCs/>
          <w:color w:val="auto"/>
          <w:highlight w:val="none"/>
        </w:rPr>
        <w:t>（3）</w:t>
      </w:r>
      <w:r>
        <w:rPr>
          <w:rFonts w:hint="eastAsia"/>
          <w:color w:val="auto"/>
          <w:highlight w:val="none"/>
        </w:rPr>
        <w:t>联合体协议书格式</w:t>
      </w:r>
    </w:p>
    <w:p>
      <w:pPr>
        <w:snapToGrid w:val="0"/>
        <w:spacing w:beforeLines="50" w:beforeAutospacing="0" w:after="50" w:afterAutospacing="0"/>
        <w:jc w:val="center"/>
        <w:rPr>
          <w:rFonts w:ascii="宋体" w:hAnsi="宋体" w:cs="宋体"/>
          <w:b/>
          <w:bCs/>
          <w:color w:val="auto"/>
          <w:szCs w:val="21"/>
          <w:highlight w:val="none"/>
        </w:rPr>
      </w:pPr>
      <w:r>
        <w:rPr>
          <w:rFonts w:hint="eastAsia" w:ascii="宋体" w:hAnsi="宋体" w:cs="宋体"/>
          <w:b/>
          <w:bCs/>
          <w:color w:val="auto"/>
          <w:szCs w:val="21"/>
          <w:highlight w:val="none"/>
        </w:rPr>
        <w:t>联合体协议书</w:t>
      </w:r>
    </w:p>
    <w:p>
      <w:pPr>
        <w:rPr>
          <w:rFonts w:ascii="宋体" w:hAnsi="Courier New"/>
          <w:color w:val="auto"/>
          <w:szCs w:val="20"/>
          <w:highlight w:val="none"/>
        </w:rPr>
      </w:pPr>
    </w:p>
    <w:p>
      <w:pPr>
        <w:topLinePunct/>
        <w:spacing w:beforeAutospacing="0" w:afterAutospacing="0" w:line="440" w:lineRule="exact"/>
        <w:ind w:firstLine="420" w:firstLineChars="200"/>
        <w:rPr>
          <w:color w:val="auto"/>
          <w:szCs w:val="21"/>
          <w:highlight w:val="none"/>
        </w:rPr>
      </w:pPr>
      <w:r>
        <w:rPr>
          <w:color w:val="auto"/>
          <w:szCs w:val="21"/>
          <w:highlight w:val="none"/>
        </w:rPr>
        <w:t>（所有成员单位名称）自愿组成</w:t>
      </w:r>
      <w:r>
        <w:rPr>
          <w:rFonts w:hint="eastAsia"/>
          <w:color w:val="auto"/>
          <w:szCs w:val="21"/>
          <w:highlight w:val="none"/>
        </w:rPr>
        <w:t>（联合体名称）</w:t>
      </w:r>
      <w:r>
        <w:rPr>
          <w:color w:val="auto"/>
          <w:szCs w:val="21"/>
          <w:highlight w:val="none"/>
        </w:rPr>
        <w:t>，共同参加（项目名称）。现就联合体投标事宜订立如下协议。</w:t>
      </w:r>
    </w:p>
    <w:p>
      <w:pPr>
        <w:topLinePunct/>
        <w:spacing w:beforeAutospacing="0" w:afterAutospacing="0" w:line="440" w:lineRule="exact"/>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（某成员单位名称）为</w:t>
      </w:r>
      <w:r>
        <w:rPr>
          <w:rFonts w:hint="eastAsia"/>
          <w:color w:val="auto"/>
          <w:szCs w:val="21"/>
          <w:highlight w:val="none"/>
        </w:rPr>
        <w:t>（联合体名称）</w:t>
      </w:r>
      <w:r>
        <w:rPr>
          <w:color w:val="auto"/>
          <w:szCs w:val="21"/>
          <w:highlight w:val="none"/>
        </w:rPr>
        <w:t>牵头人。</w:t>
      </w:r>
    </w:p>
    <w:p>
      <w:pPr>
        <w:topLinePunct/>
        <w:spacing w:beforeAutospacing="0" w:afterAutospacing="0" w:line="440" w:lineRule="exact"/>
        <w:ind w:firstLine="420" w:firstLineChars="200"/>
        <w:rPr>
          <w:color w:val="auto"/>
          <w:szCs w:val="21"/>
          <w:highlight w:val="none"/>
        </w:rPr>
      </w:pPr>
      <w:r>
        <w:rPr>
          <w:color w:val="auto"/>
          <w:szCs w:val="21"/>
          <w:highlight w:val="none"/>
        </w:rPr>
        <w:t>2</w:t>
      </w:r>
      <w:r>
        <w:rPr>
          <w:rFonts w:hint="eastAsia"/>
          <w:color w:val="auto"/>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r>
        <w:rPr>
          <w:color w:val="auto"/>
          <w:szCs w:val="21"/>
          <w:highlight w:val="none"/>
        </w:rPr>
        <w:t>。</w:t>
      </w:r>
    </w:p>
    <w:p>
      <w:pPr>
        <w:topLinePunct/>
        <w:spacing w:beforeAutospacing="0" w:afterAutospacing="0" w:line="440" w:lineRule="exact"/>
        <w:ind w:firstLine="420" w:firstLineChars="200"/>
        <w:rPr>
          <w:color w:val="auto"/>
          <w:szCs w:val="21"/>
          <w:highlight w:val="none"/>
        </w:rPr>
      </w:pPr>
      <w:r>
        <w:rPr>
          <w:color w:val="auto"/>
          <w:szCs w:val="21"/>
          <w:highlight w:val="none"/>
        </w:rPr>
        <w:t>3</w:t>
      </w:r>
      <w:r>
        <w:rPr>
          <w:rFonts w:hint="eastAsia"/>
          <w:color w:val="auto"/>
          <w:szCs w:val="21"/>
          <w:highlight w:val="none"/>
        </w:rPr>
        <w:t>．联合体牵头人在本项目中签署的一切文件和处理的一切事宜，联合体各成员均予以承认。联合体各成员将严格按照采购文件、投标文件和合同的要求全面履行义务，并向采购人承担连带责任</w:t>
      </w:r>
      <w:r>
        <w:rPr>
          <w:color w:val="auto"/>
          <w:szCs w:val="21"/>
          <w:highlight w:val="none"/>
        </w:rPr>
        <w:t>。</w:t>
      </w:r>
    </w:p>
    <w:p>
      <w:pPr>
        <w:topLinePunct/>
        <w:spacing w:beforeAutospacing="0" w:afterAutospacing="0"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．联合体各成员单位内部的职责分工如下：</w:t>
      </w:r>
    </w:p>
    <w:p>
      <w:pPr>
        <w:topLinePunct/>
        <w:spacing w:beforeAutospacing="0" w:afterAutospacing="0" w:line="440" w:lineRule="exact"/>
        <w:ind w:firstLine="420" w:firstLineChars="200"/>
        <w:rPr>
          <w:color w:val="auto"/>
          <w:szCs w:val="21"/>
          <w:highlight w:val="none"/>
        </w:rPr>
      </w:pPr>
      <w:r>
        <w:rPr>
          <w:rFonts w:hint="eastAsia"/>
          <w:color w:val="auto"/>
          <w:szCs w:val="21"/>
          <w:highlight w:val="none"/>
        </w:rPr>
        <w:t>（1）由联合体牵头人承担</w:t>
      </w:r>
      <w:r>
        <w:rPr>
          <w:rFonts w:hint="eastAsia"/>
          <w:color w:val="auto"/>
          <w:szCs w:val="21"/>
          <w:highlight w:val="none"/>
          <w:u w:val="single"/>
        </w:rPr>
        <w:t xml:space="preserve">               工作（占合同总金额     %）</w:t>
      </w:r>
      <w:r>
        <w:rPr>
          <w:rFonts w:hint="eastAsia"/>
          <w:color w:val="auto"/>
          <w:szCs w:val="21"/>
          <w:highlight w:val="none"/>
        </w:rPr>
        <w:t>；</w:t>
      </w:r>
    </w:p>
    <w:p>
      <w:pPr>
        <w:topLinePunct/>
        <w:spacing w:beforeAutospacing="0" w:afterAutospacing="0" w:line="440" w:lineRule="exact"/>
        <w:ind w:firstLine="420" w:firstLineChars="200"/>
        <w:rPr>
          <w:color w:val="auto"/>
          <w:szCs w:val="21"/>
          <w:highlight w:val="none"/>
        </w:rPr>
      </w:pPr>
      <w:r>
        <w:rPr>
          <w:rFonts w:hint="eastAsia"/>
          <w:color w:val="auto"/>
          <w:szCs w:val="21"/>
          <w:highlight w:val="none"/>
        </w:rPr>
        <w:t>（2）由联合体成员承担</w:t>
      </w:r>
      <w:r>
        <w:rPr>
          <w:rFonts w:hint="eastAsia"/>
          <w:color w:val="auto"/>
          <w:szCs w:val="21"/>
          <w:highlight w:val="none"/>
          <w:u w:val="single"/>
        </w:rPr>
        <w:t xml:space="preserve">                 工作（占合同总金额     %）</w:t>
      </w:r>
      <w:r>
        <w:rPr>
          <w:rFonts w:hint="eastAsia"/>
          <w:color w:val="auto"/>
          <w:szCs w:val="21"/>
          <w:highlight w:val="none"/>
        </w:rPr>
        <w:t>。</w:t>
      </w:r>
    </w:p>
    <w:p>
      <w:pPr>
        <w:topLinePunct/>
        <w:spacing w:beforeAutospacing="0" w:afterAutospacing="0" w:line="440" w:lineRule="exact"/>
        <w:ind w:firstLine="420" w:firstLineChars="200"/>
        <w:rPr>
          <w:color w:val="auto"/>
          <w:szCs w:val="21"/>
          <w:highlight w:val="none"/>
        </w:rPr>
      </w:pPr>
      <w:r>
        <w:rPr>
          <w:color w:val="auto"/>
          <w:szCs w:val="21"/>
          <w:highlight w:val="none"/>
        </w:rPr>
        <w:t>5</w:t>
      </w:r>
      <w:r>
        <w:rPr>
          <w:rFonts w:hint="eastAsia"/>
          <w:color w:val="auto"/>
          <w:szCs w:val="21"/>
          <w:highlight w:val="none"/>
        </w:rPr>
        <w:t>．投标工作和联合体在中标后实施过程中的有关费用按各自承担的工作量分摊。</w:t>
      </w:r>
    </w:p>
    <w:p>
      <w:pPr>
        <w:topLinePunct/>
        <w:spacing w:beforeAutospacing="0" w:afterAutospacing="0" w:line="440" w:lineRule="exact"/>
        <w:ind w:firstLine="420" w:firstLineChars="200"/>
        <w:rPr>
          <w:color w:val="auto"/>
          <w:szCs w:val="21"/>
          <w:highlight w:val="none"/>
        </w:rPr>
      </w:pPr>
      <w:r>
        <w:rPr>
          <w:color w:val="auto"/>
          <w:szCs w:val="21"/>
          <w:highlight w:val="none"/>
        </w:rPr>
        <w:t>6</w:t>
      </w:r>
      <w:r>
        <w:rPr>
          <w:rFonts w:hint="eastAsia"/>
          <w:color w:val="auto"/>
          <w:szCs w:val="21"/>
          <w:highlight w:val="none"/>
        </w:rPr>
        <w:t>．本协议书自所有成员单位法定代表人签字或盖章并加盖单位章之日起生效，合同履行完毕后自动失效</w:t>
      </w:r>
      <w:r>
        <w:rPr>
          <w:color w:val="auto"/>
          <w:szCs w:val="21"/>
          <w:highlight w:val="none"/>
        </w:rPr>
        <w:t xml:space="preserve">。 </w:t>
      </w:r>
    </w:p>
    <w:p>
      <w:pPr>
        <w:topLinePunct/>
        <w:spacing w:beforeAutospacing="0" w:afterAutospacing="0" w:line="440" w:lineRule="exact"/>
        <w:ind w:firstLine="420" w:firstLineChars="200"/>
        <w:rPr>
          <w:color w:val="auto"/>
          <w:szCs w:val="21"/>
          <w:highlight w:val="none"/>
        </w:rPr>
      </w:pPr>
      <w:r>
        <w:rPr>
          <w:color w:val="auto"/>
          <w:szCs w:val="21"/>
          <w:highlight w:val="none"/>
        </w:rPr>
        <w:t>7</w:t>
      </w:r>
      <w:r>
        <w:rPr>
          <w:rFonts w:hint="eastAsia"/>
          <w:color w:val="auto"/>
          <w:szCs w:val="21"/>
          <w:highlight w:val="none"/>
        </w:rPr>
        <w:t>．</w:t>
      </w:r>
      <w:r>
        <w:rPr>
          <w:color w:val="auto"/>
          <w:szCs w:val="21"/>
          <w:highlight w:val="none"/>
        </w:rPr>
        <w:t>本协议书一式份，联合体成员和</w:t>
      </w:r>
      <w:r>
        <w:rPr>
          <w:rFonts w:hint="eastAsia"/>
          <w:color w:val="auto"/>
          <w:szCs w:val="21"/>
          <w:highlight w:val="none"/>
        </w:rPr>
        <w:t>采购人</w:t>
      </w:r>
      <w:r>
        <w:rPr>
          <w:color w:val="auto"/>
          <w:szCs w:val="21"/>
          <w:highlight w:val="none"/>
        </w:rPr>
        <w:t>各执一份。</w:t>
      </w:r>
    </w:p>
    <w:p>
      <w:pPr>
        <w:topLinePunct/>
        <w:spacing w:beforeAutospacing="0" w:afterAutospacing="0" w:line="440" w:lineRule="exact"/>
        <w:rPr>
          <w:color w:val="auto"/>
          <w:szCs w:val="21"/>
          <w:highlight w:val="none"/>
        </w:rPr>
      </w:pPr>
    </w:p>
    <w:p>
      <w:pPr>
        <w:topLinePunct/>
        <w:spacing w:beforeAutospacing="0" w:afterAutospacing="0" w:line="440" w:lineRule="exact"/>
        <w:ind w:firstLine="420" w:firstLineChars="200"/>
        <w:rPr>
          <w:color w:val="auto"/>
          <w:szCs w:val="21"/>
          <w:highlight w:val="none"/>
        </w:rPr>
      </w:pPr>
      <w:r>
        <w:rPr>
          <w:rFonts w:hint="eastAsia"/>
          <w:color w:val="auto"/>
          <w:szCs w:val="21"/>
          <w:highlight w:val="none"/>
        </w:rPr>
        <w:t>联合体</w:t>
      </w:r>
      <w:r>
        <w:rPr>
          <w:color w:val="auto"/>
          <w:szCs w:val="21"/>
          <w:highlight w:val="none"/>
        </w:rPr>
        <w:t>牵头人名称：（盖单位章）</w:t>
      </w:r>
    </w:p>
    <w:p>
      <w:pPr>
        <w:topLinePunct/>
        <w:spacing w:beforeAutospacing="0" w:afterAutospacing="0" w:line="440" w:lineRule="exact"/>
        <w:ind w:firstLine="420" w:firstLineChars="200"/>
        <w:rPr>
          <w:color w:val="auto"/>
          <w:szCs w:val="21"/>
          <w:highlight w:val="none"/>
        </w:rPr>
      </w:pPr>
      <w:r>
        <w:rPr>
          <w:color w:val="auto"/>
          <w:szCs w:val="21"/>
          <w:highlight w:val="none"/>
        </w:rPr>
        <w:t>法定代表人：（签字</w:t>
      </w:r>
      <w:r>
        <w:rPr>
          <w:rFonts w:hint="eastAsia"/>
          <w:color w:val="auto"/>
          <w:szCs w:val="21"/>
          <w:highlight w:val="none"/>
        </w:rPr>
        <w:t>或盖章</w:t>
      </w:r>
      <w:r>
        <w:rPr>
          <w:color w:val="auto"/>
          <w:szCs w:val="21"/>
          <w:highlight w:val="none"/>
        </w:rPr>
        <w:t>）</w:t>
      </w:r>
    </w:p>
    <w:p>
      <w:pPr>
        <w:topLinePunct/>
        <w:spacing w:beforeAutospacing="0" w:afterAutospacing="0" w:line="440" w:lineRule="exact"/>
        <w:rPr>
          <w:color w:val="auto"/>
          <w:szCs w:val="21"/>
          <w:highlight w:val="none"/>
        </w:rPr>
      </w:pPr>
    </w:p>
    <w:p>
      <w:pPr>
        <w:topLinePunct/>
        <w:spacing w:beforeAutospacing="0" w:afterAutospacing="0" w:line="440" w:lineRule="exact"/>
        <w:ind w:firstLine="420" w:firstLineChars="200"/>
        <w:rPr>
          <w:color w:val="auto"/>
          <w:szCs w:val="21"/>
          <w:highlight w:val="none"/>
        </w:rPr>
      </w:pPr>
      <w:r>
        <w:rPr>
          <w:rFonts w:hint="eastAsia"/>
          <w:color w:val="auto"/>
          <w:szCs w:val="21"/>
          <w:highlight w:val="none"/>
        </w:rPr>
        <w:t>联合体</w:t>
      </w:r>
      <w:r>
        <w:rPr>
          <w:color w:val="auto"/>
          <w:szCs w:val="21"/>
          <w:highlight w:val="none"/>
        </w:rPr>
        <w:t>成员名称：（盖单位章）</w:t>
      </w:r>
    </w:p>
    <w:p>
      <w:pPr>
        <w:topLinePunct/>
        <w:spacing w:beforeAutospacing="0" w:afterAutospacing="0" w:line="440" w:lineRule="exact"/>
        <w:ind w:firstLine="420" w:firstLineChars="200"/>
        <w:rPr>
          <w:color w:val="auto"/>
          <w:szCs w:val="21"/>
          <w:highlight w:val="none"/>
        </w:rPr>
      </w:pPr>
      <w:r>
        <w:rPr>
          <w:color w:val="auto"/>
          <w:szCs w:val="21"/>
          <w:highlight w:val="none"/>
        </w:rPr>
        <w:t>法定代表人：（签字</w:t>
      </w:r>
      <w:r>
        <w:rPr>
          <w:rFonts w:hint="eastAsia"/>
          <w:color w:val="auto"/>
          <w:szCs w:val="21"/>
          <w:highlight w:val="none"/>
        </w:rPr>
        <w:t>或盖章</w:t>
      </w:r>
      <w:r>
        <w:rPr>
          <w:color w:val="auto"/>
          <w:szCs w:val="21"/>
          <w:highlight w:val="none"/>
        </w:rPr>
        <w:t>）</w:t>
      </w:r>
    </w:p>
    <w:p>
      <w:pPr>
        <w:topLinePunct/>
        <w:spacing w:beforeAutospacing="0" w:afterAutospacing="0" w:line="440" w:lineRule="exact"/>
        <w:rPr>
          <w:color w:val="auto"/>
          <w:szCs w:val="21"/>
          <w:highlight w:val="none"/>
        </w:rPr>
      </w:pPr>
    </w:p>
    <w:p>
      <w:pPr>
        <w:spacing w:beforeAutospacing="0" w:afterAutospacing="0" w:line="360" w:lineRule="auto"/>
        <w:jc w:val="left"/>
        <w:rPr>
          <w:color w:val="auto"/>
          <w:highlight w:val="none"/>
        </w:rPr>
      </w:pPr>
      <w:r>
        <w:rPr>
          <w:color w:val="auto"/>
          <w:highlight w:val="none"/>
        </w:rPr>
        <w:t>年月日</w:t>
      </w:r>
    </w:p>
    <w:p>
      <w:pPr>
        <w:tabs>
          <w:tab w:val="left" w:pos="360"/>
        </w:tabs>
        <w:spacing w:beforeAutospacing="0" w:afterAutospacing="0" w:line="360" w:lineRule="auto"/>
        <w:ind w:left="357" w:hanging="357"/>
        <w:rPr>
          <w:rFonts w:ascii="宋体" w:hAnsi="宋体"/>
          <w:color w:val="auto"/>
          <w:highlight w:val="none"/>
        </w:rPr>
      </w:pPr>
    </w:p>
    <w:p>
      <w:pPr>
        <w:rPr>
          <w:color w:val="auto"/>
          <w:highlight w:val="none"/>
        </w:rPr>
      </w:pPr>
      <w:r>
        <w:rPr>
          <w:rFonts w:hint="eastAsia" w:ascii="宋体" w:hAnsi="宋体" w:cs="宋体"/>
          <w:b/>
          <w:bCs/>
          <w:color w:val="auto"/>
          <w:highlight w:val="none"/>
        </w:rPr>
        <w:t>注：采用联合体形式投标的供应商必须提供联合体协议；如单独投标无须提供“联合体协议”。</w:t>
      </w:r>
      <w:r>
        <w:rPr>
          <w:rFonts w:hint="eastAsia"/>
          <w:color w:val="auto"/>
          <w:highlight w:val="none"/>
        </w:rPr>
        <w:br w:type="page"/>
      </w:r>
    </w:p>
    <w:p>
      <w:pPr>
        <w:snapToGrid w:val="0"/>
        <w:rPr>
          <w:rFonts w:ascii="宋体" w:hAnsi="宋体" w:cs="宋体"/>
          <w:color w:val="auto"/>
          <w:szCs w:val="21"/>
          <w:highlight w:val="none"/>
        </w:rPr>
      </w:pPr>
      <w:r>
        <w:rPr>
          <w:rFonts w:hint="eastAsia" w:ascii="宋体" w:hAnsi="宋体" w:cs="宋体"/>
          <w:b/>
          <w:bCs/>
          <w:color w:val="auto"/>
          <w:highlight w:val="none"/>
        </w:rPr>
        <w:t>（4）</w:t>
      </w:r>
      <w:r>
        <w:rPr>
          <w:rFonts w:hint="eastAsia" w:ascii="宋体" w:hAnsi="宋体" w:cs="宋体"/>
          <w:color w:val="auto"/>
          <w:szCs w:val="21"/>
          <w:highlight w:val="none"/>
        </w:rPr>
        <w:t>供应商特定资格条件的证明文件（如有）：</w:t>
      </w:r>
      <w:r>
        <w:rPr>
          <w:rFonts w:hint="eastAsia" w:ascii="宋体" w:hAnsi="宋体" w:cs="宋体"/>
          <w:color w:val="auto"/>
          <w:highlight w:val="none"/>
        </w:rPr>
        <w:t>详见“第一章  公开招标公告 二、申请人的资格要求：3.本项目的特定资格要求”</w:t>
      </w:r>
      <w:r>
        <w:rPr>
          <w:rFonts w:hint="eastAsia" w:ascii="宋体" w:hAnsi="宋体" w:cs="宋体"/>
          <w:color w:val="auto"/>
          <w:szCs w:val="21"/>
          <w:highlight w:val="none"/>
        </w:rPr>
        <w:t>；</w:t>
      </w:r>
    </w:p>
    <w:p>
      <w:pPr>
        <w:snapToGrid w:val="0"/>
        <w:rPr>
          <w:rFonts w:ascii="宋体" w:hAnsi="宋体" w:cs="宋体"/>
          <w:color w:val="auto"/>
          <w:szCs w:val="21"/>
          <w:highlight w:val="none"/>
        </w:rPr>
      </w:pP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（5）中小企业声明函</w:t>
      </w:r>
    </w:p>
    <w:p>
      <w:pPr>
        <w:spacing w:beforeAutospacing="0" w:afterAutospacing="0" w:line="360" w:lineRule="auto"/>
        <w:jc w:val="center"/>
        <w:rPr>
          <w:rFonts w:ascii="宋体" w:hAnsi="宋体" w:cs="宋体"/>
          <w:b/>
          <w:color w:val="auto"/>
          <w:sz w:val="28"/>
          <w:szCs w:val="28"/>
          <w:highlight w:val="none"/>
        </w:rPr>
      </w:pPr>
      <w:r>
        <w:rPr>
          <w:rFonts w:hint="eastAsia" w:ascii="宋体" w:hAnsi="宋体" w:cs="宋体"/>
          <w:b/>
          <w:color w:val="auto"/>
          <w:sz w:val="32"/>
          <w:szCs w:val="32"/>
          <w:highlight w:val="none"/>
        </w:rPr>
        <w:t>中小企业声明函（服务）</w:t>
      </w:r>
    </w:p>
    <w:p>
      <w:pPr>
        <w:spacing w:beforeAutospacing="0" w:afterAutospacing="0"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pPr>
        <w:spacing w:beforeAutospacing="0" w:afterAutospacing="0"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i/>
          <w:color w:val="auto"/>
          <w:szCs w:val="21"/>
          <w:highlight w:val="none"/>
          <w:u w:val="single"/>
        </w:rPr>
        <w:t xml:space="preserve"> （标的名称） </w:t>
      </w:r>
      <w:r>
        <w:rPr>
          <w:rFonts w:hint="eastAsia" w:ascii="宋体" w:hAnsi="宋体" w:cs="宋体"/>
          <w:color w:val="auto"/>
          <w:szCs w:val="21"/>
          <w:highlight w:val="none"/>
        </w:rPr>
        <w:t>，属于</w:t>
      </w:r>
      <w:r>
        <w:rPr>
          <w:rFonts w:hint="eastAsia" w:ascii="宋体" w:hAnsi="宋体" w:cs="宋体"/>
          <w:i/>
          <w:color w:val="auto"/>
          <w:szCs w:val="21"/>
          <w:highlight w:val="none"/>
          <w:u w:val="single"/>
        </w:rPr>
        <w:t>（其他未列明行业）</w:t>
      </w:r>
      <w:r>
        <w:rPr>
          <w:rFonts w:hint="eastAsia" w:ascii="宋体" w:hAnsi="宋体" w:cs="宋体"/>
          <w:color w:val="auto"/>
          <w:szCs w:val="21"/>
          <w:highlight w:val="none"/>
        </w:rPr>
        <w:t>；承接企业为</w:t>
      </w:r>
      <w:r>
        <w:rPr>
          <w:rFonts w:hint="eastAsia" w:ascii="宋体" w:hAnsi="宋体" w:cs="宋体"/>
          <w:i/>
          <w:color w:val="auto"/>
          <w:szCs w:val="21"/>
          <w:highlight w:val="none"/>
          <w:u w:val="single"/>
        </w:rPr>
        <w:t>（企业名称）</w:t>
      </w:r>
      <w:r>
        <w:rPr>
          <w:rFonts w:hint="eastAsia" w:ascii="宋体" w:hAnsi="宋体" w:cs="宋体"/>
          <w:color w:val="auto"/>
          <w:szCs w:val="21"/>
          <w:highlight w:val="none"/>
        </w:rPr>
        <w:t>，从业人员人，营业收入为万元，资产总额为万元，属于</w:t>
      </w:r>
      <w:r>
        <w:rPr>
          <w:rFonts w:hint="eastAsia" w:ascii="宋体" w:hAnsi="宋体" w:cs="宋体"/>
          <w:i/>
          <w:color w:val="auto"/>
          <w:szCs w:val="21"/>
          <w:highlight w:val="none"/>
          <w:u w:val="single"/>
        </w:rPr>
        <w:t>（中型企业、小型企业、微型企业）</w:t>
      </w:r>
      <w:r>
        <w:rPr>
          <w:rFonts w:hint="eastAsia" w:ascii="宋体" w:hAnsi="宋体" w:cs="宋体"/>
          <w:color w:val="auto"/>
          <w:szCs w:val="21"/>
          <w:highlight w:val="none"/>
        </w:rPr>
        <w:t>；</w:t>
      </w:r>
    </w:p>
    <w:p>
      <w:pPr>
        <w:spacing w:beforeAutospacing="0" w:afterAutospacing="0"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i/>
          <w:color w:val="auto"/>
          <w:szCs w:val="21"/>
          <w:highlight w:val="none"/>
          <w:u w:val="single"/>
        </w:rPr>
        <w:t xml:space="preserve"> （标的名称） </w:t>
      </w:r>
      <w:r>
        <w:rPr>
          <w:rFonts w:hint="eastAsia" w:ascii="宋体" w:hAnsi="宋体" w:cs="宋体"/>
          <w:color w:val="auto"/>
          <w:szCs w:val="21"/>
          <w:highlight w:val="none"/>
        </w:rPr>
        <w:t>，属于</w:t>
      </w:r>
      <w:r>
        <w:rPr>
          <w:rFonts w:hint="eastAsia" w:ascii="宋体" w:hAnsi="宋体" w:cs="宋体"/>
          <w:i/>
          <w:color w:val="auto"/>
          <w:szCs w:val="21"/>
          <w:highlight w:val="none"/>
          <w:u w:val="single"/>
        </w:rPr>
        <w:t>（其他未列明行业）</w:t>
      </w:r>
      <w:r>
        <w:rPr>
          <w:rFonts w:hint="eastAsia" w:ascii="宋体" w:hAnsi="宋体" w:cs="宋体"/>
          <w:color w:val="auto"/>
          <w:szCs w:val="21"/>
          <w:highlight w:val="none"/>
        </w:rPr>
        <w:t>；承接企业为</w:t>
      </w:r>
      <w:r>
        <w:rPr>
          <w:rFonts w:hint="eastAsia" w:ascii="宋体" w:hAnsi="宋体" w:cs="宋体"/>
          <w:i/>
          <w:color w:val="auto"/>
          <w:szCs w:val="21"/>
          <w:highlight w:val="none"/>
          <w:u w:val="single"/>
        </w:rPr>
        <w:t>（企业名称）</w:t>
      </w:r>
      <w:r>
        <w:rPr>
          <w:rFonts w:hint="eastAsia" w:ascii="宋体" w:hAnsi="宋体" w:cs="宋体"/>
          <w:color w:val="auto"/>
          <w:szCs w:val="21"/>
          <w:highlight w:val="none"/>
        </w:rPr>
        <w:t>，从业人员人，营业收入为万元，资产总额为万元，属于</w:t>
      </w:r>
      <w:r>
        <w:rPr>
          <w:rFonts w:hint="eastAsia" w:ascii="宋体" w:hAnsi="宋体" w:cs="宋体"/>
          <w:i/>
          <w:color w:val="auto"/>
          <w:szCs w:val="21"/>
          <w:highlight w:val="none"/>
          <w:u w:val="single"/>
        </w:rPr>
        <w:t>（中型企业、小型企业、微型企业）</w:t>
      </w:r>
      <w:r>
        <w:rPr>
          <w:rFonts w:hint="eastAsia" w:ascii="宋体" w:hAnsi="宋体" w:cs="宋体"/>
          <w:color w:val="auto"/>
          <w:szCs w:val="21"/>
          <w:highlight w:val="none"/>
        </w:rPr>
        <w:t>；</w:t>
      </w:r>
    </w:p>
    <w:p>
      <w:pPr>
        <w:spacing w:beforeAutospacing="0" w:afterAutospacing="0"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p>
    <w:p>
      <w:pPr>
        <w:spacing w:beforeAutospacing="0" w:afterAutospacing="0"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spacing w:beforeAutospacing="0" w:afterAutospacing="0"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pacing w:beforeAutospacing="0" w:afterAutospacing="0" w:line="500" w:lineRule="exact"/>
        <w:rPr>
          <w:rFonts w:ascii="宋体" w:hAnsi="宋体" w:cs="宋体"/>
          <w:color w:val="auto"/>
          <w:szCs w:val="21"/>
          <w:highlight w:val="none"/>
        </w:rPr>
      </w:pPr>
      <w:r>
        <w:rPr>
          <w:rFonts w:hint="eastAsia" w:ascii="宋体" w:hAnsi="宋体" w:cs="宋体"/>
          <w:color w:val="auto"/>
          <w:szCs w:val="21"/>
          <w:highlight w:val="none"/>
        </w:rPr>
        <w:t xml:space="preserve">                        企业名称（盖章）：</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 xml:space="preserve">                        日期：</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说明：</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2、根据工信部联企业[2011]300号规定。其他未列明行业：从业人员300人以下的为中小微型企业。其中，从业人员100人及以上的为中型企业；从业人员10人及以上的为小型企业；从业人员10人以下的为微型企业。</w:t>
      </w:r>
    </w:p>
    <w:p>
      <w:pPr>
        <w:pStyle w:val="45"/>
        <w:ind w:firstLine="0" w:firstLineChars="0"/>
        <w:rPr>
          <w:rFonts w:hint="default" w:ascii="宋体" w:hAnsi="宋体" w:cs="宋体"/>
          <w:color w:val="auto"/>
          <w:szCs w:val="21"/>
          <w:highlight w:val="none"/>
        </w:rPr>
      </w:pPr>
    </w:p>
    <w:p>
      <w:pPr>
        <w:spacing w:beforeAutospacing="0" w:afterAutospacing="0" w:line="500" w:lineRule="exact"/>
        <w:rPr>
          <w:rFonts w:ascii="宋体" w:hAnsi="宋体" w:cs="宋体"/>
          <w:color w:val="auto"/>
          <w:szCs w:val="21"/>
          <w:highlight w:val="none"/>
        </w:rPr>
      </w:pPr>
    </w:p>
    <w:p>
      <w:pPr>
        <w:spacing w:beforeAutospacing="0" w:afterAutospacing="0" w:line="500" w:lineRule="exact"/>
        <w:rPr>
          <w:rFonts w:ascii="宋体" w:hAnsi="宋体" w:cs="宋体"/>
          <w:color w:val="auto"/>
          <w:szCs w:val="21"/>
          <w:highlight w:val="none"/>
        </w:rPr>
      </w:pPr>
      <w:r>
        <w:rPr>
          <w:rFonts w:hint="eastAsia" w:ascii="宋体" w:hAnsi="宋体" w:cs="宋体"/>
          <w:b/>
          <w:color w:val="auto"/>
          <w:kern w:val="0"/>
          <w:szCs w:val="21"/>
          <w:highlight w:val="none"/>
        </w:rPr>
        <w:t>注：联合体投标的，联合体各方均须提供。</w:t>
      </w:r>
    </w:p>
    <w:p>
      <w:pPr>
        <w:spacing w:beforeAutospacing="0" w:afterAutospacing="0" w:line="500" w:lineRule="exact"/>
        <w:rPr>
          <w:rFonts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 xml:space="preserve"> 残疾人福利性单位声明函（非残疾人福利性单位无需提供本函)</w:t>
      </w:r>
    </w:p>
    <w:p>
      <w:pPr>
        <w:spacing w:beforeAutospacing="0" w:afterAutospacing="0" w:line="500" w:lineRule="exact"/>
        <w:rPr>
          <w:rFonts w:ascii="宋体" w:hAnsi="宋体" w:cs="宋体"/>
          <w:color w:val="auto"/>
          <w:szCs w:val="21"/>
          <w:highlight w:val="none"/>
        </w:rPr>
      </w:pPr>
    </w:p>
    <w:p>
      <w:pPr>
        <w:spacing w:beforeAutospacing="0" w:afterAutospacing="0" w:line="360" w:lineRule="auto"/>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残疾人福利性单位声明函</w:t>
      </w:r>
    </w:p>
    <w:p>
      <w:pPr>
        <w:spacing w:beforeAutospacing="0" w:afterAutospacing="0" w:line="500" w:lineRule="exact"/>
        <w:rPr>
          <w:rFonts w:ascii="宋体" w:hAnsi="宋体" w:cs="宋体"/>
          <w:color w:val="auto"/>
          <w:szCs w:val="21"/>
          <w:highlight w:val="none"/>
        </w:rPr>
      </w:pPr>
    </w:p>
    <w:p>
      <w:pPr>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spacing w:beforeAutospacing="0" w:afterAutospacing="0" w:line="360" w:lineRule="auto"/>
        <w:ind w:firstLine="444" w:firstLineChars="200"/>
        <w:rPr>
          <w:rFonts w:ascii="宋体" w:hAnsi="宋体" w:cs="宋体"/>
          <w:color w:val="auto"/>
          <w:spacing w:val="6"/>
          <w:szCs w:val="21"/>
          <w:highlight w:val="none"/>
        </w:rPr>
      </w:pPr>
    </w:p>
    <w:p>
      <w:pPr>
        <w:tabs>
          <w:tab w:val="left" w:pos="4860"/>
        </w:tabs>
        <w:spacing w:beforeAutospacing="0" w:afterAutospacing="0" w:line="360" w:lineRule="auto"/>
        <w:ind w:firstLine="444" w:firstLineChars="200"/>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单位名称（盖章）：</w:t>
      </w:r>
    </w:p>
    <w:p>
      <w:pPr>
        <w:tabs>
          <w:tab w:val="left" w:pos="4860"/>
        </w:tabs>
        <w:spacing w:beforeAutospacing="0" w:afterAutospacing="0" w:line="360" w:lineRule="auto"/>
        <w:ind w:firstLine="444" w:firstLineChars="200"/>
        <w:jc w:val="center"/>
        <w:rPr>
          <w:rFonts w:ascii="宋体" w:hAnsi="宋体" w:cs="宋体"/>
          <w:color w:val="auto"/>
          <w:highlight w:val="none"/>
        </w:rPr>
      </w:pPr>
      <w:r>
        <w:rPr>
          <w:rFonts w:hint="eastAsia" w:ascii="宋体" w:hAnsi="宋体" w:cs="宋体"/>
          <w:color w:val="auto"/>
          <w:spacing w:val="6"/>
          <w:szCs w:val="21"/>
          <w:highlight w:val="none"/>
        </w:rPr>
        <w:t xml:space="preserve">       日  期：</w:t>
      </w:r>
    </w:p>
    <w:p>
      <w:pPr>
        <w:tabs>
          <w:tab w:val="left" w:pos="4860"/>
        </w:tabs>
        <w:spacing w:beforeAutospacing="0" w:afterAutospacing="0" w:line="360" w:lineRule="auto"/>
        <w:ind w:firstLine="420" w:firstLineChars="200"/>
        <w:jc w:val="center"/>
        <w:rPr>
          <w:rFonts w:ascii="宋体" w:hAnsi="宋体" w:cs="宋体"/>
          <w:color w:val="auto"/>
          <w:highlight w:val="none"/>
        </w:rPr>
      </w:pPr>
    </w:p>
    <w:p>
      <w:pPr>
        <w:tabs>
          <w:tab w:val="left" w:pos="4860"/>
        </w:tabs>
        <w:spacing w:beforeAutospacing="0" w:afterAutospacing="0"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注：1、如供应商为非残疾人福利性单位的可不提供本声明函。</w:t>
      </w:r>
    </w:p>
    <w:p>
      <w:pPr>
        <w:tabs>
          <w:tab w:val="left" w:pos="4860"/>
        </w:tabs>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2、享受政府采购支持政策的残疾人福利性单位应当同时满足以下条件：</w:t>
      </w:r>
    </w:p>
    <w:p>
      <w:pPr>
        <w:tabs>
          <w:tab w:val="left" w:pos="4860"/>
        </w:tabs>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（1）安置的残疾人占本单位在职职工人数的比例不低于25%（含25%），并且安置的残疾人人数不少于10人（含10人）；</w:t>
      </w:r>
    </w:p>
    <w:p>
      <w:pPr>
        <w:tabs>
          <w:tab w:val="left" w:pos="4860"/>
        </w:tabs>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（2）依法与安置的每位残疾人签订了一年以上（含一年）的劳动合同或服务协议；</w:t>
      </w:r>
    </w:p>
    <w:p>
      <w:pPr>
        <w:tabs>
          <w:tab w:val="left" w:pos="4860"/>
        </w:tabs>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（3）为安置的每位残疾人按月足额缴纳了基本养老保险、基本医疗保险、失业保险、工伤保险和生育保险等社会保险费；</w:t>
      </w:r>
    </w:p>
    <w:p>
      <w:pPr>
        <w:tabs>
          <w:tab w:val="left" w:pos="4860"/>
        </w:tabs>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（4）通过银行等金融机构向安置的每位残疾人，按月支付了不低于单位所在区县适用的经省级人民政府批准的月最低工资标准的工资；</w:t>
      </w:r>
    </w:p>
    <w:p>
      <w:pPr>
        <w:tabs>
          <w:tab w:val="left" w:pos="4860"/>
        </w:tabs>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（5）提供本单位制造的货物、承担的工程或者服务（以下简称产品），或者提供其他残疾人福利性单位制造的货物（不包括使用非残疾人福利性单位注册商标的货物）。</w:t>
      </w:r>
    </w:p>
    <w:p>
      <w:pPr>
        <w:spacing w:beforeAutospacing="0" w:afterAutospacing="0" w:line="500" w:lineRule="exact"/>
        <w:rPr>
          <w:rFonts w:ascii="宋体" w:hAnsi="宋体" w:cs="宋体"/>
          <w:b/>
          <w:bCs/>
          <w:color w:val="auto"/>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rPr>
          <w:rFonts w:ascii="宋体" w:hAnsi="宋体" w:cs="宋体"/>
          <w:b/>
          <w:color w:val="auto"/>
          <w:kern w:val="0"/>
          <w:szCs w:val="21"/>
          <w:highlight w:val="none"/>
        </w:rPr>
      </w:pPr>
      <w:r>
        <w:rPr>
          <w:rFonts w:hint="eastAsia" w:ascii="宋体" w:hAnsi="宋体" w:cs="宋体"/>
          <w:b/>
          <w:color w:val="auto"/>
          <w:kern w:val="0"/>
          <w:szCs w:val="21"/>
          <w:highlight w:val="none"/>
        </w:rPr>
        <w:t>注：联合体投标的，联合体各方均须提供。</w:t>
      </w:r>
    </w:p>
    <w:p>
      <w:pPr>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pPr>
        <w:pStyle w:val="2"/>
        <w:rPr>
          <w:color w:val="auto"/>
          <w:highlight w:val="none"/>
        </w:rPr>
      </w:pPr>
    </w:p>
    <w:p>
      <w:pPr>
        <w:snapToGrid w:val="0"/>
        <w:rPr>
          <w:rFonts w:ascii="宋体" w:hAnsi="宋体" w:cs="宋体"/>
          <w:b/>
          <w:bCs/>
          <w:color w:val="auto"/>
          <w:highlight w:val="none"/>
        </w:rPr>
      </w:pPr>
      <w:r>
        <w:rPr>
          <w:rFonts w:hint="eastAsia" w:ascii="宋体" w:hAnsi="宋体" w:cs="宋体"/>
          <w:b/>
          <w:bCs/>
          <w:color w:val="auto"/>
          <w:highlight w:val="none"/>
        </w:rPr>
        <w:t>（6）</w:t>
      </w:r>
      <w:r>
        <w:rPr>
          <w:rFonts w:hint="eastAsia" w:ascii="宋体" w:hAnsi="宋体" w:cs="宋体"/>
          <w:color w:val="auto"/>
          <w:szCs w:val="21"/>
          <w:highlight w:val="none"/>
        </w:rPr>
        <w:t>招标文件要求的其他资格条件证明材料（如有）。</w:t>
      </w:r>
    </w:p>
    <w:p>
      <w:pPr>
        <w:spacing w:beforeAutospacing="0" w:afterAutospacing="0" w:line="360" w:lineRule="auto"/>
        <w:rPr>
          <w:rFonts w:ascii="宋体" w:hAnsi="宋体" w:cs="宋体"/>
          <w:bCs/>
          <w:color w:val="auto"/>
          <w:sz w:val="24"/>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3、商务技术文件内容包括</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符合性自查表（格式见附件）；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供应商响应表（格式见附件）；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商务条款偏离表（格式见附件）；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投标函（格式见附件）；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法定代表人身份证明或法定代表人授权委托书（格式见附件）；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技术（服务）条款偏离表（格式见附件）；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供应商基本情况表（格式见附件）；</w:t>
      </w:r>
    </w:p>
    <w:p>
      <w:pPr>
        <w:numPr>
          <w:ilvl w:val="0"/>
          <w:numId w:val="21"/>
        </w:numPr>
        <w:spacing w:beforeAutospacing="0" w:afterAutospacing="0" w:line="360" w:lineRule="auto"/>
        <w:rPr>
          <w:rFonts w:ascii="宋体" w:hAnsi="宋体" w:cs="宋体"/>
          <w:color w:val="auto"/>
          <w:highlight w:val="none"/>
        </w:rPr>
      </w:pPr>
      <w:r>
        <w:rPr>
          <w:rFonts w:hint="eastAsia" w:ascii="宋体" w:hAnsi="宋体" w:cs="宋体"/>
          <w:color w:val="auto"/>
          <w:highlight w:val="none"/>
        </w:rPr>
        <w:t>本项目负责人简历表（格式见附件）</w:t>
      </w:r>
    </w:p>
    <w:p>
      <w:pPr>
        <w:numPr>
          <w:ilvl w:val="0"/>
          <w:numId w:val="21"/>
        </w:numPr>
        <w:spacing w:beforeAutospacing="0" w:afterAutospacing="0" w:line="360" w:lineRule="auto"/>
        <w:rPr>
          <w:rFonts w:ascii="宋体" w:hAnsi="宋体" w:cs="宋体"/>
          <w:color w:val="auto"/>
          <w:highlight w:val="none"/>
        </w:rPr>
      </w:pPr>
      <w:r>
        <w:rPr>
          <w:rFonts w:hint="eastAsia" w:ascii="宋体" w:hAnsi="宋体" w:cs="宋体"/>
          <w:color w:val="auto"/>
          <w:highlight w:val="none"/>
        </w:rPr>
        <w:t>本项目组人员配备情况表（格式见附件）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同类业绩情况一览表（格式见附件）；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技术部分：针对本项目第二章采购需求和第四章评分标准中的条款拟定完整方案，格式自拟；</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第四章评标办法及评分标准中需提供的其他相关证书及合同复印件等并加盖公章；</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供应商认为有需要提供的其它有关证明资料。</w:t>
      </w:r>
    </w:p>
    <w:p>
      <w:pPr>
        <w:snapToGrid w:val="0"/>
        <w:rPr>
          <w:rFonts w:ascii="宋体" w:hAnsi="宋体" w:cs="宋体"/>
          <w:bCs/>
          <w:color w:val="auto"/>
          <w:sz w:val="24"/>
          <w:highlight w:val="none"/>
        </w:rPr>
      </w:pPr>
    </w:p>
    <w:p>
      <w:pPr>
        <w:snapToGrid w:val="0"/>
        <w:rPr>
          <w:rFonts w:ascii="宋体" w:hAnsi="宋体" w:cs="宋体"/>
          <w:bCs/>
          <w:color w:val="auto"/>
          <w:sz w:val="24"/>
          <w:highlight w:val="none"/>
        </w:rPr>
      </w:pPr>
    </w:p>
    <w:p>
      <w:pPr>
        <w:numPr>
          <w:ilvl w:val="0"/>
          <w:numId w:val="22"/>
        </w:numPr>
        <w:snapToGrid w:val="0"/>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符合性自查表格式</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符合性自查表</w:t>
      </w:r>
    </w:p>
    <w:tbl>
      <w:tblPr>
        <w:tblStyle w:val="46"/>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Align w:val="center"/>
          </w:tcPr>
          <w:p>
            <w:pPr>
              <w:spacing w:beforeAutospacing="0" w:afterAutospacing="0" w:line="240" w:lineRule="exact"/>
              <w:jc w:val="center"/>
              <w:rPr>
                <w:rFonts w:ascii="宋体" w:hAnsi="宋体" w:cs="宋体"/>
                <w:color w:val="auto"/>
                <w:highlight w:val="none"/>
              </w:rPr>
            </w:pPr>
            <w:r>
              <w:rPr>
                <w:rFonts w:hint="eastAsia" w:ascii="宋体" w:hAnsi="宋体" w:cs="宋体"/>
                <w:color w:val="auto"/>
                <w:highlight w:val="none"/>
              </w:rPr>
              <w:t>评审内容</w:t>
            </w:r>
          </w:p>
        </w:tc>
        <w:tc>
          <w:tcPr>
            <w:tcW w:w="3499" w:type="dxa"/>
            <w:vAlign w:val="center"/>
          </w:tcPr>
          <w:p>
            <w:pPr>
              <w:spacing w:beforeAutospacing="0" w:afterAutospacing="0" w:line="240" w:lineRule="exact"/>
              <w:jc w:val="center"/>
              <w:rPr>
                <w:rFonts w:ascii="宋体" w:hAnsi="宋体" w:cs="宋体"/>
                <w:color w:val="auto"/>
                <w:highlight w:val="none"/>
              </w:rPr>
            </w:pPr>
            <w:r>
              <w:rPr>
                <w:rFonts w:hint="eastAsia" w:ascii="宋体" w:hAnsi="宋体" w:cs="宋体"/>
                <w:color w:val="auto"/>
                <w:highlight w:val="none"/>
              </w:rPr>
              <w:t>招标文件要求</w:t>
            </w:r>
          </w:p>
        </w:tc>
        <w:tc>
          <w:tcPr>
            <w:tcW w:w="1240" w:type="dxa"/>
            <w:vAlign w:val="center"/>
          </w:tcPr>
          <w:p>
            <w:pPr>
              <w:spacing w:beforeAutospacing="0" w:afterAutospacing="0" w:line="240" w:lineRule="exact"/>
              <w:jc w:val="center"/>
              <w:rPr>
                <w:rFonts w:ascii="宋体" w:hAnsi="宋体" w:cs="宋体"/>
                <w:color w:val="auto"/>
                <w:highlight w:val="none"/>
              </w:rPr>
            </w:pPr>
            <w:r>
              <w:rPr>
                <w:rFonts w:hint="eastAsia" w:ascii="宋体" w:hAnsi="宋体" w:cs="宋体"/>
                <w:color w:val="auto"/>
                <w:highlight w:val="none"/>
              </w:rPr>
              <w:t>自查结论</w:t>
            </w:r>
          </w:p>
        </w:tc>
        <w:tc>
          <w:tcPr>
            <w:tcW w:w="2550" w:type="dxa"/>
            <w:vAlign w:val="center"/>
          </w:tcPr>
          <w:p>
            <w:pPr>
              <w:spacing w:beforeAutospacing="0" w:afterAutospacing="0" w:line="240" w:lineRule="exact"/>
              <w:jc w:val="center"/>
              <w:rPr>
                <w:rFonts w:ascii="宋体" w:hAnsi="宋体" w:cs="宋体"/>
                <w:color w:val="auto"/>
                <w:highlight w:val="none"/>
              </w:rPr>
            </w:pPr>
            <w:r>
              <w:rPr>
                <w:rFonts w:hint="eastAsia" w:ascii="宋体" w:hAnsi="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restart"/>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符合性审</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查（商务技术文件）</w:t>
            </w: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（一）</w:t>
            </w:r>
            <w:r>
              <w:rPr>
                <w:rFonts w:hint="eastAsia" w:ascii="宋体" w:hAnsi="宋体" w:cs="宋体"/>
                <w:color w:val="auto"/>
                <w:highlight w:val="none"/>
              </w:rPr>
              <w:t>投标函已提交并符合招标文件要求；</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（二）</w:t>
            </w:r>
            <w:r>
              <w:rPr>
                <w:rFonts w:hint="eastAsia" w:ascii="宋体" w:hAnsi="宋体" w:cs="宋体"/>
                <w:color w:val="auto"/>
                <w:highlight w:val="none"/>
              </w:rPr>
              <w:t>按照招标文件规定要求签署或盖章；</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投标文件有法定代表人签署本人姓名（或印盖本人姓名章），或签署人提供有效的法定代表人授权委托书且授权委托书填写项目齐全的；</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（四）</w:t>
            </w:r>
            <w:r>
              <w:rPr>
                <w:rFonts w:hint="eastAsia" w:ascii="宋体" w:hAnsi="宋体" w:cs="宋体"/>
                <w:color w:val="auto"/>
                <w:highlight w:val="none"/>
              </w:rPr>
              <w:t>投标文件项目齐全；</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kern w:val="0"/>
                <w:highlight w:val="none"/>
              </w:rPr>
            </w:pPr>
            <w:r>
              <w:rPr>
                <w:rFonts w:hint="eastAsia" w:ascii="宋体" w:hAnsi="宋体" w:cs="宋体"/>
                <w:color w:val="auto"/>
                <w:szCs w:val="21"/>
                <w:highlight w:val="none"/>
              </w:rPr>
              <w:t>（五）</w:t>
            </w:r>
            <w:r>
              <w:rPr>
                <w:rFonts w:hint="eastAsia" w:ascii="宋体" w:hAnsi="宋体" w:cs="宋体"/>
                <w:color w:val="auto"/>
                <w:highlight w:val="none"/>
              </w:rPr>
              <w:t>投标文件标明的响应或偏离与事实相符且无虚假投标的；</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（六）</w:t>
            </w:r>
            <w:r>
              <w:rPr>
                <w:rFonts w:hint="eastAsia" w:ascii="宋体" w:hAnsi="宋体" w:cs="宋体"/>
                <w:color w:val="auto"/>
                <w:highlight w:val="none"/>
              </w:rPr>
              <w:t>投标文件的实质性内容使用中文表述且意思表述明确，前后无矛盾且使用计量单位符合招标文件要求的；</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（七）</w:t>
            </w:r>
            <w:r>
              <w:rPr>
                <w:rFonts w:hint="eastAsia" w:ascii="宋体" w:hAnsi="宋体" w:cs="宋体"/>
                <w:color w:val="auto"/>
                <w:highlight w:val="none"/>
              </w:rPr>
              <w:t>带“★”的条款满足招标文件要求、已实质性响应招标文件要求且投标文件无采购人不能接受的附加条件的；</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（八）</w:t>
            </w:r>
            <w:r>
              <w:rPr>
                <w:rFonts w:hint="eastAsia" w:ascii="宋体" w:hAnsi="宋体" w:cs="宋体"/>
                <w:color w:val="auto"/>
                <w:highlight w:val="none"/>
              </w:rPr>
              <w:t>投标技术方案明确，不存在一个或一个以上备选（替代）投标方案的；</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（九）</w:t>
            </w:r>
            <w:r>
              <w:rPr>
                <w:rFonts w:hint="eastAsia" w:ascii="宋体" w:hAnsi="宋体" w:cs="宋体"/>
                <w:color w:val="auto"/>
                <w:highlight w:val="none"/>
              </w:rPr>
              <w:t>商务技术文件中未出现报价或单价的；</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（十）</w:t>
            </w:r>
            <w:r>
              <w:rPr>
                <w:rFonts w:hint="eastAsia" w:ascii="宋体" w:hAnsi="宋体" w:cs="宋体"/>
                <w:color w:val="auto"/>
                <w:highlight w:val="none"/>
              </w:rPr>
              <w:t>不存在法律、法规和招标文件规定的其他无效情形；</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（十一）</w:t>
            </w:r>
            <w:r>
              <w:rPr>
                <w:rFonts w:hint="eastAsia" w:ascii="宋体" w:hAnsi="宋体" w:cs="宋体"/>
                <w:color w:val="auto"/>
                <w:highlight w:val="none"/>
              </w:rPr>
              <w:t>不存在投标文件的有效期不满足招标文件要求情形；</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bl>
    <w:p>
      <w:pPr>
        <w:snapToGrid w:val="0"/>
        <w:rPr>
          <w:rFonts w:ascii="宋体" w:hAnsi="宋体" w:cs="宋体"/>
          <w:b/>
          <w:color w:val="auto"/>
          <w:szCs w:val="21"/>
          <w:highlight w:val="none"/>
        </w:rPr>
      </w:pPr>
      <w:r>
        <w:rPr>
          <w:rFonts w:hint="eastAsia" w:ascii="宋体" w:hAnsi="宋体" w:cs="宋体"/>
          <w:b/>
          <w:color w:val="auto"/>
          <w:szCs w:val="21"/>
          <w:highlight w:val="none"/>
        </w:rPr>
        <w:t xml:space="preserve">备注：符合性自查表将作为供应商有效性审查的重要内容之一，供应商必须严格按照其内容及序列要求在投标文件中对应如实提供，对证明文件的任何缺漏和不符合项将会直接导致投标无效！ </w:t>
      </w:r>
    </w:p>
    <w:p>
      <w:pPr>
        <w:snapToGrid w:val="0"/>
        <w:rPr>
          <w:rFonts w:ascii="宋体" w:hAnsi="宋体" w:cs="宋体"/>
          <w:b/>
          <w:color w:val="auto"/>
          <w:szCs w:val="21"/>
          <w:highlight w:val="none"/>
        </w:rPr>
      </w:pPr>
    </w:p>
    <w:p>
      <w:pPr>
        <w:snapToGrid w:val="0"/>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（2）供应商响应表格式</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供应商响应表</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采购项目：</w:t>
      </w:r>
    </w:p>
    <w:p>
      <w:pPr>
        <w:rPr>
          <w:rFonts w:ascii="宋体" w:hAnsi="宋体" w:cs="宋体"/>
          <w:color w:val="auto"/>
          <w:highlight w:val="none"/>
        </w:rPr>
      </w:pPr>
      <w:r>
        <w:rPr>
          <w:rFonts w:hint="eastAsia" w:ascii="宋体" w:hAnsi="宋体" w:cs="宋体"/>
          <w:color w:val="auto"/>
          <w:highlight w:val="none"/>
        </w:rPr>
        <w:t>项目编号：</w:t>
      </w:r>
    </w:p>
    <w:p>
      <w:pPr>
        <w:rPr>
          <w:rFonts w:ascii="宋体" w:hAnsi="宋体" w:cs="宋体"/>
          <w:color w:val="auto"/>
          <w:highlight w:val="none"/>
        </w:rPr>
      </w:pPr>
      <w:r>
        <w:rPr>
          <w:rFonts w:hint="eastAsia" w:ascii="宋体" w:hAnsi="宋体" w:cs="宋体"/>
          <w:color w:val="auto"/>
          <w:highlight w:val="none"/>
        </w:rPr>
        <w:t>标项号：</w:t>
      </w:r>
    </w:p>
    <w:tbl>
      <w:tblPr>
        <w:tblStyle w:val="46"/>
        <w:tblW w:w="8436" w:type="dxa"/>
        <w:tblInd w:w="93" w:type="dxa"/>
        <w:tblLayout w:type="fixed"/>
        <w:tblCellMar>
          <w:top w:w="0" w:type="dxa"/>
          <w:left w:w="108" w:type="dxa"/>
          <w:bottom w:w="0" w:type="dxa"/>
          <w:right w:w="108" w:type="dxa"/>
        </w:tblCellMar>
      </w:tblPr>
      <w:tblGrid>
        <w:gridCol w:w="574"/>
        <w:gridCol w:w="4942"/>
        <w:gridCol w:w="1460"/>
        <w:gridCol w:w="1460"/>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4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评审内容</w:t>
            </w: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自评分</w:t>
            </w: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证明文件</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bl>
    <w:p>
      <w:pPr>
        <w:rPr>
          <w:rFonts w:ascii="宋体" w:hAnsi="宋体" w:cs="宋体"/>
          <w:b/>
          <w:color w:val="auto"/>
          <w:highlight w:val="none"/>
        </w:rPr>
      </w:pPr>
      <w:r>
        <w:rPr>
          <w:rFonts w:hint="eastAsia" w:ascii="宋体" w:hAnsi="宋体" w:cs="宋体"/>
          <w:b/>
          <w:color w:val="auto"/>
          <w:highlight w:val="none"/>
        </w:rPr>
        <w:t>注：根据评分标准内容逐条填写并自行评分</w:t>
      </w:r>
      <w:r>
        <w:rPr>
          <w:rFonts w:hint="eastAsia" w:ascii="宋体" w:hAnsi="宋体" w:cs="宋体"/>
          <w:b/>
          <w:color w:val="auto"/>
          <w:szCs w:val="21"/>
          <w:highlight w:val="none"/>
        </w:rPr>
        <w:t>（价格分除外）</w:t>
      </w:r>
      <w:r>
        <w:rPr>
          <w:rFonts w:hint="eastAsia" w:ascii="宋体" w:hAnsi="宋体" w:cs="宋体"/>
          <w:b/>
          <w:color w:val="auto"/>
          <w:highlight w:val="none"/>
        </w:rPr>
        <w:t>。</w:t>
      </w:r>
    </w:p>
    <w:p>
      <w:pPr>
        <w:rPr>
          <w:rFonts w:ascii="宋体" w:hAnsi="宋体" w:cs="宋体"/>
          <w:color w:val="auto"/>
          <w:highlight w:val="none"/>
        </w:rPr>
      </w:pPr>
    </w:p>
    <w:p>
      <w:pPr>
        <w:ind w:firstLine="6090" w:firstLineChars="2900"/>
        <w:rPr>
          <w:rFonts w:ascii="宋体" w:hAnsi="宋体" w:cs="宋体"/>
          <w:color w:val="auto"/>
          <w:highlight w:val="none"/>
        </w:rPr>
      </w:pPr>
      <w:r>
        <w:rPr>
          <w:rFonts w:hint="eastAsia" w:ascii="宋体" w:hAnsi="宋体" w:cs="宋体"/>
          <w:color w:val="auto"/>
          <w:highlight w:val="none"/>
        </w:rPr>
        <w:t>供应商名称：</w:t>
      </w:r>
    </w:p>
    <w:p>
      <w:pPr>
        <w:rPr>
          <w:rFonts w:ascii="宋体" w:hAnsi="宋体" w:cs="宋体"/>
          <w:color w:val="auto"/>
          <w:highlight w:val="none"/>
        </w:rPr>
      </w:pPr>
    </w:p>
    <w:p>
      <w:pPr>
        <w:ind w:firstLine="6090" w:firstLineChars="2900"/>
        <w:rPr>
          <w:rFonts w:ascii="宋体" w:hAnsi="宋体" w:cs="宋体"/>
          <w:color w:val="auto"/>
          <w:highlight w:val="none"/>
        </w:rPr>
      </w:pPr>
      <w:r>
        <w:rPr>
          <w:rFonts w:hint="eastAsia" w:ascii="宋体" w:hAnsi="宋体" w:cs="宋体"/>
          <w:color w:val="auto"/>
          <w:highlight w:val="none"/>
        </w:rPr>
        <w:t>年  月  日</w:t>
      </w:r>
    </w:p>
    <w:p>
      <w:pPr>
        <w:snapToGrid w:val="0"/>
        <w:rPr>
          <w:rFonts w:ascii="宋体" w:hAnsi="宋体" w:cs="宋体"/>
          <w:b/>
          <w:color w:val="auto"/>
          <w:szCs w:val="21"/>
          <w:highlight w:val="none"/>
        </w:rPr>
      </w:pPr>
    </w:p>
    <w:p>
      <w:pPr>
        <w:snapToGrid w:val="0"/>
        <w:rPr>
          <w:rFonts w:ascii="宋体" w:hAnsi="宋体" w:cs="宋体"/>
          <w:b/>
          <w:color w:val="auto"/>
          <w:szCs w:val="21"/>
          <w:highlight w:val="none"/>
        </w:rPr>
      </w:pPr>
    </w:p>
    <w:p>
      <w:pPr>
        <w:snapToGrid w:val="0"/>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（3）商务条款偏离表格式</w:t>
      </w:r>
    </w:p>
    <w:p>
      <w:pPr>
        <w:jc w:val="center"/>
        <w:rPr>
          <w:rFonts w:ascii="宋体" w:hAnsi="宋体" w:cs="宋体"/>
          <w:color w:val="auto"/>
          <w:sz w:val="32"/>
          <w:szCs w:val="32"/>
          <w:highlight w:val="none"/>
        </w:rPr>
      </w:pPr>
      <w:r>
        <w:rPr>
          <w:rFonts w:hint="eastAsia" w:ascii="宋体" w:hAnsi="宋体" w:cs="宋体"/>
          <w:b/>
          <w:color w:val="auto"/>
          <w:sz w:val="32"/>
          <w:szCs w:val="32"/>
          <w:highlight w:val="none"/>
        </w:rPr>
        <w:t>商务条款偏离表</w:t>
      </w:r>
    </w:p>
    <w:p>
      <w:pPr>
        <w:rPr>
          <w:rFonts w:ascii="宋体" w:hAnsi="宋体" w:cs="宋体"/>
          <w:color w:val="auto"/>
          <w:highlight w:val="none"/>
        </w:rPr>
      </w:pPr>
      <w:r>
        <w:rPr>
          <w:rFonts w:hint="eastAsia" w:ascii="宋体" w:hAnsi="宋体" w:cs="宋体"/>
          <w:color w:val="auto"/>
          <w:highlight w:val="none"/>
        </w:rPr>
        <w:t>采购项目：</w:t>
      </w:r>
    </w:p>
    <w:p>
      <w:pPr>
        <w:rPr>
          <w:rFonts w:ascii="宋体" w:hAnsi="宋体" w:cs="宋体"/>
          <w:color w:val="auto"/>
          <w:highlight w:val="none"/>
        </w:rPr>
      </w:pPr>
      <w:r>
        <w:rPr>
          <w:rFonts w:hint="eastAsia" w:ascii="宋体" w:hAnsi="宋体" w:cs="宋体"/>
          <w:color w:val="auto"/>
          <w:highlight w:val="none"/>
        </w:rPr>
        <w:t>项目编号：</w:t>
      </w:r>
    </w:p>
    <w:p>
      <w:pPr>
        <w:rPr>
          <w:rFonts w:ascii="宋体" w:hAnsi="宋体" w:cs="宋体"/>
          <w:color w:val="auto"/>
          <w:highlight w:val="none"/>
        </w:rPr>
      </w:pPr>
      <w:r>
        <w:rPr>
          <w:rFonts w:hint="eastAsia" w:ascii="宋体" w:hAnsi="宋体" w:cs="宋体"/>
          <w:color w:val="auto"/>
          <w:highlight w:val="none"/>
        </w:rPr>
        <w:t>标项号：</w:t>
      </w:r>
    </w:p>
    <w:tbl>
      <w:tblPr>
        <w:tblStyle w:val="46"/>
        <w:tblW w:w="84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条款号</w:t>
            </w:r>
          </w:p>
        </w:tc>
        <w:tc>
          <w:tcPr>
            <w:tcW w:w="4647"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招标文件的商务条款</w:t>
            </w:r>
          </w:p>
        </w:tc>
        <w:tc>
          <w:tcPr>
            <w:tcW w:w="1575"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投标文件的</w:t>
            </w:r>
          </w:p>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响应情况</w:t>
            </w:r>
          </w:p>
        </w:tc>
        <w:tc>
          <w:tcPr>
            <w:tcW w:w="1185"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bl>
    <w:p>
      <w:pPr>
        <w:rPr>
          <w:rFonts w:ascii="宋体" w:hAnsi="宋体" w:cs="宋体"/>
          <w:color w:val="auto"/>
          <w:highlight w:val="none"/>
        </w:rPr>
      </w:pPr>
      <w:r>
        <w:rPr>
          <w:rFonts w:hint="eastAsia" w:ascii="宋体" w:hAnsi="宋体" w:cs="宋体"/>
          <w:color w:val="auto"/>
          <w:highlight w:val="none"/>
        </w:rPr>
        <w:t>供应商须按第二章《采购需求》</w:t>
      </w:r>
      <w:r>
        <w:rPr>
          <w:rFonts w:hint="eastAsia" w:ascii="宋体" w:hAnsi="宋体" w:cs="宋体"/>
          <w:color w:val="auto"/>
          <w:szCs w:val="21"/>
          <w:highlight w:val="none"/>
        </w:rPr>
        <w:t>“</w:t>
      </w:r>
      <w:r>
        <w:rPr>
          <w:rFonts w:hint="eastAsia" w:ascii="宋体" w:hAnsi="宋体" w:cs="宋体"/>
          <w:color w:val="auto"/>
          <w:highlight w:val="none"/>
        </w:rPr>
        <w:t>一、重要商务要求一览表”逐项填写，并根据“第五章 政府采购合同主要条款”内容自行补充。</w:t>
      </w:r>
    </w:p>
    <w:p>
      <w:pPr>
        <w:rPr>
          <w:rFonts w:ascii="宋体" w:hAnsi="宋体" w:cs="宋体"/>
          <w:color w:val="auto"/>
          <w:highlight w:val="none"/>
        </w:rPr>
      </w:pPr>
    </w:p>
    <w:p>
      <w:pPr>
        <w:spacing w:beforeAutospacing="0" w:afterAutospacing="0" w:line="360" w:lineRule="auto"/>
        <w:rPr>
          <w:rFonts w:ascii="宋体" w:hAnsi="宋体" w:cs="宋体"/>
          <w:color w:val="auto"/>
          <w:highlight w:val="none"/>
        </w:rPr>
      </w:pPr>
    </w:p>
    <w:p>
      <w:pPr>
        <w:spacing w:beforeAutospacing="0" w:afterAutospacing="0" w:line="360" w:lineRule="auto"/>
        <w:ind w:firstLine="4095" w:firstLineChars="1950"/>
        <w:rPr>
          <w:rFonts w:ascii="宋体" w:hAnsi="宋体" w:cs="宋体"/>
          <w:color w:val="auto"/>
          <w:highlight w:val="none"/>
        </w:rPr>
      </w:pPr>
      <w:r>
        <w:rPr>
          <w:rFonts w:hint="eastAsia" w:ascii="宋体" w:hAnsi="宋体" w:cs="宋体"/>
          <w:color w:val="auto"/>
          <w:highlight w:val="none"/>
        </w:rPr>
        <w:t xml:space="preserve">法定代表人或授权代表（签名或印章）：        </w:t>
      </w:r>
    </w:p>
    <w:p>
      <w:pPr>
        <w:spacing w:beforeAutospacing="0" w:afterAutospacing="0" w:line="360" w:lineRule="auto"/>
        <w:ind w:firstLine="5460" w:firstLineChars="2600"/>
        <w:rPr>
          <w:rFonts w:ascii="宋体" w:hAnsi="宋体" w:cs="宋体"/>
          <w:color w:val="auto"/>
          <w:highlight w:val="none"/>
        </w:rPr>
      </w:pPr>
      <w:r>
        <w:rPr>
          <w:rFonts w:hint="eastAsia" w:ascii="宋体" w:hAnsi="宋体" w:cs="宋体"/>
          <w:color w:val="auto"/>
          <w:highlight w:val="none"/>
        </w:rPr>
        <w:t xml:space="preserve">供应商盖章：         </w:t>
      </w:r>
    </w:p>
    <w:p>
      <w:pPr>
        <w:spacing w:beforeAutospacing="0" w:afterAutospacing="0" w:line="360" w:lineRule="auto"/>
        <w:ind w:firstLine="5460" w:firstLineChars="2600"/>
        <w:rPr>
          <w:rFonts w:ascii="宋体" w:hAnsi="宋体" w:cs="宋体"/>
          <w:color w:val="auto"/>
          <w:highlight w:val="none"/>
        </w:rPr>
      </w:pPr>
      <w:r>
        <w:rPr>
          <w:rFonts w:hint="eastAsia" w:ascii="宋体" w:hAnsi="宋体" w:cs="宋体"/>
          <w:color w:val="auto"/>
          <w:highlight w:val="none"/>
        </w:rPr>
        <w:t xml:space="preserve">日  期：        </w:t>
      </w:r>
    </w:p>
    <w:p>
      <w:pPr>
        <w:snapToGrid w:val="0"/>
        <w:spacing w:beforeLines="50" w:beforeAutospacing="0" w:after="50" w:afterAutospacing="0"/>
        <w:rPr>
          <w:rFonts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（4）</w:t>
      </w:r>
      <w:r>
        <w:rPr>
          <w:rFonts w:hint="eastAsia" w:ascii="宋体" w:hAnsi="宋体" w:cs="宋体"/>
          <w:b/>
          <w:bCs/>
          <w:color w:val="auto"/>
          <w:szCs w:val="21"/>
          <w:highlight w:val="none"/>
        </w:rPr>
        <w:t>投标函格式</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投 标 函</w:t>
      </w:r>
    </w:p>
    <w:p>
      <w:pPr>
        <w:snapToGrid w:val="0"/>
        <w:spacing w:beforeLines="50" w:beforeAutospacing="0" w:after="50" w:afterAutospacing="0"/>
        <w:jc w:val="center"/>
        <w:rPr>
          <w:rFonts w:ascii="宋体" w:hAnsi="宋体" w:cs="宋体"/>
          <w:b/>
          <w:color w:val="auto"/>
          <w:szCs w:val="21"/>
          <w:highlight w:val="none"/>
        </w:rPr>
      </w:pPr>
    </w:p>
    <w:p>
      <w:pPr>
        <w:snapToGrid w:val="0"/>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致：（招标采购单位名称）：</w:t>
      </w:r>
    </w:p>
    <w:p>
      <w:pPr>
        <w:snapToGrid w:val="0"/>
        <w:spacing w:beforeAutospacing="0" w:afterAutospacing="0"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根据贵方为项目的公开招标公告/投标邀请书（项目编号：），签字代表（全名）经正式授权并代表供应商（供应商名称）提交投标文件。</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据此函，签字代表宣布同意如下：</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2.供应商在投标之前已经与贵方进行了充分的沟通，完全理解并接受招标文件的各项规定和要求，对招标文件的合理性、合法性不再有异议。</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3.本投标有效期自开标日起90个日历日。</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4.如中标，本投标文件至本项目合同履行完毕止均保持有效，本供应商将按“招标文件”及政府采购法律、法规的规定履行合同责任和义务。</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5.供应商同意按照贵方要求提供与投标有关的一切数据或资料。</w:t>
      </w:r>
    </w:p>
    <w:p>
      <w:pPr>
        <w:snapToGrid w:val="0"/>
        <w:spacing w:beforeAutospacing="0" w:afterAutospacing="0"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6.</w:t>
      </w:r>
      <w:r>
        <w:rPr>
          <w:rFonts w:hint="eastAsia" w:ascii="宋体" w:hAnsi="宋体" w:cs="宋体"/>
          <w:color w:val="auto"/>
          <w:szCs w:val="21"/>
          <w:highlight w:val="none"/>
          <w:lang w:val="zh-CN"/>
        </w:rPr>
        <w:t>我们郑重声明：本投标文件提供的情况和文件完全是真实的。</w:t>
      </w:r>
    </w:p>
    <w:p>
      <w:pPr>
        <w:snapToGrid w:val="0"/>
        <w:spacing w:beforeAutospacing="0" w:afterAutospacing="0"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7.</w:t>
      </w:r>
      <w:r>
        <w:rPr>
          <w:rFonts w:hint="eastAsia" w:ascii="宋体" w:hAnsi="宋体" w:cs="宋体"/>
          <w:color w:val="auto"/>
          <w:szCs w:val="21"/>
          <w:highlight w:val="none"/>
          <w:lang w:val="zh-CN"/>
        </w:rPr>
        <w:t>按照</w:t>
      </w:r>
      <w:r>
        <w:rPr>
          <w:rFonts w:hint="eastAsia" w:ascii="宋体" w:hAnsi="宋体" w:cs="宋体"/>
          <w:color w:val="auto"/>
          <w:szCs w:val="21"/>
          <w:highlight w:val="none"/>
        </w:rPr>
        <w:t>招标文件</w:t>
      </w:r>
      <w:r>
        <w:rPr>
          <w:rFonts w:hint="eastAsia" w:ascii="宋体" w:hAnsi="宋体" w:cs="宋体"/>
          <w:color w:val="auto"/>
          <w:szCs w:val="21"/>
          <w:highlight w:val="none"/>
          <w:lang w:val="zh-CN"/>
        </w:rPr>
        <w:t>的规定，在中标后向</w:t>
      </w:r>
      <w:r>
        <w:rPr>
          <w:rFonts w:hint="eastAsia" w:ascii="宋体" w:hAnsi="宋体" w:cs="宋体"/>
          <w:color w:val="auto"/>
          <w:szCs w:val="21"/>
          <w:highlight w:val="none"/>
        </w:rPr>
        <w:t>采购代理机构</w:t>
      </w:r>
      <w:r>
        <w:rPr>
          <w:rFonts w:hint="eastAsia" w:ascii="宋体" w:hAnsi="宋体" w:cs="宋体"/>
          <w:color w:val="auto"/>
          <w:szCs w:val="21"/>
          <w:highlight w:val="none"/>
          <w:lang w:val="zh-CN"/>
        </w:rPr>
        <w:t>一次性支付招标代理费。</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8.与本投标有关的一切正式往来信函请寄：</w:t>
      </w:r>
    </w:p>
    <w:p>
      <w:pPr>
        <w:snapToGrid w:val="0"/>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地址：邮编：__________   电话：______________</w:t>
      </w:r>
    </w:p>
    <w:p>
      <w:pPr>
        <w:snapToGrid w:val="0"/>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传真：______________供应商代表姓名 ___________  职务：_____________</w:t>
      </w:r>
    </w:p>
    <w:p>
      <w:pPr>
        <w:snapToGrid w:val="0"/>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供应商名称(公章):___________________</w:t>
      </w:r>
    </w:p>
    <w:p>
      <w:pPr>
        <w:snapToGrid w:val="0"/>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开户银行：   银行账号：</w:t>
      </w:r>
    </w:p>
    <w:p>
      <w:pPr>
        <w:snapToGrid w:val="0"/>
        <w:spacing w:before="50" w:beforeAutospacing="0" w:afterLines="50" w:afterAutospacing="0"/>
        <w:rPr>
          <w:rFonts w:ascii="宋体" w:hAnsi="宋体" w:cs="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highlight w:val="none"/>
        </w:rPr>
        <w:t>（签名或印章）</w:t>
      </w:r>
      <w:r>
        <w:rPr>
          <w:rFonts w:hint="eastAsia" w:ascii="宋体" w:hAnsi="宋体" w:cs="宋体"/>
          <w:color w:val="auto"/>
          <w:szCs w:val="21"/>
          <w:highlight w:val="none"/>
        </w:rPr>
        <w:t>:___________       日期:_____年___月___日</w:t>
      </w:r>
    </w:p>
    <w:p>
      <w:pPr>
        <w:snapToGrid w:val="0"/>
        <w:rPr>
          <w:rFonts w:ascii="宋体" w:hAnsi="宋体" w:cs="宋体"/>
          <w:color w:val="auto"/>
          <w:szCs w:val="21"/>
          <w:highlight w:val="none"/>
        </w:rPr>
      </w:pPr>
    </w:p>
    <w:p>
      <w:pPr>
        <w:snapToGrid w:val="0"/>
        <w:rPr>
          <w:rFonts w:ascii="宋体" w:hAnsi="宋体" w:cs="宋体"/>
          <w:color w:val="auto"/>
          <w:szCs w:val="21"/>
          <w:highlight w:val="none"/>
        </w:rPr>
      </w:pPr>
    </w:p>
    <w:p>
      <w:pPr>
        <w:snapToGrid w:val="0"/>
        <w:spacing w:beforeAutospacing="0" w:afterAutospacing="0" w:line="360" w:lineRule="auto"/>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（5）法定代表人身份证明或法定代表人授权委托书格式</w:t>
      </w:r>
    </w:p>
    <w:p>
      <w:pPr>
        <w:spacing w:beforeAutospacing="0" w:afterAutospacing="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pPr>
        <w:spacing w:beforeAutospacing="0" w:afterAutospacing="0" w:line="480" w:lineRule="auto"/>
        <w:ind w:firstLine="420" w:firstLineChars="200"/>
        <w:rPr>
          <w:rFonts w:ascii="宋体" w:hAnsi="宋体" w:cs="宋体"/>
          <w:color w:val="auto"/>
          <w:szCs w:val="21"/>
          <w:highlight w:val="none"/>
        </w:rPr>
      </w:pPr>
    </w:p>
    <w:p>
      <w:pPr>
        <w:spacing w:beforeAutospacing="0" w:afterAutospacing="0"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w:t>
      </w:r>
    </w:p>
    <w:p>
      <w:pPr>
        <w:spacing w:beforeAutospacing="0" w:afterAutospacing="0"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p>
    <w:p>
      <w:pPr>
        <w:spacing w:beforeAutospacing="0" w:afterAutospacing="0"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p>
    <w:p>
      <w:pPr>
        <w:spacing w:beforeAutospacing="0" w:afterAutospacing="0"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成立时间：年月＿日</w:t>
      </w:r>
    </w:p>
    <w:p>
      <w:pPr>
        <w:spacing w:beforeAutospacing="0" w:afterAutospacing="0"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p>
    <w:p>
      <w:pPr>
        <w:spacing w:beforeAutospacing="0" w:afterAutospacing="0"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姓名：性别：年龄：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职务：_</w:t>
      </w:r>
    </w:p>
    <w:p>
      <w:pPr>
        <w:spacing w:beforeAutospacing="0" w:afterAutospacing="0"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p>
    <w:p>
      <w:pPr>
        <w:spacing w:beforeAutospacing="0" w:afterAutospacing="0"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系（供应商名称）的法定代表人。</w:t>
      </w:r>
    </w:p>
    <w:p>
      <w:pPr>
        <w:spacing w:beforeAutospacing="0" w:afterAutospacing="0"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pPr>
        <w:spacing w:beforeAutospacing="0" w:afterAutospacing="0" w:line="360" w:lineRule="auto"/>
        <w:ind w:firstLine="420" w:firstLineChars="200"/>
        <w:rPr>
          <w:rFonts w:ascii="宋体" w:hAnsi="宋体" w:cs="宋体"/>
          <w:color w:val="auto"/>
          <w:szCs w:val="21"/>
          <w:highlight w:val="none"/>
        </w:rPr>
      </w:pPr>
    </w:p>
    <w:p>
      <w:pPr>
        <w:spacing w:beforeAutospacing="0" w:afterAutospacing="0" w:line="360" w:lineRule="auto"/>
        <w:ind w:firstLine="420" w:firstLineChars="200"/>
        <w:rPr>
          <w:rFonts w:ascii="宋体" w:hAnsi="宋体" w:cs="宋体"/>
          <w:color w:val="auto"/>
          <w:szCs w:val="21"/>
          <w:highlight w:val="none"/>
        </w:rPr>
      </w:pPr>
    </w:p>
    <w:p>
      <w:pPr>
        <w:wordWrap w:val="0"/>
        <w:spacing w:beforeAutospacing="0" w:afterAutospacing="0" w:line="360" w:lineRule="auto"/>
        <w:jc w:val="right"/>
        <w:rPr>
          <w:rFonts w:ascii="宋体" w:hAnsi="宋体" w:cs="宋体"/>
          <w:color w:val="auto"/>
          <w:szCs w:val="21"/>
          <w:highlight w:val="none"/>
        </w:rPr>
      </w:pPr>
      <w:r>
        <w:rPr>
          <w:rFonts w:hint="eastAsia" w:ascii="宋体" w:hAnsi="宋体" w:cs="宋体"/>
          <w:color w:val="auto"/>
          <w:szCs w:val="21"/>
          <w:highlight w:val="none"/>
        </w:rPr>
        <w:t>供应商：（盖单位公章）</w:t>
      </w:r>
    </w:p>
    <w:p>
      <w:pPr>
        <w:spacing w:beforeAutospacing="0" w:afterAutospacing="0" w:line="360" w:lineRule="auto"/>
        <w:ind w:firstLine="4515" w:firstLineChars="2150"/>
        <w:rPr>
          <w:rFonts w:ascii="宋体" w:hAnsi="宋体" w:cs="宋体"/>
          <w:color w:val="auto"/>
          <w:szCs w:val="21"/>
          <w:highlight w:val="none"/>
          <w:u w:val="single"/>
        </w:rPr>
      </w:pPr>
    </w:p>
    <w:p>
      <w:pPr>
        <w:spacing w:beforeAutospacing="0" w:afterAutospacing="0"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年月日</w:t>
      </w:r>
    </w:p>
    <w:p>
      <w:pPr>
        <w:spacing w:beforeAutospacing="0" w:afterAutospacing="0" w:line="360" w:lineRule="auto"/>
        <w:rPr>
          <w:rFonts w:ascii="宋体" w:hAnsi="宋体" w:cs="宋体"/>
          <w:color w:val="auto"/>
          <w:sz w:val="24"/>
          <w:highlight w:val="none"/>
        </w:rPr>
      </w:pPr>
    </w:p>
    <w:p>
      <w:pPr>
        <w:spacing w:beforeAutospacing="0" w:afterAutospacing="0" w:line="360" w:lineRule="auto"/>
        <w:rPr>
          <w:rFonts w:ascii="宋体" w:hAnsi="宋体" w:cs="宋体"/>
          <w:b/>
          <w:color w:val="auto"/>
          <w:szCs w:val="21"/>
          <w:highlight w:val="none"/>
        </w:rPr>
      </w:pPr>
    </w:p>
    <w:p>
      <w:pPr>
        <w:spacing w:beforeAutospacing="0" w:afterAutospacing="0" w:line="360" w:lineRule="auto"/>
        <w:rPr>
          <w:rFonts w:ascii="宋体" w:hAnsi="宋体" w:cs="宋体"/>
          <w:b/>
          <w:color w:val="auto"/>
          <w:szCs w:val="21"/>
          <w:highlight w:val="none"/>
        </w:rPr>
      </w:pPr>
    </w:p>
    <w:p>
      <w:pPr>
        <w:snapToGrid w:val="0"/>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w:t>
      </w:r>
    </w:p>
    <w:p>
      <w:pPr>
        <w:pStyle w:val="2"/>
        <w:rPr>
          <w:rFonts w:ascii="宋体" w:hAnsi="宋体" w:cs="宋体"/>
          <w:b/>
          <w:color w:val="auto"/>
          <w:szCs w:val="21"/>
          <w:highlight w:val="none"/>
        </w:rPr>
      </w:pPr>
    </w:p>
    <w:p>
      <w:pPr>
        <w:jc w:val="center"/>
        <w:rPr>
          <w:rFonts w:ascii="宋体" w:hAnsi="宋体" w:cs="宋体"/>
          <w:b/>
          <w:color w:val="auto"/>
          <w:sz w:val="32"/>
          <w:szCs w:val="32"/>
          <w:highlight w:val="none"/>
        </w:rPr>
      </w:pPr>
      <w:r>
        <w:rPr>
          <w:rFonts w:hint="eastAsia" w:ascii="宋体" w:hAnsi="宋体" w:cs="宋体"/>
          <w:b/>
          <w:color w:val="auto"/>
          <w:szCs w:val="21"/>
          <w:highlight w:val="none"/>
        </w:rPr>
        <w:br w:type="page"/>
      </w:r>
      <w:r>
        <w:rPr>
          <w:rFonts w:hint="eastAsia" w:ascii="宋体" w:hAnsi="宋体" w:cs="宋体"/>
          <w:b/>
          <w:color w:val="auto"/>
          <w:sz w:val="32"/>
          <w:szCs w:val="32"/>
          <w:highlight w:val="none"/>
        </w:rPr>
        <w:t>法定代表人授权委托书</w:t>
      </w:r>
    </w:p>
    <w:p>
      <w:pP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pPr>
        <w:snapToGrid w:val="0"/>
        <w:spacing w:beforeAutospacing="0" w:afterAutospacing="0" w:line="360" w:lineRule="auto"/>
        <w:rPr>
          <w:rFonts w:ascii="宋体" w:hAnsi="宋体" w:cs="宋体"/>
          <w:bCs/>
          <w:color w:val="auto"/>
          <w:sz w:val="24"/>
          <w:highlight w:val="none"/>
        </w:rPr>
      </w:pPr>
    </w:p>
    <w:p>
      <w:pPr>
        <w:snapToGrid w:val="0"/>
        <w:spacing w:beforeAutospacing="0" w:afterAutospacing="0"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rPr>
        <w:t>（采购人名称）：</w:t>
      </w:r>
    </w:p>
    <w:p>
      <w:pPr>
        <w:snapToGrid w:val="0"/>
        <w:spacing w:beforeAutospacing="0" w:afterAutospacing="0"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我（姓名）系（供应商名称）的法定代表人，现授权委托本单位在职职工 （姓名）以我方的名义参加</w:t>
      </w:r>
      <w:r>
        <w:rPr>
          <w:rFonts w:hint="eastAsia" w:ascii="宋体" w:hAnsi="宋体" w:cs="宋体"/>
          <w:color w:val="auto"/>
          <w:szCs w:val="21"/>
          <w:highlight w:val="none"/>
          <w:u w:val="single"/>
        </w:rPr>
        <w:t xml:space="preserve">                       政府采购 </w:t>
      </w:r>
      <w:r>
        <w:rPr>
          <w:rFonts w:hint="eastAsia" w:ascii="宋体" w:hAnsi="宋体" w:cs="宋体"/>
          <w:color w:val="auto"/>
          <w:szCs w:val="21"/>
          <w:highlight w:val="none"/>
        </w:rPr>
        <w:t>项目的投标活动，并代表我方全权办理针对上述项目的投标、开标、评标、签约等具体事务和签署相关文件。</w:t>
      </w:r>
    </w:p>
    <w:p>
      <w:pPr>
        <w:snapToGrid w:val="0"/>
        <w:spacing w:beforeAutospacing="0" w:afterAutospacing="0"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我方对授权代表的签名事项负全部责任。</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在撤销授权的书面通知以前，本授权书一直有效。授权代表在授权书有效期内签署的所有文件不因授权的撤销而失效。</w:t>
      </w:r>
    </w:p>
    <w:p>
      <w:pPr>
        <w:snapToGrid w:val="0"/>
        <w:spacing w:beforeAutospacing="0" w:afterAutospacing="0" w:line="360" w:lineRule="auto"/>
        <w:ind w:firstLine="480"/>
        <w:rPr>
          <w:rFonts w:ascii="宋体" w:hAnsi="宋体" w:cs="宋体"/>
          <w:color w:val="auto"/>
          <w:szCs w:val="21"/>
          <w:highlight w:val="none"/>
        </w:rPr>
      </w:pPr>
      <w:r>
        <w:rPr>
          <w:rFonts w:hint="eastAsia" w:ascii="宋体" w:hAnsi="宋体" w:cs="宋体"/>
          <w:color w:val="auto"/>
          <w:szCs w:val="21"/>
          <w:highlight w:val="none"/>
        </w:rPr>
        <w:t>授权代表无转委托权，特此委托。</w:t>
      </w:r>
    </w:p>
    <w:p>
      <w:pPr>
        <w:snapToGrid w:val="0"/>
        <w:spacing w:beforeAutospacing="0" w:afterAutospacing="0" w:line="360" w:lineRule="auto"/>
        <w:rPr>
          <w:rFonts w:ascii="宋体" w:hAnsi="宋体" w:cs="宋体"/>
          <w:color w:val="auto"/>
          <w:szCs w:val="21"/>
          <w:highlight w:val="none"/>
        </w:rPr>
      </w:pPr>
    </w:p>
    <w:p>
      <w:pPr>
        <w:snapToGrid w:val="0"/>
        <w:spacing w:beforeAutospacing="0" w:afterAutospacing="0" w:line="360" w:lineRule="auto"/>
        <w:rPr>
          <w:rFonts w:ascii="宋体" w:hAnsi="宋体" w:cs="宋体"/>
          <w:color w:val="auto"/>
          <w:szCs w:val="21"/>
          <w:highlight w:val="none"/>
        </w:rPr>
      </w:pPr>
    </w:p>
    <w:p>
      <w:pPr>
        <w:snapToGrid w:val="0"/>
        <w:spacing w:beforeAutospacing="0" w:afterAutospacing="0" w:line="360" w:lineRule="auto"/>
        <w:rPr>
          <w:rFonts w:ascii="宋体" w:hAnsi="宋体" w:cs="宋体"/>
          <w:color w:val="auto"/>
          <w:szCs w:val="21"/>
          <w:highlight w:val="none"/>
          <w:u w:val="single"/>
        </w:rPr>
      </w:pPr>
      <w:r>
        <w:rPr>
          <w:rFonts w:hint="eastAsia" w:ascii="宋体" w:hAnsi="宋体" w:cs="宋体"/>
          <w:color w:val="auto"/>
          <w:szCs w:val="21"/>
          <w:highlight w:val="none"/>
        </w:rPr>
        <w:t>授权代表</w:t>
      </w:r>
      <w:r>
        <w:rPr>
          <w:rFonts w:hint="eastAsia" w:ascii="宋体" w:hAnsi="宋体" w:cs="宋体"/>
          <w:color w:val="auto"/>
          <w:highlight w:val="none"/>
        </w:rPr>
        <w:t>（签名或印章）</w:t>
      </w:r>
      <w:r>
        <w:rPr>
          <w:rFonts w:hint="eastAsia" w:ascii="宋体" w:hAnsi="宋体" w:cs="宋体"/>
          <w:color w:val="auto"/>
          <w:szCs w:val="21"/>
          <w:highlight w:val="none"/>
        </w:rPr>
        <w:t>：                 法定代表人</w:t>
      </w:r>
      <w:r>
        <w:rPr>
          <w:rFonts w:hint="eastAsia" w:ascii="宋体" w:hAnsi="宋体" w:cs="宋体"/>
          <w:color w:val="auto"/>
          <w:highlight w:val="none"/>
        </w:rPr>
        <w:t>（签名或印章）</w:t>
      </w:r>
      <w:r>
        <w:rPr>
          <w:rFonts w:hint="eastAsia" w:ascii="宋体" w:hAnsi="宋体" w:cs="宋体"/>
          <w:color w:val="auto"/>
          <w:szCs w:val="21"/>
          <w:highlight w:val="none"/>
        </w:rPr>
        <w:t>：</w:t>
      </w:r>
    </w:p>
    <w:p>
      <w:pPr>
        <w:snapToGrid w:val="0"/>
        <w:spacing w:beforeAutospacing="0" w:afterAutospacing="0"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                          职务：</w:t>
      </w:r>
    </w:p>
    <w:p>
      <w:pPr>
        <w:snapToGrid w:val="0"/>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授权代表身份证号码：</w:t>
      </w:r>
    </w:p>
    <w:p>
      <w:pPr>
        <w:snapToGrid w:val="0"/>
        <w:spacing w:beforeAutospacing="0" w:afterAutospacing="0" w:line="360" w:lineRule="auto"/>
        <w:rPr>
          <w:rFonts w:ascii="宋体" w:hAnsi="宋体" w:cs="宋体"/>
          <w:color w:val="auto"/>
          <w:szCs w:val="21"/>
          <w:highlight w:val="none"/>
        </w:rPr>
      </w:pPr>
    </w:p>
    <w:p>
      <w:pPr>
        <w:snapToGrid w:val="0"/>
        <w:spacing w:beforeAutospacing="0" w:afterAutospacing="0" w:line="360" w:lineRule="auto"/>
        <w:rPr>
          <w:rFonts w:ascii="宋体" w:hAnsi="宋体" w:cs="宋体"/>
          <w:color w:val="auto"/>
          <w:szCs w:val="21"/>
          <w:highlight w:val="none"/>
        </w:rPr>
      </w:pPr>
    </w:p>
    <w:p>
      <w:pPr>
        <w:snapToGrid w:val="0"/>
        <w:spacing w:beforeAutospacing="0" w:afterAutospacing="0" w:line="360" w:lineRule="auto"/>
        <w:ind w:firstLine="4830" w:firstLineChars="2300"/>
        <w:rPr>
          <w:rFonts w:ascii="宋体" w:hAnsi="宋体" w:cs="宋体"/>
          <w:color w:val="auto"/>
          <w:szCs w:val="21"/>
          <w:highlight w:val="none"/>
        </w:rPr>
      </w:pPr>
      <w:r>
        <w:rPr>
          <w:rFonts w:hint="eastAsia" w:ascii="宋体" w:hAnsi="宋体" w:cs="宋体"/>
          <w:color w:val="auto"/>
          <w:szCs w:val="21"/>
          <w:highlight w:val="none"/>
        </w:rPr>
        <w:t>供应商公章：</w:t>
      </w:r>
    </w:p>
    <w:p>
      <w:pPr>
        <w:snapToGrid w:val="0"/>
        <w:spacing w:beforeAutospacing="0" w:afterAutospacing="0" w:line="360" w:lineRule="auto"/>
        <w:ind w:firstLine="4830" w:firstLineChars="2300"/>
        <w:rPr>
          <w:rFonts w:ascii="宋体" w:hAnsi="宋体" w:cs="宋体"/>
          <w:color w:val="auto"/>
          <w:szCs w:val="21"/>
          <w:highlight w:val="none"/>
        </w:rPr>
      </w:pPr>
    </w:p>
    <w:p>
      <w:pPr>
        <w:snapToGrid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beforeAutospacing="0" w:afterAutospacing="0" w:line="360" w:lineRule="auto"/>
        <w:rPr>
          <w:rFonts w:ascii="宋体" w:hAnsi="宋体" w:cs="宋体"/>
          <w:b/>
          <w:color w:val="auto"/>
          <w:szCs w:val="21"/>
          <w:highlight w:val="none"/>
        </w:rPr>
      </w:pPr>
    </w:p>
    <w:p>
      <w:pPr>
        <w:spacing w:beforeAutospacing="0" w:afterAutospacing="0" w:line="360" w:lineRule="auto"/>
        <w:rPr>
          <w:rFonts w:ascii="宋体" w:hAnsi="宋体" w:cs="宋体"/>
          <w:b/>
          <w:color w:val="auto"/>
          <w:szCs w:val="21"/>
          <w:highlight w:val="none"/>
        </w:rPr>
      </w:pPr>
    </w:p>
    <w:p>
      <w:pPr>
        <w:snapToGrid w:val="0"/>
        <w:spacing w:before="50" w:beforeAutospacing="0" w:after="50" w:afterAutospacing="0"/>
        <w:rPr>
          <w:rFonts w:ascii="宋体" w:hAnsi="宋体" w:cs="宋体"/>
          <w:b/>
          <w:color w:val="auto"/>
          <w:szCs w:val="21"/>
          <w:highlight w:val="none"/>
        </w:rPr>
      </w:pPr>
      <w:r>
        <w:rPr>
          <w:rFonts w:hint="eastAsia" w:ascii="宋体" w:hAnsi="宋体" w:cs="宋体"/>
          <w:b/>
          <w:color w:val="auto"/>
          <w:szCs w:val="21"/>
          <w:highlight w:val="none"/>
        </w:rPr>
        <w:t>附：授权代表身份证复印件（正反面）及开标日前近三个月内当地相关部门出具的社保证明。</w:t>
      </w:r>
    </w:p>
    <w:p>
      <w:pPr>
        <w:spacing w:beforeAutospacing="0" w:afterAutospacing="0" w:line="360" w:lineRule="auto"/>
        <w:rPr>
          <w:rFonts w:ascii="宋体" w:hAnsi="宋体" w:cs="宋体"/>
          <w:b/>
          <w:color w:val="auto"/>
          <w:szCs w:val="21"/>
          <w:highlight w:val="none"/>
        </w:rPr>
      </w:pPr>
    </w:p>
    <w:p>
      <w:pPr>
        <w:snapToGrid w:val="0"/>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（6）技术（服务）条款偏离表格式</w:t>
      </w:r>
    </w:p>
    <w:p>
      <w:pPr>
        <w:rPr>
          <w:rFonts w:ascii="宋体" w:hAnsi="宋体" w:cs="宋体"/>
          <w:color w:val="auto"/>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技术（服务）条款偏离表</w:t>
      </w:r>
    </w:p>
    <w:p>
      <w:pPr>
        <w:snapToGrid w:val="0"/>
        <w:spacing w:before="50" w:beforeAutospacing="0" w:afterAutospacing="0"/>
        <w:rPr>
          <w:rFonts w:ascii="宋体" w:hAnsi="宋体" w:cs="宋体"/>
          <w:color w:val="auto"/>
          <w:szCs w:val="21"/>
          <w:highlight w:val="none"/>
          <w:u w:val="single"/>
        </w:rPr>
      </w:pPr>
      <w:r>
        <w:rPr>
          <w:rFonts w:hint="eastAsia" w:ascii="宋体" w:hAnsi="宋体" w:cs="宋体"/>
          <w:color w:val="auto"/>
          <w:szCs w:val="21"/>
          <w:highlight w:val="none"/>
        </w:rPr>
        <w:t>采购编号：                   项目名称：                       标项号：</w:t>
      </w:r>
    </w:p>
    <w:tbl>
      <w:tblPr>
        <w:tblStyle w:val="46"/>
        <w:tblW w:w="84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条款号</w:t>
            </w:r>
          </w:p>
        </w:tc>
        <w:tc>
          <w:tcPr>
            <w:tcW w:w="4647"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招标文件的技术（服务）条款</w:t>
            </w:r>
          </w:p>
        </w:tc>
        <w:tc>
          <w:tcPr>
            <w:tcW w:w="1575"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投标文件的</w:t>
            </w:r>
          </w:p>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响应情况</w:t>
            </w:r>
          </w:p>
        </w:tc>
        <w:tc>
          <w:tcPr>
            <w:tcW w:w="1185"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bl>
    <w:p>
      <w:pPr>
        <w:snapToGrid w:val="0"/>
        <w:spacing w:before="50" w:beforeAutospacing="0" w:afterAutospacing="0"/>
        <w:rPr>
          <w:rFonts w:ascii="宋体" w:hAnsi="宋体" w:cs="宋体"/>
          <w:color w:val="auto"/>
          <w:szCs w:val="21"/>
          <w:highlight w:val="none"/>
        </w:rPr>
      </w:pPr>
    </w:p>
    <w:p>
      <w:pPr>
        <w:spacing w:beforeAutospacing="0" w:afterAutospacing="0" w:line="360" w:lineRule="auto"/>
        <w:ind w:firstLine="3675" w:firstLineChars="1750"/>
        <w:rPr>
          <w:rFonts w:ascii="宋体" w:hAnsi="宋体" w:cs="宋体"/>
          <w:color w:val="auto"/>
          <w:highlight w:val="none"/>
        </w:rPr>
      </w:pPr>
      <w:r>
        <w:rPr>
          <w:rFonts w:hint="eastAsia" w:ascii="宋体" w:hAnsi="宋体" w:cs="宋体"/>
          <w:color w:val="auto"/>
          <w:highlight w:val="none"/>
        </w:rPr>
        <w:t>供应商（盖章）</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 xml:space="preserve">             法定代表人或授权代表（签名或印章）：</w:t>
      </w:r>
    </w:p>
    <w:p>
      <w:pPr>
        <w:snapToGrid w:val="0"/>
        <w:rPr>
          <w:rFonts w:ascii="宋体" w:hAnsi="宋体" w:cs="宋体"/>
          <w:b/>
          <w:color w:val="auto"/>
          <w:szCs w:val="21"/>
          <w:highlight w:val="none"/>
        </w:rPr>
      </w:pPr>
      <w:r>
        <w:rPr>
          <w:rFonts w:hint="eastAsia" w:ascii="宋体" w:hAnsi="宋体" w:cs="宋体"/>
          <w:color w:val="auto"/>
          <w:highlight w:val="none"/>
        </w:rPr>
        <w:t xml:space="preserve">                                    日    期：</w:t>
      </w:r>
    </w:p>
    <w:p>
      <w:pPr>
        <w:snapToGrid w:val="0"/>
        <w:rPr>
          <w:rFonts w:ascii="宋体" w:hAnsi="宋体" w:cs="宋体"/>
          <w:b/>
          <w:color w:val="auto"/>
          <w:szCs w:val="21"/>
          <w:highlight w:val="none"/>
        </w:rPr>
      </w:pPr>
    </w:p>
    <w:p>
      <w:pPr>
        <w:snapToGrid w:val="0"/>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（7）供应商基本情况表格式</w:t>
      </w:r>
    </w:p>
    <w:p>
      <w:pPr>
        <w:jc w:val="center"/>
        <w:rPr>
          <w:rFonts w:ascii="宋体" w:hAnsi="宋体" w:cs="宋体"/>
          <w:b/>
          <w:color w:val="auto"/>
          <w:sz w:val="32"/>
          <w:szCs w:val="32"/>
          <w:highlight w:val="none"/>
        </w:rPr>
      </w:pPr>
      <w:bookmarkStart w:id="59" w:name="_Toc110393361"/>
      <w:bookmarkEnd w:id="59"/>
      <w:bookmarkStart w:id="60" w:name="_Toc479927873"/>
      <w:bookmarkEnd w:id="60"/>
      <w:bookmarkStart w:id="61" w:name="_Toc483379796"/>
      <w:bookmarkEnd w:id="61"/>
      <w:bookmarkStart w:id="62" w:name="_Toc488936100"/>
      <w:bookmarkEnd w:id="62"/>
      <w:bookmarkStart w:id="63" w:name="_Toc14746861"/>
      <w:bookmarkEnd w:id="63"/>
      <w:bookmarkStart w:id="64" w:name="_Toc225223761"/>
      <w:bookmarkEnd w:id="64"/>
      <w:r>
        <w:rPr>
          <w:rFonts w:hint="eastAsia" w:ascii="宋体" w:hAnsi="宋体" w:cs="宋体"/>
          <w:b/>
          <w:color w:val="auto"/>
          <w:sz w:val="32"/>
          <w:szCs w:val="32"/>
          <w:highlight w:val="none"/>
        </w:rPr>
        <w:t>供应商基本情况表</w:t>
      </w:r>
    </w:p>
    <w:tbl>
      <w:tblPr>
        <w:tblStyle w:val="46"/>
        <w:tblW w:w="821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单位名称</w:t>
            </w:r>
          </w:p>
        </w:tc>
        <w:tc>
          <w:tcPr>
            <w:tcW w:w="2499" w:type="dxa"/>
            <w:gridSpan w:val="3"/>
            <w:vAlign w:val="center"/>
          </w:tcPr>
          <w:p>
            <w:pPr>
              <w:spacing w:beforeAutospacing="0" w:afterAutospacing="0" w:line="360" w:lineRule="auto"/>
              <w:jc w:val="center"/>
              <w:rPr>
                <w:rFonts w:ascii="宋体" w:hAnsi="宋体" w:cs="宋体"/>
                <w:color w:val="auto"/>
                <w:szCs w:val="21"/>
                <w:highlight w:val="none"/>
              </w:rPr>
            </w:pPr>
          </w:p>
        </w:tc>
        <w:tc>
          <w:tcPr>
            <w:tcW w:w="2141"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组织机构代码</w:t>
            </w:r>
          </w:p>
        </w:tc>
        <w:tc>
          <w:tcPr>
            <w:tcW w:w="2100" w:type="dxa"/>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2499" w:type="dxa"/>
            <w:gridSpan w:val="3"/>
            <w:vAlign w:val="center"/>
          </w:tcPr>
          <w:p>
            <w:pPr>
              <w:spacing w:beforeAutospacing="0" w:afterAutospacing="0" w:line="360" w:lineRule="auto"/>
              <w:jc w:val="center"/>
              <w:rPr>
                <w:rFonts w:ascii="宋体" w:hAnsi="宋体" w:cs="宋体"/>
                <w:color w:val="auto"/>
                <w:szCs w:val="21"/>
                <w:highlight w:val="none"/>
              </w:rPr>
            </w:pPr>
          </w:p>
        </w:tc>
        <w:tc>
          <w:tcPr>
            <w:tcW w:w="2141"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注册登记号</w:t>
            </w:r>
          </w:p>
        </w:tc>
        <w:tc>
          <w:tcPr>
            <w:tcW w:w="2100" w:type="dxa"/>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经营地址</w:t>
            </w:r>
          </w:p>
        </w:tc>
        <w:tc>
          <w:tcPr>
            <w:tcW w:w="2499" w:type="dxa"/>
            <w:gridSpan w:val="3"/>
            <w:vAlign w:val="center"/>
          </w:tcPr>
          <w:p>
            <w:pPr>
              <w:spacing w:beforeAutospacing="0" w:afterAutospacing="0" w:line="360" w:lineRule="auto"/>
              <w:jc w:val="center"/>
              <w:rPr>
                <w:rFonts w:ascii="宋体" w:hAnsi="宋体" w:cs="宋体"/>
                <w:color w:val="auto"/>
                <w:szCs w:val="21"/>
                <w:highlight w:val="none"/>
              </w:rPr>
            </w:pPr>
          </w:p>
        </w:tc>
        <w:tc>
          <w:tcPr>
            <w:tcW w:w="2141" w:type="dxa"/>
            <w:vAlign w:val="center"/>
          </w:tcPr>
          <w:p>
            <w:pPr>
              <w:spacing w:beforeAutospacing="0" w:afterAutospacing="0" w:line="360" w:lineRule="auto"/>
              <w:jc w:val="center"/>
              <w:rPr>
                <w:rFonts w:ascii="宋体" w:hAnsi="宋体" w:cs="宋体"/>
                <w:color w:val="auto"/>
                <w:spacing w:val="30"/>
                <w:szCs w:val="21"/>
                <w:highlight w:val="none"/>
              </w:rPr>
            </w:pPr>
            <w:r>
              <w:rPr>
                <w:rFonts w:hint="eastAsia" w:ascii="宋体" w:hAnsi="宋体" w:cs="宋体"/>
                <w:color w:val="auto"/>
                <w:szCs w:val="21"/>
                <w:highlight w:val="none"/>
              </w:rPr>
              <w:t>税务登记证号</w:t>
            </w:r>
          </w:p>
        </w:tc>
        <w:tc>
          <w:tcPr>
            <w:tcW w:w="2100" w:type="dxa"/>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单位性质</w:t>
            </w:r>
          </w:p>
        </w:tc>
        <w:tc>
          <w:tcPr>
            <w:tcW w:w="2499" w:type="dxa"/>
            <w:gridSpan w:val="3"/>
            <w:vAlign w:val="center"/>
          </w:tcPr>
          <w:p>
            <w:pPr>
              <w:pStyle w:val="155"/>
              <w:widowControl w:val="0"/>
              <w:spacing w:before="0" w:beforeAutospacing="0" w:after="0" w:afterAutospacing="0" w:line="360" w:lineRule="auto"/>
              <w:ind w:left="2160" w:hanging="480"/>
              <w:rPr>
                <w:rFonts w:cs="宋体"/>
                <w:color w:val="auto"/>
                <w:kern w:val="2"/>
                <w:sz w:val="21"/>
                <w:szCs w:val="21"/>
                <w:highlight w:val="none"/>
              </w:rPr>
            </w:pPr>
          </w:p>
        </w:tc>
        <w:tc>
          <w:tcPr>
            <w:tcW w:w="2141" w:type="dxa"/>
            <w:vAlign w:val="center"/>
          </w:tcPr>
          <w:p>
            <w:pPr>
              <w:spacing w:beforeAutospacing="0" w:afterAutospacing="0" w:line="360" w:lineRule="auto"/>
              <w:jc w:val="center"/>
              <w:rPr>
                <w:rFonts w:ascii="宋体" w:hAnsi="宋体" w:cs="宋体"/>
                <w:color w:val="auto"/>
                <w:spacing w:val="34"/>
                <w:szCs w:val="21"/>
                <w:highlight w:val="none"/>
              </w:rPr>
            </w:pPr>
            <w:r>
              <w:rPr>
                <w:rFonts w:hint="eastAsia" w:ascii="宋体" w:hAnsi="宋体" w:cs="宋体"/>
                <w:color w:val="auto"/>
                <w:spacing w:val="34"/>
                <w:szCs w:val="21"/>
                <w:highlight w:val="none"/>
              </w:rPr>
              <w:t>注册资本</w:t>
            </w:r>
          </w:p>
        </w:tc>
        <w:tc>
          <w:tcPr>
            <w:tcW w:w="2100" w:type="dxa"/>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2499" w:type="dxa"/>
            <w:gridSpan w:val="3"/>
            <w:vAlign w:val="center"/>
          </w:tcPr>
          <w:p>
            <w:pPr>
              <w:spacing w:beforeAutospacing="0" w:afterAutospacing="0" w:line="360" w:lineRule="auto"/>
              <w:jc w:val="center"/>
              <w:rPr>
                <w:rFonts w:ascii="宋体" w:hAnsi="宋体" w:cs="宋体"/>
                <w:color w:val="auto"/>
                <w:szCs w:val="21"/>
                <w:highlight w:val="none"/>
              </w:rPr>
            </w:pPr>
          </w:p>
        </w:tc>
        <w:tc>
          <w:tcPr>
            <w:tcW w:w="2141"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营业期限</w:t>
            </w:r>
          </w:p>
        </w:tc>
        <w:tc>
          <w:tcPr>
            <w:tcW w:w="210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资质情况</w:t>
            </w:r>
          </w:p>
        </w:tc>
        <w:tc>
          <w:tcPr>
            <w:tcW w:w="6740" w:type="dxa"/>
            <w:gridSpan w:val="5"/>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员工数量</w:t>
            </w:r>
          </w:p>
        </w:tc>
        <w:tc>
          <w:tcPr>
            <w:tcW w:w="6740" w:type="dxa"/>
            <w:gridSpan w:val="5"/>
            <w:vAlign w:val="center"/>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共人，其中，高级职称人，中级职称人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联系电话</w:t>
            </w:r>
          </w:p>
        </w:tc>
        <w:tc>
          <w:tcPr>
            <w:tcW w:w="2499" w:type="dxa"/>
            <w:gridSpan w:val="3"/>
            <w:vAlign w:val="center"/>
          </w:tcPr>
          <w:p>
            <w:pPr>
              <w:spacing w:beforeAutospacing="0" w:afterAutospacing="0" w:line="360" w:lineRule="auto"/>
              <w:jc w:val="center"/>
              <w:rPr>
                <w:rFonts w:ascii="宋体" w:hAnsi="宋体" w:cs="宋体"/>
                <w:color w:val="auto"/>
                <w:szCs w:val="21"/>
                <w:highlight w:val="none"/>
              </w:rPr>
            </w:pPr>
          </w:p>
        </w:tc>
        <w:tc>
          <w:tcPr>
            <w:tcW w:w="2141"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100" w:type="dxa"/>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主要业绩</w:t>
            </w:r>
          </w:p>
        </w:tc>
        <w:tc>
          <w:tcPr>
            <w:tcW w:w="6740" w:type="dxa"/>
            <w:gridSpan w:val="5"/>
            <w:vAlign w:val="center"/>
          </w:tcPr>
          <w:p>
            <w:pPr>
              <w:spacing w:beforeAutospacing="0" w:afterAutospacing="0" w:line="360" w:lineRule="auto"/>
              <w:rPr>
                <w:rFonts w:ascii="宋体" w:hAnsi="宋体" w:cs="宋体"/>
                <w:color w:val="auto"/>
                <w:szCs w:val="21"/>
                <w:highlight w:val="none"/>
              </w:rPr>
            </w:pPr>
          </w:p>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2499" w:type="dxa"/>
            <w:gridSpan w:val="3"/>
            <w:vAlign w:val="center"/>
          </w:tcPr>
          <w:p>
            <w:pPr>
              <w:spacing w:beforeAutospacing="0" w:afterAutospacing="0" w:line="360" w:lineRule="auto"/>
              <w:jc w:val="center"/>
              <w:rPr>
                <w:rFonts w:ascii="宋体" w:hAnsi="宋体" w:cs="宋体"/>
                <w:color w:val="auto"/>
                <w:szCs w:val="21"/>
                <w:highlight w:val="none"/>
              </w:rPr>
            </w:pPr>
          </w:p>
        </w:tc>
        <w:tc>
          <w:tcPr>
            <w:tcW w:w="2141"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2100" w:type="dxa"/>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职  务</w:t>
            </w:r>
          </w:p>
        </w:tc>
        <w:tc>
          <w:tcPr>
            <w:tcW w:w="835" w:type="dxa"/>
            <w:vAlign w:val="center"/>
          </w:tcPr>
          <w:p>
            <w:pPr>
              <w:spacing w:beforeAutospacing="0" w:afterAutospacing="0" w:line="360" w:lineRule="auto"/>
              <w:jc w:val="center"/>
              <w:rPr>
                <w:rFonts w:ascii="宋体" w:hAnsi="宋体" w:cs="宋体"/>
                <w:color w:val="auto"/>
                <w:szCs w:val="21"/>
                <w:highlight w:val="none"/>
              </w:rPr>
            </w:pPr>
          </w:p>
        </w:tc>
        <w:tc>
          <w:tcPr>
            <w:tcW w:w="969"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695" w:type="dxa"/>
            <w:vAlign w:val="center"/>
          </w:tcPr>
          <w:p>
            <w:pPr>
              <w:spacing w:beforeAutospacing="0" w:afterAutospacing="0" w:line="360" w:lineRule="auto"/>
              <w:jc w:val="center"/>
              <w:rPr>
                <w:rFonts w:ascii="宋体" w:hAnsi="宋体" w:cs="宋体"/>
                <w:color w:val="auto"/>
                <w:szCs w:val="21"/>
                <w:highlight w:val="none"/>
              </w:rPr>
            </w:pPr>
          </w:p>
        </w:tc>
        <w:tc>
          <w:tcPr>
            <w:tcW w:w="2141"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2100" w:type="dxa"/>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备注:</w:t>
            </w:r>
          </w:p>
        </w:tc>
      </w:tr>
    </w:tbl>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兹证明上述声明是真实、正确的，并提供了全部能提供的资料和数据，我们同意遵照贵方要求出示有关证明文件。</w:t>
      </w:r>
    </w:p>
    <w:p>
      <w:pPr>
        <w:spacing w:beforeAutospacing="0" w:afterAutospacing="0" w:line="360" w:lineRule="auto"/>
        <w:rPr>
          <w:rFonts w:ascii="宋体" w:hAnsi="宋体" w:cs="宋体"/>
          <w:b/>
          <w:color w:val="auto"/>
          <w:highlight w:val="none"/>
        </w:rPr>
      </w:pPr>
    </w:p>
    <w:p>
      <w:pPr>
        <w:rPr>
          <w:rFonts w:ascii="宋体" w:hAnsi="宋体" w:cs="宋体"/>
          <w:color w:val="auto"/>
          <w:highlight w:val="none"/>
        </w:rPr>
      </w:pPr>
    </w:p>
    <w:p>
      <w:pPr>
        <w:spacing w:beforeAutospacing="0" w:afterAutospacing="0" w:line="360" w:lineRule="auto"/>
        <w:ind w:firstLine="3675" w:firstLineChars="1750"/>
        <w:rPr>
          <w:rFonts w:ascii="宋体" w:hAnsi="宋体" w:cs="宋体"/>
          <w:color w:val="auto"/>
          <w:highlight w:val="none"/>
        </w:rPr>
      </w:pPr>
      <w:r>
        <w:rPr>
          <w:rFonts w:hint="eastAsia" w:ascii="宋体" w:hAnsi="宋体" w:cs="宋体"/>
          <w:color w:val="auto"/>
          <w:highlight w:val="none"/>
        </w:rPr>
        <w:t>供应商（盖章）</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 xml:space="preserve">             法定代表人或授权代表（签名或印章）：</w:t>
      </w:r>
    </w:p>
    <w:p>
      <w:pPr>
        <w:snapToGrid w:val="0"/>
        <w:rPr>
          <w:rFonts w:ascii="宋体" w:hAnsi="宋体" w:cs="宋体"/>
          <w:b/>
          <w:color w:val="auto"/>
          <w:szCs w:val="21"/>
          <w:highlight w:val="none"/>
        </w:rPr>
      </w:pPr>
      <w:r>
        <w:rPr>
          <w:rFonts w:hint="eastAsia" w:ascii="宋体" w:hAnsi="宋体" w:cs="宋体"/>
          <w:color w:val="auto"/>
          <w:highlight w:val="none"/>
        </w:rPr>
        <w:t xml:space="preserve">                                    日    期：</w:t>
      </w:r>
    </w:p>
    <w:p>
      <w:pPr>
        <w:snapToGrid w:val="0"/>
        <w:rPr>
          <w:rFonts w:ascii="宋体" w:hAnsi="宋体" w:cs="宋体"/>
          <w:b/>
          <w:color w:val="auto"/>
          <w:szCs w:val="21"/>
          <w:highlight w:val="none"/>
        </w:rPr>
      </w:pPr>
    </w:p>
    <w:p>
      <w:pPr>
        <w:snapToGrid w:val="0"/>
        <w:rPr>
          <w:rFonts w:ascii="宋体" w:hAnsi="宋体" w:cs="宋体"/>
          <w:b/>
          <w:color w:val="auto"/>
          <w:szCs w:val="21"/>
          <w:highlight w:val="none"/>
        </w:rPr>
      </w:pPr>
      <w:r>
        <w:rPr>
          <w:rFonts w:hint="eastAsia" w:ascii="宋体" w:hAnsi="宋体" w:cs="宋体"/>
          <w:b/>
          <w:color w:val="auto"/>
          <w:szCs w:val="21"/>
          <w:highlight w:val="none"/>
        </w:rPr>
        <w:t>注：联合体投标的，联合体各方均须提供。</w:t>
      </w:r>
    </w:p>
    <w:p>
      <w:pPr>
        <w:snapToGrid w:val="0"/>
        <w:rPr>
          <w:rFonts w:ascii="宋体" w:hAnsi="宋体" w:cs="宋体"/>
          <w:color w:val="auto"/>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(8)本项目负责人简历表格式</w:t>
      </w:r>
    </w:p>
    <w:p>
      <w:pPr>
        <w:spacing w:beforeAutospacing="0" w:afterAutospacing="0" w:line="360" w:lineRule="auto"/>
        <w:ind w:right="25" w:rightChars="12"/>
        <w:jc w:val="center"/>
        <w:rPr>
          <w:rFonts w:ascii="宋体" w:hAnsi="宋体" w:cs="宋体"/>
          <w:b/>
          <w:color w:val="auto"/>
          <w:sz w:val="28"/>
          <w:szCs w:val="28"/>
          <w:highlight w:val="none"/>
        </w:rPr>
      </w:pPr>
      <w:r>
        <w:rPr>
          <w:rFonts w:hint="eastAsia" w:ascii="宋体" w:hAnsi="宋体" w:cs="宋体"/>
          <w:b/>
          <w:color w:val="auto"/>
          <w:sz w:val="28"/>
          <w:szCs w:val="28"/>
          <w:highlight w:val="none"/>
        </w:rPr>
        <w:t>本项目负责人简历表</w:t>
      </w:r>
    </w:p>
    <w:p>
      <w:pPr>
        <w:rPr>
          <w:rFonts w:ascii="宋体" w:hAnsi="宋体" w:cs="宋体"/>
          <w:color w:val="auto"/>
          <w:highlight w:val="none"/>
        </w:rPr>
      </w:pPr>
      <w:r>
        <w:rPr>
          <w:rFonts w:hint="eastAsia" w:ascii="宋体" w:hAnsi="宋体" w:cs="宋体"/>
          <w:color w:val="auto"/>
          <w:highlight w:val="none"/>
        </w:rPr>
        <w:t>采购项目：</w:t>
      </w:r>
    </w:p>
    <w:p>
      <w:pPr>
        <w:rPr>
          <w:rFonts w:ascii="宋体" w:hAnsi="宋体" w:cs="宋体"/>
          <w:color w:val="auto"/>
          <w:highlight w:val="none"/>
        </w:rPr>
      </w:pPr>
      <w:r>
        <w:rPr>
          <w:rFonts w:hint="eastAsia" w:ascii="宋体" w:hAnsi="宋体" w:cs="宋体"/>
          <w:color w:val="auto"/>
          <w:highlight w:val="none"/>
        </w:rPr>
        <w:t>项目编号：</w:t>
      </w:r>
    </w:p>
    <w:p>
      <w:pPr>
        <w:autoSpaceDN w:val="0"/>
        <w:spacing w:beforeAutospacing="0" w:afterAutospacing="0" w:line="360" w:lineRule="auto"/>
        <w:jc w:val="left"/>
        <w:rPr>
          <w:rFonts w:ascii="宋体" w:hAnsi="宋体" w:cs="宋体"/>
          <w:color w:val="auto"/>
          <w:szCs w:val="21"/>
          <w:highlight w:val="none"/>
        </w:rPr>
      </w:pPr>
      <w:r>
        <w:rPr>
          <w:rFonts w:hint="eastAsia" w:ascii="宋体" w:hAnsi="宋体" w:cs="宋体"/>
          <w:color w:val="auto"/>
          <w:highlight w:val="none"/>
        </w:rPr>
        <w:t>标项号：</w:t>
      </w:r>
    </w:p>
    <w:tbl>
      <w:tblPr>
        <w:tblStyle w:val="46"/>
        <w:tblW w:w="8925"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785"/>
        <w:gridCol w:w="1575"/>
        <w:gridCol w:w="630"/>
        <w:gridCol w:w="1184"/>
        <w:gridCol w:w="1021"/>
        <w:gridCol w:w="522"/>
        <w:gridCol w:w="220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性    别</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资质等级</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年    龄</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参加工作时间</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从事项目经理年限</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8925" w:type="dxa"/>
            <w:gridSpan w:val="7"/>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已完成及正在实施类似项目情况</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业主单位</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合同金额（万元）</w:t>
            </w: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合同履行期限</w:t>
            </w: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承接项目质量</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1215" w:hRule="atLeast"/>
          <w:jc w:val="center"/>
        </w:trPr>
        <w:tc>
          <w:tcPr>
            <w:tcW w:w="1785" w:type="dxa"/>
            <w:tcBorders>
              <w:top w:val="single" w:color="000000" w:sz="4" w:space="0"/>
              <w:left w:val="single" w:color="000000" w:sz="4" w:space="0"/>
              <w:bottom w:val="single" w:color="000000" w:sz="4" w:space="0"/>
              <w:right w:val="nil"/>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7140"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bl>
    <w:p>
      <w:pPr>
        <w:rPr>
          <w:rFonts w:ascii="宋体" w:hAnsi="宋体" w:cs="宋体"/>
          <w:color w:val="auto"/>
          <w:highlight w:val="none"/>
        </w:rPr>
      </w:pP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供应商（盖章）</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法定代表人或授权代表（签名或印章）：</w:t>
      </w:r>
    </w:p>
    <w:p>
      <w:pPr>
        <w:snapToGrid w:val="0"/>
        <w:rPr>
          <w:rFonts w:ascii="宋体" w:hAnsi="宋体" w:cs="宋体"/>
          <w:color w:val="auto"/>
          <w:highlight w:val="none"/>
        </w:rPr>
      </w:pPr>
      <w:r>
        <w:rPr>
          <w:rFonts w:hint="eastAsia" w:ascii="宋体" w:hAnsi="宋体" w:cs="宋体"/>
          <w:color w:val="auto"/>
          <w:highlight w:val="none"/>
        </w:rPr>
        <w:t>日    期：</w:t>
      </w:r>
    </w:p>
    <w:p>
      <w:pPr>
        <w:snapToGrid w:val="0"/>
        <w:rPr>
          <w:rFonts w:ascii="宋体" w:hAnsi="宋体" w:cs="宋体"/>
          <w:color w:val="auto"/>
          <w:highlight w:val="none"/>
        </w:rPr>
      </w:pPr>
    </w:p>
    <w:p>
      <w:pPr>
        <w:snapToGrid w:val="0"/>
        <w:rPr>
          <w:rFonts w:ascii="宋体" w:hAnsi="宋体" w:cs="宋体"/>
          <w:color w:val="auto"/>
          <w:highlight w:val="none"/>
        </w:rPr>
      </w:pPr>
    </w:p>
    <w:p>
      <w:pPr>
        <w:snapToGrid w:val="0"/>
        <w:rPr>
          <w:rFonts w:ascii="宋体" w:hAnsi="宋体" w:cs="宋体"/>
          <w:b/>
          <w:color w:val="auto"/>
          <w:szCs w:val="21"/>
          <w:highlight w:val="none"/>
        </w:rPr>
      </w:pPr>
      <w:r>
        <w:rPr>
          <w:rFonts w:hint="eastAsia" w:ascii="宋体" w:hAnsi="宋体" w:cs="宋体"/>
          <w:color w:val="auto"/>
          <w:highlight w:val="none"/>
        </w:rPr>
        <w:br w:type="page"/>
      </w:r>
      <w:r>
        <w:rPr>
          <w:rFonts w:hint="eastAsia" w:ascii="宋体" w:hAnsi="宋体" w:cs="宋体"/>
          <w:b/>
          <w:color w:val="auto"/>
          <w:szCs w:val="21"/>
          <w:highlight w:val="none"/>
        </w:rPr>
        <w:t xml:space="preserve"> (9)本项目组人员配备情况表格式</w:t>
      </w:r>
    </w:p>
    <w:p>
      <w:pPr>
        <w:spacing w:beforeAutospacing="0" w:afterAutospacing="0" w:line="360" w:lineRule="auto"/>
        <w:ind w:right="25" w:rightChars="12"/>
        <w:jc w:val="center"/>
        <w:rPr>
          <w:rFonts w:ascii="宋体" w:hAnsi="宋体" w:cs="宋体"/>
          <w:b/>
          <w:color w:val="auto"/>
          <w:sz w:val="28"/>
          <w:szCs w:val="28"/>
          <w:highlight w:val="none"/>
        </w:rPr>
      </w:pPr>
      <w:r>
        <w:rPr>
          <w:rFonts w:hint="eastAsia" w:ascii="宋体" w:hAnsi="宋体" w:cs="宋体"/>
          <w:b/>
          <w:color w:val="auto"/>
          <w:sz w:val="28"/>
          <w:szCs w:val="28"/>
          <w:highlight w:val="none"/>
        </w:rPr>
        <w:t>本项目组人员配备情况表</w:t>
      </w:r>
    </w:p>
    <w:p>
      <w:pPr>
        <w:rPr>
          <w:rFonts w:ascii="宋体" w:hAnsi="宋体" w:cs="宋体"/>
          <w:color w:val="auto"/>
          <w:highlight w:val="none"/>
        </w:rPr>
      </w:pPr>
      <w:r>
        <w:rPr>
          <w:rFonts w:hint="eastAsia" w:ascii="宋体" w:hAnsi="宋体" w:cs="宋体"/>
          <w:color w:val="auto"/>
          <w:highlight w:val="none"/>
        </w:rPr>
        <w:t>采购项目：</w:t>
      </w:r>
    </w:p>
    <w:p>
      <w:pPr>
        <w:rPr>
          <w:rFonts w:ascii="宋体" w:hAnsi="宋体" w:cs="宋体"/>
          <w:color w:val="auto"/>
          <w:highlight w:val="none"/>
        </w:rPr>
      </w:pPr>
      <w:r>
        <w:rPr>
          <w:rFonts w:hint="eastAsia" w:ascii="宋体" w:hAnsi="宋体" w:cs="宋体"/>
          <w:color w:val="auto"/>
          <w:highlight w:val="none"/>
        </w:rPr>
        <w:t>项目编号：</w:t>
      </w:r>
    </w:p>
    <w:p>
      <w:pPr>
        <w:rPr>
          <w:rFonts w:ascii="宋体" w:hAnsi="宋体" w:cs="宋体"/>
          <w:color w:val="auto"/>
          <w:highlight w:val="none"/>
        </w:rPr>
      </w:pPr>
      <w:r>
        <w:rPr>
          <w:rFonts w:hint="eastAsia" w:ascii="宋体" w:hAnsi="宋体" w:cs="宋体"/>
          <w:color w:val="auto"/>
          <w:highlight w:val="none"/>
        </w:rPr>
        <w:t>标项号：</w:t>
      </w:r>
    </w:p>
    <w:tbl>
      <w:tblPr>
        <w:tblStyle w:val="46"/>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34"/>
        <w:gridCol w:w="1134"/>
        <w:gridCol w:w="1966"/>
        <w:gridCol w:w="2226"/>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性别</w:t>
            </w:r>
          </w:p>
        </w:tc>
        <w:tc>
          <w:tcPr>
            <w:tcW w:w="196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出生年月</w:t>
            </w:r>
          </w:p>
        </w:tc>
        <w:tc>
          <w:tcPr>
            <w:tcW w:w="222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参加本单位工作时间</w:t>
            </w:r>
          </w:p>
        </w:tc>
        <w:tc>
          <w:tcPr>
            <w:tcW w:w="113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bl>
    <w:p>
      <w:pPr>
        <w:spacing w:beforeAutospacing="0" w:afterAutospacing="0" w:line="360" w:lineRule="auto"/>
        <w:ind w:right="25" w:rightChars="12"/>
        <w:rPr>
          <w:rFonts w:ascii="宋体" w:hAnsi="宋体" w:cs="宋体"/>
          <w:color w:val="auto"/>
          <w:szCs w:val="21"/>
          <w:highlight w:val="none"/>
        </w:rPr>
      </w:pP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供应商（盖章）</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法定代表人或授权代表（签名或印章）：</w:t>
      </w:r>
    </w:p>
    <w:p>
      <w:pPr>
        <w:snapToGrid w:val="0"/>
        <w:rPr>
          <w:rFonts w:ascii="宋体" w:hAnsi="宋体" w:cs="宋体"/>
          <w:color w:val="auto"/>
          <w:highlight w:val="none"/>
        </w:rPr>
      </w:pPr>
      <w:r>
        <w:rPr>
          <w:rFonts w:hint="eastAsia" w:ascii="宋体" w:hAnsi="宋体" w:cs="宋体"/>
          <w:color w:val="auto"/>
          <w:highlight w:val="none"/>
        </w:rPr>
        <w:t>日    期：</w:t>
      </w:r>
    </w:p>
    <w:p>
      <w:pPr>
        <w:snapToGrid w:val="0"/>
        <w:rPr>
          <w:rFonts w:ascii="宋体" w:hAnsi="宋体" w:cs="宋体"/>
          <w:b/>
          <w:color w:val="auto"/>
          <w:szCs w:val="21"/>
          <w:highlight w:val="none"/>
        </w:rPr>
      </w:pPr>
    </w:p>
    <w:p>
      <w:pPr>
        <w:snapToGrid w:val="0"/>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（10）同类业绩情况一览表格式</w:t>
      </w:r>
    </w:p>
    <w:p>
      <w:pPr>
        <w:jc w:val="center"/>
        <w:rPr>
          <w:rFonts w:ascii="宋体" w:hAnsi="宋体" w:cs="宋体"/>
          <w:b/>
          <w:color w:val="auto"/>
          <w:szCs w:val="21"/>
          <w:highlight w:val="none"/>
        </w:rPr>
      </w:pPr>
    </w:p>
    <w:p>
      <w:pPr>
        <w:spacing w:beforeAutospacing="0" w:afterAutospacing="0" w:line="360" w:lineRule="auto"/>
        <w:ind w:right="25" w:rightChars="12"/>
        <w:jc w:val="center"/>
        <w:rPr>
          <w:rFonts w:ascii="宋体" w:hAnsi="宋体" w:cs="宋体"/>
          <w:b/>
          <w:color w:val="auto"/>
          <w:sz w:val="28"/>
          <w:szCs w:val="28"/>
          <w:highlight w:val="none"/>
          <w:lang w:val="zh-CN"/>
        </w:rPr>
      </w:pPr>
      <w:r>
        <w:rPr>
          <w:rFonts w:hint="eastAsia" w:ascii="宋体" w:hAnsi="宋体" w:cs="宋体"/>
          <w:b/>
          <w:color w:val="auto"/>
          <w:sz w:val="28"/>
          <w:szCs w:val="28"/>
          <w:highlight w:val="none"/>
        </w:rPr>
        <w:t>同类业绩情况一览表</w:t>
      </w:r>
    </w:p>
    <w:p>
      <w:pPr>
        <w:ind w:right="25" w:rightChars="12"/>
        <w:rPr>
          <w:rFonts w:ascii="宋体" w:hAnsi="宋体" w:cs="宋体"/>
          <w:color w:val="auto"/>
          <w:highlight w:val="none"/>
        </w:rPr>
      </w:pPr>
      <w:r>
        <w:rPr>
          <w:rFonts w:hint="eastAsia" w:ascii="宋体" w:hAnsi="宋体" w:cs="宋体"/>
          <w:color w:val="auto"/>
          <w:highlight w:val="none"/>
          <w:lang w:val="zh-CN"/>
        </w:rPr>
        <w:t>采购项目： 项目编号</w:t>
      </w:r>
      <w:r>
        <w:rPr>
          <w:rFonts w:hint="eastAsia" w:ascii="宋体" w:hAnsi="宋体" w:cs="宋体"/>
          <w:color w:val="auto"/>
          <w:highlight w:val="none"/>
          <w:u w:val="single"/>
          <w:lang w:val="zh-CN"/>
        </w:rPr>
        <w:t xml:space="preserve">：             </w:t>
      </w:r>
      <w:r>
        <w:rPr>
          <w:rFonts w:hint="eastAsia" w:ascii="宋体" w:hAnsi="宋体" w:cs="宋体"/>
          <w:color w:val="auto"/>
          <w:spacing w:val="-4"/>
          <w:highlight w:val="none"/>
        </w:rPr>
        <w:t>标项号：</w:t>
      </w:r>
    </w:p>
    <w:tbl>
      <w:tblPr>
        <w:tblStyle w:val="46"/>
        <w:tblW w:w="90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vAlign w:val="center"/>
          </w:tcPr>
          <w:p>
            <w:pPr>
              <w:spacing w:beforeAutospacing="0" w:afterAutospacing="0" w:line="400" w:lineRule="exact"/>
              <w:ind w:right="23" w:rightChars="11"/>
              <w:jc w:val="center"/>
              <w:rPr>
                <w:rFonts w:ascii="宋体" w:hAnsi="宋体" w:cs="宋体"/>
                <w:color w:val="auto"/>
                <w:highlight w:val="none"/>
              </w:rPr>
            </w:pPr>
            <w:r>
              <w:rPr>
                <w:rFonts w:hint="eastAsia" w:ascii="宋体" w:hAnsi="宋体" w:cs="宋体"/>
                <w:color w:val="auto"/>
                <w:highlight w:val="none"/>
              </w:rPr>
              <w:t>序号</w:t>
            </w:r>
          </w:p>
        </w:tc>
        <w:tc>
          <w:tcPr>
            <w:tcW w:w="1246" w:type="dxa"/>
            <w:vAlign w:val="center"/>
          </w:tcPr>
          <w:p>
            <w:pPr>
              <w:spacing w:beforeAutospacing="0" w:afterAutospacing="0" w:line="400" w:lineRule="exact"/>
              <w:ind w:right="23" w:rightChars="11"/>
              <w:jc w:val="center"/>
              <w:rPr>
                <w:rFonts w:ascii="宋体" w:hAnsi="宋体" w:cs="宋体"/>
                <w:color w:val="auto"/>
                <w:highlight w:val="none"/>
              </w:rPr>
            </w:pPr>
            <w:r>
              <w:rPr>
                <w:rFonts w:hint="eastAsia" w:ascii="宋体" w:hAnsi="宋体" w:cs="宋体"/>
                <w:color w:val="auto"/>
                <w:highlight w:val="none"/>
              </w:rPr>
              <w:t>业主单位</w:t>
            </w:r>
          </w:p>
        </w:tc>
        <w:tc>
          <w:tcPr>
            <w:tcW w:w="1607" w:type="dxa"/>
            <w:vAlign w:val="center"/>
          </w:tcPr>
          <w:p>
            <w:pPr>
              <w:spacing w:beforeAutospacing="0" w:afterAutospacing="0" w:line="400" w:lineRule="exact"/>
              <w:ind w:right="23" w:rightChars="11"/>
              <w:jc w:val="center"/>
              <w:rPr>
                <w:rFonts w:ascii="宋体" w:hAnsi="宋体" w:cs="宋体"/>
                <w:color w:val="auto"/>
                <w:highlight w:val="none"/>
              </w:rPr>
            </w:pPr>
            <w:r>
              <w:rPr>
                <w:rFonts w:hint="eastAsia" w:ascii="宋体" w:hAnsi="宋体" w:cs="宋体"/>
                <w:color w:val="auto"/>
                <w:highlight w:val="none"/>
              </w:rPr>
              <w:t>项目名称</w:t>
            </w:r>
          </w:p>
        </w:tc>
        <w:tc>
          <w:tcPr>
            <w:tcW w:w="1291" w:type="dxa"/>
            <w:vAlign w:val="center"/>
          </w:tcPr>
          <w:p>
            <w:pPr>
              <w:spacing w:beforeAutospacing="0" w:afterAutospacing="0" w:line="400" w:lineRule="exact"/>
              <w:ind w:right="23" w:rightChars="11"/>
              <w:jc w:val="center"/>
              <w:rPr>
                <w:rFonts w:ascii="宋体" w:hAnsi="宋体" w:cs="宋体"/>
                <w:color w:val="auto"/>
                <w:highlight w:val="none"/>
              </w:rPr>
            </w:pPr>
            <w:r>
              <w:rPr>
                <w:rFonts w:hint="eastAsia" w:ascii="宋体" w:hAnsi="宋体" w:cs="宋体"/>
                <w:color w:val="auto"/>
                <w:highlight w:val="none"/>
              </w:rPr>
              <w:t>服务地点</w:t>
            </w:r>
          </w:p>
        </w:tc>
        <w:tc>
          <w:tcPr>
            <w:tcW w:w="1216" w:type="dxa"/>
            <w:vAlign w:val="center"/>
          </w:tcPr>
          <w:p>
            <w:pPr>
              <w:spacing w:beforeAutospacing="0" w:afterAutospacing="0" w:line="400" w:lineRule="exact"/>
              <w:ind w:right="23" w:rightChars="11"/>
              <w:jc w:val="center"/>
              <w:rPr>
                <w:rFonts w:ascii="宋体" w:hAnsi="宋体" w:cs="宋体"/>
                <w:color w:val="auto"/>
                <w:highlight w:val="none"/>
              </w:rPr>
            </w:pPr>
            <w:r>
              <w:rPr>
                <w:rFonts w:hint="eastAsia" w:ascii="宋体" w:hAnsi="宋体" w:cs="宋体"/>
                <w:color w:val="auto"/>
                <w:highlight w:val="none"/>
              </w:rPr>
              <w:t>合同履行期限</w:t>
            </w:r>
          </w:p>
        </w:tc>
        <w:tc>
          <w:tcPr>
            <w:tcW w:w="1216" w:type="dxa"/>
            <w:vAlign w:val="center"/>
          </w:tcPr>
          <w:p>
            <w:pPr>
              <w:spacing w:beforeAutospacing="0" w:afterAutospacing="0" w:line="400" w:lineRule="exact"/>
              <w:ind w:right="23" w:rightChars="11"/>
              <w:jc w:val="center"/>
              <w:rPr>
                <w:rFonts w:ascii="宋体" w:hAnsi="宋体" w:cs="宋体"/>
                <w:color w:val="auto"/>
                <w:highlight w:val="none"/>
              </w:rPr>
            </w:pPr>
            <w:r>
              <w:rPr>
                <w:rFonts w:hint="eastAsia" w:ascii="宋体" w:hAnsi="宋体" w:cs="宋体"/>
                <w:color w:val="auto"/>
                <w:highlight w:val="none"/>
              </w:rPr>
              <w:t>合同价格（元）</w:t>
            </w:r>
          </w:p>
        </w:tc>
        <w:tc>
          <w:tcPr>
            <w:tcW w:w="1697" w:type="dxa"/>
            <w:vAlign w:val="center"/>
          </w:tcPr>
          <w:p>
            <w:pPr>
              <w:spacing w:beforeAutospacing="0" w:afterAutospacing="0" w:line="400" w:lineRule="exact"/>
              <w:ind w:right="23" w:rightChars="11"/>
              <w:jc w:val="center"/>
              <w:rPr>
                <w:rFonts w:ascii="宋体" w:hAnsi="宋体" w:cs="宋体"/>
                <w:color w:val="auto"/>
                <w:highlight w:val="none"/>
              </w:rPr>
            </w:pPr>
            <w:r>
              <w:rPr>
                <w:rFonts w:hint="eastAsia" w:ascii="宋体" w:hAnsi="宋体" w:cs="宋体"/>
                <w:color w:val="auto"/>
                <w:highlight w:val="none"/>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beforeAutospacing="0" w:afterAutospacing="0" w:line="400" w:lineRule="exact"/>
              <w:ind w:right="25" w:rightChars="12"/>
              <w:jc w:val="center"/>
              <w:rPr>
                <w:rFonts w:ascii="宋体" w:hAnsi="宋体" w:cs="宋体"/>
                <w:color w:val="auto"/>
                <w:highlight w:val="none"/>
              </w:rPr>
            </w:pPr>
            <w:r>
              <w:rPr>
                <w:rFonts w:hint="eastAsia" w:ascii="宋体" w:hAnsi="宋体" w:cs="宋体"/>
                <w:color w:val="auto"/>
                <w:highlight w:val="none"/>
              </w:rPr>
              <w:t>1</w:t>
            </w:r>
          </w:p>
        </w:tc>
        <w:tc>
          <w:tcPr>
            <w:tcW w:w="1246" w:type="dxa"/>
          </w:tcPr>
          <w:p>
            <w:pPr>
              <w:spacing w:beforeAutospacing="0" w:afterAutospacing="0" w:line="400" w:lineRule="exact"/>
              <w:ind w:right="25" w:rightChars="12"/>
              <w:jc w:val="center"/>
              <w:rPr>
                <w:rFonts w:ascii="宋体" w:hAnsi="宋体" w:cs="宋体"/>
                <w:b/>
                <w:color w:val="auto"/>
                <w:highlight w:val="none"/>
              </w:rPr>
            </w:pPr>
          </w:p>
        </w:tc>
        <w:tc>
          <w:tcPr>
            <w:tcW w:w="1607" w:type="dxa"/>
          </w:tcPr>
          <w:p>
            <w:pPr>
              <w:spacing w:beforeAutospacing="0" w:afterAutospacing="0" w:line="400" w:lineRule="exact"/>
              <w:ind w:right="25" w:rightChars="12"/>
              <w:jc w:val="center"/>
              <w:rPr>
                <w:rFonts w:ascii="宋体" w:hAnsi="宋体" w:cs="宋体"/>
                <w:b/>
                <w:color w:val="auto"/>
                <w:highlight w:val="none"/>
              </w:rPr>
            </w:pPr>
          </w:p>
        </w:tc>
        <w:tc>
          <w:tcPr>
            <w:tcW w:w="1291"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697" w:type="dxa"/>
          </w:tcPr>
          <w:p>
            <w:pPr>
              <w:spacing w:beforeAutospacing="0" w:afterAutospacing="0" w:line="400" w:lineRule="exact"/>
              <w:ind w:right="25" w:rightChars="12"/>
              <w:jc w:val="center"/>
              <w:rPr>
                <w:rFonts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beforeAutospacing="0" w:afterAutospacing="0" w:line="400" w:lineRule="exact"/>
              <w:ind w:right="25" w:rightChars="12"/>
              <w:jc w:val="center"/>
              <w:rPr>
                <w:rFonts w:ascii="宋体" w:hAnsi="宋体" w:cs="宋体"/>
                <w:color w:val="auto"/>
                <w:highlight w:val="none"/>
              </w:rPr>
            </w:pPr>
            <w:r>
              <w:rPr>
                <w:rFonts w:hint="eastAsia" w:ascii="宋体" w:hAnsi="宋体" w:cs="宋体"/>
                <w:color w:val="auto"/>
                <w:highlight w:val="none"/>
              </w:rPr>
              <w:t>2</w:t>
            </w:r>
          </w:p>
        </w:tc>
        <w:tc>
          <w:tcPr>
            <w:tcW w:w="1246" w:type="dxa"/>
          </w:tcPr>
          <w:p>
            <w:pPr>
              <w:spacing w:beforeAutospacing="0" w:afterAutospacing="0" w:line="400" w:lineRule="exact"/>
              <w:ind w:right="25" w:rightChars="12"/>
              <w:jc w:val="center"/>
              <w:rPr>
                <w:rFonts w:ascii="宋体" w:hAnsi="宋体" w:cs="宋体"/>
                <w:b/>
                <w:color w:val="auto"/>
                <w:highlight w:val="none"/>
              </w:rPr>
            </w:pPr>
          </w:p>
        </w:tc>
        <w:tc>
          <w:tcPr>
            <w:tcW w:w="1607" w:type="dxa"/>
          </w:tcPr>
          <w:p>
            <w:pPr>
              <w:spacing w:beforeAutospacing="0" w:afterAutospacing="0" w:line="400" w:lineRule="exact"/>
              <w:ind w:right="25" w:rightChars="12"/>
              <w:jc w:val="center"/>
              <w:rPr>
                <w:rFonts w:ascii="宋体" w:hAnsi="宋体" w:cs="宋体"/>
                <w:b/>
                <w:color w:val="auto"/>
                <w:highlight w:val="none"/>
              </w:rPr>
            </w:pPr>
          </w:p>
        </w:tc>
        <w:tc>
          <w:tcPr>
            <w:tcW w:w="1291"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697" w:type="dxa"/>
          </w:tcPr>
          <w:p>
            <w:pPr>
              <w:spacing w:beforeAutospacing="0" w:afterAutospacing="0" w:line="400" w:lineRule="exact"/>
              <w:ind w:right="25" w:rightChars="12"/>
              <w:jc w:val="center"/>
              <w:rPr>
                <w:rFonts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beforeAutospacing="0" w:afterAutospacing="0" w:line="400" w:lineRule="exact"/>
              <w:ind w:right="25" w:rightChars="12"/>
              <w:jc w:val="center"/>
              <w:rPr>
                <w:rFonts w:ascii="宋体" w:hAnsi="宋体" w:cs="宋体"/>
                <w:color w:val="auto"/>
                <w:highlight w:val="none"/>
              </w:rPr>
            </w:pPr>
            <w:r>
              <w:rPr>
                <w:rFonts w:hint="eastAsia" w:ascii="宋体" w:hAnsi="宋体" w:cs="宋体"/>
                <w:color w:val="auto"/>
                <w:highlight w:val="none"/>
              </w:rPr>
              <w:t>3</w:t>
            </w:r>
          </w:p>
        </w:tc>
        <w:tc>
          <w:tcPr>
            <w:tcW w:w="1246" w:type="dxa"/>
          </w:tcPr>
          <w:p>
            <w:pPr>
              <w:spacing w:beforeAutospacing="0" w:afterAutospacing="0" w:line="400" w:lineRule="exact"/>
              <w:ind w:right="25" w:rightChars="12"/>
              <w:jc w:val="center"/>
              <w:rPr>
                <w:rFonts w:ascii="宋体" w:hAnsi="宋体" w:cs="宋体"/>
                <w:b/>
                <w:color w:val="auto"/>
                <w:highlight w:val="none"/>
              </w:rPr>
            </w:pPr>
          </w:p>
        </w:tc>
        <w:tc>
          <w:tcPr>
            <w:tcW w:w="1607" w:type="dxa"/>
          </w:tcPr>
          <w:p>
            <w:pPr>
              <w:spacing w:beforeAutospacing="0" w:afterAutospacing="0" w:line="400" w:lineRule="exact"/>
              <w:ind w:right="25" w:rightChars="12"/>
              <w:jc w:val="center"/>
              <w:rPr>
                <w:rFonts w:ascii="宋体" w:hAnsi="宋体" w:cs="宋体"/>
                <w:b/>
                <w:color w:val="auto"/>
                <w:highlight w:val="none"/>
              </w:rPr>
            </w:pPr>
          </w:p>
        </w:tc>
        <w:tc>
          <w:tcPr>
            <w:tcW w:w="1291"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697" w:type="dxa"/>
          </w:tcPr>
          <w:p>
            <w:pPr>
              <w:spacing w:beforeAutospacing="0" w:afterAutospacing="0" w:line="400" w:lineRule="exact"/>
              <w:ind w:right="25" w:rightChars="12"/>
              <w:jc w:val="center"/>
              <w:rPr>
                <w:rFonts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beforeAutospacing="0" w:afterAutospacing="0" w:line="400" w:lineRule="exact"/>
              <w:ind w:right="25" w:rightChars="12"/>
              <w:jc w:val="center"/>
              <w:rPr>
                <w:rFonts w:ascii="宋体" w:hAnsi="宋体" w:cs="宋体"/>
                <w:color w:val="auto"/>
                <w:highlight w:val="none"/>
              </w:rPr>
            </w:pPr>
            <w:r>
              <w:rPr>
                <w:rFonts w:hint="eastAsia" w:ascii="宋体" w:hAnsi="宋体" w:cs="宋体"/>
                <w:color w:val="auto"/>
                <w:highlight w:val="none"/>
              </w:rPr>
              <w:t>…</w:t>
            </w:r>
          </w:p>
        </w:tc>
        <w:tc>
          <w:tcPr>
            <w:tcW w:w="1246" w:type="dxa"/>
          </w:tcPr>
          <w:p>
            <w:pPr>
              <w:spacing w:beforeAutospacing="0" w:afterAutospacing="0" w:line="400" w:lineRule="exact"/>
              <w:ind w:right="25" w:rightChars="12"/>
              <w:jc w:val="center"/>
              <w:rPr>
                <w:rFonts w:ascii="宋体" w:hAnsi="宋体" w:cs="宋体"/>
                <w:b/>
                <w:color w:val="auto"/>
                <w:highlight w:val="none"/>
              </w:rPr>
            </w:pPr>
          </w:p>
        </w:tc>
        <w:tc>
          <w:tcPr>
            <w:tcW w:w="1607" w:type="dxa"/>
          </w:tcPr>
          <w:p>
            <w:pPr>
              <w:spacing w:beforeAutospacing="0" w:afterAutospacing="0" w:line="400" w:lineRule="exact"/>
              <w:ind w:right="25" w:rightChars="12"/>
              <w:jc w:val="center"/>
              <w:rPr>
                <w:rFonts w:ascii="宋体" w:hAnsi="宋体" w:cs="宋体"/>
                <w:b/>
                <w:color w:val="auto"/>
                <w:highlight w:val="none"/>
              </w:rPr>
            </w:pPr>
          </w:p>
        </w:tc>
        <w:tc>
          <w:tcPr>
            <w:tcW w:w="1291"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697" w:type="dxa"/>
          </w:tcPr>
          <w:p>
            <w:pPr>
              <w:spacing w:beforeAutospacing="0" w:afterAutospacing="0" w:line="400" w:lineRule="exact"/>
              <w:ind w:right="25" w:rightChars="12"/>
              <w:jc w:val="center"/>
              <w:rPr>
                <w:rFonts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beforeAutospacing="0" w:afterAutospacing="0" w:line="400" w:lineRule="exact"/>
              <w:ind w:right="25" w:rightChars="12"/>
              <w:jc w:val="center"/>
              <w:rPr>
                <w:rFonts w:ascii="宋体" w:hAnsi="宋体" w:cs="宋体"/>
                <w:color w:val="auto"/>
                <w:highlight w:val="none"/>
              </w:rPr>
            </w:pPr>
          </w:p>
        </w:tc>
        <w:tc>
          <w:tcPr>
            <w:tcW w:w="1246" w:type="dxa"/>
          </w:tcPr>
          <w:p>
            <w:pPr>
              <w:spacing w:beforeAutospacing="0" w:afterAutospacing="0" w:line="400" w:lineRule="exact"/>
              <w:ind w:right="25" w:rightChars="12"/>
              <w:jc w:val="center"/>
              <w:rPr>
                <w:rFonts w:ascii="宋体" w:hAnsi="宋体" w:cs="宋体"/>
                <w:b/>
                <w:color w:val="auto"/>
                <w:highlight w:val="none"/>
              </w:rPr>
            </w:pPr>
          </w:p>
        </w:tc>
        <w:tc>
          <w:tcPr>
            <w:tcW w:w="1607" w:type="dxa"/>
          </w:tcPr>
          <w:p>
            <w:pPr>
              <w:spacing w:beforeAutospacing="0" w:afterAutospacing="0" w:line="400" w:lineRule="exact"/>
              <w:ind w:right="25" w:rightChars="12"/>
              <w:jc w:val="center"/>
              <w:rPr>
                <w:rFonts w:ascii="宋体" w:hAnsi="宋体" w:cs="宋体"/>
                <w:b/>
                <w:color w:val="auto"/>
                <w:highlight w:val="none"/>
              </w:rPr>
            </w:pPr>
          </w:p>
        </w:tc>
        <w:tc>
          <w:tcPr>
            <w:tcW w:w="1291"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697" w:type="dxa"/>
          </w:tcPr>
          <w:p>
            <w:pPr>
              <w:spacing w:beforeAutospacing="0" w:afterAutospacing="0" w:line="400" w:lineRule="exact"/>
              <w:ind w:right="25" w:rightChars="12"/>
              <w:jc w:val="center"/>
              <w:rPr>
                <w:rFonts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vAlign w:val="center"/>
          </w:tcPr>
          <w:p>
            <w:pPr>
              <w:spacing w:beforeAutospacing="0" w:afterAutospacing="0" w:line="400" w:lineRule="exact"/>
              <w:ind w:right="25" w:rightChars="12"/>
              <w:jc w:val="center"/>
              <w:rPr>
                <w:rFonts w:ascii="宋体" w:hAnsi="宋体" w:cs="宋体"/>
                <w:color w:val="auto"/>
                <w:highlight w:val="none"/>
              </w:rPr>
            </w:pPr>
          </w:p>
        </w:tc>
        <w:tc>
          <w:tcPr>
            <w:tcW w:w="1246" w:type="dxa"/>
          </w:tcPr>
          <w:p>
            <w:pPr>
              <w:spacing w:beforeAutospacing="0" w:afterAutospacing="0" w:line="400" w:lineRule="exact"/>
              <w:ind w:right="25" w:rightChars="12"/>
              <w:jc w:val="center"/>
              <w:rPr>
                <w:rFonts w:ascii="宋体" w:hAnsi="宋体" w:cs="宋体"/>
                <w:b/>
                <w:color w:val="auto"/>
                <w:highlight w:val="none"/>
              </w:rPr>
            </w:pPr>
          </w:p>
        </w:tc>
        <w:tc>
          <w:tcPr>
            <w:tcW w:w="1607" w:type="dxa"/>
          </w:tcPr>
          <w:p>
            <w:pPr>
              <w:spacing w:beforeAutospacing="0" w:afterAutospacing="0" w:line="400" w:lineRule="exact"/>
              <w:ind w:right="25" w:rightChars="12"/>
              <w:jc w:val="center"/>
              <w:rPr>
                <w:rFonts w:ascii="宋体" w:hAnsi="宋体" w:cs="宋体"/>
                <w:b/>
                <w:color w:val="auto"/>
                <w:highlight w:val="none"/>
              </w:rPr>
            </w:pPr>
          </w:p>
        </w:tc>
        <w:tc>
          <w:tcPr>
            <w:tcW w:w="1291"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697" w:type="dxa"/>
          </w:tcPr>
          <w:p>
            <w:pPr>
              <w:spacing w:beforeAutospacing="0" w:afterAutospacing="0" w:line="400" w:lineRule="exact"/>
              <w:ind w:right="25" w:rightChars="12"/>
              <w:jc w:val="center"/>
              <w:rPr>
                <w:rFonts w:ascii="宋体" w:hAnsi="宋体" w:cs="宋体"/>
                <w:b/>
                <w:color w:val="auto"/>
                <w:highlight w:val="none"/>
              </w:rPr>
            </w:pPr>
          </w:p>
        </w:tc>
      </w:tr>
    </w:tbl>
    <w:p>
      <w:pPr>
        <w:snapToGrid w:val="0"/>
        <w:spacing w:beforeAutospacing="0" w:afterAutospacing="0" w:line="360" w:lineRule="auto"/>
        <w:jc w:val="left"/>
        <w:rPr>
          <w:rFonts w:ascii="宋体" w:hAnsi="宋体" w:cs="宋体"/>
          <w:color w:val="auto"/>
          <w:highlight w:val="none"/>
        </w:rPr>
      </w:pPr>
    </w:p>
    <w:p>
      <w:pPr>
        <w:snapToGrid w:val="0"/>
        <w:rPr>
          <w:rFonts w:ascii="宋体" w:hAnsi="宋体" w:cs="宋体"/>
          <w:color w:val="auto"/>
          <w:highlight w:val="none"/>
        </w:rPr>
      </w:pPr>
      <w:r>
        <w:rPr>
          <w:rFonts w:hint="eastAsia" w:ascii="宋体" w:hAnsi="宋体" w:cs="宋体"/>
          <w:color w:val="auto"/>
          <w:highlight w:val="none"/>
        </w:rPr>
        <w:t>（11）技术部分：针对本项目第二章采购需求和第四章评分标准中的条款拟定完整方案，格式自拟；</w:t>
      </w:r>
    </w:p>
    <w:p>
      <w:pPr>
        <w:snapToGrid w:val="0"/>
        <w:rPr>
          <w:rFonts w:ascii="宋体" w:hAnsi="宋体" w:cs="宋体"/>
          <w:color w:val="auto"/>
          <w:highlight w:val="none"/>
        </w:rPr>
      </w:pPr>
    </w:p>
    <w:p>
      <w:pPr>
        <w:snapToGrid w:val="0"/>
        <w:rPr>
          <w:rFonts w:ascii="宋体" w:hAnsi="宋体" w:cs="宋体"/>
          <w:color w:val="auto"/>
          <w:highlight w:val="none"/>
        </w:rPr>
      </w:pPr>
    </w:p>
    <w:p>
      <w:pPr>
        <w:pStyle w:val="198"/>
        <w:rPr>
          <w:color w:val="auto"/>
          <w:highlight w:val="none"/>
        </w:rPr>
      </w:pPr>
    </w:p>
    <w:p>
      <w:pPr>
        <w:snapToGrid w:val="0"/>
        <w:rPr>
          <w:rFonts w:ascii="宋体" w:hAnsi="宋体" w:cs="宋体"/>
          <w:color w:val="auto"/>
          <w:highlight w:val="none"/>
        </w:rPr>
      </w:pPr>
      <w:r>
        <w:rPr>
          <w:rFonts w:hint="eastAsia" w:ascii="宋体" w:hAnsi="宋体" w:cs="宋体"/>
          <w:color w:val="auto"/>
          <w:highlight w:val="none"/>
        </w:rPr>
        <w:t>（12）第四章评标办法及评分标准中需提供的其他相关证书及合同复印件等并加盖公章；</w:t>
      </w:r>
    </w:p>
    <w:p>
      <w:pPr>
        <w:snapToGrid w:val="0"/>
        <w:spacing w:beforeAutospacing="0" w:afterAutospacing="0" w:line="360" w:lineRule="auto"/>
        <w:jc w:val="left"/>
        <w:rPr>
          <w:rFonts w:ascii="宋体" w:hAnsi="宋体" w:cs="宋体"/>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宋体" w:hAnsi="宋体" w:cs="宋体"/>
          <w:color w:val="auto"/>
          <w:highlight w:val="none"/>
        </w:rPr>
      </w:pPr>
    </w:p>
    <w:p>
      <w:pPr>
        <w:rPr>
          <w:color w:val="auto"/>
          <w:highlight w:val="none"/>
        </w:rPr>
      </w:pPr>
    </w:p>
    <w:p>
      <w:pPr>
        <w:snapToGrid w:val="0"/>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（13）供应商认为有需要提供的其它有关证明资料。</w:t>
      </w:r>
    </w:p>
    <w:p>
      <w:pPr>
        <w:snapToGrid w:val="0"/>
        <w:spacing w:beforeAutospacing="0" w:afterAutospacing="0" w:line="360" w:lineRule="auto"/>
        <w:jc w:val="left"/>
        <w:rPr>
          <w:rFonts w:ascii="宋体" w:hAnsi="宋体" w:cs="宋体"/>
          <w:color w:val="auto"/>
          <w:highlight w:val="none"/>
        </w:rPr>
      </w:pPr>
    </w:p>
    <w:p>
      <w:pPr>
        <w:spacing w:beforeAutospacing="0" w:afterAutospacing="0" w:line="360" w:lineRule="auto"/>
        <w:rPr>
          <w:rFonts w:ascii="宋体" w:hAnsi="宋体" w:cs="宋体"/>
          <w:b/>
          <w:bCs/>
          <w:color w:val="auto"/>
          <w:sz w:val="28"/>
          <w:szCs w:val="28"/>
          <w:highlight w:val="none"/>
        </w:rPr>
        <w:sectPr>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pPr>
    </w:p>
    <w:p>
      <w:pPr>
        <w:snapToGrid w:val="0"/>
        <w:spacing w:beforeAutospacing="0" w:afterAutospacing="0"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二、报价文件</w:t>
      </w:r>
    </w:p>
    <w:p>
      <w:pPr>
        <w:snapToGrid w:val="0"/>
        <w:spacing w:beforeAutospacing="0" w:afterAutospacing="0" w:line="360" w:lineRule="auto"/>
        <w:jc w:val="left"/>
        <w:rPr>
          <w:rFonts w:ascii="宋体" w:hAnsi="宋体" w:cs="宋体"/>
          <w:bCs/>
          <w:color w:val="auto"/>
          <w:sz w:val="28"/>
          <w:szCs w:val="28"/>
          <w:highlight w:val="none"/>
        </w:rPr>
      </w:pPr>
      <w:r>
        <w:rPr>
          <w:rFonts w:hint="eastAsia" w:ascii="宋体" w:hAnsi="宋体" w:cs="宋体"/>
          <w:color w:val="auto"/>
          <w:highlight w:val="none"/>
        </w:rPr>
        <w:t>1、</w:t>
      </w:r>
      <w:r>
        <w:rPr>
          <w:rFonts w:hint="eastAsia" w:ascii="宋体" w:hAnsi="宋体" w:cs="宋体"/>
          <w:color w:val="auto"/>
          <w:szCs w:val="21"/>
          <w:highlight w:val="none"/>
        </w:rPr>
        <w:t>报价文件</w:t>
      </w:r>
      <w:r>
        <w:rPr>
          <w:rFonts w:hint="eastAsia" w:ascii="宋体" w:hAnsi="宋体" w:cs="宋体"/>
          <w:color w:val="auto"/>
          <w:highlight w:val="none"/>
        </w:rPr>
        <w:t>封面格式：</w:t>
      </w:r>
    </w:p>
    <w:p>
      <w:pPr>
        <w:snapToGrid w:val="0"/>
        <w:spacing w:beforeAutospacing="0" w:afterAutospacing="0" w:line="360" w:lineRule="auto"/>
        <w:ind w:firstLine="275" w:firstLineChars="98"/>
        <w:rPr>
          <w:rFonts w:ascii="宋体" w:hAnsi="宋体" w:cs="宋体"/>
          <w:b/>
          <w:color w:val="auto"/>
          <w:sz w:val="28"/>
          <w:szCs w:val="28"/>
          <w:highlight w:val="none"/>
        </w:rPr>
      </w:pPr>
      <w:r>
        <w:rPr>
          <w:rFonts w:hint="eastAsia" w:ascii="宋体" w:hAnsi="宋体" w:cs="宋体"/>
          <w:b/>
          <w:color w:val="auto"/>
          <w:sz w:val="28"/>
          <w:szCs w:val="28"/>
          <w:highlight w:val="none"/>
        </w:rPr>
        <w:t>封面格式：</w:t>
      </w:r>
    </w:p>
    <w:p>
      <w:pPr>
        <w:snapToGrid w:val="0"/>
        <w:spacing w:beforeAutospacing="0" w:afterAutospacing="0" w:line="360" w:lineRule="auto"/>
        <w:jc w:val="center"/>
        <w:rPr>
          <w:rFonts w:ascii="宋体" w:hAnsi="宋体" w:cs="宋体"/>
          <w:bCs/>
          <w:color w:val="auto"/>
          <w:sz w:val="28"/>
          <w:szCs w:val="28"/>
          <w:highlight w:val="none"/>
        </w:rPr>
      </w:pPr>
      <w:r>
        <w:rPr>
          <w:rFonts w:hint="eastAsia" w:ascii="宋体" w:hAnsi="宋体" w:cs="宋体"/>
          <w:b/>
          <w:color w:val="auto"/>
          <w:sz w:val="28"/>
          <w:szCs w:val="28"/>
          <w:highlight w:val="none"/>
        </w:rPr>
        <w:t xml:space="preserve">                                            正本</w:t>
      </w:r>
    </w:p>
    <w:p>
      <w:pPr>
        <w:snapToGrid w:val="0"/>
        <w:spacing w:beforeAutospacing="0" w:afterAutospacing="0" w:line="360" w:lineRule="auto"/>
        <w:jc w:val="center"/>
        <w:rPr>
          <w:rFonts w:ascii="宋体" w:hAnsi="宋体" w:cs="宋体"/>
          <w:color w:val="auto"/>
          <w:sz w:val="40"/>
          <w:szCs w:val="40"/>
          <w:highlight w:val="none"/>
        </w:rPr>
      </w:pPr>
      <w:r>
        <w:rPr>
          <w:rFonts w:hint="eastAsia" w:ascii="宋体" w:hAnsi="宋体" w:cs="宋体"/>
          <w:color w:val="auto"/>
          <w:sz w:val="40"/>
          <w:szCs w:val="40"/>
          <w:highlight w:val="none"/>
        </w:rPr>
        <w:t>报价文件</w:t>
      </w:r>
    </w:p>
    <w:p>
      <w:pPr>
        <w:snapToGrid w:val="0"/>
        <w:spacing w:beforeAutospacing="0" w:afterAutospacing="0" w:line="360" w:lineRule="auto"/>
        <w:ind w:firstLine="6919" w:firstLineChars="2883"/>
        <w:rPr>
          <w:rFonts w:ascii="宋体" w:hAnsi="宋体" w:cs="宋体"/>
          <w:bCs/>
          <w:color w:val="auto"/>
          <w:sz w:val="24"/>
          <w:highlight w:val="none"/>
        </w:rPr>
      </w:pP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项目名称：</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标项号：</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供应商名称（加盖公章）：</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供应商地址：</w:t>
      </w:r>
    </w:p>
    <w:p>
      <w:pPr>
        <w:snapToGrid w:val="0"/>
        <w:rPr>
          <w:rFonts w:ascii="宋体" w:hAnsi="宋体" w:cs="宋体"/>
          <w:bCs/>
          <w:color w:val="auto"/>
          <w:sz w:val="24"/>
          <w:highlight w:val="none"/>
        </w:rPr>
      </w:pPr>
      <w:r>
        <w:rPr>
          <w:rFonts w:hint="eastAsia" w:ascii="宋体" w:hAnsi="宋体" w:cs="宋体"/>
          <w:bCs/>
          <w:color w:val="auto"/>
          <w:sz w:val="24"/>
          <w:highlight w:val="none"/>
        </w:rPr>
        <w:t xml:space="preserve">                                      年  月  日</w:t>
      </w:r>
    </w:p>
    <w:p>
      <w:pPr>
        <w:snapToGrid w:val="0"/>
        <w:spacing w:beforeAutospacing="0" w:afterAutospacing="0" w:line="360" w:lineRule="auto"/>
        <w:rPr>
          <w:rFonts w:ascii="宋体" w:hAnsi="宋体" w:cs="宋体"/>
          <w:color w:val="auto"/>
          <w:szCs w:val="21"/>
          <w:highlight w:val="none"/>
        </w:rPr>
      </w:pPr>
      <w:r>
        <w:rPr>
          <w:rFonts w:hint="eastAsia" w:ascii="宋体" w:hAnsi="宋体" w:cs="宋体"/>
          <w:b/>
          <w:bCs/>
          <w:color w:val="auto"/>
          <w:szCs w:val="21"/>
          <w:highlight w:val="none"/>
        </w:rPr>
        <w:br w:type="page"/>
      </w:r>
      <w:r>
        <w:rPr>
          <w:rFonts w:hint="eastAsia" w:ascii="宋体" w:hAnsi="宋体" w:cs="宋体"/>
          <w:color w:val="auto"/>
          <w:szCs w:val="21"/>
          <w:highlight w:val="none"/>
        </w:rPr>
        <w:t>2、报价文件内容包括：</w:t>
      </w:r>
    </w:p>
    <w:p>
      <w:pPr>
        <w:numPr>
          <w:ilvl w:val="0"/>
          <w:numId w:val="23"/>
        </w:numPr>
        <w:snapToGrid w:val="0"/>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开标一览表（格式见附件）；</w:t>
      </w:r>
    </w:p>
    <w:p>
      <w:pPr>
        <w:numPr>
          <w:ilvl w:val="0"/>
          <w:numId w:val="23"/>
        </w:numPr>
        <w:snapToGrid w:val="0"/>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投标报价明细表（格式见附件）；</w:t>
      </w:r>
    </w:p>
    <w:p>
      <w:pPr>
        <w:numPr>
          <w:ilvl w:val="0"/>
          <w:numId w:val="23"/>
        </w:numPr>
        <w:snapToGrid w:val="0"/>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供应商针对报价需要说明的其他文件和说明（格式自拟）；</w:t>
      </w:r>
    </w:p>
    <w:p>
      <w:pPr>
        <w:snapToGrid w:val="0"/>
        <w:spacing w:beforeAutospacing="0" w:afterAutospacing="0" w:line="360" w:lineRule="auto"/>
        <w:jc w:val="left"/>
        <w:rPr>
          <w:rFonts w:ascii="宋体" w:hAnsi="宋体" w:cs="宋体"/>
          <w:color w:val="auto"/>
          <w:highlight w:val="none"/>
        </w:rPr>
      </w:pPr>
    </w:p>
    <w:p>
      <w:pPr>
        <w:snapToGrid w:val="0"/>
        <w:spacing w:beforeAutospacing="0" w:afterAutospacing="0" w:line="360" w:lineRule="auto"/>
        <w:jc w:val="left"/>
        <w:rPr>
          <w:rFonts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b/>
          <w:bCs/>
          <w:color w:val="auto"/>
          <w:szCs w:val="21"/>
          <w:highlight w:val="none"/>
        </w:rPr>
        <w:t>（1）开标一览表格式</w:t>
      </w:r>
    </w:p>
    <w:p>
      <w:pPr>
        <w:pStyle w:val="43"/>
        <w:widowControl w:val="0"/>
        <w:tabs>
          <w:tab w:val="left" w:pos="4841"/>
        </w:tabs>
        <w:spacing w:before="0" w:beforeAutospacing="0" w:after="0" w:afterAutospacing="0" w:line="360" w:lineRule="auto"/>
        <w:ind w:firstLine="301"/>
        <w:jc w:val="center"/>
        <w:rPr>
          <w:rFonts w:ascii="宋体" w:hAnsi="宋体" w:cs="宋体"/>
          <w:b/>
          <w:color w:val="auto"/>
          <w:szCs w:val="20"/>
          <w:highlight w:val="none"/>
        </w:rPr>
      </w:pPr>
      <w:r>
        <w:rPr>
          <w:rFonts w:hint="eastAsia" w:ascii="宋体" w:hAnsi="宋体" w:cs="宋体"/>
          <w:b/>
          <w:color w:val="auto"/>
          <w:spacing w:val="-4"/>
          <w:kern w:val="2"/>
          <w:szCs w:val="20"/>
          <w:highlight w:val="none"/>
        </w:rPr>
        <w:t>开标一览表</w:t>
      </w:r>
    </w:p>
    <w:p>
      <w:pPr>
        <w:pStyle w:val="43"/>
        <w:widowControl w:val="0"/>
        <w:snapToGrid w:val="0"/>
        <w:spacing w:before="0" w:beforeAutospacing="0" w:after="0" w:afterAutospacing="0" w:line="360" w:lineRule="auto"/>
        <w:rPr>
          <w:rFonts w:ascii="宋体" w:hAnsi="宋体" w:cs="宋体"/>
          <w:color w:val="auto"/>
          <w:spacing w:val="-4"/>
          <w:kern w:val="2"/>
          <w:sz w:val="21"/>
          <w:szCs w:val="21"/>
          <w:highlight w:val="none"/>
        </w:rPr>
      </w:pPr>
      <w:r>
        <w:rPr>
          <w:rFonts w:hint="eastAsia" w:ascii="宋体" w:hAnsi="宋体" w:cs="宋体"/>
          <w:color w:val="auto"/>
          <w:spacing w:val="-4"/>
          <w:kern w:val="2"/>
          <w:sz w:val="21"/>
          <w:szCs w:val="21"/>
          <w:highlight w:val="none"/>
        </w:rPr>
        <w:t>采购项目：                                               项目编号：</w:t>
      </w:r>
    </w:p>
    <w:p>
      <w:pPr>
        <w:pStyle w:val="43"/>
        <w:widowControl w:val="0"/>
        <w:snapToGrid w:val="0"/>
        <w:spacing w:before="0" w:beforeAutospacing="0" w:after="0" w:afterAutospacing="0" w:line="360" w:lineRule="auto"/>
        <w:jc w:val="right"/>
        <w:rPr>
          <w:rFonts w:ascii="宋体" w:hAnsi="宋体" w:cs="宋体"/>
          <w:color w:val="auto"/>
          <w:spacing w:val="-4"/>
          <w:kern w:val="2"/>
          <w:sz w:val="21"/>
          <w:szCs w:val="21"/>
          <w:highlight w:val="none"/>
        </w:rPr>
      </w:pPr>
      <w:r>
        <w:rPr>
          <w:rFonts w:hint="eastAsia" w:ascii="宋体" w:hAnsi="宋体" w:cs="宋体"/>
          <w:color w:val="auto"/>
          <w:spacing w:val="-4"/>
          <w:kern w:val="2"/>
          <w:sz w:val="21"/>
          <w:szCs w:val="21"/>
          <w:highlight w:val="none"/>
        </w:rPr>
        <w:t>单位：人民币元</w:t>
      </w:r>
    </w:p>
    <w:tbl>
      <w:tblPr>
        <w:tblStyle w:val="46"/>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097"/>
        <w:gridCol w:w="1718"/>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4" w:type="dxa"/>
            <w:vAlign w:val="center"/>
          </w:tcPr>
          <w:p>
            <w:pPr>
              <w:snapToGrid w:val="0"/>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标项号</w:t>
            </w:r>
          </w:p>
        </w:tc>
        <w:tc>
          <w:tcPr>
            <w:tcW w:w="3097" w:type="dxa"/>
            <w:vAlign w:val="center"/>
          </w:tcPr>
          <w:p>
            <w:pPr>
              <w:snapToGrid w:val="0"/>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采购内容</w:t>
            </w:r>
          </w:p>
        </w:tc>
        <w:tc>
          <w:tcPr>
            <w:tcW w:w="1718" w:type="dxa"/>
            <w:vAlign w:val="center"/>
          </w:tcPr>
          <w:p>
            <w:pPr>
              <w:snapToGrid w:val="0"/>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3382" w:type="dxa"/>
            <w:vAlign w:val="center"/>
          </w:tcPr>
          <w:p>
            <w:pPr>
              <w:snapToGrid w:val="0"/>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064" w:type="dxa"/>
            <w:vAlign w:val="center"/>
          </w:tcPr>
          <w:p>
            <w:pPr>
              <w:snapToGrid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一</w:t>
            </w:r>
          </w:p>
        </w:tc>
        <w:tc>
          <w:tcPr>
            <w:tcW w:w="3097" w:type="dxa"/>
            <w:vAlign w:val="center"/>
          </w:tcPr>
          <w:p>
            <w:pPr>
              <w:snapToGrid w:val="0"/>
              <w:spacing w:beforeAutospacing="0" w:afterAutospacing="0" w:line="360" w:lineRule="auto"/>
              <w:jc w:val="center"/>
              <w:rPr>
                <w:rFonts w:ascii="宋体" w:hAnsi="宋体" w:cs="宋体"/>
                <w:color w:val="auto"/>
                <w:szCs w:val="21"/>
                <w:highlight w:val="none"/>
              </w:rPr>
            </w:pPr>
          </w:p>
        </w:tc>
        <w:tc>
          <w:tcPr>
            <w:tcW w:w="1718" w:type="dxa"/>
            <w:vAlign w:val="center"/>
          </w:tcPr>
          <w:p>
            <w:pPr>
              <w:snapToGrid w:val="0"/>
              <w:spacing w:beforeAutospacing="0" w:afterAutospacing="0" w:line="360" w:lineRule="auto"/>
              <w:rPr>
                <w:rFonts w:ascii="宋体" w:hAnsi="宋体" w:cs="宋体"/>
                <w:color w:val="auto"/>
                <w:szCs w:val="21"/>
                <w:highlight w:val="none"/>
              </w:rPr>
            </w:pPr>
          </w:p>
        </w:tc>
        <w:tc>
          <w:tcPr>
            <w:tcW w:w="3382" w:type="dxa"/>
            <w:vAlign w:val="center"/>
          </w:tcPr>
          <w:p>
            <w:pPr>
              <w:snapToGrid w:val="0"/>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161" w:type="dxa"/>
            <w:gridSpan w:val="2"/>
            <w:vAlign w:val="center"/>
          </w:tcPr>
          <w:p>
            <w:pPr>
              <w:snapToGrid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投标总价</w:t>
            </w:r>
          </w:p>
        </w:tc>
        <w:tc>
          <w:tcPr>
            <w:tcW w:w="5100" w:type="dxa"/>
            <w:gridSpan w:val="2"/>
            <w:vAlign w:val="center"/>
          </w:tcPr>
          <w:p>
            <w:pPr>
              <w:snapToGrid w:val="0"/>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小写：</w:t>
            </w:r>
          </w:p>
          <w:p>
            <w:pPr>
              <w:snapToGrid w:val="0"/>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064" w:type="dxa"/>
            <w:vAlign w:val="center"/>
          </w:tcPr>
          <w:p>
            <w:pPr>
              <w:snapToGrid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highlight w:val="none"/>
              </w:rPr>
              <w:t>投标声明</w:t>
            </w:r>
          </w:p>
        </w:tc>
        <w:tc>
          <w:tcPr>
            <w:tcW w:w="8197" w:type="dxa"/>
            <w:gridSpan w:val="3"/>
            <w:vAlign w:val="center"/>
          </w:tcPr>
          <w:p>
            <w:pPr>
              <w:snapToGrid w:val="0"/>
              <w:spacing w:beforeAutospacing="0" w:afterAutospacing="0" w:line="360" w:lineRule="auto"/>
              <w:jc w:val="center"/>
              <w:rPr>
                <w:rFonts w:ascii="宋体" w:hAnsi="宋体" w:cs="宋体"/>
                <w:color w:val="auto"/>
                <w:szCs w:val="21"/>
                <w:highlight w:val="none"/>
              </w:rPr>
            </w:pPr>
          </w:p>
        </w:tc>
      </w:tr>
    </w:tbl>
    <w:p>
      <w:pPr>
        <w:pStyle w:val="43"/>
        <w:widowControl w:val="0"/>
        <w:spacing w:before="0" w:beforeAutospacing="0" w:after="0" w:afterAutospacing="0" w:line="360" w:lineRule="auto"/>
        <w:jc w:val="both"/>
        <w:rPr>
          <w:rFonts w:ascii="宋体" w:hAnsi="宋体" w:cs="宋体"/>
          <w:color w:val="auto"/>
          <w:spacing w:val="-4"/>
          <w:kern w:val="2"/>
          <w:sz w:val="21"/>
          <w:szCs w:val="21"/>
          <w:highlight w:val="none"/>
        </w:rPr>
      </w:pPr>
      <w:r>
        <w:rPr>
          <w:rFonts w:hint="eastAsia" w:ascii="宋体" w:hAnsi="宋体" w:cs="宋体"/>
          <w:color w:val="auto"/>
          <w:spacing w:val="-4"/>
          <w:kern w:val="2"/>
          <w:sz w:val="21"/>
          <w:szCs w:val="21"/>
          <w:highlight w:val="none"/>
        </w:rPr>
        <w:t>注：1、若供应商尚有其它内容需明列的，请按此表格式扩展。</w:t>
      </w:r>
    </w:p>
    <w:p>
      <w:pPr>
        <w:pStyle w:val="43"/>
        <w:widowControl w:val="0"/>
        <w:spacing w:before="0" w:beforeAutospacing="0" w:after="0" w:afterAutospacing="0" w:line="360" w:lineRule="auto"/>
        <w:ind w:left="403"/>
        <w:jc w:val="both"/>
        <w:rPr>
          <w:rFonts w:ascii="宋体" w:hAnsi="宋体" w:cs="宋体"/>
          <w:color w:val="auto"/>
          <w:spacing w:val="-4"/>
          <w:kern w:val="2"/>
          <w:sz w:val="21"/>
          <w:szCs w:val="21"/>
          <w:highlight w:val="none"/>
        </w:rPr>
      </w:pPr>
      <w:r>
        <w:rPr>
          <w:rFonts w:hint="eastAsia" w:ascii="宋体" w:hAnsi="宋体" w:cs="宋体"/>
          <w:color w:val="auto"/>
          <w:spacing w:val="-4"/>
          <w:kern w:val="2"/>
          <w:sz w:val="21"/>
          <w:szCs w:val="21"/>
          <w:highlight w:val="none"/>
        </w:rPr>
        <w:t>2、以上“投标总价”应与“投标报价明细表”中的“投标总价”相一致。</w:t>
      </w:r>
    </w:p>
    <w:p>
      <w:pPr>
        <w:pStyle w:val="43"/>
        <w:widowControl w:val="0"/>
        <w:snapToGrid w:val="0"/>
        <w:spacing w:before="0" w:beforeAutospacing="0" w:after="0" w:afterAutospacing="0" w:line="360" w:lineRule="auto"/>
        <w:ind w:left="-178" w:leftChars="-85" w:firstLine="301"/>
        <w:jc w:val="both"/>
        <w:rPr>
          <w:rFonts w:ascii="宋体" w:hAnsi="宋体" w:cs="宋体"/>
          <w:color w:val="auto"/>
          <w:spacing w:val="-4"/>
          <w:kern w:val="2"/>
          <w:sz w:val="21"/>
          <w:szCs w:val="21"/>
          <w:highlight w:val="none"/>
        </w:rPr>
      </w:pPr>
    </w:p>
    <w:p>
      <w:pPr>
        <w:pStyle w:val="43"/>
        <w:widowControl w:val="0"/>
        <w:snapToGrid w:val="0"/>
        <w:spacing w:before="0" w:beforeAutospacing="0" w:after="0" w:afterAutospacing="0" w:line="360" w:lineRule="auto"/>
        <w:ind w:left="-178" w:leftChars="-85" w:firstLine="301"/>
        <w:jc w:val="both"/>
        <w:rPr>
          <w:rFonts w:ascii="宋体" w:hAnsi="宋体" w:cs="宋体"/>
          <w:color w:val="auto"/>
          <w:sz w:val="21"/>
          <w:szCs w:val="21"/>
          <w:highlight w:val="none"/>
        </w:rPr>
      </w:pPr>
      <w:r>
        <w:rPr>
          <w:rFonts w:hint="eastAsia" w:ascii="宋体" w:hAnsi="宋体" w:cs="宋体"/>
          <w:color w:val="auto"/>
          <w:spacing w:val="-4"/>
          <w:kern w:val="2"/>
          <w:sz w:val="21"/>
          <w:szCs w:val="21"/>
          <w:highlight w:val="none"/>
        </w:rPr>
        <w:t>供 应 商 （盖章）：</w:t>
      </w:r>
    </w:p>
    <w:p>
      <w:pPr>
        <w:pStyle w:val="43"/>
        <w:widowControl w:val="0"/>
        <w:snapToGrid w:val="0"/>
        <w:spacing w:before="0" w:beforeAutospacing="0" w:after="0" w:afterAutospacing="0" w:line="360" w:lineRule="auto"/>
        <w:ind w:left="-178" w:leftChars="-85" w:firstLine="301"/>
        <w:jc w:val="both"/>
        <w:rPr>
          <w:rFonts w:ascii="宋体" w:hAnsi="宋体" w:cs="宋体"/>
          <w:color w:val="auto"/>
          <w:spacing w:val="-4"/>
          <w:kern w:val="2"/>
          <w:sz w:val="21"/>
          <w:szCs w:val="21"/>
          <w:highlight w:val="none"/>
        </w:rPr>
      </w:pPr>
      <w:r>
        <w:rPr>
          <w:rFonts w:hint="eastAsia" w:ascii="宋体" w:hAnsi="宋体" w:cs="宋体"/>
          <w:color w:val="auto"/>
          <w:spacing w:val="-4"/>
          <w:kern w:val="2"/>
          <w:sz w:val="21"/>
          <w:szCs w:val="21"/>
          <w:highlight w:val="none"/>
        </w:rPr>
        <w:t>法定代表人或授权代表（签名或印章）：</w:t>
      </w:r>
    </w:p>
    <w:p>
      <w:pPr>
        <w:pStyle w:val="43"/>
        <w:widowControl w:val="0"/>
        <w:snapToGrid w:val="0"/>
        <w:spacing w:before="0" w:beforeAutospacing="0" w:after="0" w:afterAutospacing="0" w:line="360" w:lineRule="auto"/>
        <w:ind w:left="-178" w:leftChars="-85" w:firstLine="301"/>
        <w:jc w:val="both"/>
        <w:rPr>
          <w:rFonts w:ascii="宋体" w:hAnsi="宋体" w:cs="宋体"/>
          <w:color w:val="auto"/>
          <w:spacing w:val="-4"/>
          <w:kern w:val="2"/>
          <w:sz w:val="21"/>
          <w:szCs w:val="21"/>
          <w:highlight w:val="none"/>
        </w:rPr>
      </w:pPr>
      <w:r>
        <w:rPr>
          <w:rFonts w:hint="eastAsia" w:ascii="宋体" w:hAnsi="宋体" w:cs="宋体"/>
          <w:color w:val="auto"/>
          <w:spacing w:val="-4"/>
          <w:kern w:val="2"/>
          <w:sz w:val="21"/>
          <w:szCs w:val="21"/>
          <w:highlight w:val="none"/>
        </w:rPr>
        <w:t>日     期：</w:t>
      </w:r>
    </w:p>
    <w:p>
      <w:pPr>
        <w:snapToGrid w:val="0"/>
        <w:rPr>
          <w:rFonts w:ascii="宋体" w:hAnsi="宋体" w:cs="宋体"/>
          <w:b/>
          <w:bCs/>
          <w:color w:val="auto"/>
          <w:szCs w:val="21"/>
          <w:highlight w:val="none"/>
        </w:rPr>
      </w:pPr>
    </w:p>
    <w:p>
      <w:pPr>
        <w:pStyle w:val="55"/>
        <w:rPr>
          <w:rFonts w:ascii="宋体" w:hAnsi="宋体" w:cs="宋体"/>
          <w:b/>
          <w:bCs/>
          <w:color w:val="auto"/>
          <w:szCs w:val="21"/>
          <w:highlight w:val="none"/>
        </w:rPr>
      </w:pPr>
    </w:p>
    <w:p>
      <w:pPr>
        <w:snapToGrid w:val="0"/>
        <w:rPr>
          <w:rFonts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（2）投标报价明细表格式</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投标报价明细表</w:t>
      </w:r>
    </w:p>
    <w:p>
      <w:pPr>
        <w:rPr>
          <w:rFonts w:ascii="宋体" w:hAnsi="宋体" w:cs="宋体"/>
          <w:color w:val="auto"/>
          <w:spacing w:val="-4"/>
          <w:szCs w:val="21"/>
          <w:highlight w:val="none"/>
        </w:rPr>
      </w:pPr>
      <w:r>
        <w:rPr>
          <w:rFonts w:hint="eastAsia" w:ascii="宋体" w:hAnsi="宋体" w:cs="宋体"/>
          <w:color w:val="auto"/>
          <w:spacing w:val="-4"/>
          <w:szCs w:val="21"/>
          <w:highlight w:val="none"/>
        </w:rPr>
        <w:t>采购项目：</w:t>
      </w:r>
    </w:p>
    <w:p>
      <w:pPr>
        <w:rPr>
          <w:rFonts w:ascii="宋体" w:hAnsi="宋体" w:cs="宋体"/>
          <w:color w:val="auto"/>
          <w:spacing w:val="-4"/>
          <w:szCs w:val="21"/>
          <w:highlight w:val="none"/>
        </w:rPr>
      </w:pPr>
      <w:r>
        <w:rPr>
          <w:rFonts w:hint="eastAsia" w:ascii="宋体" w:hAnsi="宋体" w:cs="宋体"/>
          <w:color w:val="auto"/>
          <w:spacing w:val="-4"/>
          <w:szCs w:val="21"/>
          <w:highlight w:val="none"/>
        </w:rPr>
        <w:t>项目编号：</w:t>
      </w:r>
    </w:p>
    <w:tbl>
      <w:tblPr>
        <w:tblStyle w:val="46"/>
        <w:tblW w:w="8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64"/>
        <w:gridCol w:w="1770"/>
        <w:gridCol w:w="155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164" w:type="dxa"/>
          </w:tcPr>
          <w:p>
            <w:pPr>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1770" w:type="dxa"/>
          </w:tcPr>
          <w:p>
            <w:pPr>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550" w:type="dxa"/>
          </w:tcPr>
          <w:p>
            <w:pPr>
              <w:jc w:val="center"/>
              <w:rPr>
                <w:rFonts w:ascii="宋体" w:hAnsi="宋体" w:cs="宋体"/>
                <w:b/>
                <w:color w:val="auto"/>
                <w:szCs w:val="21"/>
                <w:highlight w:val="none"/>
              </w:rPr>
            </w:pPr>
            <w:r>
              <w:rPr>
                <w:rFonts w:hint="eastAsia" w:ascii="宋体" w:hAnsi="宋体" w:cs="宋体"/>
                <w:b/>
                <w:color w:val="auto"/>
                <w:szCs w:val="21"/>
                <w:highlight w:val="none"/>
              </w:rPr>
              <w:t>单价</w:t>
            </w:r>
          </w:p>
        </w:tc>
        <w:tc>
          <w:tcPr>
            <w:tcW w:w="1123" w:type="dxa"/>
          </w:tcPr>
          <w:p>
            <w:pPr>
              <w:jc w:val="center"/>
              <w:rPr>
                <w:rFonts w:ascii="宋体" w:hAnsi="宋体" w:cs="宋体"/>
                <w:b/>
                <w:color w:val="auto"/>
                <w:szCs w:val="21"/>
                <w:highlight w:val="none"/>
              </w:rPr>
            </w:pPr>
            <w:r>
              <w:rPr>
                <w:rFonts w:hint="eastAsia" w:ascii="宋体" w:hAnsi="宋体" w:cs="宋体"/>
                <w:b/>
                <w:color w:val="auto"/>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33"/>
              <w:jc w:val="center"/>
              <w:rPr>
                <w:rFonts w:ascii="宋体" w:hAnsi="宋体" w:cs="宋体"/>
                <w:color w:val="auto"/>
                <w:highlight w:val="none"/>
              </w:rPr>
            </w:pPr>
            <w:r>
              <w:rPr>
                <w:rFonts w:hint="eastAsia" w:ascii="宋体" w:hAnsi="宋体" w:cs="宋体"/>
                <w:color w:val="auto"/>
                <w:highlight w:val="none"/>
              </w:rPr>
              <w:t>1</w:t>
            </w:r>
          </w:p>
        </w:tc>
        <w:tc>
          <w:tcPr>
            <w:tcW w:w="3164" w:type="dxa"/>
            <w:vAlign w:val="center"/>
          </w:tcPr>
          <w:p>
            <w:pPr>
              <w:pStyle w:val="33"/>
              <w:jc w:val="center"/>
              <w:rPr>
                <w:rFonts w:ascii="宋体" w:hAnsi="宋体" w:cs="宋体"/>
                <w:color w:val="auto"/>
                <w:highlight w:val="none"/>
              </w:rPr>
            </w:pPr>
          </w:p>
        </w:tc>
        <w:tc>
          <w:tcPr>
            <w:tcW w:w="1770" w:type="dxa"/>
            <w:vAlign w:val="center"/>
          </w:tcPr>
          <w:p>
            <w:pPr>
              <w:pStyle w:val="33"/>
              <w:jc w:val="center"/>
              <w:rPr>
                <w:rFonts w:ascii="宋体" w:hAnsi="宋体" w:cs="宋体"/>
                <w:color w:val="auto"/>
                <w:highlight w:val="none"/>
              </w:rPr>
            </w:pPr>
          </w:p>
        </w:tc>
        <w:tc>
          <w:tcPr>
            <w:tcW w:w="1550" w:type="dxa"/>
            <w:vAlign w:val="center"/>
          </w:tcPr>
          <w:p>
            <w:pPr>
              <w:pStyle w:val="33"/>
              <w:jc w:val="center"/>
              <w:rPr>
                <w:rFonts w:ascii="宋体" w:hAnsi="宋体" w:cs="宋体"/>
                <w:color w:val="auto"/>
                <w:highlight w:val="none"/>
              </w:rPr>
            </w:pPr>
          </w:p>
        </w:tc>
        <w:tc>
          <w:tcPr>
            <w:tcW w:w="1123" w:type="dxa"/>
          </w:tcPr>
          <w:p>
            <w:pPr>
              <w:pStyle w:val="33"/>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33"/>
              <w:jc w:val="center"/>
              <w:rPr>
                <w:rFonts w:ascii="宋体" w:hAnsi="宋体" w:cs="宋体"/>
                <w:color w:val="auto"/>
                <w:highlight w:val="none"/>
              </w:rPr>
            </w:pPr>
            <w:r>
              <w:rPr>
                <w:rFonts w:hint="eastAsia" w:ascii="宋体" w:hAnsi="宋体" w:cs="宋体"/>
                <w:color w:val="auto"/>
                <w:highlight w:val="none"/>
              </w:rPr>
              <w:t>2</w:t>
            </w:r>
          </w:p>
        </w:tc>
        <w:tc>
          <w:tcPr>
            <w:tcW w:w="3164" w:type="dxa"/>
            <w:vAlign w:val="center"/>
          </w:tcPr>
          <w:p>
            <w:pPr>
              <w:pStyle w:val="33"/>
              <w:jc w:val="center"/>
              <w:rPr>
                <w:rFonts w:ascii="宋体" w:hAnsi="宋体" w:cs="宋体"/>
                <w:color w:val="auto"/>
                <w:highlight w:val="none"/>
              </w:rPr>
            </w:pPr>
          </w:p>
        </w:tc>
        <w:tc>
          <w:tcPr>
            <w:tcW w:w="1770" w:type="dxa"/>
            <w:vAlign w:val="center"/>
          </w:tcPr>
          <w:p>
            <w:pPr>
              <w:pStyle w:val="33"/>
              <w:jc w:val="center"/>
              <w:rPr>
                <w:rFonts w:ascii="宋体" w:hAnsi="宋体" w:cs="宋体"/>
                <w:color w:val="auto"/>
                <w:highlight w:val="none"/>
              </w:rPr>
            </w:pPr>
          </w:p>
        </w:tc>
        <w:tc>
          <w:tcPr>
            <w:tcW w:w="1550" w:type="dxa"/>
            <w:vAlign w:val="center"/>
          </w:tcPr>
          <w:p>
            <w:pPr>
              <w:pStyle w:val="33"/>
              <w:jc w:val="center"/>
              <w:rPr>
                <w:rFonts w:ascii="宋体" w:hAnsi="宋体" w:cs="宋体"/>
                <w:color w:val="auto"/>
                <w:highlight w:val="none"/>
              </w:rPr>
            </w:pPr>
          </w:p>
        </w:tc>
        <w:tc>
          <w:tcPr>
            <w:tcW w:w="1123" w:type="dxa"/>
          </w:tcPr>
          <w:p>
            <w:pPr>
              <w:pStyle w:val="33"/>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33"/>
              <w:jc w:val="center"/>
              <w:rPr>
                <w:rFonts w:ascii="宋体" w:hAnsi="宋体" w:cs="宋体"/>
                <w:color w:val="auto"/>
                <w:highlight w:val="none"/>
              </w:rPr>
            </w:pPr>
            <w:r>
              <w:rPr>
                <w:rFonts w:hint="eastAsia" w:ascii="宋体" w:hAnsi="宋体" w:cs="宋体"/>
                <w:color w:val="auto"/>
                <w:highlight w:val="none"/>
              </w:rPr>
              <w:t>3</w:t>
            </w:r>
          </w:p>
        </w:tc>
        <w:tc>
          <w:tcPr>
            <w:tcW w:w="3164" w:type="dxa"/>
            <w:vAlign w:val="center"/>
          </w:tcPr>
          <w:p>
            <w:pPr>
              <w:pStyle w:val="33"/>
              <w:jc w:val="center"/>
              <w:rPr>
                <w:rFonts w:ascii="宋体" w:hAnsi="宋体" w:cs="宋体"/>
                <w:color w:val="auto"/>
                <w:highlight w:val="none"/>
              </w:rPr>
            </w:pPr>
          </w:p>
        </w:tc>
        <w:tc>
          <w:tcPr>
            <w:tcW w:w="1770" w:type="dxa"/>
            <w:vAlign w:val="center"/>
          </w:tcPr>
          <w:p>
            <w:pPr>
              <w:pStyle w:val="33"/>
              <w:jc w:val="center"/>
              <w:rPr>
                <w:rFonts w:ascii="宋体" w:hAnsi="宋体" w:cs="宋体"/>
                <w:color w:val="auto"/>
                <w:highlight w:val="none"/>
              </w:rPr>
            </w:pPr>
          </w:p>
        </w:tc>
        <w:tc>
          <w:tcPr>
            <w:tcW w:w="1550" w:type="dxa"/>
            <w:vAlign w:val="center"/>
          </w:tcPr>
          <w:p>
            <w:pPr>
              <w:pStyle w:val="33"/>
              <w:jc w:val="center"/>
              <w:rPr>
                <w:rFonts w:ascii="宋体" w:hAnsi="宋体" w:cs="宋体"/>
                <w:color w:val="auto"/>
                <w:highlight w:val="none"/>
              </w:rPr>
            </w:pPr>
          </w:p>
        </w:tc>
        <w:tc>
          <w:tcPr>
            <w:tcW w:w="1123" w:type="dxa"/>
          </w:tcPr>
          <w:p>
            <w:pPr>
              <w:pStyle w:val="33"/>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33"/>
              <w:jc w:val="center"/>
              <w:rPr>
                <w:rFonts w:ascii="宋体" w:hAnsi="宋体" w:cs="宋体"/>
                <w:color w:val="auto"/>
                <w:highlight w:val="none"/>
              </w:rPr>
            </w:pPr>
            <w:r>
              <w:rPr>
                <w:rFonts w:hint="eastAsia" w:ascii="宋体" w:hAnsi="宋体" w:cs="宋体"/>
                <w:color w:val="auto"/>
                <w:highlight w:val="none"/>
              </w:rPr>
              <w:t>4</w:t>
            </w:r>
          </w:p>
        </w:tc>
        <w:tc>
          <w:tcPr>
            <w:tcW w:w="3164" w:type="dxa"/>
            <w:vAlign w:val="center"/>
          </w:tcPr>
          <w:p>
            <w:pPr>
              <w:pStyle w:val="33"/>
              <w:jc w:val="center"/>
              <w:rPr>
                <w:rFonts w:ascii="宋体" w:hAnsi="宋体" w:cs="宋体"/>
                <w:color w:val="auto"/>
                <w:highlight w:val="none"/>
              </w:rPr>
            </w:pPr>
          </w:p>
        </w:tc>
        <w:tc>
          <w:tcPr>
            <w:tcW w:w="1770" w:type="dxa"/>
            <w:vAlign w:val="center"/>
          </w:tcPr>
          <w:p>
            <w:pPr>
              <w:pStyle w:val="33"/>
              <w:jc w:val="center"/>
              <w:rPr>
                <w:rFonts w:ascii="宋体" w:hAnsi="宋体" w:cs="宋体"/>
                <w:color w:val="auto"/>
                <w:highlight w:val="none"/>
              </w:rPr>
            </w:pPr>
          </w:p>
        </w:tc>
        <w:tc>
          <w:tcPr>
            <w:tcW w:w="1550" w:type="dxa"/>
            <w:vAlign w:val="center"/>
          </w:tcPr>
          <w:p>
            <w:pPr>
              <w:pStyle w:val="33"/>
              <w:jc w:val="center"/>
              <w:rPr>
                <w:rFonts w:ascii="宋体" w:hAnsi="宋体" w:cs="宋体"/>
                <w:color w:val="auto"/>
                <w:highlight w:val="none"/>
              </w:rPr>
            </w:pPr>
          </w:p>
        </w:tc>
        <w:tc>
          <w:tcPr>
            <w:tcW w:w="1123" w:type="dxa"/>
          </w:tcPr>
          <w:p>
            <w:pPr>
              <w:pStyle w:val="33"/>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33"/>
              <w:jc w:val="center"/>
              <w:rPr>
                <w:rFonts w:ascii="宋体" w:hAnsi="宋体" w:cs="宋体"/>
                <w:color w:val="auto"/>
                <w:highlight w:val="none"/>
              </w:rPr>
            </w:pPr>
            <w:r>
              <w:rPr>
                <w:rFonts w:hint="eastAsia" w:ascii="宋体" w:hAnsi="宋体" w:cs="宋体"/>
                <w:color w:val="auto"/>
                <w:highlight w:val="none"/>
              </w:rPr>
              <w:t>5</w:t>
            </w:r>
          </w:p>
        </w:tc>
        <w:tc>
          <w:tcPr>
            <w:tcW w:w="3164" w:type="dxa"/>
            <w:vAlign w:val="center"/>
          </w:tcPr>
          <w:p>
            <w:pPr>
              <w:pStyle w:val="33"/>
              <w:jc w:val="center"/>
              <w:rPr>
                <w:rFonts w:ascii="宋体" w:hAnsi="宋体" w:cs="宋体"/>
                <w:color w:val="auto"/>
                <w:highlight w:val="none"/>
              </w:rPr>
            </w:pPr>
          </w:p>
        </w:tc>
        <w:tc>
          <w:tcPr>
            <w:tcW w:w="1770" w:type="dxa"/>
            <w:vAlign w:val="center"/>
          </w:tcPr>
          <w:p>
            <w:pPr>
              <w:pStyle w:val="33"/>
              <w:jc w:val="center"/>
              <w:rPr>
                <w:rFonts w:ascii="宋体" w:hAnsi="宋体" w:cs="宋体"/>
                <w:color w:val="auto"/>
                <w:highlight w:val="none"/>
              </w:rPr>
            </w:pPr>
          </w:p>
        </w:tc>
        <w:tc>
          <w:tcPr>
            <w:tcW w:w="1550" w:type="dxa"/>
            <w:vAlign w:val="center"/>
          </w:tcPr>
          <w:p>
            <w:pPr>
              <w:pStyle w:val="33"/>
              <w:jc w:val="center"/>
              <w:rPr>
                <w:rFonts w:ascii="宋体" w:hAnsi="宋体" w:cs="宋体"/>
                <w:color w:val="auto"/>
                <w:highlight w:val="none"/>
              </w:rPr>
            </w:pPr>
          </w:p>
        </w:tc>
        <w:tc>
          <w:tcPr>
            <w:tcW w:w="1123" w:type="dxa"/>
          </w:tcPr>
          <w:p>
            <w:pPr>
              <w:pStyle w:val="33"/>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33"/>
              <w:jc w:val="center"/>
              <w:rPr>
                <w:rFonts w:ascii="宋体" w:hAnsi="宋体" w:cs="宋体"/>
                <w:color w:val="auto"/>
                <w:highlight w:val="none"/>
              </w:rPr>
            </w:pPr>
            <w:r>
              <w:rPr>
                <w:rFonts w:hint="eastAsia" w:ascii="宋体" w:hAnsi="宋体" w:cs="宋体"/>
                <w:color w:val="auto"/>
                <w:highlight w:val="none"/>
              </w:rPr>
              <w:t>6</w:t>
            </w:r>
          </w:p>
        </w:tc>
        <w:tc>
          <w:tcPr>
            <w:tcW w:w="3164" w:type="dxa"/>
            <w:vAlign w:val="center"/>
          </w:tcPr>
          <w:p>
            <w:pPr>
              <w:pStyle w:val="33"/>
              <w:jc w:val="center"/>
              <w:rPr>
                <w:rFonts w:ascii="宋体" w:hAnsi="宋体" w:cs="宋体"/>
                <w:color w:val="auto"/>
                <w:highlight w:val="none"/>
              </w:rPr>
            </w:pPr>
          </w:p>
        </w:tc>
        <w:tc>
          <w:tcPr>
            <w:tcW w:w="1770" w:type="dxa"/>
            <w:vAlign w:val="center"/>
          </w:tcPr>
          <w:p>
            <w:pPr>
              <w:pStyle w:val="33"/>
              <w:jc w:val="center"/>
              <w:rPr>
                <w:rFonts w:ascii="宋体" w:hAnsi="宋体" w:cs="宋体"/>
                <w:color w:val="auto"/>
                <w:highlight w:val="none"/>
              </w:rPr>
            </w:pPr>
          </w:p>
        </w:tc>
        <w:tc>
          <w:tcPr>
            <w:tcW w:w="1550" w:type="dxa"/>
            <w:vAlign w:val="center"/>
          </w:tcPr>
          <w:p>
            <w:pPr>
              <w:pStyle w:val="33"/>
              <w:jc w:val="center"/>
              <w:rPr>
                <w:rFonts w:ascii="宋体" w:hAnsi="宋体" w:cs="宋体"/>
                <w:color w:val="auto"/>
                <w:highlight w:val="none"/>
              </w:rPr>
            </w:pPr>
          </w:p>
        </w:tc>
        <w:tc>
          <w:tcPr>
            <w:tcW w:w="1123" w:type="dxa"/>
          </w:tcPr>
          <w:p>
            <w:pPr>
              <w:pStyle w:val="33"/>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33"/>
              <w:jc w:val="center"/>
              <w:rPr>
                <w:rFonts w:ascii="宋体" w:hAnsi="宋体" w:cs="宋体"/>
                <w:color w:val="auto"/>
                <w:highlight w:val="none"/>
              </w:rPr>
            </w:pPr>
            <w:r>
              <w:rPr>
                <w:rFonts w:hint="eastAsia" w:ascii="宋体" w:hAnsi="宋体" w:cs="宋体"/>
                <w:color w:val="auto"/>
                <w:highlight w:val="none"/>
              </w:rPr>
              <w:t>7</w:t>
            </w:r>
          </w:p>
        </w:tc>
        <w:tc>
          <w:tcPr>
            <w:tcW w:w="3164" w:type="dxa"/>
            <w:vAlign w:val="center"/>
          </w:tcPr>
          <w:p>
            <w:pPr>
              <w:pStyle w:val="33"/>
              <w:jc w:val="center"/>
              <w:rPr>
                <w:rFonts w:ascii="宋体" w:hAnsi="宋体" w:cs="宋体"/>
                <w:color w:val="auto"/>
                <w:highlight w:val="none"/>
              </w:rPr>
            </w:pPr>
          </w:p>
        </w:tc>
        <w:tc>
          <w:tcPr>
            <w:tcW w:w="1770" w:type="dxa"/>
            <w:vAlign w:val="center"/>
          </w:tcPr>
          <w:p>
            <w:pPr>
              <w:pStyle w:val="33"/>
              <w:jc w:val="center"/>
              <w:rPr>
                <w:rFonts w:ascii="宋体" w:hAnsi="宋体" w:cs="宋体"/>
                <w:color w:val="auto"/>
                <w:highlight w:val="none"/>
              </w:rPr>
            </w:pPr>
          </w:p>
        </w:tc>
        <w:tc>
          <w:tcPr>
            <w:tcW w:w="1550" w:type="dxa"/>
            <w:vAlign w:val="center"/>
          </w:tcPr>
          <w:p>
            <w:pPr>
              <w:pStyle w:val="33"/>
              <w:jc w:val="center"/>
              <w:rPr>
                <w:rFonts w:ascii="宋体" w:hAnsi="宋体" w:cs="宋体"/>
                <w:color w:val="auto"/>
                <w:highlight w:val="none"/>
              </w:rPr>
            </w:pPr>
          </w:p>
        </w:tc>
        <w:tc>
          <w:tcPr>
            <w:tcW w:w="1123" w:type="dxa"/>
          </w:tcPr>
          <w:p>
            <w:pPr>
              <w:pStyle w:val="33"/>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74" w:type="dxa"/>
            <w:gridSpan w:val="4"/>
            <w:vAlign w:val="center"/>
          </w:tcPr>
          <w:p>
            <w:pPr>
              <w:pStyle w:val="33"/>
              <w:jc w:val="center"/>
              <w:rPr>
                <w:color w:val="auto"/>
                <w:highlight w:val="none"/>
              </w:rPr>
            </w:pPr>
            <w:r>
              <w:rPr>
                <w:rFonts w:hint="eastAsia"/>
                <w:color w:val="auto"/>
                <w:highlight w:val="none"/>
              </w:rPr>
              <w:t>投标总价</w:t>
            </w:r>
          </w:p>
        </w:tc>
        <w:tc>
          <w:tcPr>
            <w:tcW w:w="1123" w:type="dxa"/>
          </w:tcPr>
          <w:p>
            <w:pPr>
              <w:pStyle w:val="33"/>
              <w:rPr>
                <w:color w:val="auto"/>
                <w:highlight w:val="none"/>
              </w:rPr>
            </w:pPr>
          </w:p>
        </w:tc>
      </w:tr>
    </w:tbl>
    <w:p>
      <w:pPr>
        <w:rPr>
          <w:rFonts w:ascii="宋体" w:hAnsi="宋体" w:cs="宋体"/>
          <w:color w:val="auto"/>
          <w:highlight w:val="none"/>
        </w:rPr>
      </w:pPr>
      <w:r>
        <w:rPr>
          <w:rFonts w:hint="eastAsia" w:ascii="宋体" w:hAnsi="宋体" w:cs="宋体"/>
          <w:bCs/>
          <w:color w:val="auto"/>
          <w:szCs w:val="21"/>
          <w:highlight w:val="none"/>
        </w:rPr>
        <w:t>注：1、投标单位可根据实际情况自行调整表格。</w:t>
      </w:r>
    </w:p>
    <w:p>
      <w:pPr>
        <w:spacing w:beforeAutospacing="0" w:afterAutospacing="0" w:line="360" w:lineRule="auto"/>
        <w:ind w:firstLine="4095" w:firstLineChars="1950"/>
        <w:rPr>
          <w:rFonts w:ascii="宋体" w:hAnsi="宋体" w:cs="宋体"/>
          <w:color w:val="auto"/>
          <w:highlight w:val="none"/>
        </w:rPr>
      </w:pPr>
    </w:p>
    <w:p>
      <w:pPr>
        <w:spacing w:beforeAutospacing="0" w:afterAutospacing="0" w:line="360" w:lineRule="auto"/>
        <w:ind w:firstLine="4095" w:firstLineChars="1950"/>
        <w:rPr>
          <w:rFonts w:ascii="宋体" w:hAnsi="宋体" w:cs="宋体"/>
          <w:color w:val="auto"/>
          <w:highlight w:val="none"/>
        </w:rPr>
      </w:pPr>
    </w:p>
    <w:p>
      <w:pPr>
        <w:spacing w:beforeAutospacing="0" w:afterAutospacing="0" w:line="360" w:lineRule="auto"/>
        <w:ind w:firstLine="4095" w:firstLineChars="1950"/>
        <w:rPr>
          <w:rFonts w:ascii="宋体" w:hAnsi="宋体" w:cs="宋体"/>
          <w:color w:val="auto"/>
          <w:highlight w:val="none"/>
        </w:rPr>
      </w:pPr>
      <w:r>
        <w:rPr>
          <w:rFonts w:hint="eastAsia" w:ascii="宋体" w:hAnsi="宋体" w:cs="宋体"/>
          <w:color w:val="auto"/>
          <w:highlight w:val="none"/>
        </w:rPr>
        <w:t xml:space="preserve">法定代表人或授权代表（签名或印章）：        </w:t>
      </w:r>
    </w:p>
    <w:p>
      <w:pPr>
        <w:spacing w:beforeAutospacing="0" w:afterAutospacing="0" w:line="360" w:lineRule="auto"/>
        <w:ind w:firstLine="5460" w:firstLineChars="2600"/>
        <w:rPr>
          <w:rFonts w:ascii="宋体" w:hAnsi="宋体" w:cs="宋体"/>
          <w:color w:val="auto"/>
          <w:highlight w:val="none"/>
        </w:rPr>
      </w:pPr>
      <w:r>
        <w:rPr>
          <w:rFonts w:hint="eastAsia" w:ascii="宋体" w:hAnsi="宋体" w:cs="宋体"/>
          <w:color w:val="auto"/>
          <w:highlight w:val="none"/>
        </w:rPr>
        <w:t xml:space="preserve">供应商盖章：         </w:t>
      </w:r>
    </w:p>
    <w:p>
      <w:pPr>
        <w:snapToGrid w:val="0"/>
        <w:ind w:right="840" w:firstLine="5880" w:firstLineChars="2800"/>
        <w:rPr>
          <w:rFonts w:ascii="宋体" w:hAnsi="宋体" w:cs="宋体"/>
          <w:color w:val="auto"/>
          <w:highlight w:val="none"/>
        </w:rPr>
      </w:pPr>
      <w:r>
        <w:rPr>
          <w:rFonts w:hint="eastAsia" w:ascii="宋体" w:hAnsi="宋体" w:cs="宋体"/>
          <w:color w:val="auto"/>
          <w:highlight w:val="none"/>
        </w:rPr>
        <w:t xml:space="preserve">日  期：   </w:t>
      </w:r>
    </w:p>
    <w:p>
      <w:pPr>
        <w:pStyle w:val="2"/>
        <w:rPr>
          <w:rFonts w:ascii="宋体" w:hAnsi="宋体" w:cs="宋体"/>
          <w:b/>
          <w:bCs/>
          <w:color w:val="auto"/>
          <w:highlight w:val="none"/>
        </w:rPr>
      </w:pP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szCs w:val="21"/>
          <w:highlight w:val="none"/>
        </w:rPr>
        <w:t>（3）供应商针对报价需要说明的其他文件和说明（格式自拟）。</w:t>
      </w:r>
    </w:p>
    <w:p>
      <w:pPr>
        <w:snapToGrid w:val="0"/>
        <w:spacing w:beforeAutospacing="0" w:afterAutospacing="0" w:line="360" w:lineRule="auto"/>
        <w:jc w:val="center"/>
        <w:rPr>
          <w:rFonts w:ascii="宋体" w:hAnsi="宋体" w:cs="宋体"/>
          <w:b/>
          <w:bCs/>
          <w:color w:val="auto"/>
          <w:sz w:val="28"/>
          <w:szCs w:val="28"/>
          <w:highlight w:val="none"/>
        </w:rPr>
      </w:pPr>
      <w:r>
        <w:rPr>
          <w:rFonts w:hint="eastAsia" w:ascii="宋体" w:hAnsi="宋体" w:cs="宋体"/>
          <w:b/>
          <w:bCs/>
          <w:color w:val="auto"/>
          <w:szCs w:val="21"/>
          <w:highlight w:val="none"/>
        </w:rPr>
        <w:br w:type="page"/>
      </w:r>
      <w:r>
        <w:rPr>
          <w:rFonts w:hint="eastAsia" w:ascii="宋体" w:hAnsi="宋体" w:cs="宋体"/>
          <w:b/>
          <w:bCs/>
          <w:color w:val="auto"/>
          <w:sz w:val="28"/>
          <w:szCs w:val="28"/>
          <w:highlight w:val="none"/>
        </w:rPr>
        <w:t>三、电子备份投标文件</w:t>
      </w:r>
    </w:p>
    <w:p>
      <w:pPr>
        <w:snapToGrid w:val="0"/>
        <w:spacing w:beforeAutospacing="0" w:afterAutospacing="0" w:line="360" w:lineRule="auto"/>
        <w:rPr>
          <w:rFonts w:ascii="宋体" w:hAnsi="宋体" w:cs="宋体"/>
          <w:b/>
          <w:color w:val="auto"/>
          <w:sz w:val="28"/>
          <w:szCs w:val="28"/>
          <w:highlight w:val="none"/>
        </w:rPr>
      </w:pPr>
      <w:r>
        <w:rPr>
          <w:rFonts w:hint="eastAsia" w:ascii="宋体" w:hAnsi="宋体" w:cs="宋体"/>
          <w:color w:val="auto"/>
          <w:highlight w:val="none"/>
        </w:rPr>
        <w:t>1、</w:t>
      </w:r>
      <w:r>
        <w:rPr>
          <w:rFonts w:hint="eastAsia" w:ascii="宋体" w:hAnsi="宋体" w:cs="宋体"/>
          <w:color w:val="auto"/>
          <w:szCs w:val="21"/>
          <w:highlight w:val="none"/>
        </w:rPr>
        <w:t>电子备份投标文件</w:t>
      </w:r>
      <w:r>
        <w:rPr>
          <w:rFonts w:hint="eastAsia" w:ascii="宋体" w:hAnsi="宋体" w:cs="宋体"/>
          <w:color w:val="auto"/>
          <w:highlight w:val="none"/>
        </w:rPr>
        <w:t>的外包装封面格式：</w:t>
      </w:r>
    </w:p>
    <w:p>
      <w:pPr>
        <w:snapToGrid w:val="0"/>
        <w:spacing w:beforeAutospacing="0" w:afterAutospacing="0" w:line="360" w:lineRule="auto"/>
        <w:ind w:firstLine="275" w:firstLineChars="98"/>
        <w:rPr>
          <w:rFonts w:ascii="宋体" w:hAnsi="宋体" w:cs="宋体"/>
          <w:b/>
          <w:color w:val="auto"/>
          <w:sz w:val="28"/>
          <w:szCs w:val="28"/>
          <w:highlight w:val="none"/>
        </w:rPr>
      </w:pPr>
      <w:r>
        <w:rPr>
          <w:rFonts w:hint="eastAsia" w:ascii="宋体" w:hAnsi="宋体" w:cs="宋体"/>
          <w:b/>
          <w:color w:val="auto"/>
          <w:sz w:val="28"/>
          <w:szCs w:val="28"/>
          <w:highlight w:val="none"/>
        </w:rPr>
        <w:t>外包装格式：</w:t>
      </w:r>
    </w:p>
    <w:p>
      <w:pPr>
        <w:snapToGrid w:val="0"/>
        <w:spacing w:beforeAutospacing="0" w:afterAutospacing="0" w:line="360" w:lineRule="auto"/>
        <w:jc w:val="center"/>
        <w:rPr>
          <w:rFonts w:ascii="宋体" w:hAnsi="宋体" w:cs="宋体"/>
          <w:color w:val="auto"/>
          <w:sz w:val="40"/>
          <w:szCs w:val="40"/>
          <w:highlight w:val="none"/>
        </w:rPr>
      </w:pPr>
      <w:r>
        <w:rPr>
          <w:rFonts w:hint="eastAsia" w:ascii="宋体" w:hAnsi="宋体" w:cs="宋体"/>
          <w:color w:val="auto"/>
          <w:sz w:val="40"/>
          <w:szCs w:val="40"/>
          <w:highlight w:val="none"/>
        </w:rPr>
        <w:t>电子备份投标文件</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标项号：</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供应商名称（加盖公章）：</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供应商地址：</w:t>
      </w:r>
    </w:p>
    <w:p>
      <w:pPr>
        <w:spacing w:beforeAutospacing="0" w:afterAutospacing="0" w:line="360" w:lineRule="auto"/>
        <w:rPr>
          <w:rFonts w:ascii="宋体" w:hAnsi="宋体" w:cs="宋体"/>
          <w:color w:val="auto"/>
          <w:highlight w:val="none"/>
        </w:rPr>
      </w:pPr>
      <w:r>
        <w:rPr>
          <w:rFonts w:hint="eastAsia" w:ascii="宋体" w:hAnsi="宋体" w:cs="宋体"/>
          <w:bCs/>
          <w:color w:val="auto"/>
          <w:sz w:val="24"/>
          <w:highlight w:val="none"/>
        </w:rPr>
        <w:t xml:space="preserve">                        年  月  日</w:t>
      </w:r>
    </w:p>
    <w:p>
      <w:pPr>
        <w:pStyle w:val="188"/>
        <w:widowControl w:val="0"/>
        <w:snapToGrid w:val="0"/>
        <w:spacing w:beforeAutospacing="0" w:afterAutospacing="0" w:line="500" w:lineRule="exact"/>
        <w:jc w:val="both"/>
        <w:rPr>
          <w:rFonts w:hAnsi="宋体"/>
          <w:b/>
          <w:bCs/>
          <w:color w:val="auto"/>
          <w:highlight w:val="none"/>
        </w:rPr>
        <w:sectPr>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88"/>
        <w:widowControl w:val="0"/>
        <w:snapToGrid w:val="0"/>
        <w:spacing w:beforeAutospacing="0" w:afterAutospacing="0" w:line="500" w:lineRule="exact"/>
        <w:jc w:val="both"/>
        <w:rPr>
          <w:rFonts w:hAnsi="宋体"/>
          <w:b/>
          <w:bCs/>
          <w:color w:val="auto"/>
          <w:highlight w:val="none"/>
        </w:rPr>
      </w:pPr>
      <w:r>
        <w:rPr>
          <w:rFonts w:hint="eastAsia" w:hAnsi="宋体"/>
          <w:b/>
          <w:bCs/>
          <w:color w:val="auto"/>
          <w:highlight w:val="none"/>
        </w:rPr>
        <w:t>附件：请各位供应商认真填写下表，于投标截止时间后按采购代理公司规定要求单独递交。</w:t>
      </w:r>
    </w:p>
    <w:p>
      <w:pPr>
        <w:pStyle w:val="188"/>
        <w:widowControl w:val="0"/>
        <w:snapToGrid w:val="0"/>
        <w:spacing w:beforeAutospacing="0" w:afterAutospacing="0" w:line="500" w:lineRule="exact"/>
        <w:jc w:val="center"/>
        <w:rPr>
          <w:rFonts w:hAnsi="宋体"/>
          <w:color w:val="auto"/>
          <w:sz w:val="32"/>
          <w:szCs w:val="32"/>
          <w:highlight w:val="none"/>
        </w:rPr>
      </w:pPr>
      <w:r>
        <w:rPr>
          <w:rFonts w:hint="eastAsia" w:hAnsi="宋体"/>
          <w:color w:val="auto"/>
          <w:sz w:val="32"/>
          <w:szCs w:val="32"/>
          <w:highlight w:val="none"/>
        </w:rPr>
        <w:t>政府采购活动现场确认声明书</w:t>
      </w:r>
    </w:p>
    <w:p>
      <w:pPr>
        <w:pStyle w:val="188"/>
        <w:widowControl w:val="0"/>
        <w:snapToGrid w:val="0"/>
        <w:spacing w:beforeAutospacing="0" w:afterAutospacing="0" w:line="440" w:lineRule="exact"/>
        <w:jc w:val="both"/>
        <w:rPr>
          <w:rFonts w:hAnsi="宋体"/>
          <w:bCs/>
          <w:color w:val="auto"/>
          <w:sz w:val="24"/>
          <w:szCs w:val="24"/>
          <w:highlight w:val="none"/>
        </w:rPr>
      </w:pPr>
      <w:r>
        <w:rPr>
          <w:rFonts w:hint="eastAsia" w:hAnsi="宋体"/>
          <w:color w:val="auto"/>
          <w:kern w:val="0"/>
          <w:sz w:val="24"/>
          <w:szCs w:val="24"/>
          <w:highlight w:val="none"/>
        </w:rPr>
        <w:t xml:space="preserve"> 浙江中基正采管理咨询有限公司：</w:t>
      </w:r>
    </w:p>
    <w:p>
      <w:pPr>
        <w:pStyle w:val="188"/>
        <w:widowControl w:val="0"/>
        <w:snapToGrid w:val="0"/>
        <w:spacing w:beforeAutospacing="0" w:afterAutospacing="0" w:line="440" w:lineRule="exact"/>
        <w:ind w:firstLine="504" w:firstLineChars="200"/>
        <w:jc w:val="both"/>
        <w:rPr>
          <w:rFonts w:hAnsi="宋体"/>
          <w:color w:val="auto"/>
          <w:spacing w:val="6"/>
          <w:sz w:val="24"/>
          <w:szCs w:val="24"/>
          <w:highlight w:val="none"/>
        </w:rPr>
      </w:pPr>
      <w:r>
        <w:rPr>
          <w:rFonts w:hint="eastAsia" w:hAnsi="宋体"/>
          <w:color w:val="auto"/>
          <w:spacing w:val="6"/>
          <w:sz w:val="24"/>
          <w:szCs w:val="24"/>
          <w:highlight w:val="none"/>
        </w:rPr>
        <w:t>本人（授权代表姓名），经由（单位）（法定代表人姓名）合法授权参加（编号：</w:t>
      </w:r>
      <w:r>
        <w:rPr>
          <w:rFonts w:hint="eastAsia" w:hAnsi="宋体"/>
          <w:color w:val="auto"/>
          <w:sz w:val="24"/>
          <w:szCs w:val="24"/>
          <w:highlight w:val="none"/>
          <w:u w:val="single"/>
        </w:rPr>
        <w:t xml:space="preserve">CBZJ-         </w:t>
      </w:r>
      <w:r>
        <w:rPr>
          <w:rFonts w:hint="eastAsia" w:hAnsi="宋体"/>
          <w:color w:val="auto"/>
          <w:spacing w:val="6"/>
          <w:sz w:val="24"/>
          <w:szCs w:val="24"/>
          <w:highlight w:val="none"/>
          <w:u w:val="single"/>
        </w:rPr>
        <w:t>）</w:t>
      </w:r>
      <w:r>
        <w:rPr>
          <w:rFonts w:hint="eastAsia" w:hAnsi="宋体"/>
          <w:color w:val="auto"/>
          <w:spacing w:val="6"/>
          <w:sz w:val="24"/>
          <w:szCs w:val="24"/>
          <w:highlight w:val="none"/>
        </w:rPr>
        <w:t xml:space="preserve">政府采购活动，经与本单位法人代表（负责人）联系确认，现就有关公平竞争事项郑重声明如下： </w:t>
      </w:r>
    </w:p>
    <w:p>
      <w:pPr>
        <w:pStyle w:val="151"/>
        <w:numPr>
          <w:ilvl w:val="0"/>
          <w:numId w:val="24"/>
        </w:numPr>
        <w:snapToGrid w:val="0"/>
        <w:spacing w:beforeAutospacing="0" w:afterAutospacing="0" w:line="440" w:lineRule="exact"/>
        <w:ind w:firstLine="453" w:firstLineChars="189"/>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本单位与采购人之间 □不存在利害关系 □存在下列利害关系：</w:t>
      </w:r>
    </w:p>
    <w:p>
      <w:pPr>
        <w:pStyle w:val="151"/>
        <w:snapToGrid w:val="0"/>
        <w:spacing w:beforeAutospacing="0" w:afterAutospacing="0" w:line="44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A.投资关系    B.行政隶属关系    C.业务指导关系</w:t>
      </w:r>
    </w:p>
    <w:p>
      <w:pPr>
        <w:pStyle w:val="151"/>
        <w:snapToGrid w:val="0"/>
        <w:spacing w:beforeAutospacing="0" w:afterAutospacing="0" w:line="44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D.其他可能</w:t>
      </w:r>
      <w:r>
        <w:rPr>
          <w:rFonts w:hint="eastAsia" w:ascii="宋体" w:hAnsi="宋体" w:cs="宋体"/>
          <w:color w:val="auto"/>
          <w:sz w:val="24"/>
          <w:szCs w:val="24"/>
          <w:highlight w:val="none"/>
        </w:rPr>
        <w:t>影响采购公正的</w:t>
      </w:r>
      <w:r>
        <w:rPr>
          <w:rFonts w:hint="eastAsia" w:ascii="宋体" w:hAnsi="宋体" w:cs="宋体"/>
          <w:color w:val="auto"/>
          <w:kern w:val="0"/>
          <w:sz w:val="24"/>
          <w:szCs w:val="24"/>
          <w:highlight w:val="none"/>
        </w:rPr>
        <w:t>利害关系（如有，请如实说明） 。</w:t>
      </w:r>
    </w:p>
    <w:p>
      <w:pPr>
        <w:pStyle w:val="151"/>
        <w:numPr>
          <w:ilvl w:val="0"/>
          <w:numId w:val="24"/>
        </w:numPr>
        <w:snapToGrid w:val="0"/>
        <w:spacing w:beforeAutospacing="0" w:afterAutospacing="0" w:line="440" w:lineRule="exact"/>
        <w:ind w:firstLine="453" w:firstLineChars="189"/>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 （供应商名称）之间存在下列利害关系：</w:t>
      </w:r>
    </w:p>
    <w:p>
      <w:pPr>
        <w:pStyle w:val="188"/>
        <w:widowControl w:val="0"/>
        <w:snapToGrid w:val="0"/>
        <w:spacing w:beforeAutospacing="0" w:afterAutospacing="0" w:line="440" w:lineRule="exact"/>
        <w:jc w:val="both"/>
        <w:rPr>
          <w:rFonts w:hAnsi="宋体"/>
          <w:color w:val="auto"/>
          <w:kern w:val="0"/>
          <w:sz w:val="24"/>
          <w:szCs w:val="24"/>
          <w:highlight w:val="none"/>
        </w:rPr>
      </w:pPr>
      <w:r>
        <w:rPr>
          <w:rFonts w:hint="eastAsia" w:hAnsi="宋体"/>
          <w:color w:val="auto"/>
          <w:kern w:val="0"/>
          <w:sz w:val="24"/>
          <w:szCs w:val="24"/>
          <w:highlight w:val="none"/>
        </w:rPr>
        <w:t xml:space="preserve">  A.法定代表人或负责人或实际控制人是同一人</w:t>
      </w:r>
    </w:p>
    <w:p>
      <w:pPr>
        <w:pStyle w:val="188"/>
        <w:widowControl w:val="0"/>
        <w:snapToGrid w:val="0"/>
        <w:spacing w:beforeAutospacing="0" w:afterAutospacing="0" w:line="440" w:lineRule="exact"/>
        <w:jc w:val="both"/>
        <w:rPr>
          <w:rFonts w:hAnsi="宋体"/>
          <w:color w:val="auto"/>
          <w:spacing w:val="6"/>
          <w:sz w:val="24"/>
          <w:szCs w:val="24"/>
          <w:highlight w:val="none"/>
        </w:rPr>
      </w:pPr>
      <w:r>
        <w:rPr>
          <w:rFonts w:hint="eastAsia" w:hAnsi="宋体"/>
          <w:color w:val="auto"/>
          <w:kern w:val="0"/>
          <w:sz w:val="24"/>
          <w:szCs w:val="24"/>
          <w:highlight w:val="none"/>
        </w:rPr>
        <w:t xml:space="preserve">  B.法定代表人或负责人或实际控制人是夫妻关系</w:t>
      </w:r>
    </w:p>
    <w:p>
      <w:pPr>
        <w:pStyle w:val="188"/>
        <w:widowControl w:val="0"/>
        <w:snapToGrid w:val="0"/>
        <w:spacing w:beforeAutospacing="0" w:afterAutospacing="0" w:line="440" w:lineRule="exact"/>
        <w:jc w:val="both"/>
        <w:rPr>
          <w:rFonts w:hAnsi="宋体"/>
          <w:color w:val="auto"/>
          <w:spacing w:val="6"/>
          <w:sz w:val="24"/>
          <w:szCs w:val="24"/>
          <w:highlight w:val="none"/>
        </w:rPr>
      </w:pPr>
      <w:r>
        <w:rPr>
          <w:rFonts w:hint="eastAsia" w:hAnsi="宋体"/>
          <w:color w:val="auto"/>
          <w:kern w:val="0"/>
          <w:sz w:val="24"/>
          <w:szCs w:val="24"/>
          <w:highlight w:val="none"/>
        </w:rPr>
        <w:t xml:space="preserve">  C.法定代表人或负责人或实际控制人是直系血亲关系</w:t>
      </w:r>
    </w:p>
    <w:p>
      <w:pPr>
        <w:pStyle w:val="188"/>
        <w:widowControl w:val="0"/>
        <w:snapToGrid w:val="0"/>
        <w:spacing w:beforeAutospacing="0" w:afterAutospacing="0" w:line="440" w:lineRule="exact"/>
        <w:jc w:val="both"/>
        <w:rPr>
          <w:rFonts w:hAnsi="宋体"/>
          <w:color w:val="auto"/>
          <w:spacing w:val="6"/>
          <w:sz w:val="24"/>
          <w:szCs w:val="24"/>
          <w:highlight w:val="none"/>
        </w:rPr>
      </w:pPr>
      <w:r>
        <w:rPr>
          <w:rFonts w:hint="eastAsia" w:hAnsi="宋体"/>
          <w:color w:val="auto"/>
          <w:kern w:val="0"/>
          <w:sz w:val="24"/>
          <w:szCs w:val="24"/>
          <w:highlight w:val="none"/>
        </w:rPr>
        <w:t xml:space="preserve">  D.法定代表人或负责人或实际控制人存在三代以内旁系血亲关系</w:t>
      </w:r>
    </w:p>
    <w:p>
      <w:pPr>
        <w:pStyle w:val="188"/>
        <w:widowControl w:val="0"/>
        <w:snapToGrid w:val="0"/>
        <w:spacing w:beforeAutospacing="0" w:afterAutospacing="0" w:line="440" w:lineRule="exact"/>
        <w:jc w:val="both"/>
        <w:rPr>
          <w:rFonts w:hAnsi="宋体"/>
          <w:color w:val="auto"/>
          <w:kern w:val="0"/>
          <w:sz w:val="24"/>
          <w:szCs w:val="24"/>
          <w:highlight w:val="none"/>
        </w:rPr>
      </w:pPr>
      <w:r>
        <w:rPr>
          <w:rFonts w:hint="eastAsia" w:hAnsi="宋体"/>
          <w:color w:val="auto"/>
          <w:kern w:val="0"/>
          <w:sz w:val="24"/>
          <w:szCs w:val="24"/>
          <w:highlight w:val="none"/>
        </w:rPr>
        <w:t xml:space="preserve">  E.法定代表人或负责人或实际控制人存在近姻亲关系</w:t>
      </w:r>
    </w:p>
    <w:p>
      <w:pPr>
        <w:pStyle w:val="188"/>
        <w:widowControl w:val="0"/>
        <w:snapToGrid w:val="0"/>
        <w:spacing w:beforeAutospacing="0" w:afterAutospacing="0" w:line="440" w:lineRule="exact"/>
        <w:jc w:val="both"/>
        <w:rPr>
          <w:rFonts w:hAnsi="宋体"/>
          <w:color w:val="auto"/>
          <w:kern w:val="0"/>
          <w:sz w:val="24"/>
          <w:szCs w:val="24"/>
          <w:highlight w:val="none"/>
        </w:rPr>
      </w:pPr>
      <w:r>
        <w:rPr>
          <w:rFonts w:hint="eastAsia" w:hAnsi="宋体"/>
          <w:color w:val="auto"/>
          <w:kern w:val="0"/>
          <w:sz w:val="24"/>
          <w:szCs w:val="24"/>
          <w:highlight w:val="none"/>
        </w:rPr>
        <w:t xml:space="preserve">  F.法定代表人或负责人或实际控制人存在股份控制或实际控制关系</w:t>
      </w:r>
    </w:p>
    <w:p>
      <w:pPr>
        <w:pStyle w:val="188"/>
        <w:widowControl w:val="0"/>
        <w:snapToGrid w:val="0"/>
        <w:spacing w:beforeAutospacing="0" w:afterAutospacing="0" w:line="440" w:lineRule="exact"/>
        <w:jc w:val="both"/>
        <w:rPr>
          <w:rFonts w:hAnsi="宋体"/>
          <w:color w:val="auto"/>
          <w:kern w:val="0"/>
          <w:sz w:val="24"/>
          <w:szCs w:val="24"/>
          <w:highlight w:val="none"/>
        </w:rPr>
      </w:pPr>
      <w:r>
        <w:rPr>
          <w:rFonts w:hint="eastAsia" w:hAnsi="宋体"/>
          <w:color w:val="auto"/>
          <w:kern w:val="0"/>
          <w:sz w:val="24"/>
          <w:szCs w:val="24"/>
          <w:highlight w:val="none"/>
        </w:rPr>
        <w:t xml:space="preserve">  G.存在共同直接或间接投资设立子公司、联营企业和合营企业情况</w:t>
      </w:r>
    </w:p>
    <w:p>
      <w:pPr>
        <w:pStyle w:val="188"/>
        <w:widowControl w:val="0"/>
        <w:snapToGrid w:val="0"/>
        <w:spacing w:beforeAutospacing="0" w:afterAutospacing="0" w:line="440" w:lineRule="exact"/>
        <w:jc w:val="both"/>
        <w:rPr>
          <w:rFonts w:hAnsi="宋体"/>
          <w:color w:val="auto"/>
          <w:sz w:val="24"/>
          <w:szCs w:val="24"/>
          <w:highlight w:val="none"/>
        </w:rPr>
      </w:pPr>
      <w:r>
        <w:rPr>
          <w:rFonts w:hint="eastAsia" w:hAnsi="宋体"/>
          <w:color w:val="auto"/>
          <w:kern w:val="0"/>
          <w:sz w:val="24"/>
          <w:szCs w:val="24"/>
          <w:highlight w:val="none"/>
        </w:rPr>
        <w:t xml:space="preserve">  H.存在分级代理或代销关系、同一生产制造商关系、</w:t>
      </w:r>
      <w:r>
        <w:rPr>
          <w:rFonts w:hint="eastAsia" w:hAnsi="宋体"/>
          <w:color w:val="auto"/>
          <w:sz w:val="24"/>
          <w:szCs w:val="24"/>
          <w:highlight w:val="none"/>
        </w:rPr>
        <w:t>管理关系、重要业务（占主营业务收入50%以上）或重要财务往来关系（如融资）等其他实质性控制关系</w:t>
      </w:r>
    </w:p>
    <w:p>
      <w:pPr>
        <w:pStyle w:val="188"/>
        <w:widowControl w:val="0"/>
        <w:snapToGrid w:val="0"/>
        <w:spacing w:beforeAutospacing="0" w:afterAutospacing="0" w:line="440" w:lineRule="exact"/>
        <w:jc w:val="both"/>
        <w:rPr>
          <w:rFonts w:hAnsi="宋体"/>
          <w:color w:val="auto"/>
          <w:spacing w:val="6"/>
          <w:sz w:val="24"/>
          <w:szCs w:val="24"/>
          <w:highlight w:val="none"/>
        </w:rPr>
      </w:pPr>
      <w:r>
        <w:rPr>
          <w:rFonts w:hint="eastAsia" w:hAnsi="宋体"/>
          <w:color w:val="auto"/>
          <w:sz w:val="24"/>
          <w:szCs w:val="24"/>
          <w:highlight w:val="none"/>
        </w:rPr>
        <w:t xml:space="preserve">  I</w:t>
      </w:r>
      <w:r>
        <w:rPr>
          <w:rFonts w:hint="eastAsia" w:hAnsi="宋体"/>
          <w:color w:val="auto"/>
          <w:kern w:val="0"/>
          <w:sz w:val="24"/>
          <w:szCs w:val="24"/>
          <w:highlight w:val="none"/>
        </w:rPr>
        <w:t>.</w:t>
      </w:r>
      <w:r>
        <w:rPr>
          <w:rFonts w:hint="eastAsia" w:hAnsi="宋体"/>
          <w:color w:val="auto"/>
          <w:sz w:val="24"/>
          <w:szCs w:val="24"/>
          <w:highlight w:val="none"/>
        </w:rPr>
        <w:t>其他利害关系情况</w:t>
      </w:r>
      <w:r>
        <w:rPr>
          <w:rFonts w:hint="eastAsia" w:hAnsi="宋体"/>
          <w:color w:val="auto"/>
          <w:kern w:val="0"/>
          <w:sz w:val="24"/>
          <w:szCs w:val="24"/>
          <w:highlight w:val="none"/>
        </w:rPr>
        <w:t>。</w:t>
      </w:r>
    </w:p>
    <w:p>
      <w:pPr>
        <w:pStyle w:val="151"/>
        <w:numPr>
          <w:ilvl w:val="0"/>
          <w:numId w:val="25"/>
        </w:numPr>
        <w:snapToGrid w:val="0"/>
        <w:spacing w:beforeAutospacing="0" w:afterAutospacing="0" w:line="440" w:lineRule="exact"/>
        <w:ind w:firstLine="453" w:firstLineChars="189"/>
        <w:rPr>
          <w:rFonts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pPr>
        <w:pStyle w:val="151"/>
        <w:numPr>
          <w:ilvl w:val="0"/>
          <w:numId w:val="25"/>
        </w:numPr>
        <w:snapToGrid w:val="0"/>
        <w:spacing w:beforeAutospacing="0" w:afterAutospacing="0" w:line="440" w:lineRule="exact"/>
        <w:ind w:firstLine="453" w:firstLineChars="189"/>
        <w:rPr>
          <w:rFonts w:ascii="宋体" w:hAnsi="宋体" w:cs="宋体"/>
          <w:color w:val="auto"/>
          <w:sz w:val="24"/>
          <w:szCs w:val="24"/>
          <w:highlight w:val="none"/>
        </w:rPr>
      </w:pPr>
      <w:r>
        <w:rPr>
          <w:rFonts w:hint="eastAsia" w:ascii="宋体" w:hAnsi="宋体" w:cs="宋体"/>
          <w:color w:val="auto"/>
          <w:kern w:val="0"/>
          <w:sz w:val="24"/>
          <w:szCs w:val="24"/>
          <w:highlight w:val="none"/>
        </w:rPr>
        <w:t>我发现供应商之间存在或可能存在上述第二条第项利害关系。</w:t>
      </w:r>
    </w:p>
    <w:p>
      <w:pPr>
        <w:pStyle w:val="188"/>
        <w:widowControl w:val="0"/>
        <w:snapToGrid w:val="0"/>
        <w:spacing w:beforeAutospacing="0" w:afterAutospacing="0" w:line="440" w:lineRule="exact"/>
        <w:ind w:firstLine="480" w:firstLineChars="200"/>
        <w:jc w:val="both"/>
        <w:rPr>
          <w:rFonts w:hAnsi="宋体"/>
          <w:color w:val="auto"/>
          <w:sz w:val="24"/>
          <w:szCs w:val="24"/>
          <w:highlight w:val="none"/>
        </w:rPr>
      </w:pPr>
      <w:r>
        <w:rPr>
          <w:rFonts w:hint="eastAsia" w:hAnsi="宋体"/>
          <w:color w:val="auto"/>
          <w:sz w:val="24"/>
          <w:szCs w:val="24"/>
          <w:highlight w:val="none"/>
        </w:rPr>
        <w:t xml:space="preserve">                                    （供应商代表签名）：</w:t>
      </w:r>
    </w:p>
    <w:p>
      <w:pPr>
        <w:pStyle w:val="188"/>
        <w:widowControl w:val="0"/>
        <w:snapToGrid w:val="0"/>
        <w:spacing w:beforeAutospacing="0" w:afterAutospacing="0" w:line="440" w:lineRule="exact"/>
        <w:ind w:firstLine="480" w:firstLineChars="200"/>
        <w:jc w:val="both"/>
        <w:rPr>
          <w:rFonts w:hAnsi="宋体"/>
          <w:color w:val="auto"/>
          <w:highlight w:val="none"/>
        </w:rPr>
      </w:pPr>
      <w:r>
        <w:rPr>
          <w:rFonts w:hint="eastAsia" w:hAnsi="宋体"/>
          <w:color w:val="auto"/>
          <w:sz w:val="24"/>
          <w:szCs w:val="24"/>
          <w:highlight w:val="none"/>
        </w:rPr>
        <w:t xml:space="preserve">                                      </w:t>
      </w:r>
      <w:r>
        <w:rPr>
          <w:rFonts w:hint="eastAsia" w:hAnsi="宋体"/>
          <w:color w:val="auto"/>
          <w:sz w:val="24"/>
          <w:szCs w:val="24"/>
          <w:highlight w:val="none"/>
          <w:lang w:eastAsia="zh-CN"/>
        </w:rPr>
        <w:t>2023</w:t>
      </w:r>
      <w:r>
        <w:rPr>
          <w:rFonts w:hint="eastAsia" w:hAnsi="宋体"/>
          <w:color w:val="auto"/>
          <w:sz w:val="24"/>
          <w:szCs w:val="24"/>
          <w:highlight w:val="none"/>
        </w:rPr>
        <w:t>年  月  日</w:t>
      </w:r>
    </w:p>
    <w:p>
      <w:pPr>
        <w:spacing w:beforeAutospacing="0" w:afterAutospacing="0" w:line="360" w:lineRule="auto"/>
        <w:rPr>
          <w:rFonts w:ascii="宋体" w:hAnsi="宋体" w:cs="宋体"/>
          <w:color w:val="auto"/>
          <w:highlight w:val="none"/>
        </w:rPr>
      </w:pPr>
    </w:p>
    <w:sectPr>
      <w:footerReference r:id="rId6" w:type="default"/>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81E8"/>
    <w:multiLevelType w:val="singleLevel"/>
    <w:tmpl w:val="81A281E8"/>
    <w:lvl w:ilvl="0" w:tentative="0">
      <w:start w:val="1"/>
      <w:numFmt w:val="decimal"/>
      <w:suff w:val="nothing"/>
      <w:lvlText w:val="（%1）"/>
      <w:lvlJc w:val="left"/>
    </w:lvl>
  </w:abstractNum>
  <w:abstractNum w:abstractNumId="1">
    <w:nsid w:val="B46A8E93"/>
    <w:multiLevelType w:val="singleLevel"/>
    <w:tmpl w:val="B46A8E93"/>
    <w:lvl w:ilvl="0" w:tentative="0">
      <w:start w:val="1"/>
      <w:numFmt w:val="decimal"/>
      <w:suff w:val="nothing"/>
      <w:lvlText w:val="（%1）"/>
      <w:lvlJc w:val="left"/>
    </w:lvl>
  </w:abstractNum>
  <w:abstractNum w:abstractNumId="2">
    <w:nsid w:val="C1BB2992"/>
    <w:multiLevelType w:val="multilevel"/>
    <w:tmpl w:val="C1BB2992"/>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FAEDB828"/>
    <w:multiLevelType w:val="singleLevel"/>
    <w:tmpl w:val="FAEDB828"/>
    <w:lvl w:ilvl="0" w:tentative="0">
      <w:start w:val="1"/>
      <w:numFmt w:val="decimal"/>
      <w:suff w:val="nothing"/>
      <w:lvlText w:val="（%1）"/>
      <w:lvlJc w:val="left"/>
    </w:lvl>
  </w:abstractNum>
  <w:abstractNum w:abstractNumId="4">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6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1"/>
    <w:multiLevelType w:val="multilevel"/>
    <w:tmpl w:val="00000011"/>
    <w:lvl w:ilvl="0" w:tentative="0">
      <w:start w:val="1"/>
      <w:numFmt w:val="decimal"/>
      <w:pStyle w:val="16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4"/>
    <w:multiLevelType w:val="singleLevel"/>
    <w:tmpl w:val="00000014"/>
    <w:lvl w:ilvl="0" w:tentative="0">
      <w:start w:val="5"/>
      <w:numFmt w:val="chineseCounting"/>
      <w:suff w:val="nothing"/>
      <w:lvlText w:val="%1、"/>
      <w:lvlJc w:val="left"/>
    </w:lvl>
  </w:abstractNum>
  <w:abstractNum w:abstractNumId="7">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48"/>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8">
    <w:nsid w:val="00000020"/>
    <w:multiLevelType w:val="singleLevel"/>
    <w:tmpl w:val="00000020"/>
    <w:lvl w:ilvl="0" w:tentative="0">
      <w:start w:val="1"/>
      <w:numFmt w:val="chineseCounting"/>
      <w:suff w:val="nothing"/>
      <w:lvlText w:val="（%1）"/>
      <w:lvlJc w:val="left"/>
    </w:lvl>
  </w:abstractNum>
  <w:abstractNum w:abstractNumId="9">
    <w:nsid w:val="00000022"/>
    <w:multiLevelType w:val="multilevel"/>
    <w:tmpl w:val="00000022"/>
    <w:lvl w:ilvl="0" w:tentative="0">
      <w:start w:val="1"/>
      <w:numFmt w:val="decimal"/>
      <w:pStyle w:val="22"/>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0">
    <w:nsid w:val="00000023"/>
    <w:multiLevelType w:val="singleLevel"/>
    <w:tmpl w:val="00000023"/>
    <w:lvl w:ilvl="0" w:tentative="0">
      <w:start w:val="1"/>
      <w:numFmt w:val="decimal"/>
      <w:lvlText w:val="%1."/>
      <w:lvlJc w:val="left"/>
      <w:pPr>
        <w:tabs>
          <w:tab w:val="left" w:pos="312"/>
        </w:tabs>
      </w:pPr>
    </w:lvl>
  </w:abstractNum>
  <w:abstractNum w:abstractNumId="11">
    <w:nsid w:val="00000024"/>
    <w:multiLevelType w:val="multilevel"/>
    <w:tmpl w:val="00000024"/>
    <w:lvl w:ilvl="0" w:tentative="0">
      <w:start w:val="1"/>
      <w:numFmt w:val="decimal"/>
      <w:pStyle w:val="184"/>
      <w:suff w:val="nothing"/>
      <w:lvlText w:val="%1　"/>
      <w:lvlJc w:val="left"/>
      <w:pPr>
        <w:tabs>
          <w:tab w:val="left" w:pos="0"/>
        </w:tabs>
        <w:ind w:left="105" w:firstLine="0"/>
      </w:pPr>
      <w:rPr>
        <w:rFonts w:ascii="Times New Roman" w:hAnsi="Times New Roman" w:cs="Times New Roman"/>
        <w:b w:val="0"/>
        <w:bCs w:val="0"/>
        <w:iCs w:val="0"/>
        <w:outline w:val="0"/>
        <w:vanish/>
        <w:color w:val="000000"/>
        <w:spacing w:val="0"/>
        <w:w w:val="0"/>
        <w:kern w:val="0"/>
        <w:szCs w:val="0"/>
        <w:u w:val="none"/>
      </w:rPr>
    </w:lvl>
    <w:lvl w:ilvl="1" w:tentative="0">
      <w:start w:val="1"/>
      <w:numFmt w:val="decimal"/>
      <w:suff w:val="nothing"/>
      <w:lvlText w:val="%1.%2　"/>
      <w:lvlJc w:val="left"/>
      <w:pPr>
        <w:tabs>
          <w:tab w:val="left" w:pos="0"/>
        </w:tabs>
        <w:ind w:left="0" w:firstLine="0"/>
      </w:pPr>
      <w:rPr>
        <w:rFonts w:ascii="Times New Roman" w:hAnsi="Times New Roman" w:cs="Times New Roman"/>
        <w:b w:val="0"/>
        <w:bCs w:val="0"/>
        <w:iCs w:val="0"/>
        <w:outline w:val="0"/>
        <w:vanish/>
        <w:color w:val="000000"/>
        <w:spacing w:val="0"/>
        <w:w w:val="0"/>
        <w:ker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2">
    <w:nsid w:val="00000025"/>
    <w:multiLevelType w:val="singleLevel"/>
    <w:tmpl w:val="00000025"/>
    <w:lvl w:ilvl="0" w:tentative="0">
      <w:start w:val="1"/>
      <w:numFmt w:val="decimal"/>
      <w:suff w:val="nothing"/>
      <w:lvlText w:val="（%1）"/>
      <w:lvlJc w:val="left"/>
    </w:lvl>
  </w:abstractNum>
  <w:abstractNum w:abstractNumId="13">
    <w:nsid w:val="01241E20"/>
    <w:multiLevelType w:val="singleLevel"/>
    <w:tmpl w:val="01241E20"/>
    <w:lvl w:ilvl="0" w:tentative="0">
      <w:start w:val="2"/>
      <w:numFmt w:val="chineseCounting"/>
      <w:suff w:val="nothing"/>
      <w:lvlText w:val="%1、"/>
      <w:lvlJc w:val="left"/>
      <w:rPr>
        <w:rFonts w:hint="eastAsia"/>
      </w:rPr>
    </w:lvl>
  </w:abstractNum>
  <w:abstractNum w:abstractNumId="14">
    <w:nsid w:val="15AE74FA"/>
    <w:multiLevelType w:val="singleLevel"/>
    <w:tmpl w:val="15AE74FA"/>
    <w:lvl w:ilvl="0" w:tentative="0">
      <w:start w:val="1"/>
      <w:numFmt w:val="decimal"/>
      <w:suff w:val="nothing"/>
      <w:lvlText w:val="（%1）"/>
      <w:lvlJc w:val="left"/>
      <w:rPr>
        <w:rFonts w:hint="default"/>
        <w:b w:val="0"/>
        <w:bCs w:val="0"/>
      </w:rPr>
    </w:lvl>
  </w:abstractNum>
  <w:abstractNum w:abstractNumId="15">
    <w:nsid w:val="27B78F41"/>
    <w:multiLevelType w:val="multilevel"/>
    <w:tmpl w:val="27B78F41"/>
    <w:lvl w:ilvl="0" w:tentative="0">
      <w:start w:val="5"/>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29D120CC"/>
    <w:multiLevelType w:val="singleLevel"/>
    <w:tmpl w:val="29D120CC"/>
    <w:lvl w:ilvl="0" w:tentative="0">
      <w:start w:val="1"/>
      <w:numFmt w:val="decimal"/>
      <w:suff w:val="nothing"/>
      <w:lvlText w:val="（%1）"/>
      <w:lvlJc w:val="left"/>
    </w:lvl>
  </w:abstractNum>
  <w:abstractNum w:abstractNumId="17">
    <w:nsid w:val="3CD8BFBE"/>
    <w:multiLevelType w:val="singleLevel"/>
    <w:tmpl w:val="3CD8BFBE"/>
    <w:lvl w:ilvl="0" w:tentative="0">
      <w:start w:val="1"/>
      <w:numFmt w:val="decimal"/>
      <w:suff w:val="nothing"/>
      <w:lvlText w:val="（%1）"/>
      <w:lvlJc w:val="left"/>
    </w:lvl>
  </w:abstractNum>
  <w:abstractNum w:abstractNumId="18">
    <w:nsid w:val="54F403B5"/>
    <w:multiLevelType w:val="singleLevel"/>
    <w:tmpl w:val="54F403B5"/>
    <w:lvl w:ilvl="0" w:tentative="0">
      <w:start w:val="1"/>
      <w:numFmt w:val="chineseCounting"/>
      <w:suff w:val="nothing"/>
      <w:lvlText w:val="%1、"/>
      <w:lvlJc w:val="left"/>
    </w:lvl>
  </w:abstractNum>
  <w:abstractNum w:abstractNumId="19">
    <w:nsid w:val="557FD3DA"/>
    <w:multiLevelType w:val="singleLevel"/>
    <w:tmpl w:val="557FD3DA"/>
    <w:lvl w:ilvl="0" w:tentative="0">
      <w:start w:val="3"/>
      <w:numFmt w:val="chineseCounting"/>
      <w:suff w:val="nothing"/>
      <w:lvlText w:val="%1、"/>
      <w:lvlJc w:val="left"/>
    </w:lvl>
  </w:abstractNum>
  <w:abstractNum w:abstractNumId="20">
    <w:nsid w:val="589A2FD8"/>
    <w:multiLevelType w:val="singleLevel"/>
    <w:tmpl w:val="589A2FD8"/>
    <w:lvl w:ilvl="0" w:tentative="0">
      <w:start w:val="1"/>
      <w:numFmt w:val="decimal"/>
      <w:suff w:val="nothing"/>
      <w:lvlText w:val="（%1）"/>
      <w:lvlJc w:val="left"/>
    </w:lvl>
  </w:abstractNum>
  <w:abstractNum w:abstractNumId="21">
    <w:nsid w:val="59F1C7B7"/>
    <w:multiLevelType w:val="singleLevel"/>
    <w:tmpl w:val="59F1C7B7"/>
    <w:lvl w:ilvl="0" w:tentative="0">
      <w:start w:val="4"/>
      <w:numFmt w:val="chineseCounting"/>
      <w:suff w:val="nothing"/>
      <w:lvlText w:val="（%1）"/>
      <w:lvlJc w:val="left"/>
    </w:lvl>
  </w:abstractNum>
  <w:abstractNum w:abstractNumId="22">
    <w:nsid w:val="59F56D91"/>
    <w:multiLevelType w:val="singleLevel"/>
    <w:tmpl w:val="59F56D91"/>
    <w:lvl w:ilvl="0" w:tentative="0">
      <w:start w:val="1"/>
      <w:numFmt w:val="decimal"/>
      <w:suff w:val="nothing"/>
      <w:lvlText w:val="（%1）"/>
      <w:lvlJc w:val="left"/>
    </w:lvl>
  </w:abstractNum>
  <w:abstractNum w:abstractNumId="23">
    <w:nsid w:val="59FEDFBD"/>
    <w:multiLevelType w:val="multilevel"/>
    <w:tmpl w:val="59FEDFBD"/>
    <w:lvl w:ilvl="0" w:tentative="0">
      <w:start w:val="1"/>
      <w:numFmt w:val="decimal"/>
      <w:suff w:val="nothing"/>
      <w:lvlText w:val="（%1）"/>
      <w:lvlJc w:val="left"/>
      <w:pPr>
        <w:ind w:left="0" w:firstLine="0"/>
      </w:pPr>
      <w:rPr>
        <w:rFonts w:hint="default" w:ascii="Times New Roman"/>
        <w:u w:val="none"/>
      </w:rPr>
    </w:lvl>
    <w:lvl w:ilvl="1" w:tentative="0">
      <w:start w:val="1"/>
      <w:numFmt w:val="decimal"/>
      <w:lvlText w:val="%2."/>
      <w:lvlJc w:val="left"/>
      <w:pPr>
        <w:tabs>
          <w:tab w:val="left" w:pos="1440"/>
        </w:tabs>
        <w:ind w:left="1440" w:hanging="360"/>
      </w:pPr>
      <w:rPr>
        <w:rFonts w:hint="default" w:ascii="Times New Roman"/>
        <w:u w:val="none"/>
      </w:rPr>
    </w:lvl>
    <w:lvl w:ilvl="2" w:tentative="0">
      <w:start w:val="1"/>
      <w:numFmt w:val="decimal"/>
      <w:lvlText w:val="%3."/>
      <w:lvlJc w:val="left"/>
      <w:pPr>
        <w:tabs>
          <w:tab w:val="left" w:pos="2160"/>
        </w:tabs>
        <w:ind w:left="2160" w:hanging="360"/>
      </w:pPr>
      <w:rPr>
        <w:rFonts w:hint="default" w:ascii="Times New Roman"/>
        <w:u w:val="none"/>
      </w:rPr>
    </w:lvl>
    <w:lvl w:ilvl="3" w:tentative="0">
      <w:start w:val="1"/>
      <w:numFmt w:val="decimal"/>
      <w:lvlText w:val="%4."/>
      <w:lvlJc w:val="left"/>
      <w:pPr>
        <w:tabs>
          <w:tab w:val="left" w:pos="2880"/>
        </w:tabs>
        <w:ind w:left="2880" w:hanging="360"/>
      </w:pPr>
      <w:rPr>
        <w:rFonts w:hint="default" w:ascii="Times New Roman"/>
        <w:u w:val="none"/>
      </w:rPr>
    </w:lvl>
    <w:lvl w:ilvl="4" w:tentative="0">
      <w:start w:val="1"/>
      <w:numFmt w:val="decimal"/>
      <w:lvlText w:val="%5."/>
      <w:lvlJc w:val="left"/>
      <w:pPr>
        <w:tabs>
          <w:tab w:val="left" w:pos="3600"/>
        </w:tabs>
        <w:ind w:left="3600" w:hanging="360"/>
      </w:pPr>
      <w:rPr>
        <w:rFonts w:hint="default" w:ascii="Times New Roman"/>
        <w:u w:val="none"/>
      </w:rPr>
    </w:lvl>
    <w:lvl w:ilvl="5" w:tentative="0">
      <w:start w:val="1"/>
      <w:numFmt w:val="decimal"/>
      <w:lvlText w:val="%6."/>
      <w:lvlJc w:val="left"/>
      <w:pPr>
        <w:tabs>
          <w:tab w:val="left" w:pos="4320"/>
        </w:tabs>
        <w:ind w:left="4320" w:hanging="360"/>
      </w:pPr>
      <w:rPr>
        <w:rFonts w:hint="default" w:ascii="Times New Roman"/>
        <w:u w:val="none"/>
      </w:rPr>
    </w:lvl>
    <w:lvl w:ilvl="6" w:tentative="0">
      <w:start w:val="1"/>
      <w:numFmt w:val="decimal"/>
      <w:lvlText w:val="%7."/>
      <w:lvlJc w:val="left"/>
      <w:pPr>
        <w:tabs>
          <w:tab w:val="left" w:pos="5040"/>
        </w:tabs>
        <w:ind w:left="5040" w:hanging="360"/>
      </w:pPr>
      <w:rPr>
        <w:rFonts w:hint="default" w:ascii="Times New Roman"/>
        <w:u w:val="none"/>
      </w:rPr>
    </w:lvl>
    <w:lvl w:ilvl="7" w:tentative="0">
      <w:start w:val="1"/>
      <w:numFmt w:val="decimal"/>
      <w:lvlText w:val="%8."/>
      <w:lvlJc w:val="left"/>
      <w:pPr>
        <w:tabs>
          <w:tab w:val="left" w:pos="5760"/>
        </w:tabs>
        <w:ind w:left="5760" w:hanging="360"/>
      </w:pPr>
      <w:rPr>
        <w:rFonts w:hint="default" w:ascii="Times New Roman"/>
        <w:u w:val="none"/>
      </w:rPr>
    </w:lvl>
    <w:lvl w:ilvl="8" w:tentative="0">
      <w:start w:val="1"/>
      <w:numFmt w:val="decimal"/>
      <w:lvlText w:val="%9."/>
      <w:lvlJc w:val="left"/>
      <w:pPr>
        <w:tabs>
          <w:tab w:val="left" w:pos="6480"/>
        </w:tabs>
        <w:ind w:left="6480" w:hanging="360"/>
      </w:pPr>
      <w:rPr>
        <w:rFonts w:hint="default" w:ascii="Times New Roman"/>
        <w:u w:val="none"/>
      </w:rPr>
    </w:lvl>
  </w:abstractNum>
  <w:abstractNum w:abstractNumId="24">
    <w:nsid w:val="5CCBB05D"/>
    <w:multiLevelType w:val="singleLevel"/>
    <w:tmpl w:val="5CCBB05D"/>
    <w:lvl w:ilvl="0" w:tentative="0">
      <w:start w:val="4"/>
      <w:numFmt w:val="decimal"/>
      <w:suff w:val="nothing"/>
      <w:lvlText w:val="%1、"/>
      <w:lvlJc w:val="left"/>
    </w:lvl>
  </w:abstractNum>
  <w:num w:numId="1">
    <w:abstractNumId w:val="9"/>
  </w:num>
  <w:num w:numId="2">
    <w:abstractNumId w:val="7"/>
  </w:num>
  <w:num w:numId="3">
    <w:abstractNumId w:val="5"/>
  </w:num>
  <w:num w:numId="4">
    <w:abstractNumId w:val="4"/>
  </w:num>
  <w:num w:numId="5">
    <w:abstractNumId w:val="11"/>
  </w:num>
  <w:num w:numId="6">
    <w:abstractNumId w:val="12"/>
  </w:num>
  <w:num w:numId="7">
    <w:abstractNumId w:val="13"/>
  </w:num>
  <w:num w:numId="8">
    <w:abstractNumId w:val="1"/>
  </w:num>
  <w:num w:numId="9">
    <w:abstractNumId w:val="24"/>
  </w:num>
  <w:num w:numId="10">
    <w:abstractNumId w:val="20"/>
  </w:num>
  <w:num w:numId="11">
    <w:abstractNumId w:val="10"/>
  </w:num>
  <w:num w:numId="12">
    <w:abstractNumId w:val="22"/>
  </w:num>
  <w:num w:numId="13">
    <w:abstractNumId w:val="3"/>
  </w:num>
  <w:num w:numId="14">
    <w:abstractNumId w:val="17"/>
  </w:num>
  <w:num w:numId="15">
    <w:abstractNumId w:val="16"/>
  </w:num>
  <w:num w:numId="16">
    <w:abstractNumId w:val="15"/>
  </w:num>
  <w:num w:numId="17">
    <w:abstractNumId w:val="6"/>
  </w:num>
  <w:num w:numId="18">
    <w:abstractNumId w:val="8"/>
  </w:num>
  <w:num w:numId="19">
    <w:abstractNumId w:val="21"/>
  </w:num>
  <w:num w:numId="20">
    <w:abstractNumId w:val="14"/>
  </w:num>
  <w:num w:numId="21">
    <w:abstractNumId w:val="2"/>
  </w:num>
  <w:num w:numId="22">
    <w:abstractNumId w:val="0"/>
  </w:num>
  <w:num w:numId="23">
    <w:abstractNumId w:val="23"/>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ZmRmZWEwZTc0MGE0MmZiMzEzOWJiNzViNDE0OTUifQ=="/>
    <w:docVar w:name="KSO_WPS_MARK_KEY" w:val="a9e3eecc-5c7e-4413-a20c-2bd87c34cff7"/>
  </w:docVars>
  <w:rsids>
    <w:rsidRoot w:val="00172A27"/>
    <w:rsid w:val="00001819"/>
    <w:rsid w:val="00003736"/>
    <w:rsid w:val="00043C49"/>
    <w:rsid w:val="00043E46"/>
    <w:rsid w:val="00046D02"/>
    <w:rsid w:val="0007724A"/>
    <w:rsid w:val="0008353B"/>
    <w:rsid w:val="000B4944"/>
    <w:rsid w:val="000C44A5"/>
    <w:rsid w:val="000E10E7"/>
    <w:rsid w:val="000E34C5"/>
    <w:rsid w:val="000E6B30"/>
    <w:rsid w:val="000E7E2D"/>
    <w:rsid w:val="00103884"/>
    <w:rsid w:val="00106F98"/>
    <w:rsid w:val="00112ECA"/>
    <w:rsid w:val="00122DA1"/>
    <w:rsid w:val="001355D8"/>
    <w:rsid w:val="001356C6"/>
    <w:rsid w:val="001437E8"/>
    <w:rsid w:val="00143E60"/>
    <w:rsid w:val="001512F0"/>
    <w:rsid w:val="001541A3"/>
    <w:rsid w:val="00172A27"/>
    <w:rsid w:val="00173C4C"/>
    <w:rsid w:val="00173CBF"/>
    <w:rsid w:val="001758AD"/>
    <w:rsid w:val="001778D6"/>
    <w:rsid w:val="001905D8"/>
    <w:rsid w:val="001A0375"/>
    <w:rsid w:val="001A5C76"/>
    <w:rsid w:val="001B2E7F"/>
    <w:rsid w:val="001B521D"/>
    <w:rsid w:val="001C11AA"/>
    <w:rsid w:val="001C2EF2"/>
    <w:rsid w:val="001C6605"/>
    <w:rsid w:val="001C70B5"/>
    <w:rsid w:val="001D0E58"/>
    <w:rsid w:val="001E3E44"/>
    <w:rsid w:val="00210449"/>
    <w:rsid w:val="00215A54"/>
    <w:rsid w:val="00223AFA"/>
    <w:rsid w:val="00243730"/>
    <w:rsid w:val="00245817"/>
    <w:rsid w:val="00255A5F"/>
    <w:rsid w:val="0025694B"/>
    <w:rsid w:val="00274BF9"/>
    <w:rsid w:val="00280CAB"/>
    <w:rsid w:val="002839CD"/>
    <w:rsid w:val="002925B0"/>
    <w:rsid w:val="002C12CC"/>
    <w:rsid w:val="002C755B"/>
    <w:rsid w:val="002F3B87"/>
    <w:rsid w:val="00314C94"/>
    <w:rsid w:val="0033238B"/>
    <w:rsid w:val="00342694"/>
    <w:rsid w:val="00347105"/>
    <w:rsid w:val="00366FCF"/>
    <w:rsid w:val="003767A6"/>
    <w:rsid w:val="00382EE0"/>
    <w:rsid w:val="0038578D"/>
    <w:rsid w:val="003B39BC"/>
    <w:rsid w:val="003C0AF4"/>
    <w:rsid w:val="003C1CF4"/>
    <w:rsid w:val="003C63AB"/>
    <w:rsid w:val="003C7FA7"/>
    <w:rsid w:val="003D3F33"/>
    <w:rsid w:val="00400F93"/>
    <w:rsid w:val="004105DA"/>
    <w:rsid w:val="004200E3"/>
    <w:rsid w:val="0042033A"/>
    <w:rsid w:val="00445EAF"/>
    <w:rsid w:val="004759B9"/>
    <w:rsid w:val="00485360"/>
    <w:rsid w:val="00487A88"/>
    <w:rsid w:val="00493874"/>
    <w:rsid w:val="004A3785"/>
    <w:rsid w:val="004A45A9"/>
    <w:rsid w:val="004C1A6A"/>
    <w:rsid w:val="004C1FEF"/>
    <w:rsid w:val="004D2BAC"/>
    <w:rsid w:val="004E1C49"/>
    <w:rsid w:val="004E4692"/>
    <w:rsid w:val="00537B6F"/>
    <w:rsid w:val="00541A53"/>
    <w:rsid w:val="00544F38"/>
    <w:rsid w:val="00574888"/>
    <w:rsid w:val="005801B8"/>
    <w:rsid w:val="005B1DCD"/>
    <w:rsid w:val="005B4C1A"/>
    <w:rsid w:val="005B578C"/>
    <w:rsid w:val="005C18F9"/>
    <w:rsid w:val="005C5E32"/>
    <w:rsid w:val="005F5FF4"/>
    <w:rsid w:val="0060060A"/>
    <w:rsid w:val="00620B78"/>
    <w:rsid w:val="00640E10"/>
    <w:rsid w:val="00645646"/>
    <w:rsid w:val="006521F0"/>
    <w:rsid w:val="00665A31"/>
    <w:rsid w:val="00674F90"/>
    <w:rsid w:val="00683347"/>
    <w:rsid w:val="00691BB2"/>
    <w:rsid w:val="006B7A2E"/>
    <w:rsid w:val="006D12DA"/>
    <w:rsid w:val="006D2B52"/>
    <w:rsid w:val="006E3201"/>
    <w:rsid w:val="0070033A"/>
    <w:rsid w:val="00706ED8"/>
    <w:rsid w:val="00712DDA"/>
    <w:rsid w:val="0071693A"/>
    <w:rsid w:val="00716A2F"/>
    <w:rsid w:val="00726C60"/>
    <w:rsid w:val="007501E1"/>
    <w:rsid w:val="007546C9"/>
    <w:rsid w:val="007852CF"/>
    <w:rsid w:val="0078749A"/>
    <w:rsid w:val="007A2F69"/>
    <w:rsid w:val="007A3668"/>
    <w:rsid w:val="007B26AA"/>
    <w:rsid w:val="007B5E19"/>
    <w:rsid w:val="007C5698"/>
    <w:rsid w:val="007E46F3"/>
    <w:rsid w:val="007E7997"/>
    <w:rsid w:val="008013B2"/>
    <w:rsid w:val="00801C61"/>
    <w:rsid w:val="00805004"/>
    <w:rsid w:val="0083101D"/>
    <w:rsid w:val="008315A1"/>
    <w:rsid w:val="00863D5D"/>
    <w:rsid w:val="008676E9"/>
    <w:rsid w:val="00873860"/>
    <w:rsid w:val="00875E0B"/>
    <w:rsid w:val="008939BB"/>
    <w:rsid w:val="00895E29"/>
    <w:rsid w:val="008A17C8"/>
    <w:rsid w:val="008B5158"/>
    <w:rsid w:val="008D04C4"/>
    <w:rsid w:val="008D7C97"/>
    <w:rsid w:val="008E3289"/>
    <w:rsid w:val="008E6F9C"/>
    <w:rsid w:val="00903054"/>
    <w:rsid w:val="00913682"/>
    <w:rsid w:val="00923892"/>
    <w:rsid w:val="00927078"/>
    <w:rsid w:val="00942C1A"/>
    <w:rsid w:val="009467E3"/>
    <w:rsid w:val="009625B4"/>
    <w:rsid w:val="00966B99"/>
    <w:rsid w:val="00986118"/>
    <w:rsid w:val="009901B5"/>
    <w:rsid w:val="009A148C"/>
    <w:rsid w:val="009A73BE"/>
    <w:rsid w:val="009C7F34"/>
    <w:rsid w:val="009D6C21"/>
    <w:rsid w:val="009E39FD"/>
    <w:rsid w:val="009F4379"/>
    <w:rsid w:val="00A20E0A"/>
    <w:rsid w:val="00A238F6"/>
    <w:rsid w:val="00A4023F"/>
    <w:rsid w:val="00A735DA"/>
    <w:rsid w:val="00A758AE"/>
    <w:rsid w:val="00A762E1"/>
    <w:rsid w:val="00A870B5"/>
    <w:rsid w:val="00A87D04"/>
    <w:rsid w:val="00AA375A"/>
    <w:rsid w:val="00AA480D"/>
    <w:rsid w:val="00AB06EA"/>
    <w:rsid w:val="00AE3382"/>
    <w:rsid w:val="00B20AE6"/>
    <w:rsid w:val="00B2200A"/>
    <w:rsid w:val="00B34B71"/>
    <w:rsid w:val="00B41730"/>
    <w:rsid w:val="00B562C2"/>
    <w:rsid w:val="00B60CEA"/>
    <w:rsid w:val="00B6106B"/>
    <w:rsid w:val="00B76AA1"/>
    <w:rsid w:val="00BC08EC"/>
    <w:rsid w:val="00BD4120"/>
    <w:rsid w:val="00BF7353"/>
    <w:rsid w:val="00C012F3"/>
    <w:rsid w:val="00C10A97"/>
    <w:rsid w:val="00C14EFF"/>
    <w:rsid w:val="00C26292"/>
    <w:rsid w:val="00C31180"/>
    <w:rsid w:val="00C31C52"/>
    <w:rsid w:val="00C51A3A"/>
    <w:rsid w:val="00C52CF8"/>
    <w:rsid w:val="00C55D6C"/>
    <w:rsid w:val="00C6715C"/>
    <w:rsid w:val="00C675CF"/>
    <w:rsid w:val="00C9038E"/>
    <w:rsid w:val="00CA13A3"/>
    <w:rsid w:val="00CB2CDC"/>
    <w:rsid w:val="00CE1180"/>
    <w:rsid w:val="00CE5C1A"/>
    <w:rsid w:val="00CF4173"/>
    <w:rsid w:val="00D34207"/>
    <w:rsid w:val="00D57DCD"/>
    <w:rsid w:val="00D62FA5"/>
    <w:rsid w:val="00D81EAA"/>
    <w:rsid w:val="00D866B8"/>
    <w:rsid w:val="00D944CE"/>
    <w:rsid w:val="00D96667"/>
    <w:rsid w:val="00DE4F4F"/>
    <w:rsid w:val="00DF509C"/>
    <w:rsid w:val="00E022F1"/>
    <w:rsid w:val="00E1120F"/>
    <w:rsid w:val="00E25796"/>
    <w:rsid w:val="00E56199"/>
    <w:rsid w:val="00E61B6D"/>
    <w:rsid w:val="00E709C6"/>
    <w:rsid w:val="00E87A35"/>
    <w:rsid w:val="00E87AF1"/>
    <w:rsid w:val="00E90FD0"/>
    <w:rsid w:val="00E96A5A"/>
    <w:rsid w:val="00EA463E"/>
    <w:rsid w:val="00EB26FE"/>
    <w:rsid w:val="00EB35E1"/>
    <w:rsid w:val="00EB6490"/>
    <w:rsid w:val="00EB678F"/>
    <w:rsid w:val="00EE4998"/>
    <w:rsid w:val="00EF2DF5"/>
    <w:rsid w:val="00F02EAE"/>
    <w:rsid w:val="00F04145"/>
    <w:rsid w:val="00F07786"/>
    <w:rsid w:val="00F27203"/>
    <w:rsid w:val="00F416F4"/>
    <w:rsid w:val="00F47FE2"/>
    <w:rsid w:val="00F51466"/>
    <w:rsid w:val="00F71A3E"/>
    <w:rsid w:val="00FE35DC"/>
    <w:rsid w:val="00FF1B26"/>
    <w:rsid w:val="01541287"/>
    <w:rsid w:val="015979C3"/>
    <w:rsid w:val="016E6A64"/>
    <w:rsid w:val="018F52CB"/>
    <w:rsid w:val="01FF2CC4"/>
    <w:rsid w:val="022B55EB"/>
    <w:rsid w:val="023A2572"/>
    <w:rsid w:val="02610A25"/>
    <w:rsid w:val="026704F1"/>
    <w:rsid w:val="02982FFD"/>
    <w:rsid w:val="02D81974"/>
    <w:rsid w:val="031646D2"/>
    <w:rsid w:val="033414DB"/>
    <w:rsid w:val="034C6E41"/>
    <w:rsid w:val="03886A90"/>
    <w:rsid w:val="038F11A2"/>
    <w:rsid w:val="03CB6EA3"/>
    <w:rsid w:val="03D22C7B"/>
    <w:rsid w:val="03DA33C0"/>
    <w:rsid w:val="042A13CF"/>
    <w:rsid w:val="046150AA"/>
    <w:rsid w:val="0468480B"/>
    <w:rsid w:val="047820EA"/>
    <w:rsid w:val="05187999"/>
    <w:rsid w:val="052B23DD"/>
    <w:rsid w:val="05387ECA"/>
    <w:rsid w:val="054D2E98"/>
    <w:rsid w:val="058202DC"/>
    <w:rsid w:val="059C26CF"/>
    <w:rsid w:val="05C51E73"/>
    <w:rsid w:val="05DC5310"/>
    <w:rsid w:val="0612610E"/>
    <w:rsid w:val="06354B90"/>
    <w:rsid w:val="063F4B76"/>
    <w:rsid w:val="06AE1539"/>
    <w:rsid w:val="06CC5019"/>
    <w:rsid w:val="06F41689"/>
    <w:rsid w:val="07140325"/>
    <w:rsid w:val="073F10B4"/>
    <w:rsid w:val="074E6B5D"/>
    <w:rsid w:val="077B07BA"/>
    <w:rsid w:val="079A6957"/>
    <w:rsid w:val="07A70040"/>
    <w:rsid w:val="07F47C8D"/>
    <w:rsid w:val="07FC2759"/>
    <w:rsid w:val="08006815"/>
    <w:rsid w:val="080A3E1C"/>
    <w:rsid w:val="084607C4"/>
    <w:rsid w:val="089D63E7"/>
    <w:rsid w:val="08BB6C88"/>
    <w:rsid w:val="08D244A8"/>
    <w:rsid w:val="090B21AC"/>
    <w:rsid w:val="091F0867"/>
    <w:rsid w:val="093C424D"/>
    <w:rsid w:val="094309AF"/>
    <w:rsid w:val="097E6871"/>
    <w:rsid w:val="09920DB0"/>
    <w:rsid w:val="09A5445D"/>
    <w:rsid w:val="09EA2B0B"/>
    <w:rsid w:val="0A107AFC"/>
    <w:rsid w:val="0A341D54"/>
    <w:rsid w:val="0A3B36F5"/>
    <w:rsid w:val="0A8E73F1"/>
    <w:rsid w:val="0AB2571D"/>
    <w:rsid w:val="0AB652DA"/>
    <w:rsid w:val="0ABA3A59"/>
    <w:rsid w:val="0AC14DAE"/>
    <w:rsid w:val="0AE8785D"/>
    <w:rsid w:val="0B1D27B6"/>
    <w:rsid w:val="0B3A50E9"/>
    <w:rsid w:val="0B43606F"/>
    <w:rsid w:val="0B5663B4"/>
    <w:rsid w:val="0B6F5DB2"/>
    <w:rsid w:val="0B7863DB"/>
    <w:rsid w:val="0B8F3A0C"/>
    <w:rsid w:val="0B9D355B"/>
    <w:rsid w:val="0BCE7DAA"/>
    <w:rsid w:val="0BD3243A"/>
    <w:rsid w:val="0C142450"/>
    <w:rsid w:val="0C3B6EE3"/>
    <w:rsid w:val="0C4D0EBB"/>
    <w:rsid w:val="0C527C99"/>
    <w:rsid w:val="0C570C5F"/>
    <w:rsid w:val="0C747B49"/>
    <w:rsid w:val="0C752BE0"/>
    <w:rsid w:val="0C9C4B44"/>
    <w:rsid w:val="0CC12870"/>
    <w:rsid w:val="0CDD2D53"/>
    <w:rsid w:val="0D245CFE"/>
    <w:rsid w:val="0D25762A"/>
    <w:rsid w:val="0D650680"/>
    <w:rsid w:val="0D953BA0"/>
    <w:rsid w:val="0E1B195D"/>
    <w:rsid w:val="0E400E48"/>
    <w:rsid w:val="0ED434F5"/>
    <w:rsid w:val="0EE53B0D"/>
    <w:rsid w:val="0F045303"/>
    <w:rsid w:val="0F16295D"/>
    <w:rsid w:val="0F2575D3"/>
    <w:rsid w:val="0F5060DA"/>
    <w:rsid w:val="0F707EAE"/>
    <w:rsid w:val="0F95263D"/>
    <w:rsid w:val="0F956269"/>
    <w:rsid w:val="0F9A2890"/>
    <w:rsid w:val="0FC42AB2"/>
    <w:rsid w:val="0FCA16C2"/>
    <w:rsid w:val="104957CA"/>
    <w:rsid w:val="10980827"/>
    <w:rsid w:val="10A60D90"/>
    <w:rsid w:val="10D54448"/>
    <w:rsid w:val="10DD1069"/>
    <w:rsid w:val="110C3A1E"/>
    <w:rsid w:val="11366CE3"/>
    <w:rsid w:val="113D4D5F"/>
    <w:rsid w:val="11521E15"/>
    <w:rsid w:val="11564743"/>
    <w:rsid w:val="117A4938"/>
    <w:rsid w:val="118076A0"/>
    <w:rsid w:val="11AA51F6"/>
    <w:rsid w:val="11D1448A"/>
    <w:rsid w:val="121A72C4"/>
    <w:rsid w:val="12224E20"/>
    <w:rsid w:val="1253211B"/>
    <w:rsid w:val="12793292"/>
    <w:rsid w:val="12B332CD"/>
    <w:rsid w:val="12B43EAF"/>
    <w:rsid w:val="12C82534"/>
    <w:rsid w:val="12D66E91"/>
    <w:rsid w:val="12F71501"/>
    <w:rsid w:val="13104DF0"/>
    <w:rsid w:val="131778C3"/>
    <w:rsid w:val="131E0669"/>
    <w:rsid w:val="133203CD"/>
    <w:rsid w:val="13737382"/>
    <w:rsid w:val="13A30114"/>
    <w:rsid w:val="13A9115B"/>
    <w:rsid w:val="13AF3B46"/>
    <w:rsid w:val="13E25B79"/>
    <w:rsid w:val="13F42637"/>
    <w:rsid w:val="14197EEC"/>
    <w:rsid w:val="141D3733"/>
    <w:rsid w:val="144569B0"/>
    <w:rsid w:val="1449233B"/>
    <w:rsid w:val="148256C6"/>
    <w:rsid w:val="148B578A"/>
    <w:rsid w:val="14931E55"/>
    <w:rsid w:val="14AE7E8C"/>
    <w:rsid w:val="14B05FC8"/>
    <w:rsid w:val="14CB4227"/>
    <w:rsid w:val="14D22406"/>
    <w:rsid w:val="150A1D36"/>
    <w:rsid w:val="152902FA"/>
    <w:rsid w:val="156D1AE3"/>
    <w:rsid w:val="15722C66"/>
    <w:rsid w:val="158E69C5"/>
    <w:rsid w:val="15AC15B0"/>
    <w:rsid w:val="15B94777"/>
    <w:rsid w:val="15EC7F25"/>
    <w:rsid w:val="160D099B"/>
    <w:rsid w:val="165E4538"/>
    <w:rsid w:val="1669478E"/>
    <w:rsid w:val="16877C69"/>
    <w:rsid w:val="16A62DEC"/>
    <w:rsid w:val="16BC1BA9"/>
    <w:rsid w:val="16E2205D"/>
    <w:rsid w:val="16EE0B33"/>
    <w:rsid w:val="17BC638F"/>
    <w:rsid w:val="17F46A26"/>
    <w:rsid w:val="1802514D"/>
    <w:rsid w:val="180513A4"/>
    <w:rsid w:val="180E23E5"/>
    <w:rsid w:val="181C3669"/>
    <w:rsid w:val="183259DB"/>
    <w:rsid w:val="18351DF5"/>
    <w:rsid w:val="185C54ED"/>
    <w:rsid w:val="18900A1F"/>
    <w:rsid w:val="189A1D2D"/>
    <w:rsid w:val="18B004D2"/>
    <w:rsid w:val="18D146C8"/>
    <w:rsid w:val="18D77B2C"/>
    <w:rsid w:val="19197A55"/>
    <w:rsid w:val="191C7B6F"/>
    <w:rsid w:val="193627CE"/>
    <w:rsid w:val="193D2486"/>
    <w:rsid w:val="197313FD"/>
    <w:rsid w:val="19A44CF9"/>
    <w:rsid w:val="19B62055"/>
    <w:rsid w:val="19B7412D"/>
    <w:rsid w:val="19BA38BC"/>
    <w:rsid w:val="1A145DAD"/>
    <w:rsid w:val="1A427151"/>
    <w:rsid w:val="1A5D54D3"/>
    <w:rsid w:val="1A63253D"/>
    <w:rsid w:val="1A947AA6"/>
    <w:rsid w:val="1A9E5F0A"/>
    <w:rsid w:val="1AB15758"/>
    <w:rsid w:val="1AC530EA"/>
    <w:rsid w:val="1AF554C1"/>
    <w:rsid w:val="1B100797"/>
    <w:rsid w:val="1B263890"/>
    <w:rsid w:val="1B9204B8"/>
    <w:rsid w:val="1B9B6681"/>
    <w:rsid w:val="1BAD70CA"/>
    <w:rsid w:val="1C287B68"/>
    <w:rsid w:val="1C4F0EFC"/>
    <w:rsid w:val="1CC5072A"/>
    <w:rsid w:val="1CC86CD8"/>
    <w:rsid w:val="1CD06C3F"/>
    <w:rsid w:val="1CFC62AA"/>
    <w:rsid w:val="1CFF7B6E"/>
    <w:rsid w:val="1D491D3F"/>
    <w:rsid w:val="1DE0746C"/>
    <w:rsid w:val="1E0A6632"/>
    <w:rsid w:val="1E2C0141"/>
    <w:rsid w:val="1EDA202C"/>
    <w:rsid w:val="1F370175"/>
    <w:rsid w:val="1F692DA0"/>
    <w:rsid w:val="1F8938D2"/>
    <w:rsid w:val="1F9B139D"/>
    <w:rsid w:val="1FB8449B"/>
    <w:rsid w:val="1FED3477"/>
    <w:rsid w:val="1FEF54D4"/>
    <w:rsid w:val="1FF041B3"/>
    <w:rsid w:val="201C60D1"/>
    <w:rsid w:val="20215BEB"/>
    <w:rsid w:val="202D792D"/>
    <w:rsid w:val="2050604D"/>
    <w:rsid w:val="20765EAF"/>
    <w:rsid w:val="2086408C"/>
    <w:rsid w:val="20CB60E5"/>
    <w:rsid w:val="20F5147B"/>
    <w:rsid w:val="21443153"/>
    <w:rsid w:val="21A1511C"/>
    <w:rsid w:val="21B01C18"/>
    <w:rsid w:val="21D17878"/>
    <w:rsid w:val="21EA0D88"/>
    <w:rsid w:val="220B7C3B"/>
    <w:rsid w:val="22284AC5"/>
    <w:rsid w:val="22D30267"/>
    <w:rsid w:val="22D563FC"/>
    <w:rsid w:val="22D766C4"/>
    <w:rsid w:val="22E920A8"/>
    <w:rsid w:val="230147BE"/>
    <w:rsid w:val="232715C3"/>
    <w:rsid w:val="234C2C81"/>
    <w:rsid w:val="237D2E0D"/>
    <w:rsid w:val="238A7D90"/>
    <w:rsid w:val="23AC7DBD"/>
    <w:rsid w:val="23B62477"/>
    <w:rsid w:val="23BB5845"/>
    <w:rsid w:val="246C5CB2"/>
    <w:rsid w:val="24A26FCB"/>
    <w:rsid w:val="24C62E27"/>
    <w:rsid w:val="24DF49D0"/>
    <w:rsid w:val="24E41260"/>
    <w:rsid w:val="24EF2796"/>
    <w:rsid w:val="25205424"/>
    <w:rsid w:val="25250BB9"/>
    <w:rsid w:val="252A598D"/>
    <w:rsid w:val="254D4AFB"/>
    <w:rsid w:val="257274B9"/>
    <w:rsid w:val="25964253"/>
    <w:rsid w:val="2613381C"/>
    <w:rsid w:val="26537743"/>
    <w:rsid w:val="266D6D5E"/>
    <w:rsid w:val="26A404A9"/>
    <w:rsid w:val="26A86679"/>
    <w:rsid w:val="26B33768"/>
    <w:rsid w:val="26CE10F9"/>
    <w:rsid w:val="27134A89"/>
    <w:rsid w:val="276A69F2"/>
    <w:rsid w:val="27B61629"/>
    <w:rsid w:val="27E240BC"/>
    <w:rsid w:val="27EB1479"/>
    <w:rsid w:val="28375B92"/>
    <w:rsid w:val="28841280"/>
    <w:rsid w:val="28A6273B"/>
    <w:rsid w:val="28C8622D"/>
    <w:rsid w:val="28E22D99"/>
    <w:rsid w:val="28E57CFA"/>
    <w:rsid w:val="290C5062"/>
    <w:rsid w:val="292024ED"/>
    <w:rsid w:val="292F7B3E"/>
    <w:rsid w:val="294C7A52"/>
    <w:rsid w:val="294E7C83"/>
    <w:rsid w:val="297835DF"/>
    <w:rsid w:val="298D75B2"/>
    <w:rsid w:val="29A11B13"/>
    <w:rsid w:val="29C27F89"/>
    <w:rsid w:val="29E52F20"/>
    <w:rsid w:val="29F35C36"/>
    <w:rsid w:val="29FE48A2"/>
    <w:rsid w:val="2A0F28DC"/>
    <w:rsid w:val="2A193C1E"/>
    <w:rsid w:val="2A3322EC"/>
    <w:rsid w:val="2A4E2046"/>
    <w:rsid w:val="2AFE4B19"/>
    <w:rsid w:val="2B09446C"/>
    <w:rsid w:val="2B542CFD"/>
    <w:rsid w:val="2B597049"/>
    <w:rsid w:val="2B6F0B2B"/>
    <w:rsid w:val="2BA151BE"/>
    <w:rsid w:val="2BBE150F"/>
    <w:rsid w:val="2C5919A3"/>
    <w:rsid w:val="2C813351"/>
    <w:rsid w:val="2C8213ED"/>
    <w:rsid w:val="2CC87CCD"/>
    <w:rsid w:val="2CD44ED2"/>
    <w:rsid w:val="2CD51E85"/>
    <w:rsid w:val="2D0216DB"/>
    <w:rsid w:val="2D045E31"/>
    <w:rsid w:val="2D117637"/>
    <w:rsid w:val="2D7E2021"/>
    <w:rsid w:val="2D877139"/>
    <w:rsid w:val="2E6F3616"/>
    <w:rsid w:val="2E7D0744"/>
    <w:rsid w:val="2E97180F"/>
    <w:rsid w:val="2EBB773D"/>
    <w:rsid w:val="2EF47A18"/>
    <w:rsid w:val="2F272596"/>
    <w:rsid w:val="2F3702EC"/>
    <w:rsid w:val="2F517FE7"/>
    <w:rsid w:val="2F7312C8"/>
    <w:rsid w:val="2FA40A66"/>
    <w:rsid w:val="2FAD5A6E"/>
    <w:rsid w:val="2FD03A0D"/>
    <w:rsid w:val="2FF327C8"/>
    <w:rsid w:val="300706DE"/>
    <w:rsid w:val="30265BBA"/>
    <w:rsid w:val="30286772"/>
    <w:rsid w:val="30586372"/>
    <w:rsid w:val="309A3846"/>
    <w:rsid w:val="30A42884"/>
    <w:rsid w:val="30AB16C4"/>
    <w:rsid w:val="30B314C5"/>
    <w:rsid w:val="30CB65F5"/>
    <w:rsid w:val="30CD1ECF"/>
    <w:rsid w:val="30E93409"/>
    <w:rsid w:val="30FB7239"/>
    <w:rsid w:val="30FC62D2"/>
    <w:rsid w:val="31454E99"/>
    <w:rsid w:val="31BE6BB0"/>
    <w:rsid w:val="323205BB"/>
    <w:rsid w:val="32BD226C"/>
    <w:rsid w:val="33325289"/>
    <w:rsid w:val="338776A9"/>
    <w:rsid w:val="33B82530"/>
    <w:rsid w:val="33C97AB2"/>
    <w:rsid w:val="33FB0B57"/>
    <w:rsid w:val="34086582"/>
    <w:rsid w:val="34534DD2"/>
    <w:rsid w:val="34624E78"/>
    <w:rsid w:val="347A6CDA"/>
    <w:rsid w:val="348E6C6D"/>
    <w:rsid w:val="349E4D59"/>
    <w:rsid w:val="34AC40BF"/>
    <w:rsid w:val="34BD54CD"/>
    <w:rsid w:val="34BE1741"/>
    <w:rsid w:val="34F74ED3"/>
    <w:rsid w:val="35125B54"/>
    <w:rsid w:val="352617E5"/>
    <w:rsid w:val="35483A7C"/>
    <w:rsid w:val="355338AE"/>
    <w:rsid w:val="358D569A"/>
    <w:rsid w:val="35AF2DDB"/>
    <w:rsid w:val="35D012EB"/>
    <w:rsid w:val="35D13F79"/>
    <w:rsid w:val="35D31CC0"/>
    <w:rsid w:val="35D93DE0"/>
    <w:rsid w:val="35E70196"/>
    <w:rsid w:val="35FF0B45"/>
    <w:rsid w:val="3621534E"/>
    <w:rsid w:val="363C0A89"/>
    <w:rsid w:val="36402AD5"/>
    <w:rsid w:val="367E2569"/>
    <w:rsid w:val="369040B0"/>
    <w:rsid w:val="36927FE6"/>
    <w:rsid w:val="36C26B69"/>
    <w:rsid w:val="375249C3"/>
    <w:rsid w:val="37780128"/>
    <w:rsid w:val="379339EA"/>
    <w:rsid w:val="379B6AD7"/>
    <w:rsid w:val="37A548EB"/>
    <w:rsid w:val="3816529E"/>
    <w:rsid w:val="3818493A"/>
    <w:rsid w:val="384C71EC"/>
    <w:rsid w:val="3862474B"/>
    <w:rsid w:val="388A72CA"/>
    <w:rsid w:val="389D17EE"/>
    <w:rsid w:val="38E873DF"/>
    <w:rsid w:val="38F97885"/>
    <w:rsid w:val="392C1B16"/>
    <w:rsid w:val="394A1CC0"/>
    <w:rsid w:val="396A740D"/>
    <w:rsid w:val="398712D6"/>
    <w:rsid w:val="398E2C3A"/>
    <w:rsid w:val="398F5CF6"/>
    <w:rsid w:val="39AE3C5B"/>
    <w:rsid w:val="39BF1D2F"/>
    <w:rsid w:val="39C553D5"/>
    <w:rsid w:val="39F3271A"/>
    <w:rsid w:val="3A106AEE"/>
    <w:rsid w:val="3A1367E2"/>
    <w:rsid w:val="3A324916"/>
    <w:rsid w:val="3A4234A1"/>
    <w:rsid w:val="3A506919"/>
    <w:rsid w:val="3A762044"/>
    <w:rsid w:val="3A7A7612"/>
    <w:rsid w:val="3ADF6E91"/>
    <w:rsid w:val="3B046B07"/>
    <w:rsid w:val="3B066C27"/>
    <w:rsid w:val="3B142F73"/>
    <w:rsid w:val="3B882AAB"/>
    <w:rsid w:val="3BE043A8"/>
    <w:rsid w:val="3BEA42EB"/>
    <w:rsid w:val="3C530F3F"/>
    <w:rsid w:val="3C637290"/>
    <w:rsid w:val="3CB35362"/>
    <w:rsid w:val="3CBC5414"/>
    <w:rsid w:val="3CEE4AE1"/>
    <w:rsid w:val="3CFD1A66"/>
    <w:rsid w:val="3D012FF0"/>
    <w:rsid w:val="3D171DBE"/>
    <w:rsid w:val="3D566B14"/>
    <w:rsid w:val="3D7755B8"/>
    <w:rsid w:val="3D975D88"/>
    <w:rsid w:val="3D98307D"/>
    <w:rsid w:val="3D986515"/>
    <w:rsid w:val="3DBB36F6"/>
    <w:rsid w:val="3E0D4C9B"/>
    <w:rsid w:val="3E387996"/>
    <w:rsid w:val="3E3C56F0"/>
    <w:rsid w:val="3E5C3E39"/>
    <w:rsid w:val="3E6163B0"/>
    <w:rsid w:val="3E7A7F2F"/>
    <w:rsid w:val="3E9E5C6A"/>
    <w:rsid w:val="3EB83882"/>
    <w:rsid w:val="3F464F95"/>
    <w:rsid w:val="3F4A170B"/>
    <w:rsid w:val="3F7C7853"/>
    <w:rsid w:val="3FAE4079"/>
    <w:rsid w:val="401D0250"/>
    <w:rsid w:val="40256142"/>
    <w:rsid w:val="406A4E0B"/>
    <w:rsid w:val="40A650D2"/>
    <w:rsid w:val="40CE1C7B"/>
    <w:rsid w:val="40E86291"/>
    <w:rsid w:val="4117092B"/>
    <w:rsid w:val="41A07E33"/>
    <w:rsid w:val="41E40E7E"/>
    <w:rsid w:val="423A128D"/>
    <w:rsid w:val="426A011A"/>
    <w:rsid w:val="42711053"/>
    <w:rsid w:val="42960365"/>
    <w:rsid w:val="42A556B5"/>
    <w:rsid w:val="435D1F13"/>
    <w:rsid w:val="4379421C"/>
    <w:rsid w:val="43794748"/>
    <w:rsid w:val="437A12E7"/>
    <w:rsid w:val="43B83C86"/>
    <w:rsid w:val="43C94BCC"/>
    <w:rsid w:val="43DE10AA"/>
    <w:rsid w:val="43F12E37"/>
    <w:rsid w:val="43F55901"/>
    <w:rsid w:val="43FB5128"/>
    <w:rsid w:val="445115AC"/>
    <w:rsid w:val="448919A2"/>
    <w:rsid w:val="449F1827"/>
    <w:rsid w:val="44AA7966"/>
    <w:rsid w:val="44C6031F"/>
    <w:rsid w:val="457263CD"/>
    <w:rsid w:val="45BA36BD"/>
    <w:rsid w:val="45BB3EB8"/>
    <w:rsid w:val="45C061D6"/>
    <w:rsid w:val="45E269D3"/>
    <w:rsid w:val="45FD78C7"/>
    <w:rsid w:val="46143715"/>
    <w:rsid w:val="4628541D"/>
    <w:rsid w:val="462C4B4C"/>
    <w:rsid w:val="466F0832"/>
    <w:rsid w:val="467A042C"/>
    <w:rsid w:val="467F35E0"/>
    <w:rsid w:val="46B96EEC"/>
    <w:rsid w:val="46CA39F9"/>
    <w:rsid w:val="46CA405E"/>
    <w:rsid w:val="46E61B61"/>
    <w:rsid w:val="47097F61"/>
    <w:rsid w:val="47402699"/>
    <w:rsid w:val="475C7297"/>
    <w:rsid w:val="476F1912"/>
    <w:rsid w:val="482847BD"/>
    <w:rsid w:val="48727FD3"/>
    <w:rsid w:val="487A113F"/>
    <w:rsid w:val="4884401E"/>
    <w:rsid w:val="48851A5F"/>
    <w:rsid w:val="49580DC9"/>
    <w:rsid w:val="4981341E"/>
    <w:rsid w:val="499003F2"/>
    <w:rsid w:val="4A1407A3"/>
    <w:rsid w:val="4A397FEC"/>
    <w:rsid w:val="4A6F103A"/>
    <w:rsid w:val="4A7A495F"/>
    <w:rsid w:val="4AA37D17"/>
    <w:rsid w:val="4AD1133C"/>
    <w:rsid w:val="4AED0613"/>
    <w:rsid w:val="4AF01CAB"/>
    <w:rsid w:val="4B0B3AC9"/>
    <w:rsid w:val="4B1912C6"/>
    <w:rsid w:val="4B630C74"/>
    <w:rsid w:val="4B9B041C"/>
    <w:rsid w:val="4BCA480D"/>
    <w:rsid w:val="4BE818FA"/>
    <w:rsid w:val="4BF00690"/>
    <w:rsid w:val="4C0940B0"/>
    <w:rsid w:val="4C11719B"/>
    <w:rsid w:val="4C431ECB"/>
    <w:rsid w:val="4C9E1C5B"/>
    <w:rsid w:val="4CA42B81"/>
    <w:rsid w:val="4CBB2CCE"/>
    <w:rsid w:val="4CFF27E8"/>
    <w:rsid w:val="4D211BBF"/>
    <w:rsid w:val="4DC41B49"/>
    <w:rsid w:val="4DDD58E5"/>
    <w:rsid w:val="4E42531F"/>
    <w:rsid w:val="4E5357E9"/>
    <w:rsid w:val="4E5C3DB1"/>
    <w:rsid w:val="4E6E0585"/>
    <w:rsid w:val="4E8C4BD2"/>
    <w:rsid w:val="4EA327D7"/>
    <w:rsid w:val="4EBC1099"/>
    <w:rsid w:val="4EF82B8F"/>
    <w:rsid w:val="4EFA4807"/>
    <w:rsid w:val="4F0F747D"/>
    <w:rsid w:val="4F120D1E"/>
    <w:rsid w:val="4F2C7A9E"/>
    <w:rsid w:val="4F6F655D"/>
    <w:rsid w:val="4FCD0D2A"/>
    <w:rsid w:val="501F5E35"/>
    <w:rsid w:val="50203D29"/>
    <w:rsid w:val="5060514F"/>
    <w:rsid w:val="508563EE"/>
    <w:rsid w:val="508C0078"/>
    <w:rsid w:val="50C14567"/>
    <w:rsid w:val="50D22F32"/>
    <w:rsid w:val="50E9416C"/>
    <w:rsid w:val="50F422EF"/>
    <w:rsid w:val="50FE043E"/>
    <w:rsid w:val="510650EB"/>
    <w:rsid w:val="512A5714"/>
    <w:rsid w:val="515176A2"/>
    <w:rsid w:val="516809B2"/>
    <w:rsid w:val="516904FA"/>
    <w:rsid w:val="51736A67"/>
    <w:rsid w:val="51BD354A"/>
    <w:rsid w:val="520843D2"/>
    <w:rsid w:val="521B47AE"/>
    <w:rsid w:val="5224304F"/>
    <w:rsid w:val="52316BEF"/>
    <w:rsid w:val="52325304"/>
    <w:rsid w:val="52413CDF"/>
    <w:rsid w:val="526C06C3"/>
    <w:rsid w:val="529C1D3A"/>
    <w:rsid w:val="53023764"/>
    <w:rsid w:val="53081882"/>
    <w:rsid w:val="53510C30"/>
    <w:rsid w:val="537070D7"/>
    <w:rsid w:val="5374606B"/>
    <w:rsid w:val="5381416F"/>
    <w:rsid w:val="53C307BF"/>
    <w:rsid w:val="53FC1CAE"/>
    <w:rsid w:val="54476672"/>
    <w:rsid w:val="545158E4"/>
    <w:rsid w:val="54B809E6"/>
    <w:rsid w:val="54F755AB"/>
    <w:rsid w:val="550117B4"/>
    <w:rsid w:val="553D4D85"/>
    <w:rsid w:val="55772F7D"/>
    <w:rsid w:val="55936BEB"/>
    <w:rsid w:val="55961D0E"/>
    <w:rsid w:val="55B12C66"/>
    <w:rsid w:val="55EE37A5"/>
    <w:rsid w:val="55EF5157"/>
    <w:rsid w:val="561E31FB"/>
    <w:rsid w:val="56381EF6"/>
    <w:rsid w:val="565577F9"/>
    <w:rsid w:val="566126FE"/>
    <w:rsid w:val="567F12A4"/>
    <w:rsid w:val="569420D9"/>
    <w:rsid w:val="56A53918"/>
    <w:rsid w:val="56B84917"/>
    <w:rsid w:val="56C740B3"/>
    <w:rsid w:val="57650FD3"/>
    <w:rsid w:val="57AC7B7D"/>
    <w:rsid w:val="580C4CCC"/>
    <w:rsid w:val="5813309A"/>
    <w:rsid w:val="58640F04"/>
    <w:rsid w:val="586B4C46"/>
    <w:rsid w:val="586D4075"/>
    <w:rsid w:val="58810EAC"/>
    <w:rsid w:val="588E6B54"/>
    <w:rsid w:val="58A052FD"/>
    <w:rsid w:val="58B764A3"/>
    <w:rsid w:val="58D74F4A"/>
    <w:rsid w:val="58DC65F8"/>
    <w:rsid w:val="58E07CBB"/>
    <w:rsid w:val="58FC0F80"/>
    <w:rsid w:val="591257CE"/>
    <w:rsid w:val="593340F4"/>
    <w:rsid w:val="597B17CE"/>
    <w:rsid w:val="598D1217"/>
    <w:rsid w:val="59A6095A"/>
    <w:rsid w:val="59B231EB"/>
    <w:rsid w:val="59B501F6"/>
    <w:rsid w:val="59B63F00"/>
    <w:rsid w:val="5A313EC1"/>
    <w:rsid w:val="5AD23DF5"/>
    <w:rsid w:val="5ADA403E"/>
    <w:rsid w:val="5ADC3FDB"/>
    <w:rsid w:val="5B121E9B"/>
    <w:rsid w:val="5B357636"/>
    <w:rsid w:val="5B581335"/>
    <w:rsid w:val="5B7A10F7"/>
    <w:rsid w:val="5BD021AA"/>
    <w:rsid w:val="5C0461B5"/>
    <w:rsid w:val="5C151F37"/>
    <w:rsid w:val="5C1904FE"/>
    <w:rsid w:val="5C3754AC"/>
    <w:rsid w:val="5C3E446F"/>
    <w:rsid w:val="5C805673"/>
    <w:rsid w:val="5C8F5ED1"/>
    <w:rsid w:val="5CAC5490"/>
    <w:rsid w:val="5CAC7315"/>
    <w:rsid w:val="5CD07550"/>
    <w:rsid w:val="5CD17C2A"/>
    <w:rsid w:val="5CD61347"/>
    <w:rsid w:val="5CF35D6F"/>
    <w:rsid w:val="5CF52F29"/>
    <w:rsid w:val="5D2C16C1"/>
    <w:rsid w:val="5D39096A"/>
    <w:rsid w:val="5D487BDE"/>
    <w:rsid w:val="5DC639A9"/>
    <w:rsid w:val="5E191EEB"/>
    <w:rsid w:val="5EA47D93"/>
    <w:rsid w:val="5EB928F1"/>
    <w:rsid w:val="5ED05CBE"/>
    <w:rsid w:val="5EDD2CBB"/>
    <w:rsid w:val="5EE8244A"/>
    <w:rsid w:val="5EF51D7B"/>
    <w:rsid w:val="5F093FB7"/>
    <w:rsid w:val="5F0D344E"/>
    <w:rsid w:val="5F2C6A42"/>
    <w:rsid w:val="5F565D68"/>
    <w:rsid w:val="5F6C607A"/>
    <w:rsid w:val="600955EA"/>
    <w:rsid w:val="60626BC9"/>
    <w:rsid w:val="608E3BBA"/>
    <w:rsid w:val="60AD2174"/>
    <w:rsid w:val="60D86A6F"/>
    <w:rsid w:val="60EA1779"/>
    <w:rsid w:val="61071F00"/>
    <w:rsid w:val="61A15ED8"/>
    <w:rsid w:val="61B3437C"/>
    <w:rsid w:val="61EB0D3C"/>
    <w:rsid w:val="61EC2074"/>
    <w:rsid w:val="61FF043B"/>
    <w:rsid w:val="624E6215"/>
    <w:rsid w:val="62765C01"/>
    <w:rsid w:val="62911C3C"/>
    <w:rsid w:val="62DD5279"/>
    <w:rsid w:val="62F16E70"/>
    <w:rsid w:val="631B7486"/>
    <w:rsid w:val="63823D73"/>
    <w:rsid w:val="63974B7F"/>
    <w:rsid w:val="63DF65BB"/>
    <w:rsid w:val="63E84A68"/>
    <w:rsid w:val="641B49B5"/>
    <w:rsid w:val="641C629E"/>
    <w:rsid w:val="643A5B47"/>
    <w:rsid w:val="64412F35"/>
    <w:rsid w:val="645A1DBD"/>
    <w:rsid w:val="647B5BE7"/>
    <w:rsid w:val="64907893"/>
    <w:rsid w:val="649753A1"/>
    <w:rsid w:val="64CE3444"/>
    <w:rsid w:val="650D25AF"/>
    <w:rsid w:val="65101E77"/>
    <w:rsid w:val="653E74DF"/>
    <w:rsid w:val="658F1276"/>
    <w:rsid w:val="65AD4413"/>
    <w:rsid w:val="661C4190"/>
    <w:rsid w:val="662415A7"/>
    <w:rsid w:val="66747DFB"/>
    <w:rsid w:val="66AB126E"/>
    <w:rsid w:val="66F9110A"/>
    <w:rsid w:val="670F2E8A"/>
    <w:rsid w:val="6715798F"/>
    <w:rsid w:val="679715AA"/>
    <w:rsid w:val="67B90A33"/>
    <w:rsid w:val="67D07B05"/>
    <w:rsid w:val="68151FD4"/>
    <w:rsid w:val="681F120D"/>
    <w:rsid w:val="68442DC9"/>
    <w:rsid w:val="684575DA"/>
    <w:rsid w:val="684E499C"/>
    <w:rsid w:val="688C49F5"/>
    <w:rsid w:val="68926C88"/>
    <w:rsid w:val="68C1079B"/>
    <w:rsid w:val="68C305E7"/>
    <w:rsid w:val="68C6338F"/>
    <w:rsid w:val="68DB5239"/>
    <w:rsid w:val="68DE4F78"/>
    <w:rsid w:val="69191B0C"/>
    <w:rsid w:val="69326872"/>
    <w:rsid w:val="693A35B5"/>
    <w:rsid w:val="69681038"/>
    <w:rsid w:val="69C7285E"/>
    <w:rsid w:val="69F71FB6"/>
    <w:rsid w:val="6A7C60C8"/>
    <w:rsid w:val="6A905B6D"/>
    <w:rsid w:val="6AAB23A9"/>
    <w:rsid w:val="6AC26886"/>
    <w:rsid w:val="6AC9206A"/>
    <w:rsid w:val="6ACE16D9"/>
    <w:rsid w:val="6B010C46"/>
    <w:rsid w:val="6B310760"/>
    <w:rsid w:val="6B3A366A"/>
    <w:rsid w:val="6B707BEC"/>
    <w:rsid w:val="6B7A0050"/>
    <w:rsid w:val="6BCB33AA"/>
    <w:rsid w:val="6BE23C30"/>
    <w:rsid w:val="6C134034"/>
    <w:rsid w:val="6C317D5C"/>
    <w:rsid w:val="6C50079B"/>
    <w:rsid w:val="6C5A4141"/>
    <w:rsid w:val="6C6A3137"/>
    <w:rsid w:val="6C8E74F7"/>
    <w:rsid w:val="6C8F30E6"/>
    <w:rsid w:val="6C906900"/>
    <w:rsid w:val="6CF65067"/>
    <w:rsid w:val="6D004DA8"/>
    <w:rsid w:val="6D543DB3"/>
    <w:rsid w:val="6D5829CF"/>
    <w:rsid w:val="6D750FCF"/>
    <w:rsid w:val="6D773FDC"/>
    <w:rsid w:val="6D9B22AA"/>
    <w:rsid w:val="6DB22F00"/>
    <w:rsid w:val="6DBB648A"/>
    <w:rsid w:val="6DDF18E4"/>
    <w:rsid w:val="6E232AB3"/>
    <w:rsid w:val="6E3F132C"/>
    <w:rsid w:val="6E517746"/>
    <w:rsid w:val="6E7A1325"/>
    <w:rsid w:val="6E861F5A"/>
    <w:rsid w:val="6E8B41A2"/>
    <w:rsid w:val="6EA40EAF"/>
    <w:rsid w:val="6EB40612"/>
    <w:rsid w:val="6EBF2C8C"/>
    <w:rsid w:val="6EFD1C95"/>
    <w:rsid w:val="6F072C6F"/>
    <w:rsid w:val="6F15167B"/>
    <w:rsid w:val="6F1A77D2"/>
    <w:rsid w:val="6F29143C"/>
    <w:rsid w:val="6F35557E"/>
    <w:rsid w:val="6F8729A5"/>
    <w:rsid w:val="6FF869A5"/>
    <w:rsid w:val="70177912"/>
    <w:rsid w:val="702B63B0"/>
    <w:rsid w:val="704B3E00"/>
    <w:rsid w:val="70545562"/>
    <w:rsid w:val="707C28AD"/>
    <w:rsid w:val="70C8609C"/>
    <w:rsid w:val="70EE2DD8"/>
    <w:rsid w:val="70FA0EAB"/>
    <w:rsid w:val="71084815"/>
    <w:rsid w:val="71437115"/>
    <w:rsid w:val="715536FE"/>
    <w:rsid w:val="716B5672"/>
    <w:rsid w:val="71B5209B"/>
    <w:rsid w:val="720C4851"/>
    <w:rsid w:val="721359A5"/>
    <w:rsid w:val="72142897"/>
    <w:rsid w:val="72192C6A"/>
    <w:rsid w:val="722567BC"/>
    <w:rsid w:val="723D1589"/>
    <w:rsid w:val="724A7D53"/>
    <w:rsid w:val="728F79DE"/>
    <w:rsid w:val="729826AA"/>
    <w:rsid w:val="73484595"/>
    <w:rsid w:val="73735360"/>
    <w:rsid w:val="738D0387"/>
    <w:rsid w:val="73C30D59"/>
    <w:rsid w:val="74163DC7"/>
    <w:rsid w:val="74376210"/>
    <w:rsid w:val="74401536"/>
    <w:rsid w:val="747108A9"/>
    <w:rsid w:val="74760969"/>
    <w:rsid w:val="74996D3A"/>
    <w:rsid w:val="74AE01CF"/>
    <w:rsid w:val="74BD5147"/>
    <w:rsid w:val="74EE6478"/>
    <w:rsid w:val="74F323B1"/>
    <w:rsid w:val="7525630D"/>
    <w:rsid w:val="755C4C21"/>
    <w:rsid w:val="75837EEC"/>
    <w:rsid w:val="75AE1DB9"/>
    <w:rsid w:val="75DD4A2B"/>
    <w:rsid w:val="75E77528"/>
    <w:rsid w:val="75E97311"/>
    <w:rsid w:val="75EF230F"/>
    <w:rsid w:val="76330AED"/>
    <w:rsid w:val="764823F4"/>
    <w:rsid w:val="764A6DAB"/>
    <w:rsid w:val="76622B76"/>
    <w:rsid w:val="76914175"/>
    <w:rsid w:val="76A0423C"/>
    <w:rsid w:val="76CE73F1"/>
    <w:rsid w:val="76D72275"/>
    <w:rsid w:val="77034827"/>
    <w:rsid w:val="77492CFF"/>
    <w:rsid w:val="775F7B58"/>
    <w:rsid w:val="778441C8"/>
    <w:rsid w:val="778766B4"/>
    <w:rsid w:val="778959D9"/>
    <w:rsid w:val="77914171"/>
    <w:rsid w:val="78203E5B"/>
    <w:rsid w:val="7844210E"/>
    <w:rsid w:val="78505A0B"/>
    <w:rsid w:val="786F2DE6"/>
    <w:rsid w:val="78711CE2"/>
    <w:rsid w:val="78837D58"/>
    <w:rsid w:val="78A3250E"/>
    <w:rsid w:val="78EC5C27"/>
    <w:rsid w:val="797505FA"/>
    <w:rsid w:val="7A01262D"/>
    <w:rsid w:val="7A330A57"/>
    <w:rsid w:val="7A463B8C"/>
    <w:rsid w:val="7AA1053C"/>
    <w:rsid w:val="7AA811C5"/>
    <w:rsid w:val="7B3A1BDD"/>
    <w:rsid w:val="7B3B008E"/>
    <w:rsid w:val="7BB11A35"/>
    <w:rsid w:val="7BEF658C"/>
    <w:rsid w:val="7C061168"/>
    <w:rsid w:val="7C0F0089"/>
    <w:rsid w:val="7C1C2408"/>
    <w:rsid w:val="7C1E15DB"/>
    <w:rsid w:val="7C2E4B32"/>
    <w:rsid w:val="7C914545"/>
    <w:rsid w:val="7C9E6C19"/>
    <w:rsid w:val="7CE17A14"/>
    <w:rsid w:val="7CFC412C"/>
    <w:rsid w:val="7D227A85"/>
    <w:rsid w:val="7D6B4FF2"/>
    <w:rsid w:val="7DEF16E8"/>
    <w:rsid w:val="7DF94455"/>
    <w:rsid w:val="7DF95DF2"/>
    <w:rsid w:val="7E66153C"/>
    <w:rsid w:val="7EA2089B"/>
    <w:rsid w:val="7EAB2A81"/>
    <w:rsid w:val="7EE0537C"/>
    <w:rsid w:val="7EE75E9D"/>
    <w:rsid w:val="7EFD57D3"/>
    <w:rsid w:val="7F187E12"/>
    <w:rsid w:val="7F5D4515"/>
    <w:rsid w:val="7F93124C"/>
    <w:rsid w:val="7F994B60"/>
    <w:rsid w:val="7F9C5341"/>
    <w:rsid w:val="7FAD016B"/>
    <w:rsid w:val="7FB614A0"/>
    <w:rsid w:val="7FC957A4"/>
    <w:rsid w:val="7FD43287"/>
    <w:rsid w:val="7FD970F1"/>
    <w:rsid w:val="7FDD34C8"/>
    <w:rsid w:val="DFF92D15"/>
    <w:rsid w:val="F89BAE0C"/>
    <w:rsid w:val="FDDF8FAE"/>
    <w:rsid w:val="FFEBBA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0"/>
    <w:pPr>
      <w:spacing w:before="340" w:beforeAutospacing="0" w:after="330" w:afterAutospacing="0" w:line="576" w:lineRule="auto"/>
      <w:outlineLvl w:val="0"/>
    </w:pPr>
    <w:rPr>
      <w:rFonts w:ascii="Tahoma" w:hAnsi="Tahoma"/>
      <w:b/>
      <w:kern w:val="44"/>
      <w:sz w:val="44"/>
      <w:szCs w:val="44"/>
    </w:rPr>
  </w:style>
  <w:style w:type="paragraph" w:styleId="5">
    <w:name w:val="heading 2"/>
    <w:basedOn w:val="1"/>
    <w:next w:val="1"/>
    <w:link w:val="58"/>
    <w:qFormat/>
    <w:uiPriority w:val="0"/>
    <w:pPr>
      <w:spacing w:before="260" w:beforeAutospacing="0" w:after="260" w:afterAutospacing="0" w:line="413" w:lineRule="auto"/>
      <w:outlineLvl w:val="1"/>
    </w:pPr>
    <w:rPr>
      <w:rFonts w:ascii="Arial" w:hAnsi="Arial" w:eastAsia="黑体"/>
      <w:b/>
      <w:sz w:val="32"/>
      <w:szCs w:val="32"/>
    </w:rPr>
  </w:style>
  <w:style w:type="paragraph" w:styleId="6">
    <w:name w:val="heading 3"/>
    <w:basedOn w:val="1"/>
    <w:next w:val="1"/>
    <w:link w:val="59"/>
    <w:qFormat/>
    <w:uiPriority w:val="0"/>
    <w:pPr>
      <w:spacing w:before="260" w:beforeAutospacing="0" w:after="260" w:afterAutospacing="0" w:line="416" w:lineRule="auto"/>
      <w:outlineLvl w:val="2"/>
    </w:pPr>
    <w:rPr>
      <w:b/>
      <w:sz w:val="32"/>
      <w:szCs w:val="20"/>
    </w:rPr>
  </w:style>
  <w:style w:type="paragraph" w:styleId="7">
    <w:name w:val="heading 4"/>
    <w:basedOn w:val="1"/>
    <w:next w:val="1"/>
    <w:link w:val="60"/>
    <w:qFormat/>
    <w:uiPriority w:val="0"/>
    <w:pPr>
      <w:spacing w:before="280" w:beforeAutospacing="0" w:after="290" w:afterAutospacing="0" w:line="372" w:lineRule="auto"/>
      <w:outlineLvl w:val="3"/>
    </w:pPr>
    <w:rPr>
      <w:rFonts w:ascii="Cambria" w:hAnsi="Cambria" w:eastAsia="Cambria"/>
      <w:b/>
      <w:sz w:val="28"/>
      <w:szCs w:val="28"/>
    </w:rPr>
  </w:style>
  <w:style w:type="paragraph" w:styleId="8">
    <w:name w:val="heading 5"/>
    <w:basedOn w:val="9"/>
    <w:next w:val="1"/>
    <w:link w:val="62"/>
    <w:qFormat/>
    <w:uiPriority w:val="0"/>
    <w:pPr>
      <w:spacing w:before="280" w:beforeAutospacing="0" w:after="290" w:afterAutospacing="0" w:line="372" w:lineRule="auto"/>
      <w:outlineLvl w:val="4"/>
    </w:pPr>
    <w:rPr>
      <w:rFonts w:ascii="Tahoma" w:hAnsi="Tahoma" w:eastAsia="宋体"/>
      <w:sz w:val="28"/>
      <w:szCs w:val="20"/>
    </w:rPr>
  </w:style>
  <w:style w:type="paragraph" w:styleId="10">
    <w:name w:val="heading 6"/>
    <w:basedOn w:val="1"/>
    <w:next w:val="1"/>
    <w:link w:val="64"/>
    <w:qFormat/>
    <w:uiPriority w:val="0"/>
    <w:pPr>
      <w:spacing w:before="240" w:beforeAutospacing="0" w:after="64" w:afterAutospacing="0" w:line="317" w:lineRule="auto"/>
      <w:outlineLvl w:val="5"/>
    </w:pPr>
    <w:rPr>
      <w:rFonts w:ascii="Arial" w:hAnsi="Arial" w:eastAsia="黑体"/>
      <w:b/>
      <w:sz w:val="24"/>
      <w:szCs w:val="20"/>
    </w:rPr>
  </w:style>
  <w:style w:type="paragraph" w:styleId="11">
    <w:name w:val="heading 7"/>
    <w:basedOn w:val="1"/>
    <w:next w:val="1"/>
    <w:link w:val="65"/>
    <w:qFormat/>
    <w:uiPriority w:val="0"/>
    <w:pPr>
      <w:spacing w:before="240" w:beforeAutospacing="0" w:after="64" w:afterAutospacing="0" w:line="317" w:lineRule="auto"/>
      <w:outlineLvl w:val="6"/>
    </w:pPr>
    <w:rPr>
      <w:rFonts w:ascii="Tahoma" w:hAnsi="Tahoma"/>
      <w:b/>
      <w:sz w:val="24"/>
      <w:szCs w:val="20"/>
    </w:rPr>
  </w:style>
  <w:style w:type="paragraph" w:styleId="12">
    <w:name w:val="heading 8"/>
    <w:basedOn w:val="1"/>
    <w:next w:val="1"/>
    <w:link w:val="66"/>
    <w:qFormat/>
    <w:uiPriority w:val="0"/>
    <w:pPr>
      <w:spacing w:before="240" w:beforeAutospacing="0" w:after="64" w:afterAutospacing="0" w:line="317" w:lineRule="auto"/>
      <w:outlineLvl w:val="7"/>
    </w:pPr>
    <w:rPr>
      <w:rFonts w:ascii="Arial" w:hAnsi="Arial" w:eastAsia="黑体"/>
    </w:rPr>
  </w:style>
  <w:style w:type="paragraph" w:styleId="13">
    <w:name w:val="heading 9"/>
    <w:basedOn w:val="1"/>
    <w:next w:val="1"/>
    <w:link w:val="67"/>
    <w:qFormat/>
    <w:uiPriority w:val="0"/>
    <w:pPr>
      <w:spacing w:before="240" w:beforeAutospacing="0" w:after="64" w:afterAutospacing="0" w:line="317" w:lineRule="auto"/>
      <w:outlineLvl w:val="8"/>
    </w:pPr>
    <w:rPr>
      <w:rFonts w:ascii="Arial" w:hAnsi="Arial" w:eastAsia="黑体"/>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6"/>
    <w:qFormat/>
    <w:uiPriority w:val="0"/>
    <w:pPr>
      <w:spacing w:beforeAutospacing="0" w:after="120" w:afterAutospacing="0"/>
    </w:pPr>
    <w:rPr>
      <w:rFonts w:ascii="Tahoma" w:hAnsi="Tahoma"/>
      <w:sz w:val="28"/>
    </w:rPr>
  </w:style>
  <w:style w:type="paragraph" w:styleId="3">
    <w:name w:val="Body Text First Indent"/>
    <w:basedOn w:val="2"/>
    <w:next w:val="1"/>
    <w:link w:val="82"/>
    <w:qFormat/>
    <w:uiPriority w:val="0"/>
    <w:pPr>
      <w:ind w:firstLine="420" w:firstLineChars="100"/>
    </w:pPr>
  </w:style>
  <w:style w:type="paragraph" w:styleId="9">
    <w:name w:val="Title"/>
    <w:basedOn w:val="1"/>
    <w:link w:val="61"/>
    <w:qFormat/>
    <w:uiPriority w:val="0"/>
    <w:pPr>
      <w:spacing w:before="240" w:beforeAutospacing="0" w:after="60" w:afterAutospacing="0"/>
      <w:jc w:val="center"/>
      <w:outlineLvl w:val="0"/>
    </w:pPr>
    <w:rPr>
      <w:rFonts w:ascii="Cambria" w:hAnsi="Cambria" w:eastAsia="Cambria"/>
      <w:b/>
      <w:sz w:val="32"/>
      <w:szCs w:val="32"/>
    </w:rPr>
  </w:style>
  <w:style w:type="paragraph" w:styleId="14">
    <w:name w:val="toc 7"/>
    <w:basedOn w:val="1"/>
    <w:next w:val="1"/>
    <w:qFormat/>
    <w:uiPriority w:val="0"/>
    <w:pPr>
      <w:ind w:left="2520" w:leftChars="1200"/>
    </w:pPr>
  </w:style>
  <w:style w:type="paragraph" w:styleId="15">
    <w:name w:val="List Number"/>
    <w:basedOn w:val="1"/>
    <w:qFormat/>
    <w:uiPriority w:val="0"/>
    <w:pPr>
      <w:tabs>
        <w:tab w:val="left" w:pos="454"/>
        <w:tab w:val="left" w:pos="720"/>
      </w:tabs>
      <w:spacing w:beforeAutospacing="0" w:afterLines="50" w:afterAutospacing="0"/>
      <w:ind w:left="454" w:hanging="284"/>
      <w:jc w:val="left"/>
    </w:pPr>
    <w:rPr>
      <w:kern w:val="0"/>
      <w:sz w:val="24"/>
      <w:szCs w:val="20"/>
    </w:rPr>
  </w:style>
  <w:style w:type="paragraph" w:styleId="16">
    <w:name w:val="Normal Indent"/>
    <w:basedOn w:val="1"/>
    <w:link w:val="63"/>
    <w:qFormat/>
    <w:uiPriority w:val="0"/>
    <w:pPr>
      <w:ind w:firstLine="420"/>
    </w:pPr>
    <w:rPr>
      <w:rFonts w:ascii="Tahoma" w:hAnsi="Tahoma" w:eastAsia="Tahoma"/>
      <w:b/>
    </w:rPr>
  </w:style>
  <w:style w:type="paragraph" w:styleId="17">
    <w:name w:val="caption"/>
    <w:basedOn w:val="1"/>
    <w:next w:val="1"/>
    <w:qFormat/>
    <w:uiPriority w:val="0"/>
    <w:pPr>
      <w:spacing w:before="152" w:beforeAutospacing="0" w:after="160" w:afterAutospacing="0"/>
    </w:pPr>
    <w:rPr>
      <w:rFonts w:ascii="Arial" w:hAnsi="Arial" w:eastAsia="黑体" w:cs="Arial"/>
      <w:sz w:val="20"/>
      <w:szCs w:val="20"/>
    </w:rPr>
  </w:style>
  <w:style w:type="paragraph" w:styleId="18">
    <w:name w:val="Document Map"/>
    <w:basedOn w:val="1"/>
    <w:link w:val="68"/>
    <w:qFormat/>
    <w:uiPriority w:val="0"/>
    <w:pPr>
      <w:shd w:val="clear" w:color="auto" w:fill="000080"/>
    </w:pPr>
    <w:rPr>
      <w:rFonts w:hint="eastAsia" w:ascii="宋体" w:hAnsi="宋体"/>
      <w:sz w:val="18"/>
      <w:szCs w:val="18"/>
    </w:rPr>
  </w:style>
  <w:style w:type="paragraph" w:styleId="19">
    <w:name w:val="annotation text"/>
    <w:basedOn w:val="1"/>
    <w:link w:val="69"/>
    <w:qFormat/>
    <w:uiPriority w:val="0"/>
    <w:pPr>
      <w:jc w:val="left"/>
    </w:pPr>
    <w:rPr>
      <w:rFonts w:ascii="Tahoma" w:hAnsi="Tahoma"/>
    </w:rPr>
  </w:style>
  <w:style w:type="paragraph" w:styleId="20">
    <w:name w:val="Body Text 3"/>
    <w:basedOn w:val="1"/>
    <w:link w:val="70"/>
    <w:qFormat/>
    <w:uiPriority w:val="0"/>
    <w:pPr>
      <w:snapToGrid w:val="0"/>
      <w:spacing w:before="50" w:beforeAutospacing="0" w:after="50" w:afterAutospacing="0"/>
    </w:pPr>
    <w:rPr>
      <w:rFonts w:ascii="Tahoma" w:hAnsi="Tahoma"/>
      <w:sz w:val="16"/>
      <w:szCs w:val="16"/>
    </w:rPr>
  </w:style>
  <w:style w:type="paragraph" w:styleId="21">
    <w:name w:val="Body Text Indent"/>
    <w:basedOn w:val="1"/>
    <w:link w:val="71"/>
    <w:qFormat/>
    <w:uiPriority w:val="0"/>
    <w:pPr>
      <w:spacing w:beforeAutospacing="0" w:afterAutospacing="0" w:line="200" w:lineRule="exact"/>
      <w:ind w:firstLine="301"/>
    </w:pPr>
    <w:rPr>
      <w:rFonts w:hint="eastAsia" w:ascii="宋体" w:hAnsi="Courier New"/>
      <w:spacing w:val="-4"/>
      <w:sz w:val="18"/>
      <w:szCs w:val="20"/>
    </w:rPr>
  </w:style>
  <w:style w:type="paragraph" w:styleId="22">
    <w:name w:val="List Number 3"/>
    <w:basedOn w:val="1"/>
    <w:qFormat/>
    <w:uiPriority w:val="0"/>
    <w:pPr>
      <w:numPr>
        <w:ilvl w:val="0"/>
        <w:numId w:val="1"/>
      </w:numPr>
    </w:pPr>
  </w:style>
  <w:style w:type="paragraph" w:styleId="23">
    <w:name w:val="List 2"/>
    <w:basedOn w:val="1"/>
    <w:qFormat/>
    <w:uiPriority w:val="0"/>
    <w:pPr>
      <w:ind w:left="100" w:leftChars="200" w:hanging="200" w:hangingChars="200"/>
    </w:pPr>
    <w:rPr>
      <w:sz w:val="28"/>
    </w:rPr>
  </w:style>
  <w:style w:type="paragraph" w:styleId="24">
    <w:name w:val="toc 5"/>
    <w:basedOn w:val="1"/>
    <w:next w:val="1"/>
    <w:qFormat/>
    <w:uiPriority w:val="0"/>
    <w:pPr>
      <w:ind w:left="1680" w:leftChars="800"/>
    </w:pPr>
  </w:style>
  <w:style w:type="paragraph" w:styleId="25">
    <w:name w:val="toc 3"/>
    <w:basedOn w:val="1"/>
    <w:next w:val="1"/>
    <w:qFormat/>
    <w:uiPriority w:val="0"/>
    <w:pPr>
      <w:ind w:left="840" w:leftChars="400"/>
    </w:pPr>
  </w:style>
  <w:style w:type="paragraph" w:styleId="26">
    <w:name w:val="Plain Text"/>
    <w:basedOn w:val="1"/>
    <w:link w:val="72"/>
    <w:qFormat/>
    <w:uiPriority w:val="0"/>
    <w:pPr>
      <w:spacing w:beforeLines="50" w:beforeAutospacing="0" w:afterLines="50" w:afterAutospacing="0" w:line="400" w:lineRule="exact"/>
    </w:pPr>
    <w:rPr>
      <w:rFonts w:hint="eastAsia" w:ascii="宋体" w:hAnsi="Courier New"/>
      <w:szCs w:val="21"/>
    </w:rPr>
  </w:style>
  <w:style w:type="paragraph" w:styleId="27">
    <w:name w:val="toc 8"/>
    <w:basedOn w:val="1"/>
    <w:next w:val="1"/>
    <w:qFormat/>
    <w:uiPriority w:val="0"/>
    <w:pPr>
      <w:ind w:left="2940" w:leftChars="1400"/>
    </w:pPr>
  </w:style>
  <w:style w:type="paragraph" w:styleId="28">
    <w:name w:val="Date"/>
    <w:basedOn w:val="1"/>
    <w:next w:val="1"/>
    <w:link w:val="73"/>
    <w:qFormat/>
    <w:uiPriority w:val="0"/>
    <w:pPr>
      <w:ind w:left="2500" w:leftChars="2500"/>
    </w:pPr>
    <w:rPr>
      <w:rFonts w:hint="eastAsia" w:ascii="黑体" w:hAnsi="宋体" w:eastAsia="黑体"/>
      <w:kern w:val="44"/>
      <w:position w:val="6"/>
      <w:szCs w:val="20"/>
    </w:rPr>
  </w:style>
  <w:style w:type="paragraph" w:styleId="29">
    <w:name w:val="Body Text Indent 2"/>
    <w:basedOn w:val="1"/>
    <w:link w:val="74"/>
    <w:qFormat/>
    <w:uiPriority w:val="0"/>
    <w:pPr>
      <w:snapToGrid w:val="0"/>
      <w:ind w:firstLine="542" w:firstLineChars="225"/>
    </w:pPr>
    <w:rPr>
      <w:rFonts w:ascii="Tahoma" w:hAnsi="Tahoma"/>
    </w:rPr>
  </w:style>
  <w:style w:type="paragraph" w:styleId="30">
    <w:name w:val="Balloon Text"/>
    <w:basedOn w:val="1"/>
    <w:link w:val="75"/>
    <w:qFormat/>
    <w:uiPriority w:val="0"/>
    <w:rPr>
      <w:rFonts w:ascii="Tahoma" w:hAnsi="Tahoma"/>
      <w:sz w:val="18"/>
      <w:szCs w:val="18"/>
    </w:rPr>
  </w:style>
  <w:style w:type="paragraph" w:styleId="31">
    <w:name w:val="footer"/>
    <w:basedOn w:val="1"/>
    <w:link w:val="76"/>
    <w:qFormat/>
    <w:uiPriority w:val="0"/>
    <w:pPr>
      <w:tabs>
        <w:tab w:val="center" w:pos="4153"/>
        <w:tab w:val="right" w:pos="8306"/>
      </w:tabs>
      <w:snapToGrid w:val="0"/>
      <w:jc w:val="left"/>
    </w:pPr>
    <w:rPr>
      <w:rFonts w:hint="eastAsia" w:ascii="黑体" w:hAnsi="宋体" w:eastAsia="黑体"/>
      <w:kern w:val="0"/>
      <w:sz w:val="18"/>
      <w:szCs w:val="18"/>
    </w:rPr>
  </w:style>
  <w:style w:type="paragraph" w:styleId="32">
    <w:name w:val="header"/>
    <w:basedOn w:val="1"/>
    <w:link w:val="77"/>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3">
    <w:name w:val="toc 1"/>
    <w:basedOn w:val="1"/>
    <w:next w:val="1"/>
    <w:qFormat/>
    <w:uiPriority w:val="39"/>
  </w:style>
  <w:style w:type="paragraph" w:styleId="34">
    <w:name w:val="toc 4"/>
    <w:basedOn w:val="1"/>
    <w:next w:val="1"/>
    <w:qFormat/>
    <w:uiPriority w:val="0"/>
    <w:pPr>
      <w:ind w:left="1260" w:leftChars="600"/>
    </w:pPr>
  </w:style>
  <w:style w:type="paragraph" w:styleId="35">
    <w:name w:val="Subtitle"/>
    <w:basedOn w:val="1"/>
    <w:qFormat/>
    <w:uiPriority w:val="0"/>
    <w:pPr>
      <w:spacing w:before="240" w:beforeAutospacing="0" w:after="60" w:afterAutospacing="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ind w:left="2100" w:leftChars="1000"/>
    </w:pPr>
  </w:style>
  <w:style w:type="paragraph" w:styleId="38">
    <w:name w:val="Body Text Indent 3"/>
    <w:basedOn w:val="1"/>
    <w:link w:val="78"/>
    <w:qFormat/>
    <w:uiPriority w:val="0"/>
    <w:pPr>
      <w:snapToGrid w:val="0"/>
      <w:ind w:firstLine="480" w:firstLineChars="200"/>
      <w:jc w:val="left"/>
    </w:pPr>
    <w:rPr>
      <w:rFonts w:ascii="Tahoma" w:hAnsi="Tahoma"/>
      <w:sz w:val="16"/>
      <w:szCs w:val="16"/>
    </w:r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Body Text 2"/>
    <w:basedOn w:val="1"/>
    <w:link w:val="79"/>
    <w:qFormat/>
    <w:uiPriority w:val="0"/>
    <w:pPr>
      <w:snapToGrid w:val="0"/>
      <w:spacing w:before="50" w:beforeAutospacing="0" w:afterLines="50" w:afterAutospacing="0" w:line="400" w:lineRule="exact"/>
      <w:jc w:val="left"/>
    </w:pPr>
    <w:rPr>
      <w:rFonts w:ascii="Tahoma" w:hAnsi="Tahoma"/>
      <w:spacing w:val="20"/>
    </w:rPr>
  </w:style>
  <w:style w:type="paragraph" w:styleId="42">
    <w:name w:val="HTML Preformatted"/>
    <w:basedOn w:val="1"/>
    <w:link w:val="80"/>
    <w:qFormat/>
    <w:uiPriority w:val="0"/>
    <w:rPr>
      <w:rFonts w:hint="eastAsia" w:ascii="宋体" w:hAnsi="宋体"/>
      <w:kern w:val="0"/>
      <w:sz w:val="24"/>
    </w:rPr>
  </w:style>
  <w:style w:type="paragraph" w:styleId="43">
    <w:name w:val="Normal (Web)"/>
    <w:basedOn w:val="1"/>
    <w:qFormat/>
    <w:uiPriority w:val="0"/>
    <w:pPr>
      <w:spacing w:before="100" w:beforeAutospacing="1" w:after="100" w:afterAutospacing="1"/>
      <w:jc w:val="left"/>
    </w:pPr>
    <w:rPr>
      <w:kern w:val="0"/>
      <w:sz w:val="24"/>
    </w:rPr>
  </w:style>
  <w:style w:type="paragraph" w:styleId="44">
    <w:name w:val="annotation subject"/>
    <w:basedOn w:val="19"/>
    <w:next w:val="19"/>
    <w:link w:val="81"/>
    <w:qFormat/>
    <w:uiPriority w:val="0"/>
    <w:rPr>
      <w:b/>
    </w:rPr>
  </w:style>
  <w:style w:type="paragraph" w:styleId="45">
    <w:name w:val="Body Text First Indent 2"/>
    <w:basedOn w:val="21"/>
    <w:qFormat/>
    <w:uiPriority w:val="0"/>
    <w:pPr>
      <w:ind w:firstLine="420" w:firstLineChars="200"/>
    </w:pPr>
    <w:rPr>
      <w:rFonts w:ascii="Times New Roman" w:hAnsi="Times New Roman"/>
      <w:lang w:val="zh-CN"/>
    </w:rPr>
  </w:style>
  <w:style w:type="table" w:styleId="47">
    <w:name w:val="Table Grid"/>
    <w:basedOn w:val="46"/>
    <w:qFormat/>
    <w:uiPriority w:val="0"/>
    <w:pPr>
      <w:widowControl w:val="0"/>
      <w:adjustRightInd w:val="0"/>
      <w:spacing w:beforeAutospacing="0" w:afterAutospacing="0"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qFormat/>
    <w:uiPriority w:val="0"/>
    <w:rPr>
      <w:rFonts w:hint="default" w:ascii="Times New Roman" w:hAnsi="Times New Roman" w:cs="Times New Roman"/>
      <w:sz w:val="24"/>
      <w:szCs w:val="20"/>
    </w:rPr>
  </w:style>
  <w:style w:type="character" w:styleId="51">
    <w:name w:val="FollowedHyperlink"/>
    <w:qFormat/>
    <w:uiPriority w:val="0"/>
    <w:rPr>
      <w:rFonts w:ascii="Tahoma" w:hAnsi="Tahoma"/>
      <w:color w:val="004102"/>
      <w:sz w:val="24"/>
      <w:szCs w:val="20"/>
      <w:u w:val="none"/>
    </w:rPr>
  </w:style>
  <w:style w:type="character" w:styleId="52">
    <w:name w:val="Hyperlink"/>
    <w:qFormat/>
    <w:uiPriority w:val="99"/>
    <w:rPr>
      <w:rFonts w:ascii="Tahoma" w:hAnsi="Tahoma"/>
      <w:color w:val="004102"/>
      <w:sz w:val="24"/>
      <w:szCs w:val="20"/>
      <w:u w:val="none"/>
    </w:rPr>
  </w:style>
  <w:style w:type="character" w:styleId="53">
    <w:name w:val="annotation reference"/>
    <w:qFormat/>
    <w:uiPriority w:val="0"/>
    <w:rPr>
      <w:sz w:val="21"/>
      <w:szCs w:val="21"/>
    </w:rPr>
  </w:style>
  <w:style w:type="paragraph" w:customStyle="1" w:styleId="54">
    <w:name w:val="表格文字"/>
    <w:basedOn w:val="1"/>
    <w:qFormat/>
    <w:uiPriority w:val="0"/>
    <w:pPr>
      <w:jc w:val="center"/>
    </w:pPr>
    <w:rPr>
      <w:rFonts w:ascii="Arial" w:hAnsi="Arial" w:eastAsia="仿宋_GB2312" w:cs="Arial"/>
      <w:spacing w:val="10"/>
      <w:sz w:val="24"/>
      <w:szCs w:val="28"/>
    </w:rPr>
  </w:style>
  <w:style w:type="paragraph" w:customStyle="1" w:styleId="55">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6">
    <w:name w:val="正文文本 Char"/>
    <w:link w:val="2"/>
    <w:qFormat/>
    <w:uiPriority w:val="0"/>
    <w:rPr>
      <w:rFonts w:ascii="Tahoma" w:hAnsi="Tahoma"/>
      <w:kern w:val="2"/>
      <w:sz w:val="28"/>
      <w:szCs w:val="24"/>
    </w:rPr>
  </w:style>
  <w:style w:type="character" w:customStyle="1" w:styleId="57">
    <w:name w:val="标题 1 Char"/>
    <w:link w:val="4"/>
    <w:qFormat/>
    <w:uiPriority w:val="0"/>
    <w:rPr>
      <w:rFonts w:ascii="Calibri" w:hAnsi="Calibri"/>
      <w:b/>
      <w:kern w:val="44"/>
      <w:sz w:val="44"/>
    </w:rPr>
  </w:style>
  <w:style w:type="character" w:customStyle="1" w:styleId="58">
    <w:name w:val="标题 2 Char1"/>
    <w:link w:val="5"/>
    <w:qFormat/>
    <w:uiPriority w:val="9"/>
    <w:rPr>
      <w:rFonts w:ascii="Arial" w:hAnsi="Arial" w:eastAsia="仿宋_GB2312"/>
      <w:b/>
      <w:bCs/>
      <w:kern w:val="2"/>
      <w:sz w:val="28"/>
      <w:szCs w:val="32"/>
    </w:rPr>
  </w:style>
  <w:style w:type="character" w:customStyle="1" w:styleId="59">
    <w:name w:val="标题 3 Char"/>
    <w:link w:val="6"/>
    <w:qFormat/>
    <w:uiPriority w:val="0"/>
    <w:rPr>
      <w:b/>
      <w:kern w:val="2"/>
      <w:sz w:val="32"/>
    </w:rPr>
  </w:style>
  <w:style w:type="character" w:customStyle="1" w:styleId="60">
    <w:name w:val="标题 4 Char"/>
    <w:link w:val="7"/>
    <w:qFormat/>
    <w:uiPriority w:val="0"/>
    <w:rPr>
      <w:rFonts w:hint="default" w:ascii="Cambria" w:hAnsi="Cambria" w:eastAsia="Cambria" w:cs="Cambria"/>
      <w:b/>
      <w:kern w:val="2"/>
      <w:sz w:val="28"/>
      <w:szCs w:val="28"/>
    </w:rPr>
  </w:style>
  <w:style w:type="character" w:customStyle="1" w:styleId="61">
    <w:name w:val="标题 Char"/>
    <w:link w:val="9"/>
    <w:qFormat/>
    <w:uiPriority w:val="0"/>
    <w:rPr>
      <w:rFonts w:hint="default" w:ascii="Cambria" w:hAnsi="Cambria" w:eastAsia="Cambria" w:cs="Times New Roman"/>
      <w:b/>
      <w:kern w:val="2"/>
      <w:sz w:val="32"/>
      <w:szCs w:val="32"/>
    </w:rPr>
  </w:style>
  <w:style w:type="character" w:customStyle="1" w:styleId="62">
    <w:name w:val="标题 5 Char"/>
    <w:link w:val="8"/>
    <w:qFormat/>
    <w:uiPriority w:val="0"/>
    <w:rPr>
      <w:rFonts w:ascii="Tahoma" w:hAnsi="Tahoma"/>
      <w:b/>
      <w:kern w:val="2"/>
      <w:sz w:val="28"/>
      <w:szCs w:val="20"/>
    </w:rPr>
  </w:style>
  <w:style w:type="character" w:customStyle="1" w:styleId="63">
    <w:name w:val="正文缩进 Char"/>
    <w:link w:val="16"/>
    <w:qFormat/>
    <w:uiPriority w:val="0"/>
    <w:rPr>
      <w:rFonts w:hint="default" w:ascii="Tahoma" w:hAnsi="Tahoma" w:eastAsia="Tahoma" w:cs="Tahoma"/>
      <w:b/>
      <w:kern w:val="2"/>
      <w:sz w:val="21"/>
      <w:szCs w:val="24"/>
    </w:rPr>
  </w:style>
  <w:style w:type="character" w:customStyle="1" w:styleId="64">
    <w:name w:val="标题 6 Char"/>
    <w:link w:val="10"/>
    <w:qFormat/>
    <w:uiPriority w:val="0"/>
    <w:rPr>
      <w:rFonts w:hint="default" w:ascii="Arial" w:hAnsi="Arial" w:eastAsia="黑体" w:cs="Arial"/>
      <w:b/>
      <w:kern w:val="2"/>
      <w:sz w:val="24"/>
      <w:szCs w:val="20"/>
    </w:rPr>
  </w:style>
  <w:style w:type="character" w:customStyle="1" w:styleId="65">
    <w:name w:val="标题 7 Char"/>
    <w:link w:val="11"/>
    <w:qFormat/>
    <w:uiPriority w:val="0"/>
    <w:rPr>
      <w:rFonts w:ascii="Tahoma" w:hAnsi="Tahoma"/>
      <w:b/>
      <w:kern w:val="2"/>
      <w:sz w:val="24"/>
      <w:szCs w:val="20"/>
    </w:rPr>
  </w:style>
  <w:style w:type="character" w:customStyle="1" w:styleId="66">
    <w:name w:val="标题 8 Char"/>
    <w:link w:val="12"/>
    <w:qFormat/>
    <w:uiPriority w:val="0"/>
    <w:rPr>
      <w:rFonts w:ascii="Arial" w:hAnsi="Arial" w:eastAsia="黑体" w:cs="Arial"/>
      <w:kern w:val="2"/>
      <w:sz w:val="21"/>
      <w:szCs w:val="24"/>
    </w:rPr>
  </w:style>
  <w:style w:type="character" w:customStyle="1" w:styleId="67">
    <w:name w:val="标题 9 Char"/>
    <w:link w:val="13"/>
    <w:qFormat/>
    <w:uiPriority w:val="0"/>
    <w:rPr>
      <w:rFonts w:hint="default" w:ascii="Arial" w:hAnsi="Arial" w:eastAsia="黑体" w:cs="Arial"/>
      <w:kern w:val="2"/>
      <w:sz w:val="21"/>
      <w:szCs w:val="20"/>
    </w:rPr>
  </w:style>
  <w:style w:type="character" w:customStyle="1" w:styleId="68">
    <w:name w:val="文档结构图 Char"/>
    <w:link w:val="18"/>
    <w:qFormat/>
    <w:uiPriority w:val="0"/>
    <w:rPr>
      <w:rFonts w:hint="eastAsia" w:ascii="宋体" w:hAnsi="宋体" w:eastAsia="宋体" w:cs="宋体"/>
      <w:kern w:val="2"/>
      <w:sz w:val="18"/>
      <w:szCs w:val="18"/>
    </w:rPr>
  </w:style>
  <w:style w:type="character" w:customStyle="1" w:styleId="69">
    <w:name w:val="批注文字 Char"/>
    <w:link w:val="19"/>
    <w:qFormat/>
    <w:uiPriority w:val="0"/>
    <w:rPr>
      <w:rFonts w:ascii="Tahoma" w:hAnsi="Tahoma"/>
      <w:kern w:val="2"/>
      <w:sz w:val="21"/>
      <w:szCs w:val="24"/>
    </w:rPr>
  </w:style>
  <w:style w:type="character" w:customStyle="1" w:styleId="70">
    <w:name w:val="正文文本 3 Char"/>
    <w:link w:val="20"/>
    <w:qFormat/>
    <w:uiPriority w:val="0"/>
    <w:rPr>
      <w:rFonts w:ascii="Tahoma" w:hAnsi="Tahoma"/>
      <w:kern w:val="2"/>
      <w:sz w:val="16"/>
      <w:szCs w:val="16"/>
    </w:rPr>
  </w:style>
  <w:style w:type="character" w:customStyle="1" w:styleId="71">
    <w:name w:val="正文文本缩进 Char"/>
    <w:link w:val="21"/>
    <w:qFormat/>
    <w:uiPriority w:val="0"/>
    <w:rPr>
      <w:rFonts w:hint="eastAsia" w:ascii="宋体" w:hAnsi="Courier New" w:eastAsia="宋体" w:cs="宋体"/>
      <w:spacing w:val="-4"/>
      <w:kern w:val="2"/>
      <w:sz w:val="18"/>
      <w:szCs w:val="20"/>
    </w:rPr>
  </w:style>
  <w:style w:type="character" w:customStyle="1" w:styleId="72">
    <w:name w:val="纯文本 Char"/>
    <w:link w:val="26"/>
    <w:qFormat/>
    <w:uiPriority w:val="0"/>
    <w:rPr>
      <w:rFonts w:hint="eastAsia" w:ascii="宋体" w:hAnsi="Courier New" w:eastAsia="宋体" w:cs="Courier New"/>
      <w:kern w:val="2"/>
      <w:sz w:val="21"/>
      <w:szCs w:val="21"/>
    </w:rPr>
  </w:style>
  <w:style w:type="character" w:customStyle="1" w:styleId="73">
    <w:name w:val="日期 Char"/>
    <w:link w:val="28"/>
    <w:qFormat/>
    <w:uiPriority w:val="0"/>
    <w:rPr>
      <w:rFonts w:hint="eastAsia" w:ascii="黑体" w:hAnsi="宋体" w:eastAsia="黑体" w:cs="黑体"/>
      <w:kern w:val="44"/>
      <w:position w:val="6"/>
      <w:sz w:val="21"/>
      <w:szCs w:val="20"/>
    </w:rPr>
  </w:style>
  <w:style w:type="character" w:customStyle="1" w:styleId="74">
    <w:name w:val="正文文本缩进 2 Char"/>
    <w:link w:val="29"/>
    <w:qFormat/>
    <w:uiPriority w:val="0"/>
    <w:rPr>
      <w:rFonts w:ascii="Tahoma" w:hAnsi="Tahoma"/>
      <w:kern w:val="2"/>
      <w:sz w:val="21"/>
      <w:szCs w:val="24"/>
    </w:rPr>
  </w:style>
  <w:style w:type="character" w:customStyle="1" w:styleId="75">
    <w:name w:val="批注框文本 Char"/>
    <w:link w:val="30"/>
    <w:qFormat/>
    <w:uiPriority w:val="0"/>
    <w:rPr>
      <w:rFonts w:ascii="Tahoma" w:hAnsi="Tahoma"/>
      <w:kern w:val="2"/>
      <w:sz w:val="18"/>
      <w:szCs w:val="18"/>
    </w:rPr>
  </w:style>
  <w:style w:type="character" w:customStyle="1" w:styleId="76">
    <w:name w:val="页脚 Char"/>
    <w:link w:val="31"/>
    <w:qFormat/>
    <w:uiPriority w:val="0"/>
    <w:rPr>
      <w:rFonts w:hint="eastAsia" w:ascii="黑体" w:hAnsi="宋体" w:eastAsia="黑体" w:cs="黑体"/>
      <w:snapToGrid/>
      <w:sz w:val="18"/>
      <w:szCs w:val="18"/>
    </w:rPr>
  </w:style>
  <w:style w:type="character" w:customStyle="1" w:styleId="77">
    <w:name w:val="页眉 Char"/>
    <w:link w:val="32"/>
    <w:qFormat/>
    <w:uiPriority w:val="0"/>
    <w:rPr>
      <w:rFonts w:ascii="Tahoma" w:hAnsi="Tahoma"/>
      <w:kern w:val="2"/>
      <w:sz w:val="18"/>
      <w:szCs w:val="18"/>
    </w:rPr>
  </w:style>
  <w:style w:type="character" w:customStyle="1" w:styleId="78">
    <w:name w:val="正文文本缩进 3 Char"/>
    <w:link w:val="38"/>
    <w:qFormat/>
    <w:uiPriority w:val="0"/>
    <w:rPr>
      <w:rFonts w:ascii="Tahoma" w:hAnsi="Tahoma"/>
      <w:kern w:val="2"/>
      <w:sz w:val="16"/>
      <w:szCs w:val="16"/>
    </w:rPr>
  </w:style>
  <w:style w:type="character" w:customStyle="1" w:styleId="79">
    <w:name w:val="正文文本 2 Char"/>
    <w:link w:val="41"/>
    <w:qFormat/>
    <w:uiPriority w:val="0"/>
    <w:rPr>
      <w:rFonts w:ascii="Tahoma" w:hAnsi="Tahoma"/>
      <w:spacing w:val="20"/>
      <w:kern w:val="2"/>
      <w:sz w:val="21"/>
      <w:szCs w:val="24"/>
    </w:rPr>
  </w:style>
  <w:style w:type="character" w:customStyle="1" w:styleId="80">
    <w:name w:val="HTML 预设格式 Char"/>
    <w:link w:val="42"/>
    <w:qFormat/>
    <w:uiPriority w:val="0"/>
    <w:rPr>
      <w:rFonts w:hint="eastAsia" w:ascii="宋体" w:hAnsi="宋体" w:eastAsia="宋体" w:cs="宋体"/>
      <w:sz w:val="24"/>
      <w:szCs w:val="24"/>
    </w:rPr>
  </w:style>
  <w:style w:type="character" w:customStyle="1" w:styleId="81">
    <w:name w:val="批注主题 Char"/>
    <w:link w:val="44"/>
    <w:qFormat/>
    <w:uiPriority w:val="0"/>
    <w:rPr>
      <w:rFonts w:ascii="Tahoma" w:hAnsi="Tahoma"/>
      <w:b/>
      <w:kern w:val="2"/>
      <w:sz w:val="21"/>
      <w:szCs w:val="24"/>
    </w:rPr>
  </w:style>
  <w:style w:type="character" w:customStyle="1" w:styleId="82">
    <w:name w:val="正文首行缩进 Char"/>
    <w:link w:val="3"/>
    <w:qFormat/>
    <w:uiPriority w:val="0"/>
    <w:rPr>
      <w:rFonts w:ascii="Tahoma" w:hAnsi="Tahoma"/>
      <w:kern w:val="2"/>
      <w:sz w:val="28"/>
      <w:szCs w:val="24"/>
    </w:rPr>
  </w:style>
  <w:style w:type="character" w:customStyle="1" w:styleId="83">
    <w:name w:val="Char Char1"/>
    <w:qFormat/>
    <w:uiPriority w:val="0"/>
    <w:rPr>
      <w:rFonts w:ascii="宋体" w:hAnsi="Courier New" w:eastAsia="宋体" w:cs="Courier New"/>
      <w:kern w:val="2"/>
      <w:sz w:val="21"/>
      <w:szCs w:val="21"/>
      <w:lang w:val="en-US" w:eastAsia="zh-CN" w:bidi="ar-SA"/>
    </w:rPr>
  </w:style>
  <w:style w:type="character" w:customStyle="1" w:styleId="84">
    <w:name w:val="font21"/>
    <w:qFormat/>
    <w:uiPriority w:val="0"/>
    <w:rPr>
      <w:rFonts w:hint="default" w:ascii="Times New Roman" w:hAnsi="Times New Roman" w:cs="Times New Roman"/>
      <w:b/>
      <w:color w:val="000000"/>
      <w:sz w:val="22"/>
      <w:szCs w:val="22"/>
      <w:u w:val="single"/>
    </w:rPr>
  </w:style>
  <w:style w:type="character" w:customStyle="1" w:styleId="85">
    <w:name w:val="Char Char11"/>
    <w:link w:val="86"/>
    <w:qFormat/>
    <w:uiPriority w:val="0"/>
    <w:rPr>
      <w:rFonts w:ascii="Verdana" w:hAnsi="Verdana"/>
      <w:kern w:val="0"/>
      <w:sz w:val="24"/>
      <w:szCs w:val="20"/>
      <w:lang w:eastAsia="en-US"/>
    </w:rPr>
  </w:style>
  <w:style w:type="paragraph" w:customStyle="1" w:styleId="86">
    <w:name w:val="Char"/>
    <w:basedOn w:val="1"/>
    <w:link w:val="85"/>
    <w:qFormat/>
    <w:uiPriority w:val="0"/>
    <w:pPr>
      <w:spacing w:beforeAutospacing="0" w:afterAutospacing="0" w:line="400" w:lineRule="exact"/>
      <w:jc w:val="center"/>
    </w:pPr>
    <w:rPr>
      <w:rFonts w:ascii="Verdana" w:hAnsi="Verdana"/>
      <w:kern w:val="0"/>
      <w:sz w:val="24"/>
      <w:szCs w:val="20"/>
      <w:lang w:eastAsia="en-US"/>
    </w:rPr>
  </w:style>
  <w:style w:type="character" w:customStyle="1" w:styleId="87">
    <w:name w:val="标题 Char Char"/>
    <w:qFormat/>
    <w:uiPriority w:val="0"/>
    <w:rPr>
      <w:rFonts w:ascii="Tahoma" w:hAnsi="Tahoma"/>
      <w:b/>
      <w:sz w:val="24"/>
      <w:szCs w:val="20"/>
      <w:lang w:val="en-US"/>
    </w:rPr>
  </w:style>
  <w:style w:type="character" w:customStyle="1" w:styleId="88">
    <w:name w:val="标题 1 Char Char"/>
    <w:qFormat/>
    <w:uiPriority w:val="0"/>
    <w:rPr>
      <w:rFonts w:eastAsia="宋体"/>
      <w:b/>
      <w:spacing w:val="-2"/>
      <w:sz w:val="24"/>
      <w:lang w:val="en-US" w:eastAsia="zh-CN" w:bidi="ar-SA"/>
    </w:rPr>
  </w:style>
  <w:style w:type="character" w:customStyle="1" w:styleId="89">
    <w:name w:val="en"/>
    <w:qFormat/>
    <w:uiPriority w:val="0"/>
    <w:rPr>
      <w:rFonts w:hint="default" w:ascii="Tahoma" w:hAnsi="Tahoma" w:eastAsia="Tahoma" w:cs="Tahoma"/>
      <w:b/>
      <w:sz w:val="24"/>
      <w:szCs w:val="24"/>
    </w:rPr>
  </w:style>
  <w:style w:type="character" w:customStyle="1" w:styleId="90">
    <w:name w:val="纯文本 Char2"/>
    <w:qFormat/>
    <w:uiPriority w:val="0"/>
    <w:rPr>
      <w:rFonts w:hint="eastAsia" w:ascii="宋体" w:hAnsi="Courier New" w:eastAsia="宋体" w:cs="宋体"/>
      <w:kern w:val="2"/>
      <w:sz w:val="24"/>
      <w:szCs w:val="24"/>
    </w:rPr>
  </w:style>
  <w:style w:type="character" w:customStyle="1" w:styleId="91">
    <w:name w:val="标题 41"/>
    <w:basedOn w:val="48"/>
    <w:qFormat/>
    <w:uiPriority w:val="0"/>
  </w:style>
  <w:style w:type="character" w:customStyle="1" w:styleId="92">
    <w:name w:val="fontstyle01"/>
    <w:qFormat/>
    <w:uiPriority w:val="0"/>
    <w:rPr>
      <w:rFonts w:hint="eastAsia" w:ascii="宋体" w:hAnsi="宋体" w:eastAsia="宋体"/>
      <w:color w:val="000000"/>
      <w:sz w:val="24"/>
      <w:szCs w:val="24"/>
    </w:rPr>
  </w:style>
  <w:style w:type="character" w:customStyle="1" w:styleId="93">
    <w:name w:val="font12"/>
    <w:qFormat/>
    <w:uiPriority w:val="0"/>
    <w:rPr>
      <w:rFonts w:hint="eastAsia" w:ascii="宋体" w:hAnsi="宋体" w:eastAsia="宋体" w:cs="宋体"/>
      <w:color w:val="FF0000"/>
      <w:sz w:val="20"/>
      <w:szCs w:val="20"/>
      <w:u w:val="none"/>
    </w:rPr>
  </w:style>
  <w:style w:type="character" w:customStyle="1" w:styleId="94">
    <w:name w:val="Char Char Char"/>
    <w:qFormat/>
    <w:uiPriority w:val="0"/>
    <w:rPr>
      <w:rFonts w:ascii="宋体" w:hAnsi="Courier New" w:eastAsia="宋体"/>
      <w:kern w:val="2"/>
      <w:sz w:val="24"/>
      <w:szCs w:val="24"/>
      <w:lang w:val="en-US" w:eastAsia="zh-CN" w:bidi="ar-SA"/>
    </w:rPr>
  </w:style>
  <w:style w:type="character" w:customStyle="1" w:styleId="95">
    <w:name w:val="e"/>
    <w:qFormat/>
    <w:uiPriority w:val="0"/>
    <w:rPr>
      <w:rFonts w:hint="default" w:ascii="Tahoma" w:hAnsi="Tahoma" w:eastAsia="Tahoma" w:cs="Tahoma"/>
      <w:b/>
      <w:sz w:val="24"/>
      <w:szCs w:val="24"/>
    </w:rPr>
  </w:style>
  <w:style w:type="character" w:customStyle="1" w:styleId="96">
    <w:name w:val="z21"/>
    <w:qFormat/>
    <w:uiPriority w:val="0"/>
    <w:rPr>
      <w:rFonts w:ascii="Tahoma" w:hAnsi="Tahoma"/>
      <w:color w:val="000000"/>
      <w:sz w:val="18"/>
      <w:szCs w:val="18"/>
    </w:rPr>
  </w:style>
  <w:style w:type="character" w:customStyle="1" w:styleId="97">
    <w:name w:val="标题 2 Char Char"/>
    <w:qFormat/>
    <w:uiPriority w:val="0"/>
    <w:rPr>
      <w:rFonts w:ascii="Arial" w:hAnsi="Arial" w:eastAsia="黑体"/>
      <w:b/>
      <w:bCs/>
      <w:kern w:val="2"/>
      <w:sz w:val="32"/>
      <w:szCs w:val="32"/>
      <w:lang w:val="en-US" w:eastAsia="zh-CN" w:bidi="ar-SA"/>
    </w:rPr>
  </w:style>
  <w:style w:type="character" w:customStyle="1" w:styleId="98">
    <w:name w:val="批注文字 字符1"/>
    <w:qFormat/>
    <w:uiPriority w:val="0"/>
    <w:rPr>
      <w:rFonts w:ascii="Tahoma" w:hAnsi="Tahoma"/>
      <w:kern w:val="2"/>
      <w:sz w:val="21"/>
      <w:szCs w:val="24"/>
    </w:rPr>
  </w:style>
  <w:style w:type="character" w:customStyle="1" w:styleId="99">
    <w:name w:val="批注文字 Char Char"/>
    <w:qFormat/>
    <w:uiPriority w:val="0"/>
    <w:rPr>
      <w:rFonts w:ascii="Tahoma" w:hAnsi="Tahoma"/>
      <w:kern w:val="2"/>
      <w:sz w:val="21"/>
      <w:szCs w:val="20"/>
    </w:rPr>
  </w:style>
  <w:style w:type="character" w:customStyle="1" w:styleId="100">
    <w:name w:val="news1"/>
    <w:qFormat/>
    <w:uiPriority w:val="0"/>
    <w:rPr>
      <w:rFonts w:hint="default" w:ascii="Tahoma" w:hAnsi="Tahoma" w:eastAsia="Tahoma" w:cs="Tahoma"/>
      <w:b/>
      <w:sz w:val="24"/>
      <w:szCs w:val="24"/>
    </w:rPr>
  </w:style>
  <w:style w:type="character" w:customStyle="1" w:styleId="101">
    <w:name w:val="font111"/>
    <w:qFormat/>
    <w:uiPriority w:val="0"/>
    <w:rPr>
      <w:rFonts w:hint="eastAsia" w:ascii="宋体" w:hAnsi="宋体" w:eastAsia="宋体" w:cs="宋体"/>
      <w:color w:val="000000"/>
      <w:sz w:val="20"/>
      <w:szCs w:val="20"/>
      <w:u w:val="none"/>
    </w:rPr>
  </w:style>
  <w:style w:type="character" w:customStyle="1" w:styleId="102">
    <w:name w:val="文档结构图 Char Char"/>
    <w:qFormat/>
    <w:uiPriority w:val="0"/>
    <w:rPr>
      <w:rFonts w:hint="eastAsia" w:ascii="Microsoft YaHei UI" w:hAnsi="Tahoma" w:eastAsia="Microsoft YaHei UI" w:cs="Microsoft YaHei UI"/>
      <w:kern w:val="2"/>
      <w:sz w:val="18"/>
      <w:szCs w:val="18"/>
    </w:rPr>
  </w:style>
  <w:style w:type="character" w:customStyle="1" w:styleId="103">
    <w:name w:val="HTML 预设格式 Char2"/>
    <w:qFormat/>
    <w:uiPriority w:val="0"/>
    <w:rPr>
      <w:rFonts w:ascii="Courier New" w:hAnsi="Courier New" w:cs="Courier New"/>
      <w:kern w:val="2"/>
      <w:sz w:val="24"/>
      <w:szCs w:val="20"/>
    </w:rPr>
  </w:style>
  <w:style w:type="character" w:customStyle="1" w:styleId="104">
    <w:name w:val="正文文本缩进 2 Char Char"/>
    <w:qFormat/>
    <w:uiPriority w:val="0"/>
    <w:rPr>
      <w:rFonts w:ascii="Tahoma" w:hAnsi="Tahoma"/>
      <w:kern w:val="2"/>
      <w:sz w:val="21"/>
      <w:szCs w:val="20"/>
    </w:rPr>
  </w:style>
  <w:style w:type="character" w:customStyle="1" w:styleId="105">
    <w:name w:val="c_title1"/>
    <w:qFormat/>
    <w:uiPriority w:val="0"/>
    <w:rPr>
      <w:rFonts w:hint="eastAsia" w:ascii="黑体" w:hAnsi="Tahoma" w:eastAsia="黑体" w:cs="黑体"/>
      <w:b/>
      <w:color w:val="03005C"/>
      <w:sz w:val="30"/>
      <w:szCs w:val="30"/>
      <w:u w:val="none"/>
    </w:rPr>
  </w:style>
  <w:style w:type="character" w:customStyle="1" w:styleId="106">
    <w:name w:val="a41"/>
    <w:qFormat/>
    <w:uiPriority w:val="0"/>
    <w:rPr>
      <w:rFonts w:ascii="Tahoma" w:hAnsi="Tahoma"/>
      <w:color w:val="666666"/>
      <w:sz w:val="26"/>
      <w:szCs w:val="26"/>
    </w:rPr>
  </w:style>
  <w:style w:type="character" w:customStyle="1" w:styleId="107">
    <w:name w:val="正文文本缩进 Char Char"/>
    <w:qFormat/>
    <w:uiPriority w:val="0"/>
    <w:rPr>
      <w:rFonts w:ascii="Tahoma" w:hAnsi="Tahoma"/>
      <w:kern w:val="2"/>
      <w:sz w:val="21"/>
      <w:szCs w:val="24"/>
    </w:rPr>
  </w:style>
  <w:style w:type="character" w:customStyle="1" w:styleId="108">
    <w:name w:val="Table Text Char Char Char Char"/>
    <w:qFormat/>
    <w:uiPriority w:val="0"/>
    <w:rPr>
      <w:rFonts w:hint="default" w:ascii="Arial" w:hAnsi="Arial" w:eastAsia="宋体" w:cs="Arial"/>
      <w:kern w:val="2"/>
      <w:sz w:val="18"/>
      <w:szCs w:val="18"/>
      <w:lang w:val="en-US" w:eastAsia="zh-CN"/>
    </w:rPr>
  </w:style>
  <w:style w:type="character" w:customStyle="1" w:styleId="109">
    <w:name w:val="样式 标题 1合同标题卷标题H1h1Level 1 Topic HeadingH11H12H111H13H1... Char Char"/>
    <w:qFormat/>
    <w:uiPriority w:val="0"/>
    <w:rPr>
      <w:rFonts w:hint="eastAsia" w:ascii="宋体" w:hAnsi="宋体" w:eastAsia="宋体" w:cs="宋体"/>
      <w:b/>
      <w:kern w:val="44"/>
      <w:sz w:val="24"/>
      <w:szCs w:val="44"/>
      <w:lang w:val="en-US" w:eastAsia="zh-CN"/>
    </w:rPr>
  </w:style>
  <w:style w:type="character" w:customStyle="1" w:styleId="110">
    <w:name w:val="r21"/>
    <w:qFormat/>
    <w:uiPriority w:val="0"/>
    <w:rPr>
      <w:rFonts w:hint="default" w:ascii="Tahoma" w:hAnsi="Tahoma" w:eastAsia="Tahoma" w:cs="Tahoma"/>
      <w:b/>
      <w:color w:val="666666"/>
      <w:sz w:val="18"/>
      <w:szCs w:val="18"/>
      <w:u w:val="none"/>
    </w:rPr>
  </w:style>
  <w:style w:type="character" w:customStyle="1" w:styleId="111">
    <w:name w:val="文档结构图 Char1"/>
    <w:qFormat/>
    <w:uiPriority w:val="0"/>
    <w:rPr>
      <w:rFonts w:hint="eastAsia" w:ascii="宋体" w:hAnsi="宋体" w:eastAsia="宋体" w:cs="宋体"/>
      <w:kern w:val="2"/>
      <w:sz w:val="18"/>
      <w:szCs w:val="18"/>
    </w:rPr>
  </w:style>
  <w:style w:type="character" w:customStyle="1" w:styleId="112">
    <w:name w:val="Plain Text Char"/>
    <w:qFormat/>
    <w:uiPriority w:val="0"/>
    <w:rPr>
      <w:rFonts w:ascii="宋体" w:hAnsi="Courier New" w:eastAsia="宋体" w:cs="Times New Roman"/>
      <w:sz w:val="20"/>
      <w:szCs w:val="20"/>
    </w:rPr>
  </w:style>
  <w:style w:type="character" w:customStyle="1" w:styleId="113">
    <w:name w:val="font141"/>
    <w:qFormat/>
    <w:uiPriority w:val="0"/>
    <w:rPr>
      <w:rFonts w:hint="default" w:ascii="Tahoma" w:hAnsi="Tahoma" w:eastAsia="Tahoma" w:cs="Tahoma"/>
      <w:sz w:val="24"/>
      <w:szCs w:val="24"/>
    </w:rPr>
  </w:style>
  <w:style w:type="character" w:customStyle="1" w:styleId="114">
    <w:name w:val="纯文本 字符1"/>
    <w:qFormat/>
    <w:uiPriority w:val="0"/>
    <w:rPr>
      <w:rFonts w:ascii="等线" w:hAnsi="Courier New" w:eastAsia="等线" w:cs="Courier New"/>
      <w:kern w:val="2"/>
      <w:sz w:val="21"/>
      <w:szCs w:val="24"/>
    </w:rPr>
  </w:style>
  <w:style w:type="character" w:customStyle="1" w:styleId="115">
    <w:name w:val="fontheight2"/>
    <w:qFormat/>
    <w:uiPriority w:val="0"/>
    <w:rPr>
      <w:rFonts w:ascii="Tahoma" w:hAnsi="Tahoma"/>
      <w:sz w:val="20"/>
      <w:szCs w:val="20"/>
      <w:u w:val="none"/>
    </w:rPr>
  </w:style>
  <w:style w:type="character" w:customStyle="1" w:styleId="116">
    <w:name w:val="kleintab"/>
    <w:qFormat/>
    <w:uiPriority w:val="0"/>
    <w:rPr>
      <w:rFonts w:hint="default" w:ascii="Tahoma" w:hAnsi="Tahoma" w:eastAsia="Tahoma" w:cs="Tahoma"/>
      <w:b/>
      <w:sz w:val="24"/>
      <w:szCs w:val="24"/>
    </w:rPr>
  </w:style>
  <w:style w:type="character" w:customStyle="1" w:styleId="117">
    <w:name w:val="text1"/>
    <w:qFormat/>
    <w:uiPriority w:val="0"/>
    <w:rPr>
      <w:rFonts w:ascii="Tahoma" w:hAnsi="Tahoma"/>
      <w:color w:val="000000"/>
      <w:sz w:val="24"/>
      <w:szCs w:val="24"/>
    </w:rPr>
  </w:style>
  <w:style w:type="character" w:customStyle="1" w:styleId="118">
    <w:name w:val="标题 2 Char"/>
    <w:qFormat/>
    <w:uiPriority w:val="0"/>
    <w:rPr>
      <w:rFonts w:hint="default" w:ascii="Arial" w:hAnsi="Arial" w:eastAsia="黑体" w:cs="Arial"/>
      <w:b/>
      <w:kern w:val="2"/>
      <w:sz w:val="32"/>
      <w:szCs w:val="32"/>
    </w:rPr>
  </w:style>
  <w:style w:type="character" w:customStyle="1" w:styleId="119">
    <w:name w:val="页码1"/>
    <w:qFormat/>
    <w:uiPriority w:val="0"/>
    <w:rPr>
      <w:rFonts w:hint="default" w:ascii="Times New Roman" w:hAnsi="Tahoma" w:cs="Times New Roman"/>
      <w:b/>
      <w:sz w:val="24"/>
      <w:szCs w:val="24"/>
    </w:rPr>
  </w:style>
  <w:style w:type="character" w:customStyle="1" w:styleId="120">
    <w:name w:val="font71"/>
    <w:qFormat/>
    <w:uiPriority w:val="0"/>
    <w:rPr>
      <w:rFonts w:hint="eastAsia" w:ascii="宋体" w:hAnsi="宋体" w:eastAsia="宋体" w:cs="宋体"/>
      <w:b/>
      <w:color w:val="000000"/>
      <w:sz w:val="22"/>
      <w:szCs w:val="22"/>
      <w:u w:val="none"/>
    </w:rPr>
  </w:style>
  <w:style w:type="character" w:customStyle="1" w:styleId="121">
    <w:name w:val="medium_text1"/>
    <w:qFormat/>
    <w:uiPriority w:val="0"/>
    <w:rPr>
      <w:rFonts w:hint="default" w:ascii="Times New Roman" w:hAnsi="Times New Roman" w:cs="Times New Roman"/>
      <w:sz w:val="24"/>
      <w:szCs w:val="24"/>
    </w:rPr>
  </w:style>
  <w:style w:type="character" w:customStyle="1" w:styleId="122">
    <w:name w:val="md1"/>
    <w:qFormat/>
    <w:uiPriority w:val="0"/>
    <w:rPr>
      <w:rFonts w:ascii="Tahoma" w:hAnsi="Tahoma"/>
      <w:sz w:val="21"/>
      <w:szCs w:val="21"/>
    </w:rPr>
  </w:style>
  <w:style w:type="character" w:customStyle="1" w:styleId="123">
    <w:name w:val="tx_news9"/>
    <w:qFormat/>
    <w:uiPriority w:val="0"/>
    <w:rPr>
      <w:rFonts w:hint="default" w:ascii="Tahoma" w:hAnsi="Tahoma" w:eastAsia="Tahoma" w:cs="Tahoma"/>
      <w:b/>
      <w:sz w:val="24"/>
      <w:szCs w:val="24"/>
    </w:rPr>
  </w:style>
  <w:style w:type="character" w:customStyle="1" w:styleId="124">
    <w:name w:val="正文文本缩进 字符1"/>
    <w:qFormat/>
    <w:uiPriority w:val="0"/>
    <w:rPr>
      <w:rFonts w:ascii="Tahoma" w:hAnsi="Tahoma"/>
      <w:kern w:val="2"/>
      <w:sz w:val="21"/>
      <w:szCs w:val="24"/>
    </w:rPr>
  </w:style>
  <w:style w:type="character" w:customStyle="1" w:styleId="125">
    <w:name w:val="纯文本 Char Char"/>
    <w:qFormat/>
    <w:uiPriority w:val="0"/>
    <w:rPr>
      <w:rFonts w:ascii="宋体" w:hAnsi="Courier New" w:eastAsia="宋体"/>
      <w:kern w:val="2"/>
      <w:sz w:val="24"/>
      <w:szCs w:val="24"/>
      <w:lang w:val="en-US" w:eastAsia="zh-CN" w:bidi="ar-SA"/>
    </w:rPr>
  </w:style>
  <w:style w:type="character" w:customStyle="1" w:styleId="126">
    <w:name w:val="aa1"/>
    <w:qFormat/>
    <w:uiPriority w:val="0"/>
    <w:rPr>
      <w:rFonts w:hint="default" w:ascii="Tahoma" w:hAnsi="Tahoma" w:eastAsia="Tahoma" w:cs="Tahoma"/>
      <w:b/>
      <w:sz w:val="24"/>
      <w:szCs w:val="24"/>
    </w:rPr>
  </w:style>
  <w:style w:type="character" w:customStyle="1" w:styleId="127">
    <w:name w:val="font11"/>
    <w:qFormat/>
    <w:uiPriority w:val="0"/>
    <w:rPr>
      <w:rFonts w:hint="eastAsia" w:ascii="宋体" w:hAnsi="宋体" w:eastAsia="宋体"/>
      <w:color w:val="000000"/>
      <w:sz w:val="18"/>
      <w:szCs w:val="18"/>
      <w:u w:val="none"/>
    </w:rPr>
  </w:style>
  <w:style w:type="character" w:customStyle="1" w:styleId="128">
    <w:name w:val="font112"/>
    <w:qFormat/>
    <w:uiPriority w:val="0"/>
    <w:rPr>
      <w:rFonts w:hint="eastAsia" w:ascii="宋体" w:hAnsi="宋体" w:eastAsia="宋体" w:cs="宋体"/>
      <w:b/>
      <w:color w:val="000000"/>
      <w:sz w:val="22"/>
      <w:szCs w:val="22"/>
      <w:u w:val="none"/>
    </w:rPr>
  </w:style>
  <w:style w:type="character" w:customStyle="1" w:styleId="129">
    <w:name w:val="font61"/>
    <w:qFormat/>
    <w:uiPriority w:val="0"/>
    <w:rPr>
      <w:rFonts w:hint="eastAsia" w:ascii="宋体" w:hAnsi="宋体" w:eastAsia="宋体" w:cs="宋体"/>
      <w:color w:val="000000"/>
      <w:sz w:val="20"/>
      <w:szCs w:val="20"/>
      <w:u w:val="none"/>
    </w:rPr>
  </w:style>
  <w:style w:type="character" w:customStyle="1" w:styleId="130">
    <w:name w:val="msobooktitle"/>
    <w:qFormat/>
    <w:uiPriority w:val="0"/>
    <w:rPr>
      <w:rFonts w:ascii="Tahoma" w:hAnsi="Tahoma"/>
      <w:b/>
      <w:smallCaps/>
      <w:spacing w:val="5"/>
      <w:sz w:val="24"/>
      <w:szCs w:val="20"/>
    </w:rPr>
  </w:style>
  <w:style w:type="character" w:customStyle="1" w:styleId="131">
    <w:name w:val="样式 宋体"/>
    <w:qFormat/>
    <w:uiPriority w:val="0"/>
    <w:rPr>
      <w:rFonts w:ascii="宋体" w:hAnsi="宋体" w:eastAsia="宋体"/>
      <w:sz w:val="24"/>
      <w:szCs w:val="24"/>
    </w:rPr>
  </w:style>
  <w:style w:type="character" w:customStyle="1" w:styleId="132">
    <w:name w:val="font181"/>
    <w:qFormat/>
    <w:uiPriority w:val="0"/>
    <w:rPr>
      <w:rFonts w:hint="default" w:ascii="Times New Roman" w:hAnsi="Times New Roman" w:cs="Times New Roman"/>
      <w:b/>
      <w:color w:val="000000"/>
      <w:sz w:val="22"/>
      <w:szCs w:val="22"/>
      <w:u w:val="none"/>
    </w:rPr>
  </w:style>
  <w:style w:type="character" w:customStyle="1" w:styleId="133">
    <w:name w:val="页脚 字符1"/>
    <w:qFormat/>
    <w:uiPriority w:val="0"/>
    <w:rPr>
      <w:rFonts w:ascii="Tahoma" w:hAnsi="Tahoma"/>
      <w:kern w:val="2"/>
      <w:sz w:val="18"/>
      <w:szCs w:val="18"/>
    </w:rPr>
  </w:style>
  <w:style w:type="character" w:customStyle="1" w:styleId="134">
    <w:name w:val="批注主题 Char Char"/>
    <w:qFormat/>
    <w:uiPriority w:val="0"/>
    <w:rPr>
      <w:kern w:val="2"/>
      <w:sz w:val="21"/>
      <w:szCs w:val="24"/>
    </w:rPr>
  </w:style>
  <w:style w:type="character" w:customStyle="1" w:styleId="135">
    <w:name w:val="普通文字 Char Char1"/>
    <w:qFormat/>
    <w:uiPriority w:val="0"/>
    <w:rPr>
      <w:rFonts w:ascii="宋体" w:hAnsi="Courier New" w:eastAsia="宋体"/>
      <w:kern w:val="2"/>
      <w:sz w:val="24"/>
      <w:szCs w:val="24"/>
      <w:lang w:val="en-US" w:eastAsia="zh-CN" w:bidi="ar-SA"/>
    </w:rPr>
  </w:style>
  <w:style w:type="character" w:customStyle="1" w:styleId="136">
    <w:name w:val="页脚 Char Char"/>
    <w:qFormat/>
    <w:uiPriority w:val="0"/>
    <w:rPr>
      <w:rFonts w:eastAsia="黑体"/>
      <w:snapToGrid w:val="0"/>
      <w:kern w:val="2"/>
      <w:sz w:val="18"/>
      <w:szCs w:val="18"/>
    </w:rPr>
  </w:style>
  <w:style w:type="character" w:customStyle="1" w:styleId="137">
    <w:name w:val="标题 1 字符"/>
    <w:qFormat/>
    <w:uiPriority w:val="0"/>
    <w:rPr>
      <w:rFonts w:ascii="Tahoma" w:hAnsi="Tahoma"/>
      <w:b/>
      <w:kern w:val="44"/>
      <w:sz w:val="44"/>
      <w:szCs w:val="44"/>
    </w:rPr>
  </w:style>
  <w:style w:type="character" w:customStyle="1" w:styleId="138">
    <w:name w:val="纯文本 Char1"/>
    <w:qFormat/>
    <w:uiPriority w:val="0"/>
    <w:rPr>
      <w:rFonts w:ascii="宋体" w:hAnsi="Courier New" w:eastAsia="宋体" w:cs="Courier New"/>
      <w:kern w:val="2"/>
      <w:sz w:val="21"/>
      <w:szCs w:val="21"/>
      <w:lang w:val="en-US" w:eastAsia="zh-CN" w:bidi="ar-SA"/>
    </w:rPr>
  </w:style>
  <w:style w:type="character" w:customStyle="1" w:styleId="139">
    <w:name w:val="正文文本 3 Char Char"/>
    <w:qFormat/>
    <w:uiPriority w:val="0"/>
    <w:rPr>
      <w:rFonts w:ascii="Tahoma" w:hAnsi="Tahoma"/>
      <w:kern w:val="2"/>
      <w:sz w:val="16"/>
      <w:szCs w:val="16"/>
    </w:rPr>
  </w:style>
  <w:style w:type="character" w:customStyle="1" w:styleId="140">
    <w:name w:val="H5 Char"/>
    <w:qFormat/>
    <w:uiPriority w:val="0"/>
    <w:rPr>
      <w:rFonts w:ascii="Tahoma" w:hAnsi="Tahoma"/>
      <w:sz w:val="28"/>
      <w:szCs w:val="20"/>
    </w:rPr>
  </w:style>
  <w:style w:type="character" w:customStyle="1" w:styleId="141">
    <w:name w:val="HTML 预设格式 Char1"/>
    <w:qFormat/>
    <w:uiPriority w:val="0"/>
    <w:rPr>
      <w:rFonts w:hint="default" w:ascii="Courier New" w:hAnsi="Courier New" w:cs="Courier New"/>
      <w:kern w:val="2"/>
      <w:sz w:val="24"/>
      <w:szCs w:val="20"/>
    </w:rPr>
  </w:style>
  <w:style w:type="character" w:customStyle="1" w:styleId="142">
    <w:name w:val="正文文本缩进 Char2"/>
    <w:qFormat/>
    <w:uiPriority w:val="0"/>
    <w:rPr>
      <w:rFonts w:hint="eastAsia" w:ascii="宋体" w:hAnsi="Courier New" w:eastAsia="宋体" w:cs="宋体"/>
      <w:spacing w:val="-4"/>
      <w:kern w:val="2"/>
      <w:sz w:val="18"/>
      <w:szCs w:val="20"/>
    </w:rPr>
  </w:style>
  <w:style w:type="character" w:customStyle="1" w:styleId="143">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144">
    <w:name w:val="font31"/>
    <w:basedOn w:val="48"/>
    <w:qFormat/>
    <w:uiPriority w:val="0"/>
    <w:rPr>
      <w:rFonts w:hint="eastAsia" w:ascii="Microsoft JhengHei" w:hAnsi="Microsoft JhengHei" w:eastAsia="Microsoft JhengHei" w:cs="Microsoft JhengHei"/>
      <w:b/>
      <w:color w:val="000000"/>
      <w:sz w:val="11"/>
      <w:szCs w:val="11"/>
      <w:u w:val="none"/>
    </w:rPr>
  </w:style>
  <w:style w:type="paragraph" w:customStyle="1" w:styleId="145">
    <w:name w:val="正文缩进2格"/>
    <w:basedOn w:val="1"/>
    <w:qFormat/>
    <w:uiPriority w:val="0"/>
    <w:pPr>
      <w:spacing w:beforeAutospacing="0" w:afterAutospacing="0" w:line="600" w:lineRule="exact"/>
      <w:ind w:firstLine="639" w:firstLineChars="206"/>
    </w:pPr>
    <w:rPr>
      <w:rFonts w:hint="eastAsia" w:ascii="仿宋_GB2312" w:hAnsi="宋体" w:eastAsia="仿宋_GB2312"/>
      <w:sz w:val="31"/>
      <w:szCs w:val="28"/>
    </w:rPr>
  </w:style>
  <w:style w:type="paragraph" w:customStyle="1" w:styleId="146">
    <w:name w:val="Char Char Char Char Char Char Char Char Char Char Char Char1 Char"/>
    <w:basedOn w:val="18"/>
    <w:qFormat/>
    <w:uiPriority w:val="0"/>
    <w:rPr>
      <w:rFonts w:ascii="Tahoma" w:hAnsi="Tahoma"/>
      <w:sz w:val="24"/>
    </w:rPr>
  </w:style>
  <w:style w:type="paragraph" w:customStyle="1" w:styleId="147">
    <w:name w:val="表格"/>
    <w:basedOn w:val="1"/>
    <w:qFormat/>
    <w:uiPriority w:val="0"/>
    <w:pPr>
      <w:jc w:val="center"/>
    </w:pPr>
    <w:rPr>
      <w:rFonts w:ascii="宋体" w:hAnsi="宋体"/>
      <w:bCs/>
      <w:color w:val="000000"/>
      <w:kern w:val="0"/>
      <w:szCs w:val="21"/>
    </w:rPr>
  </w:style>
  <w:style w:type="paragraph" w:customStyle="1" w:styleId="148">
    <w:name w:val="一级条标题"/>
    <w:basedOn w:val="1"/>
    <w:qFormat/>
    <w:uiPriority w:val="0"/>
    <w:pPr>
      <w:numPr>
        <w:ilvl w:val="1"/>
        <w:numId w:val="2"/>
      </w:numPr>
      <w:spacing w:beforeLines="50" w:beforeAutospacing="0" w:afterAutospacing="0"/>
      <w:outlineLvl w:val="2"/>
    </w:pPr>
    <w:rPr>
      <w:rFonts w:hint="eastAsia" w:ascii="黑体" w:eastAsia="黑体"/>
      <w:kern w:val="0"/>
      <w:sz w:val="20"/>
      <w:szCs w:val="21"/>
    </w:rPr>
  </w:style>
  <w:style w:type="paragraph" w:customStyle="1" w:styleId="1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0">
    <w:name w:val="Char Char Char Char Char Char"/>
    <w:basedOn w:val="1"/>
    <w:qFormat/>
    <w:uiPriority w:val="0"/>
    <w:pPr>
      <w:ind w:firstLine="200" w:firstLineChars="200"/>
    </w:pPr>
    <w:rPr>
      <w:rFonts w:ascii="Tahoma" w:hAnsi="Tahoma"/>
      <w:sz w:val="24"/>
      <w:szCs w:val="20"/>
    </w:rPr>
  </w:style>
  <w:style w:type="paragraph" w:customStyle="1" w:styleId="151">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152">
    <w:name w:val="方案正文"/>
    <w:basedOn w:val="1"/>
    <w:qFormat/>
    <w:uiPriority w:val="0"/>
    <w:pPr>
      <w:spacing w:before="120" w:beforeAutospacing="0" w:afterAutospacing="0" w:line="360" w:lineRule="auto"/>
      <w:ind w:firstLine="425" w:firstLineChars="177"/>
    </w:pPr>
    <w:rPr>
      <w:rFonts w:ascii="华文细黑" w:hAnsi="华文细黑" w:eastAsia="华文细黑"/>
      <w:sz w:val="24"/>
    </w:rPr>
  </w:style>
  <w:style w:type="paragraph" w:customStyle="1" w:styleId="153">
    <w:name w:val="f1"/>
    <w:basedOn w:val="1"/>
    <w:qFormat/>
    <w:uiPriority w:val="0"/>
    <w:pPr>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4">
    <w:name w:val="_Style 1"/>
    <w:basedOn w:val="1"/>
    <w:qFormat/>
    <w:uiPriority w:val="0"/>
    <w:pPr>
      <w:ind w:firstLine="420" w:firstLineChars="200"/>
    </w:pPr>
    <w:rPr>
      <w:rFonts w:ascii="Calibri" w:hAnsi="Calibri"/>
      <w:szCs w:val="22"/>
    </w:rPr>
  </w:style>
  <w:style w:type="paragraph" w:customStyle="1" w:styleId="155">
    <w:name w:val="xl29"/>
    <w:basedOn w:val="1"/>
    <w:qFormat/>
    <w:uiPriority w:val="0"/>
    <w:pPr>
      <w:spacing w:before="100" w:beforeAutospacing="1" w:after="100" w:afterAutospacing="1"/>
      <w:jc w:val="center"/>
    </w:pPr>
    <w:rPr>
      <w:rFonts w:ascii="宋体" w:hAnsi="宋体"/>
      <w:kern w:val="0"/>
      <w:sz w:val="28"/>
      <w:szCs w:val="28"/>
    </w:rPr>
  </w:style>
  <w:style w:type="paragraph" w:customStyle="1" w:styleId="156">
    <w:name w:val="Char Char Char1 Char8"/>
    <w:basedOn w:val="1"/>
    <w:qFormat/>
    <w:uiPriority w:val="0"/>
    <w:pPr>
      <w:spacing w:beforeAutospacing="0" w:afterAutospacing="0" w:line="360" w:lineRule="auto"/>
      <w:ind w:firstLine="200" w:firstLineChars="200"/>
    </w:pPr>
    <w:rPr>
      <w:rFonts w:hint="eastAsia" w:ascii="宋体" w:hAnsi="宋体"/>
      <w:sz w:val="24"/>
      <w:szCs w:val="20"/>
    </w:rPr>
  </w:style>
  <w:style w:type="paragraph" w:customStyle="1" w:styleId="157">
    <w:name w:val="List Paragraph1"/>
    <w:basedOn w:val="1"/>
    <w:qFormat/>
    <w:uiPriority w:val="34"/>
    <w:pPr>
      <w:ind w:firstLine="420" w:firstLineChars="200"/>
    </w:pPr>
  </w:style>
  <w:style w:type="paragraph" w:customStyle="1" w:styleId="158">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59">
    <w:name w:val="p0"/>
    <w:basedOn w:val="1"/>
    <w:qFormat/>
    <w:uiPriority w:val="0"/>
    <w:rPr>
      <w:kern w:val="0"/>
      <w:szCs w:val="21"/>
    </w:rPr>
  </w:style>
  <w:style w:type="paragraph" w:customStyle="1" w:styleId="160">
    <w:name w:val="正文表标题"/>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161">
    <w:name w:val="Table Paragraph"/>
    <w:basedOn w:val="1"/>
    <w:qFormat/>
    <w:uiPriority w:val="1"/>
    <w:pPr>
      <w:spacing w:before="94" w:beforeAutospacing="0" w:afterAutospacing="0"/>
      <w:jc w:val="center"/>
    </w:pPr>
    <w:rPr>
      <w:rFonts w:ascii="宋体" w:hAnsi="宋体" w:cs="宋体"/>
      <w:lang w:val="zh-CN" w:bidi="zh-CN"/>
    </w:rPr>
  </w:style>
  <w:style w:type="paragraph" w:customStyle="1" w:styleId="162">
    <w:name w:val="自由格式 A"/>
    <w:qFormat/>
    <w:uiPriority w:val="0"/>
    <w:rPr>
      <w:rFonts w:ascii="Helvetica" w:hAnsi="Helvetica" w:eastAsia="ヒラギノ角ゴ Pro W3" w:cs="Times New Roman"/>
      <w:color w:val="000000"/>
      <w:sz w:val="24"/>
      <w:lang w:val="en-US" w:eastAsia="zh-CN" w:bidi="ar-SA"/>
    </w:rPr>
  </w:style>
  <w:style w:type="paragraph" w:customStyle="1" w:styleId="16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4">
    <w:name w:val="_Style 3"/>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65">
    <w:name w:val="List Paragraph"/>
    <w:basedOn w:val="1"/>
    <w:qFormat/>
    <w:uiPriority w:val="0"/>
    <w:pPr>
      <w:ind w:firstLine="420" w:firstLineChars="200"/>
    </w:pPr>
    <w:rPr>
      <w:rFonts w:ascii="Calibri" w:hAnsi="Calibri"/>
      <w:szCs w:val="22"/>
    </w:rPr>
  </w:style>
  <w:style w:type="paragraph" w:customStyle="1" w:styleId="166">
    <w:name w:val="列出段落8"/>
    <w:basedOn w:val="1"/>
    <w:qFormat/>
    <w:uiPriority w:val="34"/>
    <w:pPr>
      <w:ind w:firstLine="420"/>
    </w:pPr>
    <w:rPr>
      <w:rFonts w:ascii="Calibri" w:hAnsi="Calibri"/>
      <w:szCs w:val="22"/>
    </w:rPr>
  </w:style>
  <w:style w:type="paragraph" w:customStyle="1" w:styleId="167">
    <w:name w:val="二级无"/>
    <w:basedOn w:val="168"/>
    <w:qFormat/>
    <w:uiPriority w:val="0"/>
    <w:pPr>
      <w:tabs>
        <w:tab w:val="left" w:pos="1260"/>
        <w:tab w:val="left" w:pos="1680"/>
      </w:tabs>
      <w:spacing w:beforeLines="0" w:beforeAutospacing="0" w:afterAutospacing="0"/>
    </w:pPr>
    <w:rPr>
      <w:rFonts w:ascii="宋体" w:eastAsia="宋体"/>
      <w:sz w:val="21"/>
    </w:rPr>
  </w:style>
  <w:style w:type="paragraph" w:customStyle="1" w:styleId="168">
    <w:name w:val="二级条标题"/>
    <w:basedOn w:val="148"/>
    <w:qFormat/>
    <w:uiPriority w:val="0"/>
    <w:pPr>
      <w:numPr>
        <w:ilvl w:val="3"/>
        <w:numId w:val="4"/>
      </w:numPr>
      <w:tabs>
        <w:tab w:val="clear" w:pos="1080"/>
      </w:tabs>
      <w:ind w:left="2310" w:firstLine="0"/>
      <w:outlineLvl w:val="3"/>
    </w:pPr>
  </w:style>
  <w:style w:type="paragraph" w:customStyle="1" w:styleId="169">
    <w:name w:val="Char Char Char Char Char Char Char Char Char Char Char Char"/>
    <w:basedOn w:val="1"/>
    <w:qFormat/>
    <w:uiPriority w:val="0"/>
    <w:pPr>
      <w:spacing w:beforeAutospacing="0" w:after="160" w:afterAutospacing="0" w:line="240" w:lineRule="exact"/>
      <w:jc w:val="left"/>
    </w:pPr>
  </w:style>
  <w:style w:type="paragraph" w:customStyle="1" w:styleId="170">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1">
    <w:name w:val="_Style 0"/>
    <w:basedOn w:val="1"/>
    <w:qFormat/>
    <w:uiPriority w:val="0"/>
    <w:rPr>
      <w:szCs w:val="21"/>
    </w:rPr>
  </w:style>
  <w:style w:type="paragraph" w:customStyle="1" w:styleId="172">
    <w:name w:val="正文 New"/>
    <w:basedOn w:val="1"/>
    <w:qFormat/>
    <w:uiPriority w:val="0"/>
  </w:style>
  <w:style w:type="paragraph" w:customStyle="1" w:styleId="173">
    <w:name w:val="普通(网站)1"/>
    <w:basedOn w:val="1"/>
    <w:qFormat/>
    <w:uiPriority w:val="0"/>
    <w:pPr>
      <w:spacing w:before="100" w:beforeAutospacing="1" w:after="100" w:afterAutospacing="1"/>
      <w:jc w:val="left"/>
    </w:pPr>
    <w:rPr>
      <w:rFonts w:ascii="宋体" w:hAnsi="宋体"/>
      <w:kern w:val="0"/>
      <w:sz w:val="24"/>
    </w:rPr>
  </w:style>
  <w:style w:type="paragraph" w:customStyle="1" w:styleId="174">
    <w:name w:val="Char Char Char Char Char Char Char Char Char Char Char Char1 Char1"/>
    <w:basedOn w:val="18"/>
    <w:qFormat/>
    <w:uiPriority w:val="0"/>
    <w:rPr>
      <w:rFonts w:ascii="Tahoma" w:hAnsi="Tahoma"/>
      <w:sz w:val="24"/>
    </w:rPr>
  </w:style>
  <w:style w:type="paragraph" w:customStyle="1" w:styleId="175">
    <w:name w:val="a"/>
    <w:basedOn w:val="1"/>
    <w:qFormat/>
    <w:uiPriority w:val="0"/>
    <w:pPr>
      <w:spacing w:before="100" w:beforeAutospacing="1" w:after="100" w:afterAutospacing="1"/>
      <w:jc w:val="left"/>
    </w:pPr>
    <w:rPr>
      <w:rFonts w:ascii="宋体" w:hAnsi="宋体" w:cs="宋体"/>
      <w:kern w:val="0"/>
      <w:sz w:val="24"/>
    </w:rPr>
  </w:style>
  <w:style w:type="paragraph" w:customStyle="1" w:styleId="176">
    <w:name w:val="--规划正文"/>
    <w:basedOn w:val="1"/>
    <w:qFormat/>
    <w:uiPriority w:val="0"/>
    <w:pPr>
      <w:spacing w:beforeAutospacing="0" w:afterAutospacing="0" w:line="360" w:lineRule="auto"/>
      <w:ind w:firstLine="200" w:firstLineChars="200"/>
    </w:pPr>
    <w:rPr>
      <w:szCs w:val="20"/>
    </w:rPr>
  </w:style>
  <w:style w:type="paragraph" w:customStyle="1" w:styleId="177">
    <w:name w:val="此正文"/>
    <w:basedOn w:val="1"/>
    <w:qFormat/>
    <w:uiPriority w:val="0"/>
    <w:pPr>
      <w:spacing w:beforeAutospacing="0" w:afterAutospacing="0" w:line="360" w:lineRule="auto"/>
      <w:ind w:firstLine="200" w:firstLineChars="200"/>
    </w:pPr>
    <w:rPr>
      <w:sz w:val="24"/>
    </w:rPr>
  </w:style>
  <w:style w:type="paragraph" w:customStyle="1" w:styleId="178">
    <w:name w:val="xl82"/>
    <w:basedOn w:val="1"/>
    <w:qFormat/>
    <w:uiPriority w:val="0"/>
    <w:pPr>
      <w:spacing w:before="100" w:beforeAutospacing="1" w:after="100" w:afterAutospacing="1"/>
      <w:jc w:val="center"/>
    </w:pPr>
    <w:rPr>
      <w:rFonts w:ascii="宋体" w:hAnsi="宋体" w:cs="宋体"/>
      <w:kern w:val="0"/>
      <w:sz w:val="24"/>
    </w:rPr>
  </w:style>
  <w:style w:type="paragraph" w:customStyle="1" w:styleId="179">
    <w:name w:val="msonospacing"/>
    <w:basedOn w:val="1"/>
    <w:qFormat/>
    <w:uiPriority w:val="0"/>
    <w:rPr>
      <w:szCs w:val="21"/>
    </w:rPr>
  </w:style>
  <w:style w:type="paragraph" w:styleId="180">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1">
    <w:name w:val="样式5"/>
    <w:basedOn w:val="1"/>
    <w:qFormat/>
    <w:uiPriority w:val="0"/>
    <w:pPr>
      <w:spacing w:before="120" w:beforeAutospacing="0" w:afterAutospacing="0" w:line="360" w:lineRule="auto"/>
      <w:ind w:firstLine="425" w:firstLineChars="177"/>
    </w:pPr>
    <w:rPr>
      <w:rFonts w:ascii="华文细黑" w:hAnsi="华文细黑" w:eastAsia="华文细黑"/>
      <w:sz w:val="24"/>
    </w:rPr>
  </w:style>
  <w:style w:type="paragraph" w:customStyle="1" w:styleId="182">
    <w:name w:val="正文文本缩进1"/>
    <w:basedOn w:val="1"/>
    <w:qFormat/>
    <w:uiPriority w:val="0"/>
    <w:pPr>
      <w:spacing w:beforeAutospacing="0" w:afterAutospacing="0" w:line="200" w:lineRule="exact"/>
      <w:ind w:firstLine="301"/>
    </w:pPr>
    <w:rPr>
      <w:rFonts w:hint="eastAsia" w:ascii="宋体" w:hAnsi="Courier New"/>
      <w:spacing w:val="-4"/>
      <w:sz w:val="18"/>
    </w:rPr>
  </w:style>
  <w:style w:type="paragraph" w:customStyle="1" w:styleId="183">
    <w:name w:val="Char Char Char1"/>
    <w:basedOn w:val="1"/>
    <w:qFormat/>
    <w:uiPriority w:val="0"/>
  </w:style>
  <w:style w:type="paragraph" w:customStyle="1" w:styleId="184">
    <w:name w:val="章标题"/>
    <w:basedOn w:val="1"/>
    <w:qFormat/>
    <w:uiPriority w:val="0"/>
    <w:pPr>
      <w:numPr>
        <w:ilvl w:val="0"/>
        <w:numId w:val="5"/>
      </w:numPr>
      <w:spacing w:beforeLines="100" w:beforeAutospacing="0" w:afterAutospacing="0"/>
      <w:outlineLvl w:val="1"/>
    </w:pPr>
    <w:rPr>
      <w:rFonts w:hint="eastAsia" w:ascii="黑体" w:eastAsia="黑体"/>
      <w:kern w:val="0"/>
      <w:sz w:val="20"/>
      <w:szCs w:val="20"/>
    </w:rPr>
  </w:style>
  <w:style w:type="paragraph" w:customStyle="1" w:styleId="185">
    <w:name w:val="Char1"/>
    <w:basedOn w:val="1"/>
    <w:qFormat/>
    <w:uiPriority w:val="0"/>
  </w:style>
  <w:style w:type="paragraph" w:customStyle="1" w:styleId="186">
    <w:name w:val="默认段落字体 Para Char Char Char Char Char Char Char"/>
    <w:basedOn w:val="18"/>
    <w:qFormat/>
    <w:uiPriority w:val="0"/>
    <w:pPr>
      <w:adjustRightInd w:val="0"/>
      <w:spacing w:beforeAutospacing="0" w:afterAutospacing="0" w:line="436" w:lineRule="exact"/>
      <w:ind w:left="357"/>
      <w:jc w:val="left"/>
      <w:outlineLvl w:val="3"/>
    </w:pPr>
    <w:rPr>
      <w:rFonts w:ascii="Tahoma" w:hAnsi="Tahoma"/>
      <w:b/>
      <w:sz w:val="24"/>
    </w:rPr>
  </w:style>
  <w:style w:type="paragraph" w:customStyle="1" w:styleId="187">
    <w:name w:val="Char Char Char Char Char Char Char"/>
    <w:basedOn w:val="1"/>
    <w:qFormat/>
    <w:uiPriority w:val="0"/>
    <w:rPr>
      <w:rFonts w:ascii="Tahoma" w:hAnsi="Tahoma"/>
      <w:sz w:val="24"/>
      <w:szCs w:val="20"/>
    </w:rPr>
  </w:style>
  <w:style w:type="paragraph" w:customStyle="1" w:styleId="188">
    <w:name w:val="纯文本1"/>
    <w:basedOn w:val="151"/>
    <w:qFormat/>
    <w:uiPriority w:val="99"/>
    <w:pPr>
      <w:jc w:val="left"/>
    </w:pPr>
    <w:rPr>
      <w:rFonts w:ascii="宋体" w:hAnsi="Courier New" w:cs="宋体"/>
    </w:rPr>
  </w:style>
  <w:style w:type="paragraph" w:customStyle="1" w:styleId="189">
    <w:name w:val="文档正文"/>
    <w:basedOn w:val="1"/>
    <w:qFormat/>
    <w:uiPriority w:val="0"/>
    <w:pPr>
      <w:adjustRightInd w:val="0"/>
      <w:snapToGrid w:val="0"/>
      <w:spacing w:beforeAutospacing="0" w:afterAutospacing="0" w:line="480" w:lineRule="atLeast"/>
      <w:ind w:firstLine="567"/>
    </w:pPr>
    <w:rPr>
      <w:rFonts w:ascii="长城仿宋" w:eastAsia="长城仿宋"/>
      <w:kern w:val="0"/>
      <w:szCs w:val="20"/>
    </w:rPr>
  </w:style>
  <w:style w:type="paragraph" w:customStyle="1" w:styleId="190">
    <w:name w:val="Char11"/>
    <w:basedOn w:val="1"/>
    <w:qFormat/>
    <w:uiPriority w:val="0"/>
    <w:rPr>
      <w:rFonts w:ascii="Tahoma" w:hAnsi="Tahoma"/>
      <w:sz w:val="24"/>
      <w:szCs w:val="20"/>
    </w:rPr>
  </w:style>
  <w:style w:type="paragraph" w:customStyle="1" w:styleId="191">
    <w:name w:val="样式1"/>
    <w:basedOn w:val="7"/>
    <w:qFormat/>
    <w:uiPriority w:val="0"/>
  </w:style>
  <w:style w:type="paragraph" w:customStyle="1" w:styleId="192">
    <w:name w:val="xl27"/>
    <w:basedOn w:val="1"/>
    <w:qFormat/>
    <w:uiPriority w:val="0"/>
    <w:pPr>
      <w:spacing w:before="100" w:beforeAutospacing="1" w:after="100" w:afterAutospacing="1"/>
      <w:textAlignment w:val="top"/>
    </w:pPr>
    <w:rPr>
      <w:rFonts w:ascii="宋体" w:hAnsi="宋体"/>
      <w:kern w:val="0"/>
      <w:sz w:val="24"/>
    </w:rPr>
  </w:style>
  <w:style w:type="paragraph" w:customStyle="1" w:styleId="193">
    <w:name w:val="正文－恩普"/>
    <w:basedOn w:val="16"/>
    <w:qFormat/>
    <w:uiPriority w:val="0"/>
    <w:pPr>
      <w:spacing w:beforeAutospacing="0" w:afterAutospacing="0" w:line="360" w:lineRule="auto"/>
      <w:ind w:firstLine="480" w:firstLineChars="200"/>
      <w:jc w:val="left"/>
    </w:pPr>
    <w:rPr>
      <w:kern w:val="0"/>
      <w:sz w:val="24"/>
    </w:rPr>
  </w:style>
  <w:style w:type="paragraph" w:customStyle="1" w:styleId="194">
    <w:name w:val="正文段"/>
    <w:basedOn w:val="1"/>
    <w:qFormat/>
    <w:uiPriority w:val="0"/>
    <w:pPr>
      <w:snapToGrid w:val="0"/>
      <w:spacing w:beforeAutospacing="0" w:afterLines="50" w:afterAutospacing="0"/>
      <w:ind w:firstLine="200" w:firstLineChars="200"/>
    </w:pPr>
    <w:rPr>
      <w:kern w:val="0"/>
      <w:sz w:val="24"/>
      <w:szCs w:val="20"/>
    </w:rPr>
  </w:style>
  <w:style w:type="paragraph" w:customStyle="1" w:styleId="195">
    <w:name w:val="_Style 194"/>
    <w:basedOn w:val="4"/>
    <w:qFormat/>
    <w:uiPriority w:val="39"/>
    <w:pPr>
      <w:spacing w:beforeAutospacing="0" w:afterAutospacing="0" w:line="578" w:lineRule="auto"/>
      <w:outlineLvl w:val="9"/>
    </w:pPr>
    <w:rPr>
      <w:rFonts w:ascii="Times New Roman" w:hAnsi="Times New Roman"/>
      <w:bCs/>
    </w:rPr>
  </w:style>
  <w:style w:type="paragraph" w:customStyle="1" w:styleId="196">
    <w:name w:val="默认段落字体 Para Char Char Char Char Char Char Char Char Char1 Char Char Char Char"/>
    <w:basedOn w:val="1"/>
    <w:qFormat/>
    <w:uiPriority w:val="0"/>
    <w:rPr>
      <w:rFonts w:ascii="Tahoma" w:hAnsi="Tahoma"/>
      <w:sz w:val="24"/>
      <w:szCs w:val="20"/>
    </w:rPr>
  </w:style>
  <w:style w:type="paragraph" w:customStyle="1" w:styleId="197">
    <w:name w:val="GP正文(无首行缩进)"/>
    <w:basedOn w:val="1"/>
    <w:qFormat/>
    <w:uiPriority w:val="0"/>
    <w:pPr>
      <w:spacing w:beforeAutospacing="0" w:afterAutospacing="0" w:line="360" w:lineRule="auto"/>
      <w:ind w:firstLine="480" w:firstLineChars="200"/>
      <w:jc w:val="left"/>
    </w:pPr>
    <w:rPr>
      <w:rFonts w:hAnsi="宋体"/>
      <w:sz w:val="24"/>
    </w:rPr>
  </w:style>
  <w:style w:type="paragraph" w:customStyle="1" w:styleId="198">
    <w:name w:val="正文2"/>
    <w:basedOn w:val="1"/>
    <w:qFormat/>
    <w:uiPriority w:val="0"/>
    <w:pPr>
      <w:adjustRightInd w:val="0"/>
      <w:spacing w:beforeAutospacing="0" w:afterAutospacing="0" w:line="318" w:lineRule="atLeast"/>
      <w:ind w:left="369" w:firstLine="369"/>
      <w:textAlignment w:val="baseline"/>
    </w:pPr>
    <w:rPr>
      <w:rFonts w:ascii="宋体"/>
      <w:szCs w:val="20"/>
    </w:rPr>
  </w:style>
  <w:style w:type="paragraph" w:customStyle="1" w:styleId="199">
    <w:name w:val="四级无"/>
    <w:basedOn w:val="1"/>
    <w:qFormat/>
    <w:uiPriority w:val="0"/>
    <w:pPr>
      <w:tabs>
        <w:tab w:val="left" w:pos="2100"/>
      </w:tabs>
      <w:ind w:left="2100" w:hanging="420"/>
      <w:jc w:val="left"/>
      <w:outlineLvl w:val="5"/>
    </w:pPr>
    <w:rPr>
      <w:rFonts w:hint="eastAsia" w:ascii="宋体" w:hAnsi="Calibri"/>
      <w:kern w:val="0"/>
    </w:rPr>
  </w:style>
  <w:style w:type="paragraph" w:customStyle="1" w:styleId="200">
    <w:name w:val="Char2"/>
    <w:basedOn w:val="1"/>
    <w:qFormat/>
    <w:uiPriority w:val="0"/>
    <w:pPr>
      <w:tabs>
        <w:tab w:val="left" w:pos="1200"/>
        <w:tab w:val="left" w:pos="1800"/>
      </w:tabs>
      <w:ind w:left="1200" w:hanging="1110"/>
    </w:pPr>
    <w:rPr>
      <w:sz w:val="24"/>
    </w:rPr>
  </w:style>
  <w:style w:type="paragraph" w:customStyle="1" w:styleId="201">
    <w:name w:val="Char Char Char Char"/>
    <w:basedOn w:val="1"/>
    <w:qFormat/>
    <w:uiPriority w:val="0"/>
  </w:style>
  <w:style w:type="paragraph" w:customStyle="1" w:styleId="202">
    <w:name w:val="表内文字"/>
    <w:basedOn w:val="1"/>
    <w:qFormat/>
    <w:uiPriority w:val="0"/>
    <w:pPr>
      <w:tabs>
        <w:tab w:val="left" w:pos="1418"/>
      </w:tabs>
      <w:spacing w:beforeAutospacing="0" w:afterAutospacing="0" w:line="360" w:lineRule="auto"/>
      <w:jc w:val="center"/>
    </w:pPr>
    <w:rPr>
      <w:rFonts w:ascii="仿宋_GB2312" w:eastAsia="仿宋_GB2312"/>
      <w:spacing w:val="-20"/>
      <w:kern w:val="0"/>
      <w:sz w:val="24"/>
    </w:rPr>
  </w:style>
  <w:style w:type="paragraph" w:customStyle="1" w:styleId="203">
    <w:name w:val="样式3"/>
    <w:basedOn w:val="26"/>
    <w:qFormat/>
    <w:uiPriority w:val="99"/>
    <w:pPr>
      <w:spacing w:beforeAutospacing="0" w:afterAutospacing="0" w:line="0" w:lineRule="atLeast"/>
      <w:outlineLvl w:val="0"/>
    </w:pPr>
    <w:rPr>
      <w:sz w:val="28"/>
    </w:rPr>
  </w:style>
  <w:style w:type="character" w:customStyle="1" w:styleId="204">
    <w:name w:val="font41"/>
    <w:basedOn w:val="48"/>
    <w:qFormat/>
    <w:uiPriority w:val="0"/>
    <w:rPr>
      <w:rFonts w:hint="eastAsia" w:ascii="微软雅黑" w:hAnsi="微软雅黑" w:eastAsia="微软雅黑" w:cs="微软雅黑"/>
      <w:color w:val="FF0000"/>
      <w:sz w:val="28"/>
      <w:szCs w:val="28"/>
      <w:u w:val="none"/>
    </w:rPr>
  </w:style>
  <w:style w:type="character" w:customStyle="1" w:styleId="205">
    <w:name w:val="font51"/>
    <w:basedOn w:val="4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75</Pages>
  <Words>36999</Words>
  <Characters>40020</Characters>
  <Lines>294</Lines>
  <Paragraphs>82</Paragraphs>
  <TotalTime>3</TotalTime>
  <ScaleCrop>false</ScaleCrop>
  <LinksUpToDate>false</LinksUpToDate>
  <CharactersWithSpaces>42266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2022-08-19T17:47:00Z</dcterms:created>
  <dc:creator>黄旭明</dc:creator>
  <cp:lastModifiedBy>很久</cp:lastModifiedBy>
  <dcterms:modified xsi:type="dcterms:W3CDTF">2023-03-08T06:54:05Z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4BC0A9B3AE4E4266A419B62954340AFC</vt:lpwstr>
  </property>
</Properties>
</file>