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center"/>
        <w:rPr>
          <w:rFonts w:cs="仿宋_GB2312" w:asciiTheme="minorEastAsia" w:hAnsiTheme="minorEastAsia" w:eastAsiaTheme="minorEastAsia"/>
          <w:b/>
          <w:color w:val="auto"/>
          <w:sz w:val="24"/>
          <w:highlight w:val="none"/>
        </w:rPr>
      </w:pPr>
    </w:p>
    <w:p>
      <w:pPr>
        <w:spacing w:line="360" w:lineRule="auto"/>
        <w:jc w:val="righ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 xml:space="preserve"> 交易登记号：FSCG2024068       </w:t>
      </w:r>
    </w:p>
    <w:p>
      <w:pPr>
        <w:adjustRightInd/>
        <w:spacing w:line="360" w:lineRule="auto"/>
        <w:jc w:val="center"/>
        <w:rPr>
          <w:rFonts w:cs="仿宋_GB2312" w:asciiTheme="minorEastAsia" w:hAnsiTheme="minorEastAsia" w:eastAsiaTheme="minorEastAsia"/>
          <w:b/>
          <w:color w:val="auto"/>
          <w:sz w:val="48"/>
          <w:szCs w:val="48"/>
          <w:highlight w:val="none"/>
        </w:rPr>
      </w:pPr>
    </w:p>
    <w:p>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color w:val="auto"/>
          <w:sz w:val="48"/>
          <w:szCs w:val="48"/>
          <w:highlight w:val="none"/>
          <w:lang w:eastAsia="zh-CN"/>
        </w:rPr>
        <w:t>宁波市江北区教育局下属学校舞台灯光、广播音响设备采购</w:t>
      </w:r>
      <w:r>
        <w:rPr>
          <w:rFonts w:cs="仿宋_GB2312" w:asciiTheme="minorEastAsia" w:hAnsiTheme="minorEastAsia" w:eastAsiaTheme="minorEastAsia"/>
          <w:b/>
          <w:color w:val="auto"/>
          <w:sz w:val="44"/>
          <w:szCs w:val="44"/>
          <w:highlight w:val="none"/>
        </w:rPr>
        <w:t xml:space="preserve"> （电子招投标）</w:t>
      </w:r>
    </w:p>
    <w:p>
      <w:pPr>
        <w:spacing w:line="360" w:lineRule="auto"/>
        <w:jc w:val="center"/>
        <w:rPr>
          <w:rFonts w:cs="仿宋_GB2312" w:asciiTheme="minorEastAsia" w:hAnsiTheme="minorEastAsia" w:eastAsiaTheme="minorEastAsia"/>
          <w:b/>
          <w:color w:val="auto"/>
          <w:sz w:val="44"/>
          <w:szCs w:val="44"/>
          <w:highlight w:val="none"/>
        </w:rPr>
      </w:pPr>
    </w:p>
    <w:p>
      <w:pPr>
        <w:pStyle w:val="62"/>
        <w:ind w:firstLine="420"/>
        <w:rPr>
          <w:color w:val="auto"/>
          <w:highlight w:val="none"/>
        </w:rPr>
      </w:pPr>
    </w:p>
    <w:p>
      <w:pPr>
        <w:spacing w:line="360" w:lineRule="auto"/>
        <w:rPr>
          <w:rFonts w:cs="仿宋_GB2312" w:asciiTheme="minorEastAsia" w:hAnsiTheme="minorEastAsia" w:eastAsiaTheme="minorEastAsia"/>
          <w:b/>
          <w:color w:val="auto"/>
          <w:sz w:val="44"/>
          <w:szCs w:val="44"/>
          <w:highlight w:val="none"/>
        </w:rPr>
      </w:pPr>
    </w:p>
    <w:p>
      <w:pPr>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color w:val="auto"/>
          <w:sz w:val="30"/>
          <w:szCs w:val="30"/>
          <w:highlight w:val="none"/>
        </w:rPr>
        <w:t>采购编号：NBCTZB2024-04007</w:t>
      </w:r>
    </w:p>
    <w:p>
      <w:pPr>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Cs/>
          <w:color w:val="auto"/>
          <w:sz w:val="32"/>
          <w:szCs w:val="32"/>
          <w:highlight w:val="none"/>
        </w:rPr>
      </w:pPr>
    </w:p>
    <w:p>
      <w:pPr>
        <w:spacing w:line="360" w:lineRule="auto"/>
        <w:jc w:val="center"/>
        <w:rPr>
          <w:rFonts w:cs="仿宋_GB2312" w:asciiTheme="minorEastAsia" w:hAnsiTheme="minorEastAsia" w:eastAsiaTheme="minorEastAsia"/>
          <w:bCs/>
          <w:color w:val="auto"/>
          <w:sz w:val="32"/>
          <w:szCs w:val="32"/>
          <w:highlight w:val="none"/>
        </w:rPr>
      </w:pPr>
    </w:p>
    <w:p>
      <w:pPr>
        <w:spacing w:line="360" w:lineRule="auto"/>
        <w:jc w:val="center"/>
        <w:rPr>
          <w:rFonts w:cs="仿宋_GB2312" w:asciiTheme="minorEastAsia" w:hAnsiTheme="minorEastAsia" w:eastAsiaTheme="minorEastAsia"/>
          <w:bCs/>
          <w:color w:val="auto"/>
          <w:sz w:val="32"/>
          <w:szCs w:val="32"/>
          <w:highlight w:val="none"/>
        </w:rPr>
      </w:pPr>
    </w:p>
    <w:p>
      <w:pPr>
        <w:rPr>
          <w:color w:val="auto"/>
          <w:highlight w:val="none"/>
        </w:rPr>
      </w:pPr>
    </w:p>
    <w:p>
      <w:pPr>
        <w:adjustRightInd/>
        <w:spacing w:line="360" w:lineRule="auto"/>
        <w:ind w:firstLine="1600" w:firstLineChars="500"/>
        <w:rPr>
          <w:rFonts w:cs="仿宋_GB2312" w:asciiTheme="minorEastAsia" w:hAnsiTheme="minorEastAsia" w:eastAsiaTheme="minorEastAsia"/>
          <w:bCs/>
          <w:color w:val="auto"/>
          <w:sz w:val="32"/>
          <w:szCs w:val="32"/>
          <w:highlight w:val="none"/>
        </w:rPr>
      </w:pPr>
    </w:p>
    <w:p>
      <w:pPr>
        <w:adjustRightInd/>
        <w:spacing w:line="360" w:lineRule="auto"/>
        <w:ind w:firstLine="1600" w:firstLineChars="500"/>
        <w:rPr>
          <w:rFonts w:cs="仿宋_GB2312" w:asciiTheme="minorEastAsia" w:hAnsiTheme="minorEastAsia" w:eastAsiaTheme="minorEastAsia"/>
          <w:bCs/>
          <w:color w:val="auto"/>
          <w:sz w:val="32"/>
          <w:szCs w:val="32"/>
          <w:highlight w:val="none"/>
        </w:rPr>
      </w:pPr>
    </w:p>
    <w:p>
      <w:pPr>
        <w:adjustRightInd/>
        <w:spacing w:line="360" w:lineRule="auto"/>
        <w:ind w:firstLine="1280" w:firstLineChars="400"/>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采购人：</w:t>
      </w:r>
      <w:r>
        <w:rPr>
          <w:rFonts w:hint="eastAsia" w:cs="仿宋_GB2312" w:asciiTheme="minorEastAsia" w:hAnsiTheme="minorEastAsia" w:eastAsiaTheme="minorEastAsia"/>
          <w:bCs/>
          <w:color w:val="auto"/>
          <w:sz w:val="32"/>
          <w:szCs w:val="32"/>
          <w:highlight w:val="none"/>
          <w:lang w:eastAsia="zh-CN"/>
        </w:rPr>
        <w:t>宁波市江北区教育局教研室</w:t>
      </w:r>
      <w:r>
        <w:rPr>
          <w:rFonts w:cs="仿宋_GB2312" w:asciiTheme="minorEastAsia" w:hAnsiTheme="minorEastAsia" w:eastAsiaTheme="minorEastAsia"/>
          <w:bCs/>
          <w:color w:val="auto"/>
          <w:sz w:val="32"/>
          <w:szCs w:val="32"/>
          <w:highlight w:val="none"/>
        </w:rPr>
        <w:t xml:space="preserve">     </w:t>
      </w:r>
    </w:p>
    <w:p>
      <w:pPr>
        <w:adjustRightInd/>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 xml:space="preserve">  采购代理机构：宁波成套工程项目咨询管理有限公司 </w:t>
      </w:r>
      <w:r>
        <w:rPr>
          <w:rFonts w:cs="仿宋_GB2312" w:asciiTheme="minorEastAsia" w:hAnsiTheme="minorEastAsia" w:eastAsiaTheme="minorEastAsia"/>
          <w:bCs/>
          <w:color w:val="auto"/>
          <w:sz w:val="32"/>
          <w:szCs w:val="32"/>
          <w:highlight w:val="none"/>
        </w:rPr>
        <w:t xml:space="preserve">    </w:t>
      </w:r>
    </w:p>
    <w:p>
      <w:pPr>
        <w:adjustRightInd/>
        <w:spacing w:line="360" w:lineRule="auto"/>
        <w:jc w:val="center"/>
        <w:rPr>
          <w:rFonts w:cs="仿宋_GB2312" w:asciiTheme="minorEastAsia" w:hAnsiTheme="minorEastAsia" w:eastAsiaTheme="minorEastAsia"/>
          <w:b/>
          <w:color w:val="auto"/>
          <w:sz w:val="48"/>
          <w:szCs w:val="48"/>
          <w:highlight w:val="none"/>
        </w:rPr>
      </w:pPr>
      <w:r>
        <w:rPr>
          <w:rFonts w:hint="eastAsia" w:cs="宋体" w:asciiTheme="minorEastAsia" w:hAnsiTheme="minorEastAsia" w:eastAsiaTheme="minorEastAsia"/>
          <w:bCs/>
          <w:color w:val="auto"/>
          <w:sz w:val="32"/>
          <w:szCs w:val="32"/>
          <w:highlight w:val="none"/>
        </w:rPr>
        <w:t>2024</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4</w:t>
      </w:r>
      <w:r>
        <w:rPr>
          <w:rFonts w:hint="eastAsia" w:cs="仿宋_GB2312" w:asciiTheme="minorEastAsia" w:hAnsiTheme="minorEastAsia" w:eastAsiaTheme="minorEastAsia"/>
          <w:bCs/>
          <w:color w:val="auto"/>
          <w:sz w:val="32"/>
          <w:szCs w:val="32"/>
          <w:highlight w:val="none"/>
        </w:rPr>
        <w:t>月</w:t>
      </w:r>
      <w:bookmarkStart w:id="0" w:name="_Hlt67893495"/>
      <w:bookmarkEnd w:id="0"/>
    </w:p>
    <w:p>
      <w:pPr>
        <w:rPr>
          <w:rFonts w:hint="eastAsia"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br w:type="page"/>
      </w:r>
    </w:p>
    <w:p>
      <w:pPr>
        <w:rPr>
          <w:rFonts w:hint="eastAsia" w:cs="仿宋_GB2312" w:asciiTheme="minorEastAsia" w:hAnsiTheme="minorEastAsia" w:eastAsiaTheme="minorEastAsia"/>
          <w:b/>
          <w:color w:val="auto"/>
          <w:sz w:val="48"/>
          <w:szCs w:val="48"/>
          <w:highlight w:val="none"/>
          <w:lang w:eastAsia="zh-CN"/>
        </w:rPr>
        <w:sectPr>
          <w:headerReference r:id="rId4" w:type="first"/>
          <w:headerReference r:id="rId3" w:type="default"/>
          <w:footerReference r:id="rId5" w:type="even"/>
          <w:pgSz w:w="11906" w:h="16838"/>
          <w:pgMar w:top="1134" w:right="1134" w:bottom="1134" w:left="1134" w:header="851" w:footer="992" w:gutter="0"/>
          <w:cols w:space="720" w:num="1"/>
          <w:titlePg/>
          <w:docGrid w:linePitch="312" w:charSpace="0"/>
        </w:sectPr>
      </w:pPr>
    </w:p>
    <w:p>
      <w:pPr>
        <w:widowControl/>
        <w:adjustRightInd/>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w:t>
      </w:r>
      <w:r>
        <w:rPr>
          <w:rFonts w:cs="仿宋_GB2312" w:asciiTheme="minorEastAsia" w:hAnsiTheme="minorEastAsia" w:eastAsiaTheme="minorEastAsia"/>
          <w:b/>
          <w:color w:val="auto"/>
          <w:sz w:val="48"/>
          <w:szCs w:val="48"/>
          <w:highlight w:val="none"/>
        </w:rPr>
        <w:t xml:space="preserve"> </w:t>
      </w:r>
      <w:r>
        <w:rPr>
          <w:rFonts w:hint="eastAsia" w:cs="仿宋_GB2312" w:asciiTheme="minorEastAsia" w:hAnsiTheme="minorEastAsia" w:eastAsiaTheme="minorEastAsia"/>
          <w:b/>
          <w:color w:val="auto"/>
          <w:sz w:val="48"/>
          <w:szCs w:val="48"/>
          <w:highlight w:val="none"/>
        </w:rPr>
        <w:t>录</w:t>
      </w:r>
    </w:p>
    <w:p>
      <w:pPr>
        <w:spacing w:line="360" w:lineRule="auto"/>
        <w:rPr>
          <w:rFonts w:cs="仿宋_GB2312" w:asciiTheme="minorEastAsia" w:hAnsiTheme="minorEastAsia" w:eastAsiaTheme="minorEastAsia"/>
          <w:color w:val="auto"/>
          <w:sz w:val="32"/>
          <w:szCs w:val="32"/>
          <w:highlight w:val="none"/>
        </w:rPr>
      </w:pPr>
    </w:p>
    <w:p>
      <w:pPr>
        <w:pStyle w:val="43"/>
        <w:tabs>
          <w:tab w:val="right" w:leader="dot" w:pos="9638"/>
        </w:tabs>
        <w:rPr>
          <w:rFonts w:ascii="宋体" w:hAnsi="宋体" w:cs="宋体"/>
          <w:color w:val="auto"/>
          <w:sz w:val="28"/>
          <w:szCs w:val="28"/>
          <w:highlight w:val="none"/>
        </w:rPr>
      </w:pPr>
      <w:bookmarkStart w:id="1" w:name="_Hlt74728647"/>
      <w:bookmarkEnd w:id="1"/>
      <w:bookmarkStart w:id="2" w:name="_Hlt74707423"/>
      <w:bookmarkEnd w:id="2"/>
      <w:bookmarkStart w:id="3" w:name="_Hlt74729822"/>
      <w:bookmarkEnd w:id="3"/>
      <w:bookmarkStart w:id="4" w:name="_Hlt91233176"/>
      <w:bookmarkEnd w:id="4"/>
      <w:bookmarkStart w:id="5" w:name="_Hlt74649545"/>
      <w:bookmarkEnd w:id="5"/>
      <w:bookmarkStart w:id="6" w:name="第二部分"/>
      <w:bookmarkStart w:id="7" w:name="_Toc91899870"/>
      <w:bookmarkStart w:id="8" w:name="_Toc91899871"/>
      <w:r>
        <w:rPr>
          <w:rFonts w:hint="eastAsia" w:cs="仿宋_GB2312" w:asciiTheme="minorEastAsia" w:hAnsiTheme="minorEastAsia" w:eastAsiaTheme="minorEastAsia"/>
          <w:b/>
          <w:color w:val="auto"/>
          <w:sz w:val="36"/>
          <w:szCs w:val="20"/>
          <w:highlight w:val="none"/>
        </w:rPr>
        <w:fldChar w:fldCharType="begin"/>
      </w:r>
      <w:r>
        <w:rPr>
          <w:rFonts w:hint="eastAsia" w:cs="仿宋_GB2312" w:asciiTheme="minorEastAsia" w:hAnsiTheme="minorEastAsia" w:eastAsiaTheme="minorEastAsia"/>
          <w:b/>
          <w:color w:val="auto"/>
          <w:sz w:val="36"/>
          <w:szCs w:val="20"/>
          <w:highlight w:val="none"/>
        </w:rPr>
        <w:instrText xml:space="preserve">TOC \o "1-1" \h \u </w:instrText>
      </w:r>
      <w:r>
        <w:rPr>
          <w:rFonts w:hint="eastAsia" w:cs="仿宋_GB2312" w:asciiTheme="minorEastAsia" w:hAnsiTheme="minorEastAsia" w:eastAsiaTheme="minorEastAsia"/>
          <w:b/>
          <w:color w:val="auto"/>
          <w:sz w:val="36"/>
          <w:szCs w:val="20"/>
          <w:highlight w:val="none"/>
        </w:rPr>
        <w:fldChar w:fldCharType="separate"/>
      </w:r>
      <w:r>
        <w:rPr>
          <w:color w:val="auto"/>
          <w:highlight w:val="none"/>
        </w:rPr>
        <w:fldChar w:fldCharType="begin"/>
      </w:r>
      <w:r>
        <w:rPr>
          <w:color w:val="auto"/>
          <w:highlight w:val="none"/>
        </w:rPr>
        <w:instrText xml:space="preserve"> HYPERLINK \l "_Toc30466" </w:instrText>
      </w:r>
      <w:r>
        <w:rPr>
          <w:color w:val="auto"/>
          <w:highlight w:val="none"/>
        </w:rPr>
        <w:fldChar w:fldCharType="separate"/>
      </w:r>
      <w:r>
        <w:rPr>
          <w:rFonts w:hint="eastAsia" w:ascii="宋体" w:hAnsi="宋体" w:cs="宋体"/>
          <w:color w:val="auto"/>
          <w:sz w:val="28"/>
          <w:szCs w:val="28"/>
          <w:highlight w:val="none"/>
        </w:rPr>
        <w:t>第一部分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_Toc30466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3"/>
        <w:tabs>
          <w:tab w:val="right" w:leader="dot" w:pos="9638"/>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"_Toc10680" </w:instrText>
      </w:r>
      <w:r>
        <w:rPr>
          <w:color w:val="auto"/>
          <w:highlight w:val="none"/>
        </w:rPr>
        <w:fldChar w:fldCharType="separate"/>
      </w:r>
      <w:r>
        <w:rPr>
          <w:rFonts w:hint="eastAsia" w:ascii="宋体" w:hAnsi="宋体" w:cs="宋体"/>
          <w:color w:val="auto"/>
          <w:sz w:val="28"/>
          <w:szCs w:val="28"/>
          <w:highlight w:val="none"/>
        </w:rPr>
        <w:t>第二部分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_Toc10680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3"/>
        <w:tabs>
          <w:tab w:val="right" w:leader="dot" w:pos="9638"/>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"_Toc26615" </w:instrText>
      </w:r>
      <w:r>
        <w:rPr>
          <w:color w:val="auto"/>
          <w:highlight w:val="none"/>
        </w:rPr>
        <w:fldChar w:fldCharType="separate"/>
      </w:r>
      <w:r>
        <w:rPr>
          <w:rFonts w:hint="eastAsia" w:ascii="宋体" w:hAnsi="宋体" w:cs="宋体"/>
          <w:color w:val="auto"/>
          <w:sz w:val="28"/>
          <w:szCs w:val="28"/>
          <w:highlight w:val="none"/>
        </w:rPr>
        <w:t>第三部分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_Toc26615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3"/>
        <w:tabs>
          <w:tab w:val="right" w:leader="dot" w:pos="9638"/>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"_Toc2817" </w:instrText>
      </w:r>
      <w:r>
        <w:rPr>
          <w:color w:val="auto"/>
          <w:highlight w:val="none"/>
        </w:rPr>
        <w:fldChar w:fldCharType="separate"/>
      </w:r>
      <w:r>
        <w:rPr>
          <w:rFonts w:hint="eastAsia" w:ascii="宋体" w:hAnsi="宋体" w:cs="宋体"/>
          <w:color w:val="auto"/>
          <w:sz w:val="28"/>
          <w:szCs w:val="28"/>
          <w:highlight w:val="none"/>
        </w:rPr>
        <w:t>第四部分 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_Toc2817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3"/>
        <w:tabs>
          <w:tab w:val="right" w:leader="dot" w:pos="9638"/>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"_Toc9668" </w:instrText>
      </w:r>
      <w:r>
        <w:rPr>
          <w:color w:val="auto"/>
          <w:highlight w:val="none"/>
        </w:rPr>
        <w:fldChar w:fldCharType="separate"/>
      </w:r>
      <w:r>
        <w:rPr>
          <w:rFonts w:hint="eastAsia" w:ascii="宋体" w:hAnsi="宋体" w:cs="宋体"/>
          <w:color w:val="auto"/>
          <w:sz w:val="28"/>
          <w:szCs w:val="28"/>
          <w:highlight w:val="none"/>
        </w:rPr>
        <w:t>第五部分 拟签订的合同文本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_Toc9668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3"/>
        <w:tabs>
          <w:tab w:val="right" w:leader="dot" w:pos="9638"/>
        </w:tabs>
        <w:rPr>
          <w:color w:val="auto"/>
          <w:highlight w:val="none"/>
        </w:rPr>
      </w:pPr>
      <w:r>
        <w:rPr>
          <w:color w:val="auto"/>
          <w:highlight w:val="none"/>
        </w:rPr>
        <w:fldChar w:fldCharType="begin"/>
      </w:r>
      <w:r>
        <w:rPr>
          <w:color w:val="auto"/>
          <w:highlight w:val="none"/>
        </w:rPr>
        <w:instrText xml:space="preserve"> HYPERLINK \l "_Toc12876" </w:instrText>
      </w:r>
      <w:r>
        <w:rPr>
          <w:color w:val="auto"/>
          <w:highlight w:val="none"/>
        </w:rPr>
        <w:fldChar w:fldCharType="separate"/>
      </w:r>
      <w:r>
        <w:rPr>
          <w:rFonts w:hint="eastAsia" w:ascii="宋体" w:hAnsi="宋体" w:cs="宋体"/>
          <w:color w:val="auto"/>
          <w:sz w:val="28"/>
          <w:szCs w:val="28"/>
          <w:highlight w:val="none"/>
        </w:rPr>
        <w:t>第六部分 应提交的有关格式范例</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_Toc12876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r>
        <w:rPr>
          <w:rFonts w:hint="eastAsia"/>
          <w:color w:val="auto"/>
          <w:highlight w:val="none"/>
        </w:rPr>
        <w:fldChar w:fldCharType="end"/>
      </w:r>
    </w:p>
    <w:p>
      <w:pPr>
        <w:rPr>
          <w:rFonts w:cs="仿宋_GB2312" w:asciiTheme="minorEastAsia" w:hAnsiTheme="minorEastAsia" w:eastAsiaTheme="minorEastAsia"/>
          <w:color w:val="auto"/>
          <w:szCs w:val="20"/>
          <w:highlight w:val="none"/>
        </w:rPr>
      </w:pPr>
    </w:p>
    <w:p>
      <w:pPr>
        <w:rPr>
          <w:rFonts w:cs="仿宋_GB2312" w:asciiTheme="minorEastAsia" w:hAnsiTheme="minorEastAsia" w:eastAsiaTheme="minorEastAsia"/>
          <w:color w:val="auto"/>
          <w:szCs w:val="20"/>
          <w:highlight w:val="none"/>
        </w:rPr>
      </w:pPr>
    </w:p>
    <w:p>
      <w:pPr>
        <w:rPr>
          <w:color w:val="auto"/>
          <w:highlight w:val="none"/>
        </w:rPr>
        <w:sectPr>
          <w:footerReference r:id="rId7" w:type="first"/>
          <w:footerReference r:id="rId6" w:type="default"/>
          <w:pgSz w:w="11906" w:h="16838"/>
          <w:pgMar w:top="1134" w:right="1134" w:bottom="1134" w:left="1134" w:header="850" w:footer="907" w:gutter="0"/>
          <w:pgNumType w:fmt="decimal" w:start="1"/>
          <w:cols w:space="720" w:num="1"/>
          <w:titlePg/>
          <w:docGrid w:linePitch="312" w:charSpace="0"/>
        </w:sectPr>
      </w:pPr>
      <w:r>
        <w:rPr>
          <w:rFonts w:cs="仿宋_GB2312" w:asciiTheme="minorEastAsia" w:hAnsiTheme="minorEastAsia" w:eastAsiaTheme="minorEastAsia"/>
          <w:color w:val="auto"/>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9" w:name="_Toc30466"/>
      <w:r>
        <w:rPr>
          <w:rFonts w:hint="eastAsia" w:cs="仿宋_GB2312" w:asciiTheme="minorEastAsia" w:hAnsiTheme="minorEastAsia" w:eastAsiaTheme="minorEastAsia"/>
          <w:b/>
          <w:color w:val="auto"/>
          <w:sz w:val="36"/>
          <w:szCs w:val="20"/>
          <w:highlight w:val="none"/>
        </w:rPr>
        <w:t>第一部分</w:t>
      </w:r>
      <w:r>
        <w:rPr>
          <w:rFonts w:cs="仿宋_GB2312" w:asciiTheme="minorEastAsia" w:hAnsiTheme="minorEastAsia" w:eastAsiaTheme="minorEastAsia"/>
          <w:b/>
          <w:color w:val="auto"/>
          <w:sz w:val="36"/>
          <w:szCs w:val="20"/>
          <w:highlight w:val="none"/>
        </w:rPr>
        <w:t xml:space="preserve"> </w:t>
      </w:r>
      <w:r>
        <w:rPr>
          <w:rFonts w:hint="eastAsia" w:cs="仿宋_GB2312" w:asciiTheme="minorEastAsia" w:hAnsiTheme="minorEastAsia" w:eastAsiaTheme="minorEastAsia"/>
          <w:b/>
          <w:color w:val="auto"/>
          <w:sz w:val="36"/>
          <w:szCs w:val="20"/>
          <w:highlight w:val="none"/>
        </w:rPr>
        <w:t>招标公告</w:t>
      </w:r>
      <w:bookmarkEnd w:id="9"/>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 xml:space="preserve">宁波市江北区教育局下属学校舞台灯光、广播音响设备采购 </w:t>
      </w:r>
      <w:r>
        <w:rPr>
          <w:rFonts w:hint="eastAsia" w:cs="仿宋_GB2312"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"https://www.zcygov.cn/）获取（下载）招标文件，并于2022年%20月%20%20日14点00分00秒"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2024</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5</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21</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09</w:t>
      </w:r>
      <w:r>
        <w:rPr>
          <w:rStyle w:val="77"/>
          <w:rFonts w:hint="eastAsia" w:cs="Times New Roman" w:asciiTheme="minorEastAsia" w:hAnsiTheme="minorEastAsia" w:eastAsiaTheme="minorEastAsia"/>
          <w:snapToGrid/>
          <w:color w:val="auto"/>
          <w:kern w:val="2"/>
          <w:sz w:val="24"/>
          <w:szCs w:val="24"/>
          <w:highlight w:val="none"/>
        </w:rPr>
        <w:t>点00分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一、项目基本情况</w:t>
      </w:r>
    </w:p>
    <w:p>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项目编号：NBCTZB2024-04007</w:t>
      </w:r>
    </w:p>
    <w:p>
      <w:pPr>
        <w:spacing w:line="360" w:lineRule="auto"/>
        <w:ind w:firstLine="48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项目名称：</w:t>
      </w:r>
      <w:r>
        <w:rPr>
          <w:rFonts w:hint="eastAsia" w:asciiTheme="minorEastAsia" w:hAnsiTheme="minorEastAsia" w:eastAsiaTheme="minorEastAsia"/>
          <w:bCs/>
          <w:color w:val="auto"/>
          <w:sz w:val="24"/>
          <w:highlight w:val="none"/>
          <w:lang w:eastAsia="zh-CN"/>
        </w:rPr>
        <w:t xml:space="preserve">宁波市江北区教育局下属学校舞台灯光、广播音响设备采购 </w:t>
      </w:r>
    </w:p>
    <w:p>
      <w:pPr>
        <w:spacing w:line="360" w:lineRule="auto"/>
        <w:ind w:firstLine="480"/>
        <w:rPr>
          <w:rFonts w:hint="default" w:cs="仿宋_GB2312" w:asciiTheme="minorEastAsia" w:hAnsiTheme="minorEastAsia" w:eastAsiaTheme="minorEastAsia"/>
          <w:bCs/>
          <w:color w:val="auto"/>
          <w:sz w:val="24"/>
          <w:highlight w:val="none"/>
          <w:lang w:val="en-US" w:eastAsia="zh-CN"/>
        </w:rPr>
      </w:pPr>
      <w:r>
        <w:rPr>
          <w:rFonts w:asciiTheme="minorEastAsia" w:hAnsiTheme="minorEastAsia" w:eastAsiaTheme="minorEastAsia"/>
          <w:bCs/>
          <w:color w:val="auto"/>
          <w:sz w:val="24"/>
          <w:highlight w:val="none"/>
        </w:rPr>
        <w:t>预算金额（元）：</w:t>
      </w:r>
      <w:r>
        <w:rPr>
          <w:rFonts w:hint="eastAsia" w:asciiTheme="minorEastAsia" w:hAnsiTheme="minorEastAsia" w:eastAsiaTheme="minorEastAsia"/>
          <w:bCs/>
          <w:color w:val="auto"/>
          <w:sz w:val="24"/>
          <w:highlight w:val="none"/>
          <w:lang w:val="en-US" w:eastAsia="zh-CN"/>
        </w:rPr>
        <w:t>730000</w:t>
      </w:r>
    </w:p>
    <w:p>
      <w:pPr>
        <w:spacing w:line="360" w:lineRule="auto"/>
        <w:ind w:firstLine="480"/>
        <w:rPr>
          <w:rFonts w:hint="default" w:cs="仿宋_GB2312"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rPr>
        <w:t>最高限价（元）：</w:t>
      </w:r>
      <w:r>
        <w:rPr>
          <w:rFonts w:hint="eastAsia" w:asciiTheme="minorEastAsia" w:hAnsiTheme="minorEastAsia" w:eastAsiaTheme="minorEastAsia"/>
          <w:bCs/>
          <w:color w:val="auto"/>
          <w:sz w:val="24"/>
          <w:highlight w:val="none"/>
          <w:lang w:val="en-US" w:eastAsia="zh-CN"/>
        </w:rPr>
        <w:t>730000</w:t>
      </w:r>
    </w:p>
    <w:p>
      <w:pPr>
        <w:pStyle w:val="5"/>
        <w:spacing w:line="360" w:lineRule="auto"/>
        <w:ind w:firstLine="48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标项名称</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rPr>
        <w:t xml:space="preserve"> 宁波市江北区教育局下属学校舞台灯光、广播音响设备采购 </w:t>
      </w:r>
    </w:p>
    <w:p>
      <w:pPr>
        <w:pStyle w:val="5"/>
        <w:spacing w:line="360" w:lineRule="auto"/>
        <w:ind w:firstLine="48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数量</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rPr>
        <w:t xml:space="preserve"> 1批  </w:t>
      </w:r>
    </w:p>
    <w:p>
      <w:pPr>
        <w:pStyle w:val="5"/>
        <w:spacing w:line="360" w:lineRule="auto"/>
        <w:ind w:firstLine="480"/>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rPr>
        <w:t>预算金额（元）</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rPr>
        <w:t xml:space="preserve"> </w:t>
      </w:r>
      <w:r>
        <w:rPr>
          <w:rFonts w:hint="eastAsia" w:asciiTheme="minorEastAsia" w:hAnsiTheme="minorEastAsia" w:eastAsiaTheme="minorEastAsia"/>
          <w:bCs/>
          <w:color w:val="auto"/>
          <w:sz w:val="24"/>
          <w:highlight w:val="none"/>
          <w:lang w:val="en-US" w:eastAsia="zh-CN"/>
        </w:rPr>
        <w:t>730000</w:t>
      </w:r>
    </w:p>
    <w:p>
      <w:pPr>
        <w:pStyle w:val="5"/>
        <w:spacing w:line="360" w:lineRule="auto"/>
        <w:ind w:firstLine="48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简要规格描述或项目基本概况介绍、用途：学校音响广播设备采购</w:t>
      </w:r>
      <w:r>
        <w:rPr>
          <w:rFonts w:hint="eastAsia" w:asciiTheme="minorEastAsia" w:hAnsiTheme="minorEastAsia" w:eastAsiaTheme="minorEastAsia"/>
          <w:bCs/>
          <w:color w:val="auto"/>
          <w:sz w:val="24"/>
          <w:highlight w:val="none"/>
          <w:lang w:val="en-US" w:eastAsia="zh-CN"/>
        </w:rPr>
        <w:t>及配套服务</w:t>
      </w:r>
      <w:r>
        <w:rPr>
          <w:rFonts w:hint="eastAsia" w:asciiTheme="minorEastAsia" w:hAnsiTheme="minorEastAsia" w:eastAsiaTheme="minorEastAsia"/>
          <w:bCs/>
          <w:color w:val="auto"/>
          <w:sz w:val="24"/>
          <w:highlight w:val="none"/>
        </w:rPr>
        <w:t>。</w:t>
      </w:r>
    </w:p>
    <w:p>
      <w:pPr>
        <w:pStyle w:val="5"/>
        <w:spacing w:line="360" w:lineRule="auto"/>
        <w:ind w:firstLine="48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备注：/。</w:t>
      </w:r>
    </w:p>
    <w:p>
      <w:pPr>
        <w:pStyle w:val="5"/>
        <w:spacing w:line="360" w:lineRule="auto"/>
        <w:ind w:firstLine="48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合同履约期限</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rPr>
        <w:t>接采购人供货通知后45日历天内完成所有设备供货、安装、调试并验收合格。</w:t>
      </w:r>
    </w:p>
    <w:p>
      <w:pPr>
        <w:pStyle w:val="5"/>
        <w:spacing w:line="360" w:lineRule="auto"/>
        <w:ind w:firstLine="48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本项目接受联合体投标：</w:t>
      </w:r>
      <w:sdt>
        <w:sdtPr>
          <w:rPr>
            <w:rFonts w:hint="eastAsia" w:hAnsi="宋体" w:cs="Arial"/>
            <w:bCs/>
            <w:color w:val="auto"/>
            <w:kern w:val="0"/>
            <w:sz w:val="24"/>
            <w:highlight w:val="none"/>
          </w:rPr>
          <w:id w:val="-1765526721"/>
        </w:sdtPr>
        <w:sdtEndPr>
          <w:rPr>
            <w:rFonts w:hint="eastAsia" w:hAnsi="宋体" w:cs="Arial"/>
            <w:bCs/>
            <w:color w:val="auto"/>
            <w:kern w:val="0"/>
            <w:sz w:val="24"/>
            <w:highlight w:val="none"/>
          </w:rPr>
        </w:sdtEndPr>
        <w:sdtContent>
          <w:r>
            <w:rPr>
              <w:rFonts w:hint="eastAsia" w:hAnsi="宋体" w:cs="Arial"/>
              <w:bCs/>
              <w:color w:val="auto"/>
              <w:kern w:val="0"/>
              <w:sz w:val="24"/>
              <w:highlight w:val="none"/>
            </w:rPr>
            <w:sym w:font="Wingdings" w:char="00A8"/>
          </w:r>
        </w:sdtContent>
      </w:sdt>
      <w:r>
        <w:rPr>
          <w:rFonts w:hint="eastAsia" w:hAnsi="宋体"/>
          <w:bCs/>
          <w:color w:val="auto"/>
          <w:sz w:val="24"/>
          <w:highlight w:val="none"/>
        </w:rPr>
        <w:t>是，</w:t>
      </w: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F0FE"/>
          </w:r>
        </w:sdtContent>
      </w:sdt>
      <w:r>
        <w:rPr>
          <w:rFonts w:hint="eastAsia" w:hAnsi="宋体"/>
          <w:bCs/>
          <w:color w:val="auto"/>
          <w:sz w:val="24"/>
          <w:highlight w:val="none"/>
        </w:rPr>
        <w:t>否</w:t>
      </w:r>
      <w:r>
        <w:rPr>
          <w:rFonts w:hint="eastAsia" w:hAnsi="宋体" w:cs="Arial"/>
          <w:bCs/>
          <w:color w:val="auto"/>
          <w:kern w:val="0"/>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二、申请人的资格要求：</w:t>
      </w:r>
    </w:p>
    <w:p>
      <w:pPr>
        <w:spacing w:line="360" w:lineRule="auto"/>
        <w:ind w:firstLine="480"/>
        <w:rPr>
          <w:rFonts w:cs="仿宋_GB2312" w:asciiTheme="minorEastAsia" w:hAnsiTheme="minorEastAsia" w:eastAsiaTheme="minorEastAsia"/>
          <w:snapToGrid w:val="0"/>
          <w:color w:val="auto"/>
          <w:kern w:val="28"/>
          <w:sz w:val="24"/>
          <w:szCs w:val="20"/>
          <w:highlight w:val="none"/>
        </w:rPr>
      </w:pPr>
      <w:r>
        <w:rPr>
          <w:rFonts w:cs="仿宋_GB2312" w:asciiTheme="minorEastAsia" w:hAnsiTheme="minorEastAsia" w:eastAsiaTheme="minorEastAsia"/>
          <w:snapToGrid w:val="0"/>
          <w:color w:val="auto"/>
          <w:kern w:val="28"/>
          <w:sz w:val="24"/>
          <w:szCs w:val="20"/>
          <w:highlight w:val="none"/>
        </w:rPr>
        <w:t>1.</w:t>
      </w:r>
      <w:r>
        <w:rPr>
          <w:rFonts w:hint="eastAsia" w:cs="仿宋_GB2312" w:asciiTheme="minorEastAsia" w:hAnsiTheme="minorEastAsia" w:eastAsiaTheme="minorEastAsia"/>
          <w:snapToGrid w:val="0"/>
          <w:color w:val="auto"/>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Theme="minorEastAsia" w:hAnsiTheme="minorEastAsia" w:eastAsiaTheme="minorEastAsia"/>
          <w:color w:val="auto"/>
          <w:sz w:val="24"/>
          <w:highlight w:val="none"/>
          <w:lang w:val="en-US" w:eastAsia="zh-CN"/>
        </w:rPr>
      </w:pPr>
      <w:r>
        <w:rPr>
          <w:rFonts w:cs="仿宋_GB2312" w:asciiTheme="minorEastAsia" w:hAnsiTheme="minorEastAsia" w:eastAsiaTheme="minorEastAsia"/>
          <w:snapToGrid w:val="0"/>
          <w:color w:val="auto"/>
          <w:kern w:val="28"/>
          <w:sz w:val="24"/>
          <w:szCs w:val="20"/>
          <w:highlight w:val="none"/>
        </w:rPr>
        <w:t>2.</w:t>
      </w:r>
      <w:r>
        <w:rPr>
          <w:rFonts w:hint="eastAsia" w:cs="仿宋_GB2312" w:asciiTheme="minorEastAsia" w:hAnsiTheme="minorEastAsia" w:eastAsiaTheme="minorEastAsia"/>
          <w:snapToGrid w:val="0"/>
          <w:color w:val="auto"/>
          <w:kern w:val="28"/>
          <w:sz w:val="24"/>
          <w:szCs w:val="20"/>
          <w:highlight w:val="none"/>
        </w:rPr>
        <w:t>落实政府采购政策需满足的资格要求：</w:t>
      </w:r>
      <w:r>
        <w:rPr>
          <w:rFonts w:hint="eastAsia" w:cs="仿宋_GB2312" w:asciiTheme="minorEastAsia" w:hAnsiTheme="minorEastAsia" w:eastAsiaTheme="minorEastAsia"/>
          <w:snapToGrid w:val="0"/>
          <w:color w:val="auto"/>
          <w:kern w:val="28"/>
          <w:sz w:val="24"/>
          <w:szCs w:val="20"/>
          <w:highlight w:val="none"/>
          <w:lang w:val="en-US" w:eastAsia="zh-CN"/>
        </w:rPr>
        <w:t>本项目专门面向中小企业采购（货物由中小企业制造，即货物由中小企业生产且使用该中小企业商号或者注册商标），提供中小企业声明函。</w:t>
      </w:r>
    </w:p>
    <w:p>
      <w:pPr>
        <w:snapToGrid/>
        <w:spacing w:line="360" w:lineRule="auto"/>
        <w:ind w:firstLine="480" w:firstLineChars="0"/>
        <w:rPr>
          <w:rFonts w:cs="仿宋_GB2312" w:asciiTheme="minorEastAsia" w:hAnsiTheme="minorEastAsia" w:eastAsiaTheme="minorEastAsia"/>
          <w:color w:val="auto"/>
          <w:sz w:val="24"/>
          <w:highlight w:val="none"/>
        </w:rPr>
      </w:pPr>
      <w:sdt>
        <w:sdtPr>
          <w:rPr>
            <w:rFonts w:hint="eastAsia" w:cs="Arial" w:asciiTheme="minorEastAsia" w:hAnsiTheme="minorEastAsia" w:eastAsiaTheme="minorEastAsia"/>
            <w:color w:val="auto"/>
            <w:kern w:val="0"/>
            <w:sz w:val="24"/>
            <w:highlight w:val="none"/>
          </w:rPr>
          <w:id w:val="-1024704304"/>
        </w:sdtPr>
        <w:sdtEndPr>
          <w:rPr>
            <w:rFonts w:hint="eastAsia" w:cs="Arial" w:asciiTheme="minorEastAsia" w:hAnsiTheme="minorEastAsia" w:eastAsiaTheme="minorEastAsia"/>
            <w:color w:val="auto"/>
            <w:kern w:val="0"/>
            <w:sz w:val="24"/>
            <w:highlight w:val="none"/>
          </w:rPr>
        </w:sdtEndPr>
        <w:sdtContent>
          <w:sdt>
            <w:sdtPr>
              <w:rPr>
                <w:rFonts w:hint="eastAsia" w:cs="Arial" w:asciiTheme="minorEastAsia" w:hAnsiTheme="minorEastAsia" w:eastAsiaTheme="minorEastAsia"/>
                <w:color w:val="auto"/>
                <w:kern w:val="0"/>
                <w:sz w:val="24"/>
                <w:highlight w:val="none"/>
              </w:rPr>
              <w:id w:val="-1828816931"/>
            </w:sdtPr>
            <w:sdtEndPr>
              <w:rPr>
                <w:rFonts w:hint="eastAsia" w:cs="Arial" w:asciiTheme="minorEastAsia" w:hAnsiTheme="minorEastAsia" w:eastAsiaTheme="minorEastAsia"/>
                <w:color w:val="auto"/>
                <w:kern w:val="0"/>
                <w:sz w:val="24"/>
                <w:highlight w:val="none"/>
              </w:rPr>
            </w:sdtEndPr>
            <w:sdtContent>
              <w:sdt>
                <w:sdtPr>
                  <w:rPr>
                    <w:rFonts w:hint="eastAsia" w:cs="Arial" w:asciiTheme="minorEastAsia" w:hAnsiTheme="minorEastAsia" w:eastAsiaTheme="minorEastAsia"/>
                    <w:color w:val="auto"/>
                    <w:kern w:val="0"/>
                    <w:sz w:val="24"/>
                    <w:highlight w:val="none"/>
                  </w:rPr>
                  <w:id w:val="-1749497706"/>
                  <w:showingPlcHdr/>
                </w:sdtPr>
                <w:sdtEndPr>
                  <w:rPr>
                    <w:rFonts w:hint="eastAsia" w:cs="Arial" w:asciiTheme="minorEastAsia" w:hAnsiTheme="minorEastAsia" w:eastAsiaTheme="minorEastAsia"/>
                    <w:color w:val="auto"/>
                    <w:kern w:val="0"/>
                    <w:sz w:val="24"/>
                    <w:highlight w:val="none"/>
                  </w:rPr>
                </w:sdtEndPr>
                <w:sdtContent/>
              </w:sdt>
            </w:sdtContent>
          </w:sdt>
        </w:sdtContent>
      </w:sdt>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.本项目的特定资格要求：</w:t>
      </w: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三、获取招标文件</w:t>
      </w:r>
      <w:r>
        <w:rPr>
          <w:rFonts w:asciiTheme="minorEastAsia" w:hAnsiTheme="minorEastAsia" w:eastAsiaTheme="minorEastAsia"/>
          <w:b/>
          <w:color w:val="auto"/>
          <w:sz w:val="24"/>
          <w:highlight w:val="none"/>
        </w:rPr>
        <w:t xml:space="preserve"> </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时间：</w:t>
      </w:r>
      <w:r>
        <w:rPr>
          <w:rFonts w:asciiTheme="minorEastAsia" w:hAnsiTheme="minorEastAsia" w:eastAsiaTheme="minorEastAsia"/>
          <w:color w:val="auto"/>
          <w:sz w:val="24"/>
          <w:highlight w:val="none"/>
        </w:rPr>
        <w:t>/至</w:t>
      </w:r>
      <w:r>
        <w:rPr>
          <w:rFonts w:hint="eastAsia" w:asciiTheme="minorEastAsia" w:hAnsiTheme="minorEastAsia" w:eastAsiaTheme="minorEastAsia"/>
          <w:color w:val="auto"/>
          <w:sz w:val="24"/>
          <w:highlight w:val="none"/>
          <w:u w:val="single"/>
        </w:rPr>
        <w:t>2024</w:t>
      </w:r>
      <w:r>
        <w:rPr>
          <w:rFonts w:asciiTheme="minorEastAsia" w:hAnsiTheme="minorEastAsia" w:eastAsiaTheme="minorEastAsia"/>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5</w:t>
      </w:r>
      <w:r>
        <w:rPr>
          <w:rFonts w:asciiTheme="minorEastAsia" w:hAnsiTheme="minorEastAsia" w:eastAsiaTheme="minorEastAsia"/>
          <w:color w:val="auto"/>
          <w:sz w:val="24"/>
          <w:highlight w:val="none"/>
          <w:u w:val="single"/>
        </w:rPr>
        <w:t>月</w:t>
      </w:r>
      <w:r>
        <w:rPr>
          <w:rFonts w:hint="eastAsia" w:asciiTheme="minorEastAsia" w:hAnsiTheme="minorEastAsia" w:eastAsiaTheme="minorEastAsia"/>
          <w:color w:val="auto"/>
          <w:sz w:val="24"/>
          <w:highlight w:val="none"/>
          <w:u w:val="single"/>
          <w:lang w:val="en-US" w:eastAsia="zh-CN"/>
        </w:rPr>
        <w:t>21</w:t>
      </w:r>
      <w:r>
        <w:rPr>
          <w:rFonts w:asciiTheme="minorEastAsia" w:hAnsiTheme="minorEastAsia" w:eastAsiaTheme="minorEastAsia"/>
          <w:color w:val="auto"/>
          <w:sz w:val="24"/>
          <w:highlight w:val="none"/>
          <w:u w:val="single"/>
        </w:rPr>
        <w:t>日</w:t>
      </w:r>
      <w:r>
        <w:rPr>
          <w:rFonts w:hint="eastAsia" w:asciiTheme="minorEastAsia" w:hAnsiTheme="minorEastAsia" w:eastAsiaTheme="minorEastAsia"/>
          <w:color w:val="auto"/>
          <w:sz w:val="24"/>
          <w:highlight w:val="none"/>
        </w:rPr>
        <w:t>，每天上午</w:t>
      </w:r>
      <w:r>
        <w:rPr>
          <w:rFonts w:asciiTheme="minorEastAsia" w:hAnsiTheme="minorEastAsia" w:eastAsiaTheme="minorEastAsia"/>
          <w:color w:val="auto"/>
          <w:sz w:val="24"/>
          <w:highlight w:val="none"/>
        </w:rPr>
        <w:t xml:space="preserve">00:00至12:00 </w:t>
      </w:r>
      <w:r>
        <w:rPr>
          <w:rFonts w:hint="eastAsia" w:asciiTheme="minorEastAsia" w:hAnsiTheme="minorEastAsia" w:eastAsiaTheme="minorEastAsia"/>
          <w:color w:val="auto"/>
          <w:sz w:val="24"/>
          <w:highlight w:val="none"/>
        </w:rPr>
        <w:t>，下午</w:t>
      </w:r>
      <w:r>
        <w:rPr>
          <w:rFonts w:asciiTheme="minorEastAsia" w:hAnsiTheme="minorEastAsia" w:eastAsiaTheme="minorEastAsia"/>
          <w:color w:val="auto"/>
          <w:sz w:val="24"/>
          <w:highlight w:val="none"/>
        </w:rPr>
        <w:t>12:00至23:59（北京时间，线上获取法定节假日均可，线下获取文件法定节假日除外）</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地点（网址）：</w:t>
      </w:r>
      <w:r>
        <w:rPr>
          <w:rFonts w:hint="eastAsia" w:asciiTheme="minorEastAsia" w:hAnsiTheme="minorEastAsia" w:eastAsiaTheme="minorEastAsia"/>
          <w:color w:val="auto"/>
          <w:sz w:val="24"/>
          <w:highlight w:val="none"/>
        </w:rPr>
        <w:t>政采云平台（</w:t>
      </w:r>
      <w:r>
        <w:rPr>
          <w:rFonts w:asciiTheme="minorEastAsia" w:hAnsiTheme="minorEastAsia" w:eastAsiaTheme="minorEastAsia"/>
          <w:color w:val="auto"/>
          <w:sz w:val="24"/>
          <w:highlight w:val="none"/>
        </w:rPr>
        <w:t xml:space="preserve">https://www.zcygov.cn/） </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方式：</w:t>
      </w:r>
      <w:r>
        <w:rPr>
          <w:rFonts w:hint="eastAsia" w:asciiTheme="minorEastAsia" w:hAnsiTheme="minorEastAsia" w:eastAsiaTheme="minorEastAsia"/>
          <w:color w:val="auto"/>
          <w:sz w:val="24"/>
          <w:highlight w:val="none"/>
        </w:rPr>
        <w:t>供应商登录政采云平台</w:t>
      </w:r>
      <w:r>
        <w:rPr>
          <w:rFonts w:asciiTheme="minorEastAsia" w:hAnsiTheme="minorEastAsia" w:eastAsiaTheme="minorEastAsia"/>
          <w:color w:val="auto"/>
          <w:sz w:val="24"/>
          <w:highlight w:val="none"/>
        </w:rPr>
        <w:t>https://www.zcygov.cn/在线申请获取采购文件（进入“项目采购”应用，在获取采购文件菜单中选择项目，申请获取采购文件）。</w:t>
      </w:r>
      <w:r>
        <w:rPr>
          <w:rFonts w:hint="eastAsia" w:asciiTheme="minorEastAsia" w:hAnsiTheme="minorEastAsia" w:eastAsiaTheme="minorEastAsia"/>
          <w:color w:val="auto"/>
          <w:sz w:val="24"/>
          <w:highlight w:val="none"/>
        </w:rPr>
        <w:t>本招标公告附件中的采购文件仅供阅览使用，供应商应在规定的采购文件提供期限内在政采云平台登录上述供应商注册的账号后获取采购文件，未在规定的采购文件提供期限内或未按上述方式获取采购文件的，其投标均视为无效，并不得对采购文件提起质疑投诉。</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售价（元）：</w:t>
      </w:r>
      <w:r>
        <w:rPr>
          <w:rFonts w:asciiTheme="minorEastAsia" w:hAnsiTheme="minorEastAsia" w:eastAsiaTheme="minorEastAsia"/>
          <w:color w:val="auto"/>
          <w:sz w:val="24"/>
          <w:highlight w:val="none"/>
        </w:rPr>
        <w:t xml:space="preserve">0 </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四、提交投标文件截止时间、开标时间和地点</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提交投标文件截止时间：</w:t>
      </w:r>
      <w:r>
        <w:rPr>
          <w:rFonts w:hint="eastAsia" w:asciiTheme="minorEastAsia" w:hAnsiTheme="minorEastAsia" w:eastAsiaTheme="minorEastAsia"/>
          <w:b/>
          <w:bCs/>
          <w:color w:val="auto"/>
          <w:sz w:val="24"/>
          <w:highlight w:val="none"/>
          <w:u w:val="single"/>
        </w:rPr>
        <w:t xml:space="preserve">2024年 </w:t>
      </w:r>
      <w:r>
        <w:rPr>
          <w:rFonts w:hint="eastAsia" w:asciiTheme="minorEastAsia" w:hAnsiTheme="minorEastAsia" w:eastAsiaTheme="minorEastAsia"/>
          <w:b/>
          <w:bCs/>
          <w:color w:val="auto"/>
          <w:sz w:val="24"/>
          <w:highlight w:val="none"/>
          <w:u w:val="single"/>
          <w:lang w:val="en-US" w:eastAsia="zh-CN"/>
        </w:rPr>
        <w:t>5</w:t>
      </w:r>
      <w:r>
        <w:rPr>
          <w:rFonts w:hint="eastAsia" w:asciiTheme="minorEastAsia" w:hAnsiTheme="minorEastAsia" w:eastAsiaTheme="minorEastAsia"/>
          <w:b/>
          <w:bCs/>
          <w:color w:val="auto"/>
          <w:sz w:val="24"/>
          <w:highlight w:val="none"/>
          <w:u w:val="single"/>
        </w:rPr>
        <w:t>月</w:t>
      </w:r>
      <w:r>
        <w:rPr>
          <w:rFonts w:hint="eastAsia" w:asciiTheme="minorEastAsia" w:hAnsiTheme="minorEastAsia" w:eastAsiaTheme="minorEastAsia"/>
          <w:b/>
          <w:bCs/>
          <w:color w:val="auto"/>
          <w:sz w:val="24"/>
          <w:highlight w:val="none"/>
          <w:u w:val="single"/>
          <w:lang w:val="en-US" w:eastAsia="zh-CN"/>
        </w:rPr>
        <w:t>21</w:t>
      </w:r>
      <w:r>
        <w:rPr>
          <w:rFonts w:hint="eastAsia" w:asciiTheme="minorEastAsia" w:hAnsiTheme="minorEastAsia" w:eastAsiaTheme="minorEastAsia"/>
          <w:b/>
          <w:bCs/>
          <w:color w:val="auto"/>
          <w:sz w:val="24"/>
          <w:highlight w:val="none"/>
          <w:u w:val="single"/>
        </w:rPr>
        <w:t>日</w:t>
      </w:r>
      <w:r>
        <w:rPr>
          <w:rFonts w:hint="eastAsia" w:asciiTheme="minorEastAsia" w:hAnsiTheme="minorEastAsia" w:eastAsiaTheme="minorEastAsia"/>
          <w:b/>
          <w:bCs/>
          <w:color w:val="auto"/>
          <w:sz w:val="24"/>
          <w:highlight w:val="none"/>
          <w:u w:val="single"/>
          <w:lang w:val="en-US" w:eastAsia="zh-CN"/>
        </w:rPr>
        <w:t>09</w:t>
      </w:r>
      <w:r>
        <w:rPr>
          <w:rFonts w:hint="eastAsia" w:asciiTheme="minorEastAsia" w:hAnsiTheme="minorEastAsia" w:eastAsiaTheme="minorEastAsia"/>
          <w:b/>
          <w:bCs/>
          <w:color w:val="auto"/>
          <w:sz w:val="24"/>
          <w:highlight w:val="none"/>
          <w:u w:val="single"/>
        </w:rPr>
        <w:t xml:space="preserve">点00分 </w:t>
      </w:r>
      <w:r>
        <w:rPr>
          <w:rFonts w:hint="eastAsia" w:asciiTheme="minorEastAsia" w:hAnsiTheme="minorEastAsia" w:eastAsiaTheme="minorEastAsia"/>
          <w:b/>
          <w:bCs/>
          <w:color w:val="auto"/>
          <w:sz w:val="24"/>
          <w:highlight w:val="none"/>
        </w:rPr>
        <w:t>（北京时间）</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投标地点（网址）：</w:t>
      </w:r>
      <w:r>
        <w:rPr>
          <w:rFonts w:hint="eastAsia" w:asciiTheme="minorEastAsia" w:hAnsiTheme="minorEastAsia" w:eastAsiaTheme="minorEastAsia"/>
          <w:color w:val="auto"/>
          <w:sz w:val="24"/>
          <w:highlight w:val="none"/>
        </w:rPr>
        <w:t>宁波市江北区公共资源交易中心开标室（江北区育才路138号北投大厦南楼7楼），本项目通过“政府采购云平台（www.zcygov.cn）”实行在线制作并提交投标文件（电子投标）。</w:t>
      </w:r>
      <w:r>
        <w:rPr>
          <w:rFonts w:asciiTheme="minorEastAsia" w:hAnsiTheme="minorEastAsia" w:eastAsiaTheme="minorEastAsia"/>
          <w:color w:val="auto"/>
          <w:sz w:val="24"/>
          <w:highlight w:val="none"/>
        </w:rPr>
        <w:t xml:space="preserve"> </w:t>
      </w:r>
    </w:p>
    <w:p>
      <w:pPr>
        <w:spacing w:line="360" w:lineRule="auto"/>
        <w:ind w:firstLine="482" w:firstLineChars="200"/>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color w:val="auto"/>
          <w:sz w:val="24"/>
          <w:highlight w:val="none"/>
        </w:rPr>
        <w:t>开标时间：</w:t>
      </w:r>
      <w:r>
        <w:rPr>
          <w:rFonts w:hint="eastAsia" w:asciiTheme="minorEastAsia" w:hAnsiTheme="minorEastAsia" w:eastAsiaTheme="minorEastAsia"/>
          <w:b/>
          <w:bCs/>
          <w:color w:val="auto"/>
          <w:sz w:val="24"/>
          <w:highlight w:val="none"/>
          <w:u w:val="single"/>
        </w:rPr>
        <w:t>2024年</w:t>
      </w:r>
      <w:r>
        <w:rPr>
          <w:rFonts w:hint="eastAsia" w:asciiTheme="minorEastAsia" w:hAnsiTheme="minorEastAsia" w:eastAsiaTheme="minorEastAsia"/>
          <w:b/>
          <w:bCs/>
          <w:color w:val="auto"/>
          <w:sz w:val="24"/>
          <w:highlight w:val="none"/>
          <w:u w:val="single"/>
          <w:lang w:val="en-US" w:eastAsia="zh-CN"/>
        </w:rPr>
        <w:t>5</w:t>
      </w:r>
      <w:r>
        <w:rPr>
          <w:rFonts w:hint="eastAsia" w:asciiTheme="minorEastAsia" w:hAnsiTheme="minorEastAsia" w:eastAsiaTheme="minorEastAsia"/>
          <w:b/>
          <w:bCs/>
          <w:color w:val="auto"/>
          <w:sz w:val="24"/>
          <w:highlight w:val="none"/>
          <w:u w:val="single"/>
        </w:rPr>
        <w:t>月</w:t>
      </w:r>
      <w:r>
        <w:rPr>
          <w:rFonts w:hint="eastAsia" w:asciiTheme="minorEastAsia" w:hAnsiTheme="minorEastAsia" w:eastAsiaTheme="minorEastAsia"/>
          <w:b/>
          <w:bCs/>
          <w:color w:val="auto"/>
          <w:sz w:val="24"/>
          <w:highlight w:val="none"/>
          <w:u w:val="single"/>
          <w:lang w:val="en-US" w:eastAsia="zh-CN"/>
        </w:rPr>
        <w:t>21</w:t>
      </w:r>
      <w:r>
        <w:rPr>
          <w:rFonts w:hint="eastAsia" w:asciiTheme="minorEastAsia" w:hAnsiTheme="minorEastAsia" w:eastAsiaTheme="minorEastAsia"/>
          <w:b/>
          <w:bCs/>
          <w:color w:val="auto"/>
          <w:sz w:val="24"/>
          <w:highlight w:val="none"/>
          <w:u w:val="single"/>
        </w:rPr>
        <w:t>日</w:t>
      </w:r>
      <w:r>
        <w:rPr>
          <w:rFonts w:hint="eastAsia" w:asciiTheme="minorEastAsia" w:hAnsiTheme="minorEastAsia" w:eastAsiaTheme="minorEastAsia"/>
          <w:b/>
          <w:bCs/>
          <w:color w:val="auto"/>
          <w:sz w:val="24"/>
          <w:highlight w:val="none"/>
          <w:u w:val="single"/>
          <w:lang w:val="en-US" w:eastAsia="zh-CN"/>
        </w:rPr>
        <w:t>09</w:t>
      </w:r>
      <w:bookmarkStart w:id="407" w:name="_GoBack"/>
      <w:bookmarkEnd w:id="407"/>
      <w:r>
        <w:rPr>
          <w:rFonts w:hint="eastAsia" w:asciiTheme="minorEastAsia" w:hAnsiTheme="minorEastAsia" w:eastAsiaTheme="minorEastAsia"/>
          <w:b/>
          <w:bCs/>
          <w:color w:val="auto"/>
          <w:sz w:val="24"/>
          <w:highlight w:val="none"/>
          <w:u w:val="single"/>
        </w:rPr>
        <w:t>点00分</w:t>
      </w:r>
      <w:r>
        <w:rPr>
          <w:rFonts w:hint="eastAsia" w:asciiTheme="minorEastAsia" w:hAnsiTheme="minorEastAsia" w:eastAsiaTheme="minorEastAsia"/>
          <w:b/>
          <w:bCs/>
          <w:color w:val="auto"/>
          <w:sz w:val="24"/>
          <w:highlight w:val="none"/>
        </w:rPr>
        <w:t>（北京时间）</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开标地点（网址）：</w:t>
      </w:r>
      <w:r>
        <w:rPr>
          <w:rFonts w:hint="eastAsia" w:asciiTheme="minorEastAsia" w:hAnsiTheme="minorEastAsia" w:eastAsiaTheme="minorEastAsia"/>
          <w:color w:val="auto"/>
          <w:sz w:val="24"/>
          <w:highlight w:val="none"/>
        </w:rPr>
        <w:t>宁波市江北区公共资源交易中心开标室（江北区育才路138号北投大厦南楼7楼），本项目通过“政府采购云平台（www.zcygov.cn）”实行在线开标。</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五、公告期限</w:t>
      </w:r>
      <w:r>
        <w:rPr>
          <w:rFonts w:asciiTheme="minorEastAsia" w:hAnsiTheme="minorEastAsia" w:eastAsiaTheme="minorEastAsia"/>
          <w:b/>
          <w:color w:val="auto"/>
          <w:sz w:val="24"/>
          <w:highlight w:val="none"/>
        </w:rPr>
        <w:t xml:space="preserve">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自本公告发布之日起</w:t>
      </w:r>
      <w:r>
        <w:rPr>
          <w:rFonts w:asciiTheme="minorEastAsia" w:hAnsiTheme="minorEastAsia" w:eastAsiaTheme="minorEastAsia"/>
          <w:color w:val="auto"/>
          <w:sz w:val="24"/>
          <w:highlight w:val="none"/>
        </w:rPr>
        <w:t>5个工作日。</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六、其他补充事宜</w:t>
      </w:r>
    </w:p>
    <w:p>
      <w:pPr>
        <w:adjustRightInd/>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2.其他事项：</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根据《浙江省财政厅关于进一步促进政府采购公平竞争打造最优营商环境的通知》（浙财采监（2021）22号）文件关于“健全行政裁决机制”要求，鼓励供应商在线提起询问，路径为：政采云-项目采购-询问质疑投诉-询问</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r>
        <w:rPr>
          <w:rFonts w:cs="仿宋_GB2312" w:asciiTheme="minorEastAsia" w:hAnsiTheme="minorEastAsia" w:eastAsiaTheme="minorEastAsia"/>
          <w:color w:val="auto"/>
          <w:sz w:val="24"/>
          <w:highlight w:val="none"/>
        </w:rPr>
        <w:t>本项目以数据电文形式，依托“政府采购云平台（www.zcygov.cn）”进行招投标活动，不接受纸质投标文件</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具体操作指南：详见政</w:t>
      </w:r>
      <w:r>
        <w:rPr>
          <w:rFonts w:hint="eastAsia" w:cs="仿宋_GB2312" w:asciiTheme="minorEastAsia" w:hAnsiTheme="minorEastAsia" w:eastAsiaTheme="minorEastAsia"/>
          <w:color w:val="auto"/>
          <w:sz w:val="24"/>
          <w:highlight w:val="none"/>
        </w:rPr>
        <w:t>采云平台“服务中心</w:t>
      </w:r>
      <w:r>
        <w:rPr>
          <w:rFonts w:cs="仿宋_GB2312" w:asciiTheme="minorEastAsia" w:hAnsiTheme="minorEastAsia" w:eastAsiaTheme="minorEastAsia"/>
          <w:color w:val="auto"/>
          <w:sz w:val="24"/>
          <w:highlight w:val="none"/>
        </w:rPr>
        <w:t>-帮助文档-项目采购-操作流程-电子招投标-政府采购项目电子交易管理操作指南-供应商”。</w:t>
      </w:r>
      <w:r>
        <w:rPr>
          <w:rFonts w:hint="eastAsia" w:cs="仿宋_GB2312" w:asciiTheme="minorEastAsia" w:hAnsiTheme="minorEastAsia" w:eastAsiaTheme="minorEastAsia"/>
          <w:color w:val="auto"/>
          <w:sz w:val="24"/>
          <w:highlight w:val="none"/>
        </w:rPr>
        <w:t xml:space="preserve">（2）招标文件公告期限与招标公告的公告期限一致。（3）单位负责人为同一人或者存在直接控股、管理关系的不同供应商，不得参加同一合同项下的政府采购活动；为采购项目提供整体设计、规范编制或者项目管理、监理、检测等服务后不得再参加该采购项目的其他采购活动。（4）根据《浙江省财政厅关于规范政府采购供应商资格设定及资格审查的通知》（浙财采监〔2013〕24号）第六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上述单位参加政府采购活动时，应提供该单位负责人签署的相关文件材料。符合的允许参加本次采购活动。 </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七、对本次采购提出询问、质疑、投诉，请按以下方式联系</w:t>
      </w:r>
    </w:p>
    <w:p>
      <w:pPr>
        <w:spacing w:line="360" w:lineRule="auto"/>
        <w:ind w:firstLine="480"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1.采购人信息</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 xml:space="preserve">名    称：宁波市江北区教育局教研室   </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地    址：宁波市江北区丽江东路85弄16号</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传    真：/</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项目联系人（询问）：朱老师</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项目联系方式（询问）：0574-87667299</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质疑联系人：苏老师</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质疑联系方式：0574-87633264</w:t>
      </w:r>
    </w:p>
    <w:p>
      <w:pPr>
        <w:spacing w:line="360" w:lineRule="auto"/>
        <w:ind w:firstLine="480"/>
        <w:rPr>
          <w:rFonts w:hint="eastAsia" w:ascii="宋体" w:hAnsi="宋体"/>
          <w:color w:val="auto"/>
          <w:sz w:val="24"/>
          <w:highlight w:val="none"/>
        </w:rPr>
      </w:pPr>
    </w:p>
    <w:p>
      <w:pPr>
        <w:spacing w:line="360" w:lineRule="auto"/>
        <w:ind w:firstLine="480"/>
        <w:rPr>
          <w:rFonts w:ascii="宋体" w:hAnsi="宋体"/>
          <w:color w:val="auto"/>
          <w:sz w:val="24"/>
          <w:highlight w:val="none"/>
        </w:rPr>
      </w:pPr>
      <w:r>
        <w:rPr>
          <w:rFonts w:ascii="宋体" w:hAnsi="宋体"/>
          <w:color w:val="auto"/>
          <w:sz w:val="24"/>
          <w:highlight w:val="none"/>
        </w:rPr>
        <w:t>2.采购代理机构信息</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称：宁波成套工程项目咨询管理有限公司</w:t>
      </w:r>
    </w:p>
    <w:p>
      <w:pPr>
        <w:spacing w:line="360" w:lineRule="auto"/>
        <w:ind w:firstLine="480"/>
        <w:rPr>
          <w:rFonts w:ascii="宋体" w:hAnsi="宋体"/>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址：宁波市海曙区翠柏路89号工程学院公共培训大楼C栋8楼</w:t>
      </w:r>
    </w:p>
    <w:p>
      <w:pPr>
        <w:spacing w:line="360" w:lineRule="auto"/>
        <w:ind w:firstLine="480"/>
        <w:rPr>
          <w:rFonts w:ascii="宋体" w:hAnsi="宋体"/>
          <w:color w:val="auto"/>
          <w:sz w:val="24"/>
          <w:highlight w:val="none"/>
        </w:rPr>
      </w:pPr>
      <w:r>
        <w:rPr>
          <w:rFonts w:ascii="宋体" w:hAnsi="宋体"/>
          <w:color w:val="auto"/>
          <w:sz w:val="24"/>
          <w:highlight w:val="none"/>
        </w:rPr>
        <w:t>项目联系人（询问）：</w:t>
      </w:r>
      <w:r>
        <w:rPr>
          <w:rFonts w:hint="eastAsia" w:ascii="宋体" w:hAnsi="宋体"/>
          <w:color w:val="auto"/>
          <w:sz w:val="24"/>
          <w:highlight w:val="none"/>
        </w:rPr>
        <w:t>王锟、魏超逸、袁丹</w:t>
      </w:r>
    </w:p>
    <w:p>
      <w:pPr>
        <w:spacing w:line="360" w:lineRule="auto"/>
        <w:ind w:firstLine="480"/>
        <w:rPr>
          <w:rFonts w:ascii="宋体" w:hAnsi="宋体"/>
          <w:color w:val="auto"/>
          <w:sz w:val="24"/>
          <w:highlight w:val="none"/>
        </w:rPr>
      </w:pPr>
      <w:r>
        <w:rPr>
          <w:rFonts w:ascii="宋体" w:hAnsi="宋体"/>
          <w:color w:val="auto"/>
          <w:sz w:val="24"/>
          <w:highlight w:val="none"/>
        </w:rPr>
        <w:t>项目联系方式（询问）：</w:t>
      </w:r>
      <w:r>
        <w:rPr>
          <w:rFonts w:hint="eastAsia" w:ascii="宋体" w:hAnsi="宋体"/>
          <w:color w:val="auto"/>
          <w:sz w:val="24"/>
          <w:highlight w:val="none"/>
        </w:rPr>
        <w:t>0574-87131593</w:t>
      </w:r>
    </w:p>
    <w:p>
      <w:pPr>
        <w:spacing w:line="360" w:lineRule="auto"/>
        <w:ind w:firstLine="480"/>
        <w:rPr>
          <w:rFonts w:hint="eastAsia" w:ascii="宋体" w:hAnsi="宋体" w:eastAsia="宋体"/>
          <w:color w:val="auto"/>
          <w:sz w:val="24"/>
          <w:highlight w:val="none"/>
          <w:lang w:eastAsia="zh-CN"/>
        </w:rPr>
      </w:pPr>
      <w:r>
        <w:rPr>
          <w:rFonts w:ascii="宋体" w:hAnsi="宋体"/>
          <w:color w:val="auto"/>
          <w:sz w:val="24"/>
          <w:highlight w:val="none"/>
        </w:rPr>
        <w:t>质疑联系人：</w:t>
      </w:r>
      <w:r>
        <w:rPr>
          <w:rFonts w:hint="eastAsia" w:ascii="宋体" w:hAnsi="宋体"/>
          <w:color w:val="auto"/>
          <w:sz w:val="24"/>
          <w:highlight w:val="none"/>
          <w:lang w:val="en-US" w:eastAsia="zh-CN"/>
        </w:rPr>
        <w:t>洪韬</w:t>
      </w:r>
    </w:p>
    <w:p>
      <w:pPr>
        <w:spacing w:line="360" w:lineRule="auto"/>
        <w:ind w:firstLine="480"/>
        <w:rPr>
          <w:rFonts w:ascii="宋体" w:hAnsi="宋体"/>
          <w:color w:val="auto"/>
          <w:sz w:val="24"/>
          <w:highlight w:val="none"/>
        </w:rPr>
      </w:pPr>
      <w:r>
        <w:rPr>
          <w:rFonts w:ascii="宋体" w:hAnsi="宋体"/>
          <w:color w:val="auto"/>
          <w:sz w:val="24"/>
          <w:highlight w:val="none"/>
        </w:rPr>
        <w:t>质疑联系方式：</w:t>
      </w:r>
      <w:r>
        <w:rPr>
          <w:rFonts w:hint="eastAsia" w:ascii="宋体" w:hAnsi="宋体"/>
          <w:color w:val="auto"/>
          <w:sz w:val="24"/>
          <w:highlight w:val="none"/>
        </w:rPr>
        <w:t>0574-87131593</w:t>
      </w:r>
    </w:p>
    <w:p>
      <w:pPr>
        <w:spacing w:line="360" w:lineRule="auto"/>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3.同级政府采购监督管理部门</w:t>
      </w:r>
    </w:p>
    <w:p>
      <w:pPr>
        <w:spacing w:line="360" w:lineRule="auto"/>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名    称：</w:t>
      </w:r>
      <w:r>
        <w:rPr>
          <w:rFonts w:hint="eastAsia" w:asciiTheme="minorEastAsia" w:hAnsiTheme="minorEastAsia" w:eastAsiaTheme="minorEastAsia"/>
          <w:color w:val="auto"/>
          <w:sz w:val="24"/>
          <w:highlight w:val="none"/>
        </w:rPr>
        <w:t>宁波市江北区财政局</w:t>
      </w:r>
    </w:p>
    <w:p>
      <w:pPr>
        <w:spacing w:line="360" w:lineRule="auto"/>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地    址：</w:t>
      </w:r>
      <w:r>
        <w:rPr>
          <w:rFonts w:hint="eastAsia" w:asciiTheme="minorEastAsia" w:hAnsiTheme="minorEastAsia" w:eastAsiaTheme="minorEastAsia"/>
          <w:color w:val="auto"/>
          <w:sz w:val="24"/>
          <w:highlight w:val="none"/>
        </w:rPr>
        <w:t xml:space="preserve">/  </w:t>
      </w:r>
    </w:p>
    <w:p>
      <w:pPr>
        <w:spacing w:line="360" w:lineRule="auto"/>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传    真：</w:t>
      </w:r>
      <w:r>
        <w:rPr>
          <w:rFonts w:hint="eastAsia" w:asciiTheme="minorEastAsia" w:hAnsiTheme="minorEastAsia" w:eastAsiaTheme="minorEastAsia"/>
          <w:color w:val="auto"/>
          <w:sz w:val="24"/>
          <w:highlight w:val="none"/>
        </w:rPr>
        <w:t>/</w:t>
      </w:r>
    </w:p>
    <w:p>
      <w:pPr>
        <w:spacing w:line="360" w:lineRule="auto"/>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联</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系</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人：</w:t>
      </w:r>
      <w:r>
        <w:rPr>
          <w:rFonts w:hint="eastAsia" w:asciiTheme="minorEastAsia" w:hAnsiTheme="minorEastAsia" w:eastAsiaTheme="minorEastAsia"/>
          <w:color w:val="auto"/>
          <w:sz w:val="24"/>
          <w:highlight w:val="none"/>
        </w:rPr>
        <w:t>张老师</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监督投诉电话：</w:t>
      </w:r>
      <w:r>
        <w:rPr>
          <w:rFonts w:hint="eastAsia" w:asciiTheme="minorEastAsia" w:hAnsiTheme="minorEastAsia" w:eastAsiaTheme="minorEastAsia"/>
          <w:color w:val="auto"/>
          <w:sz w:val="24"/>
          <w:highlight w:val="none"/>
        </w:rPr>
        <w:t>0574-87388098</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若对项目采购电子交易系统操作有疑问，可登录政采云（https://www.zcygov.cn/），点击右侧咨询小采，获取采小蜜智能服务管家帮助，或拨打政采云服务热线95763获取热线服务帮助。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CA问题联系电话（人工）：汇信CA 400-888-4636；天谷CA 400-087-8198</w:t>
      </w:r>
      <w:r>
        <w:rPr>
          <w:rFonts w:asciiTheme="minorEastAsia" w:hAnsiTheme="minorEastAsia" w:eastAsiaTheme="minorEastAsia"/>
          <w:color w:val="auto"/>
          <w:sz w:val="24"/>
          <w:highlight w:val="none"/>
        </w:rPr>
        <w:t>。</w:t>
      </w:r>
    </w:p>
    <w:p>
      <w:pPr>
        <w:pStyle w:val="2"/>
        <w:jc w:val="center"/>
        <w:rPr>
          <w:rFonts w:cs="仿宋_GB2312" w:asciiTheme="minorEastAsia" w:hAnsiTheme="minorEastAsia" w:eastAsiaTheme="minorEastAsia"/>
          <w:color w:val="auto"/>
          <w:sz w:val="36"/>
          <w:szCs w:val="20"/>
          <w:highlight w:val="none"/>
        </w:rPr>
      </w:pPr>
      <w:r>
        <w:rPr>
          <w:rFonts w:hint="eastAsia"/>
          <w:color w:val="auto"/>
          <w:highlight w:val="none"/>
        </w:rPr>
        <w:br w:type="page"/>
      </w:r>
      <w:bookmarkStart w:id="10" w:name="_Toc10680"/>
      <w:r>
        <w:rPr>
          <w:rFonts w:hint="eastAsia" w:cs="仿宋_GB2312" w:asciiTheme="minorEastAsia" w:hAnsiTheme="minorEastAsia" w:eastAsiaTheme="minorEastAsia"/>
          <w:color w:val="auto"/>
          <w:sz w:val="36"/>
          <w:szCs w:val="20"/>
          <w:highlight w:val="none"/>
        </w:rPr>
        <w:t>第二部分</w:t>
      </w:r>
      <w:bookmarkEnd w:id="6"/>
      <w:r>
        <w:rPr>
          <w:rFonts w:cs="仿宋_GB2312" w:asciiTheme="minorEastAsia" w:hAnsiTheme="minorEastAsia" w:eastAsiaTheme="minorEastAsia"/>
          <w:color w:val="auto"/>
          <w:sz w:val="36"/>
          <w:szCs w:val="20"/>
          <w:highlight w:val="none"/>
        </w:rPr>
        <w:t xml:space="preserve"> 投标人须知</w:t>
      </w:r>
      <w:bookmarkEnd w:id="7"/>
      <w:bookmarkEnd w:id="10"/>
    </w:p>
    <w:p>
      <w:pPr>
        <w:adjustRightInd/>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前附表</w:t>
      </w:r>
    </w:p>
    <w:tbl>
      <w:tblPr>
        <w:tblStyle w:val="63"/>
        <w:tblW w:w="984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
      <w:tblGrid>
        <w:gridCol w:w="714"/>
        <w:gridCol w:w="2093"/>
        <w:gridCol w:w="70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90" w:hRule="atLeast"/>
          <w:tblHeader/>
          <w:jc w:val="center"/>
        </w:trPr>
        <w:tc>
          <w:tcPr>
            <w:tcW w:w="714" w:type="dxa"/>
            <w:tcBorders>
              <w:tl2br w:val="nil"/>
              <w:tr2bl w:val="nil"/>
            </w:tcBorders>
            <w:vAlign w:val="center"/>
          </w:tcPr>
          <w:p>
            <w:pPr>
              <w:spacing w:line="360" w:lineRule="auto"/>
              <w:jc w:val="center"/>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序号</w:t>
            </w:r>
          </w:p>
        </w:tc>
        <w:tc>
          <w:tcPr>
            <w:tcW w:w="2093" w:type="dxa"/>
            <w:tcBorders>
              <w:tl2br w:val="nil"/>
              <w:tr2bl w:val="nil"/>
            </w:tcBorders>
            <w:vAlign w:val="center"/>
          </w:tcPr>
          <w:p>
            <w:pPr>
              <w:spacing w:line="360" w:lineRule="auto"/>
              <w:jc w:val="center"/>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事项</w:t>
            </w:r>
          </w:p>
        </w:tc>
        <w:tc>
          <w:tcPr>
            <w:tcW w:w="7039" w:type="dxa"/>
            <w:tcBorders>
              <w:tl2br w:val="nil"/>
              <w:tr2bl w:val="nil"/>
            </w:tcBorders>
            <w:vAlign w:val="center"/>
          </w:tcPr>
          <w:p>
            <w:pPr>
              <w:spacing w:line="360" w:lineRule="auto"/>
              <w:jc w:val="center"/>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本项目的特别规定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18" w:hRule="atLeast"/>
          <w:jc w:val="center"/>
        </w:trPr>
        <w:tc>
          <w:tcPr>
            <w:tcW w:w="714" w:type="dxa"/>
            <w:tcBorders>
              <w:tl2br w:val="nil"/>
              <w:tr2bl w:val="nil"/>
            </w:tcBorders>
            <w:vAlign w:val="center"/>
          </w:tcPr>
          <w:p>
            <w:pPr>
              <w:spacing w:line="360" w:lineRule="auto"/>
              <w:jc w:val="center"/>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1</w:t>
            </w:r>
          </w:p>
        </w:tc>
        <w:tc>
          <w:tcPr>
            <w:tcW w:w="2093" w:type="dxa"/>
            <w:tcBorders>
              <w:tl2br w:val="nil"/>
              <w:tr2bl w:val="nil"/>
            </w:tcBorders>
            <w:vAlign w:val="center"/>
          </w:tcPr>
          <w:p>
            <w:pPr>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报价要求</w:t>
            </w:r>
          </w:p>
        </w:tc>
        <w:tc>
          <w:tcPr>
            <w:tcW w:w="7039" w:type="dxa"/>
            <w:tcBorders>
              <w:tl2br w:val="nil"/>
              <w:tr2bl w:val="nil"/>
            </w:tcBorders>
            <w:vAlign w:val="center"/>
          </w:tcPr>
          <w:p>
            <w:pPr>
              <w:spacing w:line="360" w:lineRule="auto"/>
              <w:rPr>
                <w:rFonts w:asciiTheme="majorEastAsia" w:hAnsiTheme="majorEastAsia" w:eastAsiaTheme="majorEastAsia"/>
                <w:b/>
                <w:color w:val="auto"/>
                <w:sz w:val="24"/>
                <w:highlight w:val="none"/>
                <w:lang w:val="en-GB"/>
              </w:rPr>
            </w:pPr>
            <w:r>
              <w:rPr>
                <w:rFonts w:hint="eastAsia" w:asciiTheme="majorEastAsia" w:hAnsiTheme="majorEastAsia" w:eastAsiaTheme="majorEastAsia"/>
                <w:color w:val="auto"/>
                <w:sz w:val="24"/>
                <w:highlight w:val="none"/>
              </w:rPr>
              <w:t>有关本项目实施所需的所有费用（含税费）均计入报价</w:t>
            </w:r>
            <w:r>
              <w:rPr>
                <w:rFonts w:asciiTheme="majorEastAsia" w:hAnsiTheme="majorEastAsia" w:eastAsiaTheme="majorEastAsia"/>
                <w:color w:val="auto"/>
                <w:sz w:val="24"/>
                <w:highlight w:val="none"/>
                <w:lang w:val="en-GB"/>
              </w:rPr>
              <w:t>,</w:t>
            </w:r>
            <w:r>
              <w:rPr>
                <w:rFonts w:hint="eastAsia" w:asciiTheme="majorEastAsia" w:hAnsiTheme="majorEastAsia" w:eastAsiaTheme="majorEastAsia"/>
                <w:b/>
                <w:color w:val="auto"/>
                <w:sz w:val="24"/>
                <w:highlight w:val="none"/>
              </w:rPr>
              <w:t xml:space="preserve"> 投标报价包括通过验收合格的所有费用以及完成质保期内保修服务等费用，包括但不仅限于：</w:t>
            </w:r>
            <w:r>
              <w:rPr>
                <w:rFonts w:hint="eastAsia" w:cs="宋体" w:asciiTheme="majorEastAsia" w:hAnsiTheme="majorEastAsia" w:eastAsiaTheme="majorEastAsia"/>
                <w:b/>
                <w:color w:val="auto"/>
                <w:sz w:val="24"/>
                <w:highlight w:val="none"/>
                <w:lang w:val="en-US" w:eastAsia="zh-CN"/>
              </w:rPr>
              <w:t>货款</w:t>
            </w:r>
            <w:r>
              <w:rPr>
                <w:rFonts w:hint="eastAsia" w:cs="宋体" w:asciiTheme="majorEastAsia" w:hAnsiTheme="majorEastAsia" w:eastAsiaTheme="majorEastAsia"/>
                <w:b/>
                <w:color w:val="auto"/>
                <w:sz w:val="24"/>
                <w:highlight w:val="none"/>
              </w:rPr>
              <w:t>、包装、运输、装卸、拆除、搬运、</w:t>
            </w:r>
            <w:r>
              <w:rPr>
                <w:rFonts w:hint="eastAsia" w:asciiTheme="majorEastAsia" w:hAnsiTheme="majorEastAsia" w:eastAsiaTheme="majorEastAsia"/>
                <w:b/>
                <w:color w:val="auto"/>
                <w:sz w:val="24"/>
                <w:highlight w:val="none"/>
              </w:rPr>
              <w:t>人工、驻场费、机械、安装调</w:t>
            </w:r>
            <w:r>
              <w:rPr>
                <w:rFonts w:hint="eastAsia" w:cs="宋体" w:asciiTheme="majorEastAsia" w:hAnsiTheme="majorEastAsia" w:eastAsiaTheme="majorEastAsia"/>
                <w:b/>
                <w:color w:val="auto"/>
                <w:sz w:val="24"/>
                <w:highlight w:val="none"/>
              </w:rPr>
              <w:t>试、设备迁移、</w:t>
            </w:r>
            <w:r>
              <w:rPr>
                <w:rFonts w:hint="eastAsia" w:asciiTheme="majorEastAsia" w:hAnsiTheme="majorEastAsia" w:eastAsiaTheme="majorEastAsia"/>
                <w:b/>
                <w:color w:val="auto"/>
                <w:sz w:val="24"/>
                <w:highlight w:val="none"/>
              </w:rPr>
              <w:t>验收、保修及售后服务</w:t>
            </w:r>
            <w:r>
              <w:rPr>
                <w:rFonts w:hint="eastAsia" w:cs="宋体" w:asciiTheme="majorEastAsia" w:hAnsiTheme="majorEastAsia" w:eastAsiaTheme="majorEastAsia"/>
                <w:b/>
                <w:color w:val="auto"/>
                <w:sz w:val="24"/>
                <w:highlight w:val="none"/>
              </w:rPr>
              <w:t>、利润、保险、税金等完成本项目所需的一切费用</w:t>
            </w:r>
            <w:r>
              <w:rPr>
                <w:rFonts w:hint="eastAsia" w:cs="宋体" w:asciiTheme="majorEastAsia" w:hAnsiTheme="majorEastAsia" w:eastAsiaTheme="majorEastAsia"/>
                <w:bCs/>
                <w:color w:val="auto"/>
                <w:sz w:val="24"/>
                <w:highlight w:val="none"/>
              </w:rPr>
              <w:t>。</w:t>
            </w:r>
            <w:r>
              <w:rPr>
                <w:rFonts w:hint="eastAsia" w:asciiTheme="majorEastAsia" w:hAnsiTheme="majorEastAsia" w:eastAsiaTheme="majorEastAsia"/>
                <w:color w:val="auto"/>
                <w:sz w:val="24"/>
                <w:highlight w:val="none"/>
              </w:rPr>
              <w:t>投标文件中价格全部采用人民币报价。招标文件未列明，而投标人认为必需的费用也需列入报价。</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投标报价出现下列情形的，投标无效：</w:t>
            </w:r>
          </w:p>
          <w:p>
            <w:pPr>
              <w:spacing w:line="360" w:lineRule="auto"/>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lang w:val="en-GB"/>
              </w:rPr>
              <w:t>(1)</w:t>
            </w:r>
            <w:r>
              <w:rPr>
                <w:rFonts w:hint="eastAsia" w:asciiTheme="majorEastAsia" w:hAnsiTheme="majorEastAsia" w:eastAsiaTheme="majorEastAsia"/>
                <w:color w:val="auto"/>
                <w:sz w:val="24"/>
                <w:highlight w:val="none"/>
              </w:rPr>
              <w:t>投标文件出现不是唯一的、有选择性投标报价的；</w:t>
            </w:r>
          </w:p>
          <w:p>
            <w:pPr>
              <w:spacing w:line="360" w:lineRule="auto"/>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lang w:val="en-GB"/>
              </w:rPr>
              <w:t>(2)</w:t>
            </w:r>
            <w:r>
              <w:rPr>
                <w:rFonts w:hint="eastAsia" w:asciiTheme="majorEastAsia" w:hAnsiTheme="majorEastAsia" w:eastAsiaTheme="majorEastAsia"/>
                <w:color w:val="auto"/>
                <w:sz w:val="24"/>
                <w:highlight w:val="none"/>
              </w:rPr>
              <w:t>投标报价超过招标文件中规定的预算金额或者最高限价的</w:t>
            </w:r>
            <w:r>
              <w:rPr>
                <w:rFonts w:asciiTheme="majorEastAsia" w:hAnsiTheme="majorEastAsia" w:eastAsiaTheme="majorEastAsia"/>
                <w:color w:val="auto"/>
                <w:sz w:val="24"/>
                <w:highlight w:val="none"/>
              </w:rPr>
              <w:t>;</w:t>
            </w:r>
          </w:p>
          <w:p>
            <w:pPr>
              <w:spacing w:line="360" w:lineRule="auto"/>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lang w:val="en-GB"/>
              </w:rPr>
              <w:t>(3)</w:t>
            </w:r>
            <w:r>
              <w:rPr>
                <w:rFonts w:hint="eastAsia" w:asciiTheme="majorEastAsia" w:hAnsiTheme="majorEastAsia" w:eastAsiaTheme="majorEastAsia"/>
                <w:color w:val="auto"/>
                <w:sz w:val="24"/>
                <w:highlight w:val="none"/>
              </w:rPr>
              <w:t>报价明显低于其他通过符合性审查投标人的报价，有可能影响产品质量或者不能诚信履约的，未能按要求提供书面说明或者提交相关证明材料证明其报价合理性的</w:t>
            </w:r>
            <w:r>
              <w:rPr>
                <w:rFonts w:asciiTheme="majorEastAsia" w:hAnsiTheme="majorEastAsia" w:eastAsiaTheme="majorEastAsia"/>
                <w:color w:val="auto"/>
                <w:sz w:val="24"/>
                <w:highlight w:val="none"/>
              </w:rPr>
              <w:t>;</w:t>
            </w:r>
          </w:p>
          <w:p>
            <w:pPr>
              <w:spacing w:line="360" w:lineRule="auto"/>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lang w:val="en-GB"/>
              </w:rPr>
              <w:t>(4)</w:t>
            </w:r>
            <w:r>
              <w:rPr>
                <w:rFonts w:hint="eastAsia" w:asciiTheme="majorEastAsia" w:hAnsiTheme="majorEastAsia" w:eastAsiaTheme="majorEastAsia"/>
                <w:color w:val="auto"/>
                <w:sz w:val="24"/>
                <w:highlight w:val="none"/>
              </w:rPr>
              <w:t>投标人对根据修正原则修正后的报价不确认的。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18" w:hRule="atLeast"/>
          <w:jc w:val="center"/>
        </w:trPr>
        <w:tc>
          <w:tcPr>
            <w:tcW w:w="714" w:type="dxa"/>
            <w:tcBorders>
              <w:tl2br w:val="nil"/>
              <w:tr2bl w:val="nil"/>
            </w:tcBorders>
            <w:vAlign w:val="center"/>
          </w:tcPr>
          <w:p>
            <w:pPr>
              <w:spacing w:line="360" w:lineRule="auto"/>
              <w:jc w:val="center"/>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w:t>
            </w:r>
          </w:p>
        </w:tc>
        <w:tc>
          <w:tcPr>
            <w:tcW w:w="2093" w:type="dxa"/>
            <w:tcBorders>
              <w:tl2br w:val="nil"/>
              <w:tr2bl w:val="nil"/>
            </w:tcBorders>
            <w:vAlign w:val="center"/>
          </w:tcPr>
          <w:p>
            <w:pPr>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分包</w:t>
            </w:r>
          </w:p>
        </w:tc>
        <w:tc>
          <w:tcPr>
            <w:tcW w:w="7039" w:type="dxa"/>
            <w:tcBorders>
              <w:tl2br w:val="nil"/>
              <w:tr2bl w:val="nil"/>
            </w:tcBorders>
            <w:vAlign w:val="center"/>
          </w:tcPr>
          <w:p>
            <w:pPr>
              <w:spacing w:line="360" w:lineRule="auto"/>
              <w:rPr>
                <w:rFonts w:asciiTheme="majorEastAsia" w:hAnsiTheme="majorEastAsia" w:eastAsiaTheme="majorEastAsia"/>
                <w:color w:val="auto"/>
                <w:sz w:val="24"/>
                <w:highlight w:val="none"/>
              </w:rPr>
            </w:pPr>
            <w:r>
              <w:rPr>
                <w:rFonts w:hint="eastAsia" w:ascii="MS Gothic" w:hAnsi="MS Gothic" w:eastAsia="MS Gothic" w:cs="MS Gothic"/>
                <w:color w:val="auto"/>
                <w:sz w:val="24"/>
                <w:highlight w:val="none"/>
              </w:rPr>
              <w:t>☐</w:t>
            </w:r>
            <w:r>
              <w:rPr>
                <w:rFonts w:asciiTheme="majorEastAsia" w:hAnsiTheme="majorEastAsia" w:eastAsiaTheme="majorEastAsia"/>
                <w:color w:val="auto"/>
                <w:sz w:val="24"/>
                <w:highlight w:val="none"/>
              </w:rPr>
              <w:t xml:space="preserve"> A</w:t>
            </w:r>
            <w:r>
              <w:rPr>
                <w:rFonts w:hint="eastAsia" w:asciiTheme="majorEastAsia" w:hAnsiTheme="majorEastAsia" w:eastAsiaTheme="majorEastAsia"/>
                <w:color w:val="auto"/>
                <w:sz w:val="24"/>
                <w:highlight w:val="none"/>
              </w:rPr>
              <w:t>同意将非主体、非关键性的</w:t>
            </w:r>
            <w:r>
              <w:rPr>
                <w:rFonts w:asciiTheme="majorEastAsia" w:hAnsiTheme="majorEastAsia" w:eastAsiaTheme="majorEastAsia"/>
                <w:color w:val="auto"/>
                <w:sz w:val="24"/>
                <w:highlight w:val="none"/>
                <w:u w:val="single"/>
              </w:rPr>
              <w:t xml:space="preserve">             </w:t>
            </w:r>
            <w:r>
              <w:rPr>
                <w:rFonts w:hint="eastAsia" w:asciiTheme="majorEastAsia" w:hAnsiTheme="majorEastAsia" w:eastAsiaTheme="majorEastAsia"/>
                <w:color w:val="auto"/>
                <w:sz w:val="24"/>
                <w:highlight w:val="none"/>
              </w:rPr>
              <w:t>工作分包。</w:t>
            </w:r>
          </w:p>
          <w:p>
            <w:pPr>
              <w:spacing w:line="360" w:lineRule="auto"/>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sym w:font="Wingdings" w:char="F0FE"/>
            </w:r>
            <w:r>
              <w:rPr>
                <w:rFonts w:asciiTheme="majorEastAsia" w:hAnsiTheme="majorEastAsia" w:eastAsiaTheme="majorEastAsia"/>
                <w:color w:val="auto"/>
                <w:sz w:val="24"/>
                <w:highlight w:val="none"/>
              </w:rPr>
              <w:t xml:space="preserve"> B</w:t>
            </w:r>
            <w:r>
              <w:rPr>
                <w:rFonts w:hint="eastAsia" w:asciiTheme="majorEastAsia" w:hAnsiTheme="majorEastAsia" w:eastAsiaTheme="majorEastAsia"/>
                <w:color w:val="auto"/>
                <w:sz w:val="24"/>
                <w:highlight w:val="none"/>
              </w:rPr>
              <w:t>不同意分包。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18" w:hRule="atLeast"/>
          <w:jc w:val="center"/>
        </w:trPr>
        <w:tc>
          <w:tcPr>
            <w:tcW w:w="714" w:type="dxa"/>
            <w:vMerge w:val="restart"/>
            <w:tcBorders>
              <w:tl2br w:val="nil"/>
              <w:tr2bl w:val="nil"/>
            </w:tcBorders>
            <w:vAlign w:val="center"/>
          </w:tcPr>
          <w:p>
            <w:pPr>
              <w:spacing w:line="360" w:lineRule="auto"/>
              <w:jc w:val="center"/>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w:t>
            </w:r>
          </w:p>
        </w:tc>
        <w:tc>
          <w:tcPr>
            <w:tcW w:w="2093" w:type="dxa"/>
            <w:vMerge w:val="restart"/>
            <w:tcBorders>
              <w:tl2br w:val="nil"/>
              <w:tr2bl w:val="nil"/>
            </w:tcBorders>
            <w:vAlign w:val="center"/>
          </w:tcPr>
          <w:p>
            <w:pPr>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投标人应当提供的资格、资信证明文件</w:t>
            </w:r>
          </w:p>
        </w:tc>
        <w:tc>
          <w:tcPr>
            <w:tcW w:w="7039" w:type="dxa"/>
            <w:tcBorders>
              <w:tl2br w:val="nil"/>
              <w:tr2bl w:val="nil"/>
            </w:tcBorders>
            <w:vAlign w:val="center"/>
          </w:tcPr>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1）资格证明文件：见招标文件第二部分11.1。</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投标人未提供有效的资格证明文件的，视为投标人不具备招标文件中规定的资格要求，投标无效。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18" w:hRule="atLeast"/>
          <w:jc w:val="center"/>
        </w:trPr>
        <w:tc>
          <w:tcPr>
            <w:tcW w:w="714" w:type="dxa"/>
            <w:vMerge w:val="continue"/>
            <w:tcBorders>
              <w:tl2br w:val="nil"/>
              <w:tr2bl w:val="nil"/>
            </w:tcBorders>
            <w:vAlign w:val="center"/>
          </w:tcPr>
          <w:p>
            <w:pPr>
              <w:spacing w:line="360" w:lineRule="auto"/>
              <w:jc w:val="center"/>
              <w:rPr>
                <w:rFonts w:asciiTheme="majorEastAsia" w:hAnsiTheme="majorEastAsia" w:eastAsiaTheme="majorEastAsia"/>
                <w:color w:val="auto"/>
                <w:sz w:val="24"/>
                <w:highlight w:val="none"/>
              </w:rPr>
            </w:pPr>
          </w:p>
        </w:tc>
        <w:tc>
          <w:tcPr>
            <w:tcW w:w="2093" w:type="dxa"/>
            <w:vMerge w:val="continue"/>
            <w:tcBorders>
              <w:tl2br w:val="nil"/>
              <w:tr2bl w:val="nil"/>
            </w:tcBorders>
            <w:vAlign w:val="center"/>
          </w:tcPr>
          <w:p>
            <w:pPr>
              <w:spacing w:line="360" w:lineRule="auto"/>
              <w:jc w:val="center"/>
              <w:rPr>
                <w:rFonts w:asciiTheme="majorEastAsia" w:hAnsiTheme="majorEastAsia" w:eastAsiaTheme="majorEastAsia"/>
                <w:color w:val="auto"/>
                <w:sz w:val="24"/>
                <w:highlight w:val="none"/>
              </w:rPr>
            </w:pPr>
          </w:p>
        </w:tc>
        <w:tc>
          <w:tcPr>
            <w:tcW w:w="7039" w:type="dxa"/>
            <w:tcBorders>
              <w:tl2br w:val="nil"/>
              <w:tr2bl w:val="nil"/>
            </w:tcBorders>
            <w:vAlign w:val="center"/>
          </w:tcPr>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2）资信证明文件：根据招标文件第四部分评标标准提供。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18" w:hRule="atLeast"/>
          <w:jc w:val="center"/>
        </w:trPr>
        <w:tc>
          <w:tcPr>
            <w:tcW w:w="714" w:type="dxa"/>
            <w:tcBorders>
              <w:tl2br w:val="nil"/>
              <w:tr2bl w:val="nil"/>
            </w:tcBorders>
            <w:vAlign w:val="center"/>
          </w:tcPr>
          <w:p>
            <w:pPr>
              <w:spacing w:line="360" w:lineRule="auto"/>
              <w:jc w:val="center"/>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4</w:t>
            </w:r>
          </w:p>
        </w:tc>
        <w:tc>
          <w:tcPr>
            <w:tcW w:w="2093" w:type="dxa"/>
            <w:tcBorders>
              <w:tl2br w:val="nil"/>
              <w:tr2bl w:val="nil"/>
            </w:tcBorders>
            <w:vAlign w:val="center"/>
          </w:tcPr>
          <w:p>
            <w:pPr>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开标前答疑会或现场考察</w:t>
            </w:r>
          </w:p>
        </w:tc>
        <w:tc>
          <w:tcPr>
            <w:tcW w:w="7039" w:type="dxa"/>
            <w:tcBorders>
              <w:tl2br w:val="nil"/>
              <w:tr2bl w:val="nil"/>
            </w:tcBorders>
            <w:vAlign w:val="center"/>
          </w:tcPr>
          <w:p>
            <w:pPr>
              <w:spacing w:line="360" w:lineRule="auto"/>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sym w:font="Wingdings" w:char="F0FE"/>
            </w:r>
            <w:r>
              <w:rPr>
                <w:rFonts w:asciiTheme="majorEastAsia" w:hAnsiTheme="majorEastAsia" w:eastAsiaTheme="majorEastAsia"/>
                <w:color w:val="auto"/>
                <w:sz w:val="24"/>
                <w:highlight w:val="none"/>
              </w:rPr>
              <w:t>A</w:t>
            </w:r>
            <w:r>
              <w:rPr>
                <w:rFonts w:hint="eastAsia" w:asciiTheme="majorEastAsia" w:hAnsiTheme="majorEastAsia" w:eastAsiaTheme="majorEastAsia"/>
                <w:color w:val="auto"/>
                <w:sz w:val="24"/>
                <w:highlight w:val="none"/>
              </w:rPr>
              <w:t>不组织。</w:t>
            </w:r>
          </w:p>
          <w:p>
            <w:pPr>
              <w:spacing w:line="360" w:lineRule="auto"/>
              <w:rPr>
                <w:rFonts w:asciiTheme="majorEastAsia" w:hAnsiTheme="majorEastAsia" w:eastAsiaTheme="majorEastAsia"/>
                <w:color w:val="auto"/>
                <w:sz w:val="24"/>
                <w:highlight w:val="none"/>
              </w:rPr>
            </w:pPr>
            <w:r>
              <w:rPr>
                <w:rFonts w:hint="eastAsia" w:ascii="MS Gothic" w:hAnsi="MS Gothic" w:eastAsia="MS Gothic" w:cs="MS Gothic"/>
                <w:color w:val="auto"/>
                <w:sz w:val="24"/>
                <w:highlight w:val="none"/>
              </w:rPr>
              <w:t>☐</w:t>
            </w:r>
            <w:r>
              <w:rPr>
                <w:rFonts w:asciiTheme="majorEastAsia" w:hAnsiTheme="majorEastAsia" w:eastAsiaTheme="majorEastAsia"/>
                <w:color w:val="auto"/>
                <w:sz w:val="24"/>
                <w:highlight w:val="none"/>
              </w:rPr>
              <w:t>B组织，</w:t>
            </w:r>
            <w:r>
              <w:rPr>
                <w:rFonts w:hint="eastAsia" w:asciiTheme="majorEastAsia" w:hAnsiTheme="majorEastAsia" w:eastAsiaTheme="majorEastAsia"/>
                <w:color w:val="auto"/>
                <w:sz w:val="24"/>
                <w:highlight w:val="none"/>
              </w:rPr>
              <w:t>时间：</w:t>
            </w:r>
            <w:r>
              <w:rPr>
                <w:rFonts w:asciiTheme="majorEastAsia" w:hAnsiTheme="majorEastAsia" w:eastAsiaTheme="majorEastAsia"/>
                <w:color w:val="auto"/>
                <w:sz w:val="24"/>
                <w:highlight w:val="none"/>
                <w:u w:val="single"/>
              </w:rPr>
              <w:t xml:space="preserve">      </w:t>
            </w:r>
            <w:r>
              <w:rPr>
                <w:rFonts w:asciiTheme="majorEastAsia" w:hAnsiTheme="majorEastAsia" w:eastAsiaTheme="majorEastAsia"/>
                <w:color w:val="auto"/>
                <w:sz w:val="24"/>
                <w:highlight w:val="none"/>
              </w:rPr>
              <w:t>,地点：</w:t>
            </w:r>
            <w:r>
              <w:rPr>
                <w:rFonts w:asciiTheme="majorEastAsia" w:hAnsiTheme="majorEastAsia" w:eastAsiaTheme="majorEastAsia"/>
                <w:color w:val="auto"/>
                <w:sz w:val="24"/>
                <w:highlight w:val="none"/>
                <w:u w:val="single"/>
              </w:rPr>
              <w:t xml:space="preserve">      </w:t>
            </w:r>
            <w:r>
              <w:rPr>
                <w:rFonts w:hint="eastAsia" w:asciiTheme="majorEastAsia" w:hAnsiTheme="majorEastAsia" w:eastAsiaTheme="majorEastAsia"/>
                <w:color w:val="auto"/>
                <w:sz w:val="24"/>
                <w:highlight w:val="none"/>
              </w:rPr>
              <w:t>，联系人：</w:t>
            </w:r>
            <w:r>
              <w:rPr>
                <w:rFonts w:asciiTheme="majorEastAsia" w:hAnsiTheme="majorEastAsia" w:eastAsiaTheme="majorEastAsia"/>
                <w:color w:val="auto"/>
                <w:sz w:val="24"/>
                <w:highlight w:val="none"/>
                <w:u w:val="single"/>
              </w:rPr>
              <w:t xml:space="preserve">      </w:t>
            </w:r>
            <w:r>
              <w:rPr>
                <w:rFonts w:hint="eastAsia" w:asciiTheme="majorEastAsia" w:hAnsiTheme="majorEastAsia" w:eastAsiaTheme="majorEastAsia"/>
                <w:color w:val="auto"/>
                <w:sz w:val="24"/>
                <w:highlight w:val="none"/>
              </w:rPr>
              <w:t>，联系方式：</w:t>
            </w:r>
            <w:r>
              <w:rPr>
                <w:rFonts w:asciiTheme="majorEastAsia" w:hAnsiTheme="majorEastAsia" w:eastAsiaTheme="majorEastAsia"/>
                <w:color w:val="auto"/>
                <w:sz w:val="24"/>
                <w:highlight w:val="none"/>
                <w:u w:val="single"/>
              </w:rPr>
              <w:t xml:space="preserve">      </w:t>
            </w:r>
            <w:r>
              <w:rPr>
                <w:rFonts w:hint="eastAsia" w:asciiTheme="majorEastAsia" w:hAnsiTheme="majorEastAsia" w:eastAsiaTheme="majorEastAsia"/>
                <w:color w:val="auto"/>
                <w:sz w:val="24"/>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18" w:hRule="atLeast"/>
          <w:jc w:val="center"/>
        </w:trPr>
        <w:tc>
          <w:tcPr>
            <w:tcW w:w="714" w:type="dxa"/>
            <w:tcBorders>
              <w:tl2br w:val="nil"/>
              <w:tr2bl w:val="nil"/>
            </w:tcBorders>
            <w:vAlign w:val="center"/>
          </w:tcPr>
          <w:p>
            <w:pPr>
              <w:spacing w:line="360" w:lineRule="auto"/>
              <w:jc w:val="center"/>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5</w:t>
            </w:r>
          </w:p>
        </w:tc>
        <w:tc>
          <w:tcPr>
            <w:tcW w:w="2093" w:type="dxa"/>
            <w:tcBorders>
              <w:tl2br w:val="nil"/>
              <w:tr2bl w:val="nil"/>
            </w:tcBorders>
            <w:vAlign w:val="center"/>
          </w:tcPr>
          <w:p>
            <w:pPr>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样品提供</w:t>
            </w:r>
          </w:p>
        </w:tc>
        <w:tc>
          <w:tcPr>
            <w:tcW w:w="7039" w:type="dxa"/>
            <w:tcBorders>
              <w:tl2br w:val="nil"/>
              <w:tr2bl w:val="nil"/>
            </w:tcBorders>
            <w:vAlign w:val="center"/>
          </w:tcPr>
          <w:p>
            <w:pPr>
              <w:spacing w:line="360" w:lineRule="auto"/>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sym w:font="Wingdings" w:char="00FE"/>
            </w:r>
            <w:r>
              <w:rPr>
                <w:rFonts w:asciiTheme="majorEastAsia" w:hAnsiTheme="majorEastAsia" w:eastAsiaTheme="majorEastAsia"/>
                <w:color w:val="auto"/>
                <w:sz w:val="24"/>
                <w:highlight w:val="none"/>
              </w:rPr>
              <w:t>A</w:t>
            </w:r>
            <w:r>
              <w:rPr>
                <w:rFonts w:hint="eastAsia" w:asciiTheme="majorEastAsia" w:hAnsiTheme="majorEastAsia" w:eastAsiaTheme="majorEastAsia"/>
                <w:color w:val="auto"/>
                <w:sz w:val="24"/>
                <w:highlight w:val="none"/>
              </w:rPr>
              <w:t>不要求提供。</w:t>
            </w:r>
          </w:p>
          <w:p>
            <w:pPr>
              <w:spacing w:line="360" w:lineRule="auto"/>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sym w:font="Wingdings" w:char="00A8"/>
            </w:r>
            <w:r>
              <w:rPr>
                <w:rFonts w:asciiTheme="majorEastAsia" w:hAnsiTheme="majorEastAsia" w:eastAsiaTheme="majorEastAsia"/>
                <w:color w:val="auto"/>
                <w:sz w:val="24"/>
                <w:highlight w:val="none"/>
              </w:rPr>
              <w:t>B</w:t>
            </w:r>
            <w:r>
              <w:rPr>
                <w:rFonts w:hint="eastAsia" w:asciiTheme="majorEastAsia" w:hAnsiTheme="majorEastAsia" w:eastAsiaTheme="majorEastAsia"/>
                <w:color w:val="auto"/>
                <w:sz w:val="24"/>
                <w:highlight w:val="none"/>
              </w:rPr>
              <w:t>要求提供，</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1）</w:t>
            </w:r>
            <w:r>
              <w:rPr>
                <w:rFonts w:hint="eastAsia" w:asciiTheme="majorEastAsia" w:hAnsiTheme="majorEastAsia" w:eastAsiaTheme="majorEastAsia"/>
                <w:color w:val="auto"/>
                <w:sz w:val="24"/>
                <w:highlight w:val="none"/>
              </w:rPr>
              <w:t>样品：</w:t>
            </w:r>
            <w:r>
              <w:rPr>
                <w:rFonts w:hint="eastAsia" w:asciiTheme="majorEastAsia" w:hAnsiTheme="majorEastAsia" w:eastAsiaTheme="majorEastAsia"/>
                <w:color w:val="auto"/>
                <w:sz w:val="24"/>
                <w:highlight w:val="none"/>
                <w:u w:val="single"/>
                <w:lang w:val="en-US" w:eastAsia="zh-CN"/>
              </w:rPr>
              <w:t>招标文件第三部分</w:t>
            </w:r>
            <w:r>
              <w:rPr>
                <w:rFonts w:hint="eastAsia" w:asciiTheme="majorEastAsia" w:hAnsiTheme="majorEastAsia" w:eastAsiaTheme="majorEastAsia"/>
                <w:color w:val="auto"/>
                <w:sz w:val="24"/>
                <w:highlight w:val="none"/>
              </w:rPr>
              <w:t>；</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2）</w:t>
            </w:r>
            <w:r>
              <w:rPr>
                <w:rFonts w:hint="eastAsia" w:asciiTheme="majorEastAsia" w:hAnsiTheme="majorEastAsia" w:eastAsiaTheme="majorEastAsia"/>
                <w:color w:val="auto"/>
                <w:sz w:val="24"/>
                <w:highlight w:val="none"/>
              </w:rPr>
              <w:t>样品制作的标准和要求：</w:t>
            </w:r>
            <w:r>
              <w:rPr>
                <w:rFonts w:hint="eastAsia" w:asciiTheme="majorEastAsia" w:hAnsiTheme="majorEastAsia" w:eastAsiaTheme="majorEastAsia"/>
                <w:color w:val="auto"/>
                <w:sz w:val="24"/>
                <w:highlight w:val="none"/>
                <w:u w:val="single"/>
                <w:lang w:val="en-US" w:eastAsia="zh-CN"/>
              </w:rPr>
              <w:t>招标文件第三部分</w:t>
            </w:r>
            <w:r>
              <w:rPr>
                <w:rFonts w:hint="eastAsia" w:asciiTheme="majorEastAsia" w:hAnsiTheme="majorEastAsia" w:eastAsiaTheme="majorEastAsia"/>
                <w:color w:val="auto"/>
                <w:sz w:val="24"/>
                <w:highlight w:val="none"/>
              </w:rPr>
              <w:t>；</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3）样品的评审方法以及评审标准</w:t>
            </w:r>
            <w:r>
              <w:rPr>
                <w:rFonts w:hint="eastAsia" w:asciiTheme="majorEastAsia" w:hAnsiTheme="majorEastAsia" w:eastAsiaTheme="majorEastAsia"/>
                <w:color w:val="auto"/>
                <w:sz w:val="24"/>
                <w:highlight w:val="none"/>
              </w:rPr>
              <w:t>：详见</w:t>
            </w:r>
            <w:r>
              <w:rPr>
                <w:rFonts w:hint="eastAsia" w:asciiTheme="majorEastAsia" w:hAnsiTheme="majorEastAsia" w:eastAsiaTheme="majorEastAsia"/>
                <w:color w:val="auto"/>
                <w:sz w:val="24"/>
                <w:highlight w:val="none"/>
                <w:u w:val="single"/>
                <w:lang w:val="en-US" w:eastAsia="zh-CN"/>
              </w:rPr>
              <w:t>招标文件第四部分</w:t>
            </w:r>
            <w:r>
              <w:rPr>
                <w:rFonts w:hint="eastAsia" w:asciiTheme="majorEastAsia" w:hAnsiTheme="majorEastAsia" w:eastAsiaTheme="majorEastAsia"/>
                <w:color w:val="auto"/>
                <w:sz w:val="24"/>
                <w:highlight w:val="none"/>
              </w:rPr>
              <w:t>；</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4）是否需要随样品提交检测报告</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sym w:font="Wingdings" w:char="00FE"/>
            </w:r>
            <w:r>
              <w:rPr>
                <w:rFonts w:asciiTheme="majorEastAsia" w:hAnsiTheme="majorEastAsia" w:eastAsiaTheme="majorEastAsia"/>
                <w:color w:val="auto"/>
                <w:sz w:val="24"/>
                <w:highlight w:val="none"/>
              </w:rPr>
              <w:t xml:space="preserve">否； </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5）</w:t>
            </w:r>
            <w:r>
              <w:rPr>
                <w:rFonts w:hint="eastAsia" w:asciiTheme="majorEastAsia" w:hAnsiTheme="majorEastAsia" w:eastAsiaTheme="majorEastAsia"/>
                <w:b/>
                <w:bCs/>
                <w:color w:val="auto"/>
                <w:sz w:val="24"/>
                <w:highlight w:val="none"/>
              </w:rPr>
              <w:t>样品须在投标截止时间前送至</w:t>
            </w:r>
            <w:r>
              <w:rPr>
                <w:rFonts w:hint="eastAsia" w:asciiTheme="majorEastAsia" w:hAnsiTheme="majorEastAsia" w:eastAsiaTheme="majorEastAsia"/>
                <w:b/>
                <w:bCs/>
                <w:color w:val="auto"/>
                <w:sz w:val="24"/>
                <w:highlight w:val="none"/>
                <w:u w:val="single"/>
              </w:rPr>
              <w:t xml:space="preserve"> 江北区公共资源交易中心8楼样品室 </w:t>
            </w:r>
            <w:r>
              <w:rPr>
                <w:rFonts w:hint="eastAsia" w:asciiTheme="majorEastAsia" w:hAnsiTheme="majorEastAsia" w:eastAsiaTheme="majorEastAsia"/>
                <w:b/>
                <w:bCs/>
                <w:color w:val="auto"/>
                <w:sz w:val="24"/>
                <w:highlight w:val="none"/>
              </w:rPr>
              <w:t>，</w:t>
            </w:r>
            <w:r>
              <w:rPr>
                <w:rFonts w:hint="eastAsia" w:asciiTheme="majorEastAsia" w:hAnsiTheme="majorEastAsia" w:eastAsiaTheme="majorEastAsia"/>
                <w:color w:val="auto"/>
                <w:sz w:val="24"/>
                <w:highlight w:val="none"/>
              </w:rPr>
              <w:t>逾期送达的将予以拒收。请投标人在上述时间内提供样品并按规定位置安装完毕。超过截止时间的，采购人或采购代理机构将不予接收，并将清场并封闭样品现场。</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color w:val="auto"/>
                <w:highlight w:val="none"/>
              </w:rPr>
            </w:pPr>
            <w:r>
              <w:rPr>
                <w:rFonts w:hint="eastAsia" w:asciiTheme="majorEastAsia" w:hAnsiTheme="majorEastAsia" w:eastAsiaTheme="majorEastAsia"/>
                <w:color w:val="auto"/>
                <w:sz w:val="24"/>
                <w:highlight w:val="none"/>
              </w:rPr>
              <w:t>（7）制作、运输、安装和保管样品所发生的一切费用由投标人自理</w:t>
            </w:r>
            <w:r>
              <w:rPr>
                <w:rFonts w:asciiTheme="majorEastAsia" w:hAnsiTheme="majorEastAsia" w:eastAsiaTheme="majorEastAsia"/>
                <w:color w:val="auto"/>
                <w:sz w:val="24"/>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18" w:hRule="atLeast"/>
          <w:jc w:val="center"/>
        </w:trPr>
        <w:tc>
          <w:tcPr>
            <w:tcW w:w="714" w:type="dxa"/>
            <w:tcBorders>
              <w:tl2br w:val="nil"/>
              <w:tr2bl w:val="nil"/>
            </w:tcBorders>
            <w:vAlign w:val="center"/>
          </w:tcPr>
          <w:p>
            <w:pPr>
              <w:spacing w:line="360" w:lineRule="auto"/>
              <w:jc w:val="center"/>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6</w:t>
            </w:r>
          </w:p>
        </w:tc>
        <w:tc>
          <w:tcPr>
            <w:tcW w:w="2093" w:type="dxa"/>
            <w:tcBorders>
              <w:tl2br w:val="nil"/>
              <w:tr2bl w:val="nil"/>
            </w:tcBorders>
            <w:vAlign w:val="center"/>
          </w:tcPr>
          <w:p>
            <w:pPr>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方案讲解演示</w:t>
            </w:r>
          </w:p>
        </w:tc>
        <w:tc>
          <w:tcPr>
            <w:tcW w:w="7039" w:type="dxa"/>
            <w:tcBorders>
              <w:tl2br w:val="nil"/>
              <w:tr2bl w:val="nil"/>
            </w:tcBorders>
            <w:vAlign w:val="center"/>
          </w:tcPr>
          <w:p>
            <w:pPr>
              <w:spacing w:line="360" w:lineRule="auto"/>
              <w:rPr>
                <w:rFonts w:asciiTheme="majorEastAsia" w:hAnsiTheme="majorEastAsia" w:eastAsiaTheme="majorEastAsia"/>
                <w:color w:val="auto"/>
                <w:sz w:val="24"/>
                <w:highlight w:val="none"/>
              </w:rPr>
            </w:pPr>
            <w:r>
              <w:rPr>
                <w:rFonts w:hint="eastAsia" w:cs="Arial" w:asciiTheme="majorEastAsia" w:hAnsiTheme="majorEastAsia" w:eastAsiaTheme="majorEastAsia"/>
                <w:color w:val="auto"/>
                <w:kern w:val="0"/>
                <w:sz w:val="24"/>
                <w:highlight w:val="none"/>
              </w:rPr>
              <w:sym w:font="Wingdings" w:char="F0FE"/>
            </w:r>
            <w:r>
              <w:rPr>
                <w:rFonts w:asciiTheme="majorEastAsia" w:hAnsiTheme="majorEastAsia" w:eastAsiaTheme="majorEastAsia"/>
                <w:color w:val="auto"/>
                <w:sz w:val="24"/>
                <w:highlight w:val="none"/>
              </w:rPr>
              <w:t xml:space="preserve"> A</w:t>
            </w:r>
            <w:r>
              <w:rPr>
                <w:rFonts w:hint="eastAsia" w:asciiTheme="majorEastAsia" w:hAnsiTheme="majorEastAsia" w:eastAsiaTheme="majorEastAsia"/>
                <w:color w:val="auto"/>
                <w:sz w:val="24"/>
                <w:highlight w:val="none"/>
              </w:rPr>
              <w:t>不组织。</w:t>
            </w:r>
          </w:p>
          <w:p>
            <w:pPr>
              <w:spacing w:line="360" w:lineRule="auto"/>
              <w:rPr>
                <w:rFonts w:asciiTheme="majorEastAsia" w:hAnsiTheme="majorEastAsia" w:eastAsiaTheme="majorEastAsia"/>
                <w:color w:val="auto"/>
                <w:sz w:val="24"/>
                <w:highlight w:val="none"/>
              </w:rPr>
            </w:pPr>
            <w:r>
              <w:rPr>
                <w:rFonts w:hint="eastAsia" w:ascii="MS Gothic" w:hAnsi="MS Gothic" w:eastAsia="MS Gothic" w:cs="MS Gothic"/>
                <w:color w:val="auto"/>
                <w:sz w:val="24"/>
                <w:highlight w:val="none"/>
              </w:rPr>
              <w:t>☐</w:t>
            </w:r>
            <w:r>
              <w:rPr>
                <w:rFonts w:asciiTheme="majorEastAsia" w:hAnsiTheme="majorEastAsia" w:eastAsiaTheme="majorEastAsia"/>
                <w:color w:val="auto"/>
                <w:sz w:val="24"/>
                <w:highlight w:val="none"/>
              </w:rPr>
              <w:t>B组织。</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2）方案讲解演示可选择</w:t>
            </w:r>
            <w:r>
              <w:rPr>
                <w:rFonts w:hint="eastAsia" w:asciiTheme="majorEastAsia" w:hAnsiTheme="majorEastAsia" w:eastAsiaTheme="majorEastAsia"/>
                <w:color w:val="auto"/>
                <w:sz w:val="24"/>
                <w:highlight w:val="none"/>
              </w:rPr>
              <w:t>以下其中一种方式：</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方式一：政采云平台在线讲解演示。政采云平台在线讲解需投标人根据政采云平台操作要求做好准备工作，提前完善软硬件配置环境。</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方式二：交易中心现场讲解演示。现场讲解地点为</w:t>
            </w:r>
            <w:r>
              <w:rPr>
                <w:rFonts w:hint="eastAsia" w:asciiTheme="majorEastAsia" w:hAnsiTheme="majorEastAsia" w:eastAsiaTheme="majorEastAsia"/>
                <w:color w:val="auto"/>
                <w:sz w:val="24"/>
                <w:highlight w:val="none"/>
                <w:u w:val="single"/>
              </w:rPr>
              <w:t xml:space="preserve">    </w:t>
            </w:r>
            <w:r>
              <w:rPr>
                <w:rFonts w:hint="eastAsia" w:asciiTheme="majorEastAsia" w:hAnsiTheme="majorEastAsia" w:eastAsiaTheme="majorEastAsia"/>
                <w:color w:val="auto"/>
                <w:sz w:val="24"/>
                <w:highlight w:val="none"/>
              </w:rPr>
              <w:t>，讲解演示所用电脑等设备由投标人自备。现场讲解演示人员进场时提供讲解人员名单（加盖公章）及身份证明，否则不得讲解演示。</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18" w:hRule="atLeast"/>
          <w:jc w:val="center"/>
        </w:trPr>
        <w:tc>
          <w:tcPr>
            <w:tcW w:w="714" w:type="dxa"/>
            <w:tcBorders>
              <w:tl2br w:val="nil"/>
              <w:tr2bl w:val="nil"/>
            </w:tcBorders>
            <w:vAlign w:val="center"/>
          </w:tcPr>
          <w:p>
            <w:pPr>
              <w:spacing w:line="360" w:lineRule="auto"/>
              <w:jc w:val="center"/>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7</w:t>
            </w:r>
          </w:p>
        </w:tc>
        <w:tc>
          <w:tcPr>
            <w:tcW w:w="2093" w:type="dxa"/>
            <w:tcBorders>
              <w:tl2br w:val="nil"/>
              <w:tr2bl w:val="nil"/>
            </w:tcBorders>
            <w:vAlign w:val="center"/>
          </w:tcPr>
          <w:p>
            <w:pPr>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是否允许采购进口产品</w:t>
            </w:r>
          </w:p>
        </w:tc>
        <w:tc>
          <w:tcPr>
            <w:tcW w:w="7039" w:type="dxa"/>
            <w:tcBorders>
              <w:tl2br w:val="nil"/>
              <w:tr2bl w:val="nil"/>
            </w:tcBorders>
            <w:vAlign w:val="center"/>
          </w:tcPr>
          <w:p>
            <w:pPr>
              <w:spacing w:line="360" w:lineRule="auto"/>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sym w:font="Wingdings" w:char="F0FE"/>
            </w:r>
            <w:r>
              <w:rPr>
                <w:rFonts w:hint="eastAsia" w:asciiTheme="majorEastAsia" w:hAnsiTheme="majorEastAsia" w:eastAsiaTheme="majorEastAsia"/>
                <w:color w:val="auto"/>
                <w:sz w:val="24"/>
                <w:highlight w:val="none"/>
              </w:rPr>
              <w:t>本项目不允许采购进口产品。</w:t>
            </w:r>
          </w:p>
          <w:p>
            <w:pPr>
              <w:spacing w:line="360" w:lineRule="auto"/>
              <w:rPr>
                <w:rFonts w:asciiTheme="majorEastAsia" w:hAnsiTheme="majorEastAsia" w:eastAsiaTheme="majorEastAsia"/>
                <w:color w:val="auto"/>
                <w:sz w:val="24"/>
                <w:highlight w:val="none"/>
              </w:rPr>
            </w:pPr>
            <w:r>
              <w:rPr>
                <w:rFonts w:hint="eastAsia" w:ascii="MS Gothic" w:hAnsi="MS Gothic" w:eastAsia="MS Gothic" w:cs="MS Gothic"/>
                <w:color w:val="auto"/>
                <w:sz w:val="24"/>
                <w:highlight w:val="none"/>
              </w:rPr>
              <w:t>☐</w:t>
            </w:r>
            <w:r>
              <w:rPr>
                <w:rFonts w:hint="eastAsia" w:asciiTheme="majorEastAsia" w:hAnsiTheme="majorEastAsia" w:eastAsiaTheme="majorEastAsia"/>
                <w:color w:val="auto"/>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18" w:hRule="atLeast"/>
          <w:jc w:val="center"/>
        </w:trPr>
        <w:tc>
          <w:tcPr>
            <w:tcW w:w="714" w:type="dxa"/>
            <w:tcBorders>
              <w:tl2br w:val="nil"/>
              <w:tr2bl w:val="nil"/>
            </w:tcBorders>
            <w:vAlign w:val="center"/>
          </w:tcPr>
          <w:p>
            <w:pPr>
              <w:spacing w:line="360" w:lineRule="auto"/>
              <w:jc w:val="center"/>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8</w:t>
            </w:r>
          </w:p>
        </w:tc>
        <w:tc>
          <w:tcPr>
            <w:tcW w:w="2093" w:type="dxa"/>
            <w:tcBorders>
              <w:tl2br w:val="nil"/>
              <w:tr2bl w:val="nil"/>
            </w:tcBorders>
            <w:vAlign w:val="center"/>
          </w:tcPr>
          <w:p>
            <w:pPr>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项目属性</w:t>
            </w:r>
          </w:p>
        </w:tc>
        <w:tc>
          <w:tcPr>
            <w:tcW w:w="7039" w:type="dxa"/>
            <w:tcBorders>
              <w:tl2br w:val="nil"/>
              <w:tr2bl w:val="nil"/>
            </w:tcBorders>
            <w:vAlign w:val="center"/>
          </w:tcPr>
          <w:p>
            <w:pPr>
              <w:spacing w:line="360" w:lineRule="auto"/>
              <w:rPr>
                <w:rFonts w:asciiTheme="majorEastAsia" w:hAnsiTheme="majorEastAsia" w:eastAsiaTheme="majorEastAsia"/>
                <w:color w:val="auto"/>
                <w:sz w:val="24"/>
                <w:highlight w:val="none"/>
              </w:rPr>
            </w:pPr>
            <w:r>
              <w:rPr>
                <w:rFonts w:hint="eastAsia" w:cs="Arial" w:asciiTheme="majorEastAsia" w:hAnsiTheme="majorEastAsia" w:eastAsiaTheme="majorEastAsia"/>
                <w:color w:val="auto"/>
                <w:kern w:val="0"/>
                <w:sz w:val="24"/>
                <w:highlight w:val="none"/>
              </w:rPr>
              <w:sym w:font="Wingdings" w:char="00FE"/>
            </w:r>
            <w:r>
              <w:rPr>
                <w:rFonts w:asciiTheme="majorEastAsia" w:hAnsiTheme="majorEastAsia" w:eastAsiaTheme="majorEastAsia"/>
                <w:color w:val="auto"/>
                <w:sz w:val="24"/>
                <w:highlight w:val="none"/>
              </w:rPr>
              <w:t>A</w:t>
            </w:r>
            <w:r>
              <w:rPr>
                <w:rFonts w:hint="eastAsia" w:asciiTheme="majorEastAsia" w:hAnsiTheme="majorEastAsia" w:eastAsiaTheme="majorEastAsia"/>
                <w:color w:val="auto"/>
                <w:sz w:val="24"/>
                <w:highlight w:val="none"/>
              </w:rPr>
              <w:t>货物类。</w:t>
            </w:r>
          </w:p>
          <w:p>
            <w:pPr>
              <w:spacing w:line="360" w:lineRule="auto"/>
              <w:rPr>
                <w:rFonts w:asciiTheme="majorEastAsia" w:hAnsiTheme="majorEastAsia" w:eastAsiaTheme="majorEastAsia"/>
                <w:color w:val="auto"/>
                <w:sz w:val="24"/>
                <w:highlight w:val="none"/>
              </w:rPr>
            </w:pPr>
            <w:r>
              <w:rPr>
                <w:rFonts w:hint="eastAsia" w:ascii="MS Gothic" w:hAnsi="MS Gothic" w:eastAsia="MS Gothic" w:cs="MS Gothic"/>
                <w:color w:val="auto"/>
                <w:sz w:val="24"/>
                <w:highlight w:val="none"/>
              </w:rPr>
              <w:t>☐</w:t>
            </w:r>
            <w:r>
              <w:rPr>
                <w:rFonts w:asciiTheme="majorEastAsia" w:hAnsiTheme="majorEastAsia" w:eastAsiaTheme="majorEastAsia"/>
                <w:color w:val="auto"/>
                <w:sz w:val="24"/>
                <w:highlight w:val="none"/>
              </w:rPr>
              <w:t>B</w:t>
            </w:r>
            <w:r>
              <w:rPr>
                <w:rFonts w:hint="eastAsia" w:asciiTheme="majorEastAsia" w:hAnsiTheme="majorEastAsia" w:eastAsiaTheme="majorEastAsia"/>
                <w:color w:val="auto"/>
                <w:sz w:val="24"/>
                <w:highlight w:val="none"/>
              </w:rPr>
              <w:t>服务类。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18" w:hRule="atLeast"/>
          <w:jc w:val="center"/>
        </w:trPr>
        <w:tc>
          <w:tcPr>
            <w:tcW w:w="714" w:type="dxa"/>
            <w:tcBorders>
              <w:tl2br w:val="nil"/>
              <w:tr2bl w:val="nil"/>
            </w:tcBorders>
            <w:vAlign w:val="center"/>
          </w:tcPr>
          <w:p>
            <w:pPr>
              <w:spacing w:line="360" w:lineRule="auto"/>
              <w:jc w:val="center"/>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9</w:t>
            </w:r>
          </w:p>
        </w:tc>
        <w:tc>
          <w:tcPr>
            <w:tcW w:w="2093" w:type="dxa"/>
            <w:tcBorders>
              <w:tl2br w:val="nil"/>
              <w:tr2bl w:val="nil"/>
            </w:tcBorders>
            <w:vAlign w:val="center"/>
          </w:tcPr>
          <w:p>
            <w:pPr>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采购标的对应的中小企业划分标准所属行业</w:t>
            </w:r>
          </w:p>
        </w:tc>
        <w:tc>
          <w:tcPr>
            <w:tcW w:w="7039" w:type="dxa"/>
            <w:tcBorders>
              <w:tl2br w:val="nil"/>
              <w:tr2bl w:val="nil"/>
            </w:tcBorders>
            <w:vAlign w:val="center"/>
          </w:tcPr>
          <w:p>
            <w:pPr>
              <w:spacing w:line="360" w:lineRule="auto"/>
              <w:rPr>
                <w:rFonts w:eastAsiaTheme="majorEastAsia"/>
                <w:color w:val="auto"/>
                <w:highlight w:val="none"/>
              </w:rPr>
            </w:pPr>
            <w:r>
              <w:rPr>
                <w:rFonts w:hint="eastAsia" w:asciiTheme="majorEastAsia" w:hAnsiTheme="majorEastAsia" w:eastAsiaTheme="majorEastAsia"/>
                <w:color w:val="auto"/>
                <w:sz w:val="24"/>
                <w:highlight w:val="none"/>
              </w:rPr>
              <w:t xml:space="preserve">标的及所属行业：详见“中小企业声明函”。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18" w:hRule="atLeast"/>
          <w:jc w:val="center"/>
        </w:trPr>
        <w:tc>
          <w:tcPr>
            <w:tcW w:w="714" w:type="dxa"/>
            <w:tcBorders>
              <w:tl2br w:val="nil"/>
              <w:tr2bl w:val="nil"/>
            </w:tcBorders>
            <w:vAlign w:val="center"/>
          </w:tcPr>
          <w:p>
            <w:pPr>
              <w:spacing w:line="360" w:lineRule="auto"/>
              <w:jc w:val="center"/>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10</w:t>
            </w:r>
          </w:p>
        </w:tc>
        <w:tc>
          <w:tcPr>
            <w:tcW w:w="2093" w:type="dxa"/>
            <w:tcBorders>
              <w:tl2br w:val="nil"/>
              <w:tr2bl w:val="nil"/>
            </w:tcBorders>
            <w:vAlign w:val="center"/>
          </w:tcPr>
          <w:p>
            <w:pPr>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节能产品、环境标志产品</w:t>
            </w:r>
          </w:p>
        </w:tc>
        <w:tc>
          <w:tcPr>
            <w:tcW w:w="7039" w:type="dxa"/>
            <w:tcBorders>
              <w:tl2br w:val="nil"/>
              <w:tr2bl w:val="nil"/>
            </w:tcBorders>
            <w:vAlign w:val="center"/>
          </w:tcPr>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18" w:hRule="atLeast"/>
          <w:jc w:val="center"/>
        </w:trPr>
        <w:tc>
          <w:tcPr>
            <w:tcW w:w="714" w:type="dxa"/>
            <w:tcBorders>
              <w:tl2br w:val="nil"/>
              <w:tr2bl w:val="nil"/>
            </w:tcBorders>
            <w:vAlign w:val="center"/>
          </w:tcPr>
          <w:p>
            <w:pPr>
              <w:spacing w:line="360" w:lineRule="auto"/>
              <w:jc w:val="center"/>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1</w:t>
            </w:r>
            <w:r>
              <w:rPr>
                <w:rFonts w:hint="eastAsia" w:asciiTheme="majorEastAsia" w:hAnsiTheme="majorEastAsia" w:eastAsiaTheme="majorEastAsia"/>
                <w:color w:val="auto"/>
                <w:sz w:val="24"/>
                <w:highlight w:val="none"/>
              </w:rPr>
              <w:t>1</w:t>
            </w:r>
          </w:p>
        </w:tc>
        <w:tc>
          <w:tcPr>
            <w:tcW w:w="2093" w:type="dxa"/>
            <w:tcBorders>
              <w:tl2br w:val="nil"/>
              <w:tr2bl w:val="nil"/>
            </w:tcBorders>
            <w:shd w:val="clear" w:color="auto" w:fill="auto"/>
            <w:vAlign w:val="center"/>
          </w:tcPr>
          <w:p>
            <w:pPr>
              <w:spacing w:line="360" w:lineRule="auto"/>
              <w:jc w:val="center"/>
              <w:rPr>
                <w:rFonts w:hint="default" w:asciiTheme="majorEastAsia" w:hAnsiTheme="majorEastAsia" w:eastAsiaTheme="majorEastAsia"/>
                <w:color w:val="auto"/>
                <w:sz w:val="24"/>
                <w:highlight w:val="none"/>
                <w:lang w:val="en-US" w:eastAsia="zh-CN"/>
              </w:rPr>
            </w:pPr>
            <w:r>
              <w:rPr>
                <w:rFonts w:hint="eastAsia" w:asciiTheme="majorEastAsia" w:hAnsiTheme="majorEastAsia" w:eastAsiaTheme="majorEastAsia"/>
                <w:color w:val="auto"/>
                <w:sz w:val="24"/>
                <w:highlight w:val="none"/>
              </w:rPr>
              <w:t>备份投标文件送达地点</w:t>
            </w:r>
          </w:p>
        </w:tc>
        <w:tc>
          <w:tcPr>
            <w:tcW w:w="7039" w:type="dxa"/>
            <w:tcBorders>
              <w:tl2br w:val="nil"/>
              <w:tr2bl w:val="nil"/>
            </w:tcBorders>
            <w:shd w:val="clear" w:color="auto" w:fill="auto"/>
            <w:vAlign w:val="center"/>
          </w:tcPr>
          <w:p>
            <w:pPr>
              <w:spacing w:line="360" w:lineRule="auto"/>
              <w:rPr>
                <w:rFonts w:hint="default" w:eastAsiaTheme="majorEastAsia"/>
                <w:color w:val="auto"/>
                <w:highlight w:val="none"/>
                <w:lang w:val="en-US" w:eastAsia="zh-CN"/>
              </w:rPr>
            </w:pPr>
            <w:r>
              <w:rPr>
                <w:rFonts w:hint="eastAsia" w:asciiTheme="majorEastAsia" w:hAnsiTheme="majorEastAsia" w:eastAsiaTheme="majorEastAsia"/>
                <w:color w:val="auto"/>
                <w:sz w:val="24"/>
                <w:highlight w:val="none"/>
              </w:rPr>
              <w:t>备份投标文件送达地点：</w:t>
            </w:r>
            <w:r>
              <w:rPr>
                <w:rFonts w:hint="eastAsia" w:cs="宋体" w:asciiTheme="majorEastAsia" w:hAnsiTheme="majorEastAsia" w:eastAsiaTheme="majorEastAsia"/>
                <w:color w:val="auto"/>
                <w:kern w:val="28"/>
                <w:sz w:val="24"/>
                <w:highlight w:val="none"/>
                <w:u w:val="single"/>
              </w:rPr>
              <w:t>宁波市江北区公共资源交易中心开标室（江北区育才路138号北投大厦南楼7楼）；但采购人、采购代理机构不强制或变相强制投标人提交备份投标文件</w:t>
            </w:r>
            <w:r>
              <w:rPr>
                <w:rFonts w:hint="eastAsia" w:asciiTheme="majorEastAsia" w:hAnsiTheme="majorEastAsia" w:eastAsiaTheme="majorEastAsia"/>
                <w:color w:val="auto"/>
                <w:sz w:val="24"/>
                <w:highlight w:val="none"/>
                <w:u w:val="singl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18" w:hRule="atLeast"/>
          <w:jc w:val="center"/>
        </w:trPr>
        <w:tc>
          <w:tcPr>
            <w:tcW w:w="714" w:type="dxa"/>
            <w:tcBorders>
              <w:tl2br w:val="nil"/>
              <w:tr2bl w:val="nil"/>
            </w:tcBorders>
            <w:vAlign w:val="center"/>
          </w:tcPr>
          <w:p>
            <w:pPr>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12</w:t>
            </w:r>
          </w:p>
        </w:tc>
        <w:tc>
          <w:tcPr>
            <w:tcW w:w="2093" w:type="dxa"/>
            <w:tcBorders>
              <w:tl2br w:val="nil"/>
              <w:tr2bl w:val="nil"/>
            </w:tcBorders>
            <w:vAlign w:val="center"/>
          </w:tcPr>
          <w:p>
            <w:pPr>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b/>
                <w:bCs/>
                <w:color w:val="auto"/>
                <w:sz w:val="24"/>
                <w:highlight w:val="none"/>
              </w:rPr>
              <w:t>招标代理服务费</w:t>
            </w:r>
          </w:p>
        </w:tc>
        <w:tc>
          <w:tcPr>
            <w:tcW w:w="7039" w:type="dxa"/>
            <w:tcBorders>
              <w:tl2br w:val="nil"/>
              <w:tr2bl w:val="nil"/>
            </w:tcBorders>
            <w:vAlign w:val="center"/>
          </w:tcPr>
          <w:p>
            <w:pPr>
              <w:spacing w:line="360" w:lineRule="auto"/>
              <w:rPr>
                <w:rFonts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本采购代理机构向中标人收取招标服务费人民币</w:t>
            </w:r>
            <w:r>
              <w:rPr>
                <w:rFonts w:hint="eastAsia" w:asciiTheme="majorEastAsia" w:hAnsiTheme="majorEastAsia" w:eastAsiaTheme="majorEastAsia"/>
                <w:b/>
                <w:bCs/>
                <w:color w:val="auto"/>
                <w:sz w:val="24"/>
                <w:highlight w:val="none"/>
                <w:lang w:val="en-US" w:eastAsia="zh-CN"/>
              </w:rPr>
              <w:t>93</w:t>
            </w:r>
            <w:r>
              <w:rPr>
                <w:rFonts w:hint="eastAsia" w:asciiTheme="majorEastAsia" w:hAnsiTheme="majorEastAsia" w:eastAsiaTheme="majorEastAsia"/>
                <w:b/>
                <w:bCs/>
                <w:color w:val="auto"/>
                <w:sz w:val="24"/>
                <w:highlight w:val="none"/>
              </w:rPr>
              <w:t>44元。</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结算时间为：在领取中标通知书时由中标人一次性向招标代理机构付清。</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收款单位：宁波成套工程项目咨询管理有限公司</w:t>
            </w:r>
          </w:p>
          <w:p>
            <w:pPr>
              <w:spacing w:line="360" w:lineRule="auto"/>
              <w:rPr>
                <w:rFonts w:ascii="宋体" w:hAnsi="宋体"/>
                <w:color w:val="auto"/>
                <w:sz w:val="24"/>
                <w:highlight w:val="none"/>
              </w:rPr>
            </w:pPr>
            <w:r>
              <w:rPr>
                <w:rFonts w:hint="eastAsia" w:ascii="宋体" w:hAnsi="宋体"/>
                <w:color w:val="auto"/>
                <w:sz w:val="24"/>
                <w:highlight w:val="none"/>
              </w:rPr>
              <w:t>开户银行：宁波银行翠柏支行</w:t>
            </w:r>
          </w:p>
          <w:p>
            <w:pPr>
              <w:spacing w:line="360" w:lineRule="auto"/>
              <w:rPr>
                <w:rFonts w:ascii="宋体" w:hAnsi="宋体"/>
                <w:color w:val="auto"/>
                <w:sz w:val="24"/>
                <w:highlight w:val="none"/>
              </w:rPr>
            </w:pPr>
            <w:r>
              <w:rPr>
                <w:rFonts w:hint="eastAsia" w:ascii="宋体" w:hAnsi="宋体"/>
                <w:color w:val="auto"/>
                <w:sz w:val="24"/>
                <w:highlight w:val="none"/>
              </w:rPr>
              <w:t>银行账号：20030122000246206</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注：中标供应商未按招标文件规定和投标承诺缴纳招标代理服务费的，合同款不予支付、合同验收不予通过。</w:t>
            </w:r>
          </w:p>
        </w:tc>
      </w:tr>
      <w:bookmarkEnd w:id="8"/>
    </w:tbl>
    <w:p>
      <w:pPr>
        <w:widowControl/>
        <w:adjustRightInd/>
        <w:jc w:val="left"/>
        <w:outlineLvl w:val="1"/>
        <w:rPr>
          <w:rFonts w:cs="仿宋_GB2312" w:asciiTheme="majorEastAsia" w:hAnsiTheme="majorEastAsia" w:eastAsiaTheme="majorEastAsia"/>
          <w:b/>
          <w:color w:val="auto"/>
          <w:sz w:val="24"/>
          <w:highlight w:val="none"/>
        </w:rPr>
      </w:pPr>
      <w:bookmarkStart w:id="11" w:name="第三部分"/>
      <w:bookmarkStart w:id="12" w:name="_Toc164416483"/>
      <w:r>
        <w:rPr>
          <w:rFonts w:cs="仿宋_GB2312" w:asciiTheme="minorEastAsia" w:hAnsiTheme="minorEastAsia" w:eastAsiaTheme="minorEastAsia"/>
          <w:b/>
          <w:color w:val="auto"/>
          <w:sz w:val="36"/>
          <w:szCs w:val="36"/>
          <w:highlight w:val="none"/>
        </w:rPr>
        <w:br w:type="page"/>
      </w:r>
      <w:r>
        <w:rPr>
          <w:rFonts w:hint="eastAsia" w:cs="仿宋_GB2312" w:asciiTheme="majorEastAsia" w:hAnsiTheme="majorEastAsia" w:eastAsiaTheme="majorEastAsia"/>
          <w:b/>
          <w:color w:val="auto"/>
          <w:sz w:val="24"/>
          <w:highlight w:val="none"/>
        </w:rPr>
        <w:t>一、总则</w:t>
      </w:r>
    </w:p>
    <w:p>
      <w:pPr>
        <w:pStyle w:val="33"/>
        <w:adjustRightInd/>
        <w:spacing w:line="360" w:lineRule="auto"/>
        <w:rPr>
          <w:rFonts w:cs="仿宋_GB2312" w:asciiTheme="majorEastAsia" w:hAnsiTheme="majorEastAsia" w:eastAsiaTheme="majorEastAsia"/>
          <w:b/>
          <w:color w:val="auto"/>
          <w:sz w:val="24"/>
          <w:szCs w:val="24"/>
          <w:highlight w:val="none"/>
        </w:rPr>
      </w:pPr>
      <w:r>
        <w:rPr>
          <w:rFonts w:cs="仿宋_GB2312" w:asciiTheme="majorEastAsia" w:hAnsiTheme="majorEastAsia" w:eastAsiaTheme="majorEastAsia"/>
          <w:b/>
          <w:color w:val="auto"/>
          <w:sz w:val="24"/>
          <w:szCs w:val="24"/>
          <w:highlight w:val="none"/>
        </w:rPr>
        <w:t xml:space="preserve">1. </w:t>
      </w:r>
      <w:r>
        <w:rPr>
          <w:rFonts w:hint="eastAsia" w:cs="仿宋_GB2312" w:asciiTheme="majorEastAsia" w:hAnsiTheme="majorEastAsia" w:eastAsiaTheme="majorEastAsia"/>
          <w:b/>
          <w:color w:val="auto"/>
          <w:sz w:val="24"/>
          <w:szCs w:val="24"/>
          <w:highlight w:val="none"/>
        </w:rPr>
        <w:t>适用范围</w:t>
      </w:r>
    </w:p>
    <w:p>
      <w:pPr>
        <w:adjustRightInd/>
        <w:spacing w:line="360" w:lineRule="auto"/>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本招标文件适用于该项目的招标、投标、开标、资格审查及信用信息查询、评标、定标、合同、验收等行为（法律法规另有规定的，从其规定）。</w:t>
      </w:r>
    </w:p>
    <w:p>
      <w:pPr>
        <w:pStyle w:val="33"/>
        <w:adjustRightInd/>
        <w:spacing w:line="360" w:lineRule="auto"/>
        <w:rPr>
          <w:rFonts w:cs="仿宋_GB2312" w:asciiTheme="majorEastAsia" w:hAnsiTheme="majorEastAsia" w:eastAsiaTheme="majorEastAsia"/>
          <w:b/>
          <w:color w:val="auto"/>
          <w:sz w:val="24"/>
          <w:szCs w:val="24"/>
          <w:highlight w:val="none"/>
        </w:rPr>
      </w:pPr>
      <w:r>
        <w:rPr>
          <w:rFonts w:cs="仿宋_GB2312" w:asciiTheme="majorEastAsia" w:hAnsiTheme="majorEastAsia" w:eastAsiaTheme="majorEastAsia"/>
          <w:b/>
          <w:color w:val="auto"/>
          <w:sz w:val="24"/>
          <w:szCs w:val="24"/>
          <w:highlight w:val="none"/>
        </w:rPr>
        <w:t>2.定义</w:t>
      </w:r>
    </w:p>
    <w:p>
      <w:pPr>
        <w:adjustRightInd/>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2.1</w:t>
      </w:r>
      <w:r>
        <w:rPr>
          <w:rFonts w:hint="eastAsia" w:asciiTheme="majorEastAsia" w:hAnsiTheme="majorEastAsia" w:eastAsiaTheme="majorEastAsia"/>
          <w:color w:val="auto"/>
          <w:sz w:val="24"/>
          <w:highlight w:val="none"/>
        </w:rPr>
        <w:t>“招标（采购）人”：是指依法进行政府采购的国家机关、事业单位、团体组织，见本项目“招标公告”；</w:t>
      </w:r>
    </w:p>
    <w:p>
      <w:pPr>
        <w:adjustRightInd/>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2.2</w:t>
      </w:r>
      <w:r>
        <w:rPr>
          <w:rFonts w:hint="eastAsia" w:asciiTheme="majorEastAsia" w:hAnsiTheme="majorEastAsia" w:eastAsiaTheme="majorEastAsia"/>
          <w:color w:val="auto"/>
          <w:sz w:val="24"/>
          <w:highlight w:val="none"/>
        </w:rPr>
        <w:t>“招标（采购）代理机构”：受招标人委托，在委托的范围内办理政府采购事宜并组织招标活动的机构，见本项目“招标公告”；</w:t>
      </w:r>
    </w:p>
    <w:p>
      <w:pPr>
        <w:adjustRightInd/>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 xml:space="preserve">2.3 </w:t>
      </w:r>
      <w:r>
        <w:rPr>
          <w:rFonts w:hint="eastAsia" w:asciiTheme="majorEastAsia" w:hAnsiTheme="majorEastAsia" w:eastAsiaTheme="majorEastAsia"/>
          <w:color w:val="auto"/>
          <w:sz w:val="24"/>
          <w:highlight w:val="none"/>
        </w:rPr>
        <w:t>“投标人”系指是指响应招标、参加投标竞争的法人、其他组织或者自然人。</w:t>
      </w:r>
    </w:p>
    <w:p>
      <w:pPr>
        <w:adjustRightInd/>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 xml:space="preserve">2.4 </w:t>
      </w:r>
      <w:r>
        <w:rPr>
          <w:rFonts w:hint="eastAsia" w:asciiTheme="majorEastAsia" w:hAnsiTheme="majorEastAsia" w:eastAsiaTheme="majorEastAsia"/>
          <w:color w:val="auto"/>
          <w:sz w:val="24"/>
          <w:highlight w:val="none"/>
        </w:rPr>
        <w:t>“负责人”系指法人企业的法定负责人，或其他组织为法律、行政法规规定代表单位行使职权的主要负责人，或自然人本人。</w:t>
      </w:r>
    </w:p>
    <w:p>
      <w:pPr>
        <w:adjustRightInd/>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2.5中标人：是指经评审获得本项目最终合同签订资格的投标人；</w:t>
      </w:r>
    </w:p>
    <w:p>
      <w:pPr>
        <w:adjustRightInd/>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2.6买方（甲方）：是指合同签订的一方，一般与招标（采购）人、用户相同；</w:t>
      </w:r>
    </w:p>
    <w:p>
      <w:pPr>
        <w:adjustRightInd/>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2.7卖方（乙方）：是指合同签订的另一方，一般与中标人相同；</w:t>
      </w:r>
    </w:p>
    <w:p>
      <w:pPr>
        <w:adjustRightInd/>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w:t>
      </w:r>
      <w:r>
        <w:rPr>
          <w:rFonts w:hint="eastAsia" w:asciiTheme="majorEastAsia" w:hAnsiTheme="majorEastAsia" w:eastAsiaTheme="majorEastAsia"/>
          <w:color w:val="auto"/>
          <w:sz w:val="24"/>
          <w:highlight w:val="none"/>
        </w:rPr>
        <w:t>8</w:t>
      </w:r>
      <w:r>
        <w:rPr>
          <w:rFonts w:asciiTheme="majorEastAsia" w:hAnsiTheme="majorEastAsia" w:eastAsiaTheme="majorEastAsia"/>
          <w:color w:val="auto"/>
          <w:sz w:val="24"/>
          <w:highlight w:val="none"/>
        </w:rPr>
        <w:t>“电子签名”系指数据电文中以电子形式所含、所附用于识别签名人身份并表明签名人认可其中内容的数据；</w:t>
      </w:r>
      <w:r>
        <w:rPr>
          <w:rFonts w:hint="eastAsia" w:asciiTheme="majorEastAsia" w:hAnsiTheme="majorEastAsia" w:eastAsiaTheme="majorEastAsia"/>
          <w:color w:val="auto"/>
          <w:sz w:val="24"/>
          <w:highlight w:val="none"/>
        </w:rPr>
        <w:t>“公章”系指单位法定名称章。因特殊原因需要使用冠以法定名称的业务专用章的，投标时须提供《业务专用章使用说明函》。</w:t>
      </w:r>
    </w:p>
    <w:p>
      <w:pPr>
        <w:adjustRightInd/>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w:t>
      </w:r>
      <w:r>
        <w:rPr>
          <w:rFonts w:hint="eastAsia" w:asciiTheme="majorEastAsia" w:hAnsiTheme="majorEastAsia" w:eastAsiaTheme="majorEastAsia"/>
          <w:color w:val="auto"/>
          <w:sz w:val="24"/>
          <w:highlight w:val="none"/>
        </w:rPr>
        <w:t>9</w:t>
      </w:r>
      <w:r>
        <w:rPr>
          <w:rFonts w:asciiTheme="majorEastAsia" w:hAnsiTheme="majorEastAsia" w:eastAsiaTheme="majorEastAsia"/>
          <w:color w:val="auto"/>
          <w:sz w:val="24"/>
          <w:highlight w:val="none"/>
        </w:rPr>
        <w:t>“电子交易平台”是指本项目政府采购活动所依托的政府采购云平台（https://www.zcygov.cn/）。</w:t>
      </w:r>
    </w:p>
    <w:p>
      <w:pPr>
        <w:adjustRightInd/>
        <w:spacing w:line="360" w:lineRule="auto"/>
        <w:ind w:firstLine="482" w:firstLineChars="200"/>
        <w:rPr>
          <w:rFonts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2.</w:t>
      </w:r>
      <w:r>
        <w:rPr>
          <w:rFonts w:hint="eastAsia" w:asciiTheme="majorEastAsia" w:hAnsiTheme="majorEastAsia" w:eastAsiaTheme="majorEastAsia"/>
          <w:b/>
          <w:color w:val="auto"/>
          <w:sz w:val="24"/>
          <w:highlight w:val="none"/>
        </w:rPr>
        <w:t>10</w:t>
      </w:r>
      <w:r>
        <w:rPr>
          <w:rFonts w:asciiTheme="majorEastAsia" w:hAnsiTheme="majorEastAsia" w:eastAsiaTheme="majorEastAsia"/>
          <w:b/>
          <w:color w:val="auto"/>
          <w:sz w:val="24"/>
          <w:highlight w:val="none"/>
        </w:rPr>
        <w:t xml:space="preserve"> </w:t>
      </w:r>
      <w:r>
        <w:rPr>
          <w:rFonts w:hint="eastAsia" w:asciiTheme="majorEastAsia" w:hAnsiTheme="majorEastAsia" w:eastAsiaTheme="majorEastAsia"/>
          <w:b/>
          <w:color w:val="auto"/>
          <w:sz w:val="24"/>
          <w:highlight w:val="none"/>
        </w:rPr>
        <w:t>“</w:t>
      </w:r>
      <w:bookmarkStart w:id="13" w:name="_Hlk109025842"/>
      <w:r>
        <w:rPr>
          <w:rFonts w:hint="eastAsia" w:cs="宋体" w:asciiTheme="majorEastAsia" w:hAnsiTheme="majorEastAsia" w:eastAsiaTheme="majorEastAsia"/>
          <w:b/>
          <w:bCs/>
          <w:color w:val="auto"/>
          <w:sz w:val="24"/>
          <w:highlight w:val="none"/>
        </w:rPr>
        <w:t>★</w:t>
      </w:r>
      <w:bookmarkEnd w:id="13"/>
      <w:r>
        <w:rPr>
          <w:rFonts w:hint="eastAsia" w:asciiTheme="majorEastAsia" w:hAnsiTheme="majorEastAsia" w:eastAsiaTheme="majorEastAsia"/>
          <w:b/>
          <w:color w:val="auto"/>
          <w:sz w:val="24"/>
          <w:highlight w:val="none"/>
        </w:rPr>
        <w:t>”</w:t>
      </w:r>
      <w:r>
        <w:rPr>
          <w:rFonts w:asciiTheme="majorEastAsia" w:hAnsiTheme="majorEastAsia" w:eastAsiaTheme="majorEastAsia"/>
          <w:b/>
          <w:color w:val="auto"/>
          <w:sz w:val="24"/>
          <w:highlight w:val="none"/>
        </w:rPr>
        <w:t xml:space="preserve"> </w:t>
      </w:r>
      <w:r>
        <w:rPr>
          <w:rFonts w:hint="eastAsia" w:asciiTheme="majorEastAsia" w:hAnsiTheme="majorEastAsia" w:eastAsiaTheme="majorEastAsia"/>
          <w:b/>
          <w:color w:val="auto"/>
          <w:sz w:val="24"/>
          <w:highlight w:val="none"/>
        </w:rPr>
        <w:t>系指实质性要求条款，“</w:t>
      </w:r>
      <w:r>
        <w:rPr>
          <w:rFonts w:hint="eastAsia" w:asciiTheme="majorEastAsia" w:hAnsiTheme="majorEastAsia" w:eastAsiaTheme="majorEastAsia"/>
          <w:bCs/>
          <w:color w:val="auto"/>
          <w:sz w:val="24"/>
          <w:highlight w:val="none"/>
        </w:rPr>
        <w:t>▲</w:t>
      </w:r>
      <w:r>
        <w:rPr>
          <w:rFonts w:hint="eastAsia" w:asciiTheme="majorEastAsia" w:hAnsiTheme="majorEastAsia" w:eastAsiaTheme="majorEastAsia"/>
          <w:b/>
          <w:color w:val="auto"/>
          <w:sz w:val="24"/>
          <w:highlight w:val="none"/>
        </w:rPr>
        <w:t>”系产品采购项目中单一产品或核心产品，“</w:t>
      </w:r>
      <w:r>
        <w:rPr>
          <w:rFonts w:hint="eastAsia" w:cs="Arial" w:asciiTheme="majorEastAsia" w:hAnsiTheme="majorEastAsia" w:eastAsiaTheme="majorEastAsia"/>
          <w:b/>
          <w:color w:val="auto"/>
          <w:kern w:val="0"/>
          <w:sz w:val="24"/>
          <w:highlight w:val="none"/>
        </w:rPr>
        <w:sym w:font="Wingdings" w:char="00FE"/>
      </w:r>
      <w:r>
        <w:rPr>
          <w:rFonts w:hint="eastAsia" w:asciiTheme="majorEastAsia" w:hAnsiTheme="majorEastAsia" w:eastAsiaTheme="majorEastAsia"/>
          <w:b/>
          <w:color w:val="auto"/>
          <w:sz w:val="24"/>
          <w:highlight w:val="none"/>
        </w:rPr>
        <w:t>”</w:t>
      </w:r>
      <w:r>
        <w:rPr>
          <w:rFonts w:asciiTheme="majorEastAsia" w:hAnsiTheme="majorEastAsia" w:eastAsiaTheme="majorEastAsia"/>
          <w:b/>
          <w:color w:val="auto"/>
          <w:sz w:val="24"/>
          <w:highlight w:val="none"/>
        </w:rPr>
        <w:t xml:space="preserve"> </w:t>
      </w:r>
      <w:r>
        <w:rPr>
          <w:rFonts w:hint="eastAsia" w:asciiTheme="majorEastAsia" w:hAnsiTheme="majorEastAsia" w:eastAsiaTheme="majorEastAsia"/>
          <w:b/>
          <w:color w:val="auto"/>
          <w:sz w:val="24"/>
          <w:highlight w:val="none"/>
        </w:rPr>
        <w:t>系指适用本项目的要求，“</w:t>
      </w:r>
      <w:sdt>
        <w:sdtPr>
          <w:rPr>
            <w:rFonts w:hint="eastAsia" w:cs="Arial" w:asciiTheme="majorEastAsia" w:hAnsiTheme="majorEastAsia" w:eastAsiaTheme="majorEastAsia"/>
            <w:b/>
            <w:color w:val="auto"/>
            <w:kern w:val="0"/>
            <w:sz w:val="24"/>
            <w:highlight w:val="none"/>
          </w:rPr>
          <w:id w:val="404888855"/>
        </w:sdtPr>
        <w:sdtEndPr>
          <w:rPr>
            <w:rFonts w:hint="eastAsia" w:cs="Arial" w:asciiTheme="majorEastAsia" w:hAnsiTheme="majorEastAsia" w:eastAsiaTheme="majorEastAsia"/>
            <w:b/>
            <w:color w:val="auto"/>
            <w:kern w:val="0"/>
            <w:sz w:val="24"/>
            <w:highlight w:val="none"/>
          </w:rPr>
        </w:sdtEndPr>
        <w:sdtContent>
          <w:r>
            <w:rPr>
              <w:rFonts w:hint="eastAsia" w:ascii="MS Gothic" w:hAnsi="MS Gothic" w:eastAsia="MS Gothic" w:cs="MS Gothic"/>
              <w:b/>
              <w:color w:val="auto"/>
              <w:kern w:val="0"/>
              <w:sz w:val="24"/>
              <w:highlight w:val="none"/>
            </w:rPr>
            <w:t>☐</w:t>
          </w:r>
        </w:sdtContent>
      </w:sdt>
      <w:r>
        <w:rPr>
          <w:rFonts w:hint="eastAsia" w:asciiTheme="majorEastAsia" w:hAnsiTheme="majorEastAsia" w:eastAsiaTheme="majorEastAsia"/>
          <w:b/>
          <w:color w:val="auto"/>
          <w:sz w:val="24"/>
          <w:highlight w:val="none"/>
        </w:rPr>
        <w:t>”</w:t>
      </w:r>
      <w:r>
        <w:rPr>
          <w:rFonts w:asciiTheme="majorEastAsia" w:hAnsiTheme="majorEastAsia" w:eastAsiaTheme="majorEastAsia"/>
          <w:b/>
          <w:color w:val="auto"/>
          <w:sz w:val="24"/>
          <w:highlight w:val="none"/>
        </w:rPr>
        <w:t xml:space="preserve"> </w:t>
      </w:r>
      <w:r>
        <w:rPr>
          <w:rFonts w:hint="eastAsia" w:asciiTheme="majorEastAsia" w:hAnsiTheme="majorEastAsia" w:eastAsiaTheme="majorEastAsia"/>
          <w:b/>
          <w:color w:val="auto"/>
          <w:sz w:val="24"/>
          <w:highlight w:val="none"/>
        </w:rPr>
        <w:t>系指不适用本项目的要求。</w:t>
      </w:r>
    </w:p>
    <w:p>
      <w:pPr>
        <w:pStyle w:val="33"/>
        <w:adjustRightInd/>
        <w:spacing w:line="360" w:lineRule="auto"/>
        <w:rPr>
          <w:rFonts w:cs="仿宋_GB2312" w:asciiTheme="majorEastAsia" w:hAnsiTheme="majorEastAsia" w:eastAsiaTheme="majorEastAsia"/>
          <w:b/>
          <w:color w:val="auto"/>
          <w:sz w:val="24"/>
          <w:szCs w:val="24"/>
          <w:highlight w:val="none"/>
        </w:rPr>
      </w:pPr>
      <w:r>
        <w:rPr>
          <w:rFonts w:cs="仿宋_GB2312" w:asciiTheme="majorEastAsia" w:hAnsiTheme="majorEastAsia" w:eastAsiaTheme="majorEastAsia"/>
          <w:b/>
          <w:color w:val="auto"/>
          <w:sz w:val="24"/>
          <w:szCs w:val="24"/>
          <w:highlight w:val="none"/>
        </w:rPr>
        <w:t xml:space="preserve">3. </w:t>
      </w:r>
      <w:r>
        <w:rPr>
          <w:rFonts w:hint="eastAsia" w:cs="仿宋_GB2312" w:asciiTheme="majorEastAsia" w:hAnsiTheme="majorEastAsia" w:eastAsiaTheme="majorEastAsia"/>
          <w:b/>
          <w:color w:val="auto"/>
          <w:sz w:val="24"/>
          <w:szCs w:val="24"/>
          <w:highlight w:val="none"/>
        </w:rPr>
        <w:t>采购项目需要落实的政府采购政策</w:t>
      </w:r>
    </w:p>
    <w:p>
      <w:pPr>
        <w:pStyle w:val="33"/>
        <w:adjustRightInd/>
        <w:spacing w:line="360" w:lineRule="auto"/>
        <w:ind w:firstLine="480" w:firstLineChars="200"/>
        <w:rPr>
          <w:rFonts w:asciiTheme="majorEastAsia" w:hAnsiTheme="majorEastAsia" w:eastAsiaTheme="majorEastAsia"/>
          <w:color w:val="auto"/>
          <w:sz w:val="24"/>
          <w:szCs w:val="24"/>
          <w:highlight w:val="none"/>
        </w:rPr>
      </w:pPr>
      <w:r>
        <w:rPr>
          <w:rFonts w:asciiTheme="majorEastAsia" w:hAnsiTheme="majorEastAsia" w:eastAsiaTheme="majorEastAsia"/>
          <w:color w:val="auto"/>
          <w:sz w:val="24"/>
          <w:szCs w:val="24"/>
          <w:highlight w:val="none"/>
        </w:rPr>
        <w:t xml:space="preserve">3.1 </w:t>
      </w:r>
      <w:r>
        <w:rPr>
          <w:rFonts w:hint="eastAsia" w:asciiTheme="majorEastAsia" w:hAnsiTheme="majorEastAsia" w:eastAsiaTheme="majorEastAsia"/>
          <w:color w:val="auto"/>
          <w:sz w:val="24"/>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adjustRightInd/>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 xml:space="preserve">3.2 </w:t>
      </w:r>
      <w:r>
        <w:rPr>
          <w:rFonts w:hint="eastAsia" w:asciiTheme="majorEastAsia" w:hAnsiTheme="majorEastAsia" w:eastAsiaTheme="majorEastAsia"/>
          <w:color w:val="auto"/>
          <w:sz w:val="24"/>
          <w:highlight w:val="none"/>
        </w:rPr>
        <w:t>支持绿色发展</w:t>
      </w:r>
    </w:p>
    <w:p>
      <w:pPr>
        <w:adjustRightInd/>
        <w:spacing w:line="360" w:lineRule="auto"/>
        <w:ind w:firstLine="480" w:firstLineChars="200"/>
        <w:rPr>
          <w:rFonts w:asciiTheme="majorEastAsia" w:hAnsiTheme="majorEastAsia" w:eastAsiaTheme="majorEastAsia"/>
          <w:b/>
          <w:color w:val="auto"/>
          <w:sz w:val="24"/>
          <w:highlight w:val="none"/>
        </w:rPr>
      </w:pPr>
      <w:r>
        <w:rPr>
          <w:rFonts w:asciiTheme="majorEastAsia" w:hAnsiTheme="majorEastAsia" w:eastAsiaTheme="maj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ajorEastAsia" w:hAnsiTheme="majorEastAsia" w:eastAsiaTheme="majorEastAsia"/>
          <w:b/>
          <w:bCs/>
          <w:color w:val="auto"/>
          <w:sz w:val="24"/>
          <w:highlight w:val="none"/>
        </w:rPr>
        <w:t>★</w:t>
      </w:r>
      <w:r>
        <w:rPr>
          <w:rFonts w:hint="eastAsia" w:asciiTheme="majorEastAsia" w:hAnsiTheme="majorEastAsia" w:eastAsiaTheme="majorEastAsia"/>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adjustRightInd/>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 xml:space="preserve">3.2.2 </w:t>
      </w:r>
      <w:r>
        <w:rPr>
          <w:rFonts w:hint="eastAsia" w:asciiTheme="majorEastAsia" w:hAnsiTheme="majorEastAsia" w:eastAsiaTheme="majorEastAsia"/>
          <w:color w:val="auto"/>
          <w:sz w:val="24"/>
          <w:highlight w:val="none"/>
        </w:rPr>
        <w:t>修缮、装修类项目采购建材的，采购人应将绿色建筑和绿色建材性能、指标等作为实质性条件纳入招标文件和合同。</w:t>
      </w:r>
    </w:p>
    <w:p>
      <w:pPr>
        <w:adjustRightInd/>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3.3支持中小企业发展</w:t>
      </w:r>
    </w:p>
    <w:p>
      <w:pPr>
        <w:adjustRightInd/>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符合中小企业划分标准的个体工商户，在政府采购活动中视同中小企业。</w:t>
      </w:r>
    </w:p>
    <w:p>
      <w:pPr>
        <w:widowControl/>
        <w:adjustRightInd/>
        <w:spacing w:line="360" w:lineRule="auto"/>
        <w:ind w:firstLine="480" w:firstLineChars="200"/>
        <w:jc w:val="left"/>
        <w:rPr>
          <w:rFonts w:cs="宋体" w:asciiTheme="majorEastAsia" w:hAnsiTheme="majorEastAsia" w:eastAsiaTheme="majorEastAsia"/>
          <w:color w:val="auto"/>
          <w:kern w:val="0"/>
          <w:sz w:val="24"/>
          <w:highlight w:val="none"/>
        </w:rPr>
      </w:pPr>
      <w:r>
        <w:rPr>
          <w:rFonts w:asciiTheme="majorEastAsia" w:hAnsiTheme="majorEastAsia" w:eastAsiaTheme="majorEastAsia"/>
          <w:bCs/>
          <w:color w:val="auto"/>
          <w:sz w:val="24"/>
          <w:highlight w:val="none"/>
        </w:rPr>
        <w:t>3.3.2</w:t>
      </w:r>
      <w:r>
        <w:rPr>
          <w:rFonts w:hint="eastAsia" w:cs="宋体" w:asciiTheme="majorEastAsia" w:hAnsiTheme="majorEastAsia" w:eastAsiaTheme="majorEastAsia"/>
          <w:color w:val="auto"/>
          <w:kern w:val="0"/>
          <w:sz w:val="24"/>
          <w:highlight w:val="none"/>
        </w:rPr>
        <w:t>在政府采购活动中，投标人提供的货物、工程或者服务符合下列情形的，享受中小企业扶持政策：</w:t>
      </w:r>
    </w:p>
    <w:p>
      <w:pPr>
        <w:widowControl/>
        <w:adjustRightInd/>
        <w:spacing w:line="360" w:lineRule="auto"/>
        <w:ind w:firstLine="482" w:firstLineChars="200"/>
        <w:jc w:val="left"/>
        <w:rPr>
          <w:rFonts w:cs="宋体" w:asciiTheme="majorEastAsia" w:hAnsiTheme="majorEastAsia" w:eastAsiaTheme="majorEastAsia"/>
          <w:b/>
          <w:bCs/>
          <w:color w:val="auto"/>
          <w:kern w:val="0"/>
          <w:sz w:val="24"/>
          <w:highlight w:val="none"/>
        </w:rPr>
      </w:pPr>
      <w:r>
        <w:rPr>
          <w:rFonts w:cs="宋体" w:asciiTheme="majorEastAsia" w:hAnsiTheme="majorEastAsia" w:eastAsiaTheme="majorEastAsia"/>
          <w:b/>
          <w:bCs/>
          <w:color w:val="auto"/>
          <w:kern w:val="0"/>
          <w:sz w:val="24"/>
          <w:highlight w:val="none"/>
        </w:rPr>
        <w:t>3.3.2.1在货物采购项目中，货物由中小企业制造，即货物由中小企业生产且使用该中小企业商号或者注册商标；</w:t>
      </w:r>
    </w:p>
    <w:p>
      <w:pPr>
        <w:widowControl/>
        <w:adjustRightInd/>
        <w:spacing w:line="360" w:lineRule="auto"/>
        <w:ind w:firstLine="480" w:firstLineChars="200"/>
        <w:jc w:val="left"/>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3.3.2.2在工程采购项目中，工程由中小企业承建，即工程施工单位为中小企业；</w:t>
      </w:r>
    </w:p>
    <w:p>
      <w:pPr>
        <w:widowControl/>
        <w:adjustRightInd/>
        <w:spacing w:line="360" w:lineRule="auto"/>
        <w:ind w:firstLine="480" w:firstLineChars="200"/>
        <w:jc w:val="left"/>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3.3.2.3在服务采购项目中，服务由中小企业承接，即提供服务的人员为中小企业依照《中华人民共和国劳动合同法》订立劳动合同的从业人员。</w:t>
      </w:r>
    </w:p>
    <w:p>
      <w:pPr>
        <w:widowControl/>
        <w:adjustRightInd/>
        <w:spacing w:line="360" w:lineRule="auto"/>
        <w:ind w:firstLine="482" w:firstLineChars="200"/>
        <w:jc w:val="left"/>
        <w:rPr>
          <w:rFonts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在货物采购项目中，投标人提供的货物既有中小企业制造货物，也有大型企业制造货物的，不享受中小企业扶持政策。</w:t>
      </w:r>
    </w:p>
    <w:p>
      <w:pPr>
        <w:widowControl/>
        <w:adjustRightInd/>
        <w:spacing w:line="360" w:lineRule="auto"/>
        <w:ind w:firstLine="480" w:firstLineChars="200"/>
        <w:jc w:val="left"/>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以联合体形式参加政府采购活动，联合体各方均为中小企业的，联合体视同中小企业。其中，联合体各方均为小微企业的，联合体视同小微企业。</w:t>
      </w:r>
    </w:p>
    <w:p>
      <w:pPr>
        <w:adjustRightInd/>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3.3.3</w:t>
      </w:r>
      <w:r>
        <w:rPr>
          <w:rFonts w:hint="eastAsia" w:asciiTheme="majorEastAsia" w:hAnsiTheme="majorEastAsia" w:eastAsiaTheme="majorEastAsia"/>
          <w:color w:val="auto"/>
          <w:sz w:val="24"/>
          <w:highlight w:val="none"/>
        </w:rPr>
        <w:t>对于未预留份额专门面向中小企业的政府采购货物或服务项目，以及预留份额政府采购货物或服务项目中的非预留部分标项，对小型和微型企业的投标报价给予1</w:t>
      </w:r>
      <w:r>
        <w:rPr>
          <w:rFonts w:asciiTheme="majorEastAsia" w:hAnsiTheme="majorEastAsia" w:eastAsiaTheme="majorEastAsia"/>
          <w:color w:val="auto"/>
          <w:sz w:val="24"/>
          <w:highlight w:val="none"/>
        </w:rPr>
        <w:t>0%的扣除，用扣除后的价格参与评审。接受大中型企业与小微企业组成联合体或者允许大中型企业向一家或者多家小微企业分包的</w:t>
      </w:r>
      <w:r>
        <w:rPr>
          <w:rFonts w:hint="eastAsia" w:asciiTheme="majorEastAsia" w:hAnsiTheme="majorEastAsia" w:eastAsiaTheme="majorEastAsia"/>
          <w:color w:val="auto"/>
          <w:sz w:val="24"/>
          <w:highlight w:val="none"/>
        </w:rPr>
        <w:t>政府</w:t>
      </w:r>
      <w:r>
        <w:rPr>
          <w:rFonts w:asciiTheme="majorEastAsia" w:hAnsiTheme="majorEastAsia" w:eastAsiaTheme="majorEastAsia"/>
          <w:color w:val="auto"/>
          <w:sz w:val="24"/>
          <w:highlight w:val="none"/>
        </w:rPr>
        <w:t>采购</w:t>
      </w:r>
      <w:r>
        <w:rPr>
          <w:rFonts w:hint="eastAsia" w:asciiTheme="majorEastAsia" w:hAnsiTheme="majorEastAsia" w:eastAsiaTheme="majorEastAsia"/>
          <w:color w:val="auto"/>
          <w:sz w:val="24"/>
          <w:highlight w:val="none"/>
        </w:rPr>
        <w:t>货物或服务</w:t>
      </w:r>
      <w:r>
        <w:rPr>
          <w:rFonts w:asciiTheme="majorEastAsia" w:hAnsiTheme="majorEastAsia" w:eastAsiaTheme="majorEastAsia"/>
          <w:color w:val="auto"/>
          <w:sz w:val="24"/>
          <w:highlight w:val="none"/>
        </w:rPr>
        <w:t>项目，对于联合协议或者分包意向协议约定小微企业的合同份额占到合同总金额30%以上的，对联合体或者大中型企业的报价给予</w:t>
      </w: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%的扣除，用扣除后的价格参加评审。组成联合体或者接受分包的小微企业与联合体内其他企业、分包企业之间存在直接控股、管理关系的，不享受价格扣除优惠政策。</w:t>
      </w:r>
    </w:p>
    <w:p>
      <w:pPr>
        <w:adjustRightInd/>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3.3.4符合《关于促进残疾人就业政府采购政策的通知》（财库〔2017〕141号）规定的条件并提供《残疾人福利性单位声明函》的残疾人福利性单位视同小型、微型企业</w:t>
      </w:r>
      <w:r>
        <w:rPr>
          <w:rFonts w:hint="eastAsia" w:asciiTheme="majorEastAsia" w:hAnsiTheme="majorEastAsia" w:eastAsiaTheme="majorEastAsia"/>
          <w:color w:val="auto"/>
          <w:sz w:val="24"/>
          <w:highlight w:val="none"/>
        </w:rPr>
        <w:t>。</w:t>
      </w:r>
    </w:p>
    <w:p>
      <w:pPr>
        <w:adjustRightInd/>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3.3.6</w:t>
      </w:r>
      <w:r>
        <w:rPr>
          <w:rFonts w:hint="eastAsia" w:asciiTheme="majorEastAsia" w:hAnsiTheme="majorEastAsia" w:eastAsiaTheme="majorEastAsia"/>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3.3.7中小企业享受扶持政策获得政府采购合同的，小微企业不得将合同分包给大中型企业，中型企业不得将合同分包给大型企业</w:t>
      </w:r>
      <w:r>
        <w:rPr>
          <w:rFonts w:hint="eastAsia" w:asciiTheme="majorEastAsia" w:hAnsiTheme="majorEastAsia" w:eastAsiaTheme="majorEastAsia"/>
          <w:color w:val="auto"/>
          <w:sz w:val="24"/>
          <w:highlight w:val="none"/>
        </w:rPr>
        <w:t>。</w:t>
      </w:r>
    </w:p>
    <w:p>
      <w:pPr>
        <w:adjustRightInd/>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3.4</w:t>
      </w:r>
      <w:r>
        <w:rPr>
          <w:rFonts w:hint="eastAsia" w:asciiTheme="majorEastAsia" w:hAnsiTheme="majorEastAsia" w:eastAsiaTheme="majorEastAsia"/>
          <w:bCs/>
          <w:color w:val="auto"/>
          <w:sz w:val="24"/>
          <w:highlight w:val="none"/>
        </w:rPr>
        <w:t>支持创新发展</w:t>
      </w:r>
    </w:p>
    <w:p>
      <w:pPr>
        <w:adjustRightInd/>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3.4.1 采购人优先采购被认定</w:t>
      </w:r>
      <w:r>
        <w:rPr>
          <w:rFonts w:hint="eastAsia" w:asciiTheme="majorEastAsia" w:hAnsiTheme="majorEastAsia" w:eastAsiaTheme="majorEastAsia"/>
          <w:color w:val="auto"/>
          <w:sz w:val="24"/>
          <w:highlight w:val="none"/>
        </w:rPr>
        <w:t>为首台套产品和“制造精品”的自主创新产品。</w:t>
      </w:r>
    </w:p>
    <w:p>
      <w:pPr>
        <w:adjustRightInd/>
        <w:spacing w:line="360" w:lineRule="auto"/>
        <w:ind w:firstLine="480" w:firstLineChars="200"/>
        <w:rPr>
          <w:rFonts w:asciiTheme="majorEastAsia" w:hAnsiTheme="majorEastAsia" w:eastAsiaTheme="majorEastAsia"/>
          <w:b/>
          <w:color w:val="auto"/>
          <w:sz w:val="24"/>
          <w:highlight w:val="none"/>
        </w:rPr>
      </w:pPr>
      <w:r>
        <w:rPr>
          <w:rFonts w:asciiTheme="majorEastAsia" w:hAnsiTheme="majorEastAsia" w:eastAsiaTheme="majorEastAsia"/>
          <w:color w:val="auto"/>
          <w:sz w:val="24"/>
          <w:highlight w:val="none"/>
        </w:rPr>
        <w:t>3.4.2</w:t>
      </w:r>
      <w:r>
        <w:rPr>
          <w:rFonts w:hint="eastAsia" w:asciiTheme="majorEastAsia" w:hAnsiTheme="majorEastAsia" w:eastAsiaTheme="majorEastAsia"/>
          <w:color w:val="auto"/>
          <w:sz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r>
        <w:rPr>
          <w:rFonts w:asciiTheme="majorEastAsia" w:hAnsiTheme="majorEastAsia" w:eastAsiaTheme="majorEastAsia"/>
          <w:color w:val="auto"/>
          <w:sz w:val="24"/>
          <w:highlight w:val="none"/>
        </w:rPr>
        <w:cr/>
      </w:r>
      <w:r>
        <w:rPr>
          <w:rFonts w:asciiTheme="majorEastAsia" w:hAnsiTheme="majorEastAsia" w:eastAsiaTheme="majorEastAsia"/>
          <w:b/>
          <w:color w:val="auto"/>
          <w:sz w:val="24"/>
          <w:highlight w:val="none"/>
        </w:rPr>
        <w:t xml:space="preserve">4. </w:t>
      </w:r>
      <w:r>
        <w:rPr>
          <w:rFonts w:hint="eastAsia" w:asciiTheme="majorEastAsia" w:hAnsiTheme="majorEastAsia" w:eastAsiaTheme="majorEastAsia"/>
          <w:b/>
          <w:color w:val="auto"/>
          <w:sz w:val="24"/>
          <w:highlight w:val="none"/>
        </w:rPr>
        <w:t>询问、质疑、投诉</w:t>
      </w:r>
    </w:p>
    <w:p>
      <w:pPr>
        <w:autoSpaceDE w:val="0"/>
        <w:autoSpaceDN w:val="0"/>
        <w:adjustRightInd/>
        <w:spacing w:line="360" w:lineRule="auto"/>
        <w:ind w:firstLine="240" w:firstLineChars="100"/>
        <w:jc w:val="left"/>
        <w:rPr>
          <w:rFonts w:cs="微软雅黑" w:asciiTheme="majorEastAsia" w:hAnsiTheme="majorEastAsia" w:eastAsiaTheme="majorEastAsia"/>
          <w:color w:val="auto"/>
          <w:kern w:val="0"/>
          <w:sz w:val="24"/>
          <w:highlight w:val="none"/>
          <w:lang w:val="zh-CN"/>
        </w:rPr>
      </w:pPr>
      <w:r>
        <w:rPr>
          <w:rFonts w:cs="微软雅黑" w:asciiTheme="majorEastAsia" w:hAnsiTheme="majorEastAsia" w:eastAsiaTheme="majorEastAsia"/>
          <w:color w:val="auto"/>
          <w:kern w:val="0"/>
          <w:sz w:val="24"/>
          <w:highlight w:val="none"/>
          <w:lang w:val="zh-CN"/>
        </w:rPr>
        <w:t>4.1供应商询问</w:t>
      </w:r>
    </w:p>
    <w:p>
      <w:pPr>
        <w:autoSpaceDE w:val="0"/>
        <w:autoSpaceDN w:val="0"/>
        <w:adjustRightInd/>
        <w:spacing w:line="360" w:lineRule="auto"/>
        <w:ind w:firstLine="480" w:firstLineChars="200"/>
        <w:jc w:val="left"/>
        <w:rPr>
          <w:rFonts w:cs="微软雅黑" w:asciiTheme="majorEastAsia" w:hAnsiTheme="majorEastAsia" w:eastAsiaTheme="majorEastAsia"/>
          <w:color w:val="auto"/>
          <w:kern w:val="0"/>
          <w:sz w:val="24"/>
          <w:highlight w:val="none"/>
          <w:lang w:val="zh-CN"/>
        </w:rPr>
      </w:pPr>
      <w:r>
        <w:rPr>
          <w:rFonts w:hint="eastAsia" w:cs="微软雅黑" w:asciiTheme="majorEastAsia" w:hAnsiTheme="majorEastAsia" w:eastAsiaTheme="majorEastAsia"/>
          <w:color w:val="auto"/>
          <w:kern w:val="0"/>
          <w:sz w:val="24"/>
          <w:highlight w:val="none"/>
          <w:lang w:val="zh-CN"/>
        </w:rPr>
        <w:t>供应商对政府采购活动事项有疑问的，可以提出询问，采购人或者采购代理机构应当在</w:t>
      </w:r>
      <w:r>
        <w:rPr>
          <w:rFonts w:cs="微软雅黑" w:asciiTheme="majorEastAsia" w:hAnsiTheme="majorEastAsia" w:eastAsiaTheme="majorEastAsia"/>
          <w:color w:val="auto"/>
          <w:kern w:val="0"/>
          <w:sz w:val="24"/>
          <w:highlight w:val="none"/>
          <w:lang w:val="zh-CN"/>
        </w:rPr>
        <w:t>3个工作日内对供应</w:t>
      </w:r>
      <w:r>
        <w:rPr>
          <w:rFonts w:hint="eastAsia" w:cs="微软雅黑" w:asciiTheme="majorEastAsia" w:hAnsiTheme="majorEastAsia" w:eastAsiaTheme="majorEastAsia"/>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adjustRightInd/>
        <w:spacing w:line="360" w:lineRule="auto"/>
        <w:ind w:firstLine="240" w:firstLineChars="100"/>
        <w:jc w:val="left"/>
        <w:rPr>
          <w:rFonts w:cs="微软雅黑" w:asciiTheme="majorEastAsia" w:hAnsiTheme="majorEastAsia" w:eastAsiaTheme="majorEastAsia"/>
          <w:color w:val="auto"/>
          <w:kern w:val="0"/>
          <w:sz w:val="24"/>
          <w:highlight w:val="none"/>
          <w:lang w:val="zh-CN"/>
        </w:rPr>
      </w:pPr>
      <w:r>
        <w:rPr>
          <w:rFonts w:cs="微软雅黑" w:asciiTheme="majorEastAsia" w:hAnsiTheme="majorEastAsia" w:eastAsiaTheme="majorEastAsia"/>
          <w:color w:val="auto"/>
          <w:kern w:val="0"/>
          <w:sz w:val="24"/>
          <w:highlight w:val="none"/>
          <w:lang w:val="zh-CN"/>
        </w:rPr>
        <w:t>4.2供应商质疑</w:t>
      </w:r>
    </w:p>
    <w:p>
      <w:pPr>
        <w:pStyle w:val="33"/>
        <w:adjustRightInd/>
        <w:spacing w:line="360" w:lineRule="auto"/>
        <w:ind w:firstLine="480" w:firstLineChars="200"/>
        <w:rPr>
          <w:rFonts w:asciiTheme="majorEastAsia" w:hAnsiTheme="majorEastAsia" w:eastAsiaTheme="majorEastAsia"/>
          <w:color w:val="auto"/>
          <w:sz w:val="24"/>
          <w:szCs w:val="24"/>
          <w:highlight w:val="none"/>
        </w:rPr>
      </w:pPr>
      <w:r>
        <w:rPr>
          <w:rFonts w:cs="微软雅黑" w:asciiTheme="majorEastAsia" w:hAnsiTheme="majorEastAsia" w:eastAsiaTheme="majorEastAsia"/>
          <w:color w:val="auto"/>
          <w:kern w:val="0"/>
          <w:sz w:val="24"/>
          <w:szCs w:val="24"/>
          <w:highlight w:val="none"/>
          <w:lang w:val="zh-CN"/>
        </w:rPr>
        <w:t>4.2</w:t>
      </w:r>
      <w:r>
        <w:rPr>
          <w:rFonts w:asciiTheme="majorEastAsia" w:hAnsiTheme="majorEastAsia" w:eastAsiaTheme="majorEastAsia"/>
          <w:color w:val="auto"/>
          <w:sz w:val="24"/>
          <w:szCs w:val="24"/>
          <w:highlight w:val="none"/>
        </w:rPr>
        <w:t>.1提出质疑的供应商应当是参与所质疑项目采购活动的供应商。潜在供应商已依法获取其可质疑的招标文件的，可以对该文件提出质疑。</w:t>
      </w:r>
    </w:p>
    <w:p>
      <w:pPr>
        <w:pStyle w:val="33"/>
        <w:adjustRightInd/>
        <w:spacing w:line="360" w:lineRule="auto"/>
        <w:ind w:firstLine="480" w:firstLineChars="200"/>
        <w:rPr>
          <w:rFonts w:asciiTheme="majorEastAsia" w:hAnsiTheme="majorEastAsia" w:eastAsiaTheme="majorEastAsia"/>
          <w:color w:val="auto"/>
          <w:sz w:val="24"/>
          <w:szCs w:val="24"/>
          <w:highlight w:val="none"/>
        </w:rPr>
      </w:pPr>
      <w:r>
        <w:rPr>
          <w:rFonts w:cs="微软雅黑" w:asciiTheme="majorEastAsia" w:hAnsiTheme="majorEastAsia" w:eastAsiaTheme="majorEastAsia"/>
          <w:color w:val="auto"/>
          <w:kern w:val="0"/>
          <w:sz w:val="24"/>
          <w:szCs w:val="24"/>
          <w:highlight w:val="none"/>
          <w:lang w:val="zh-CN"/>
        </w:rPr>
        <w:t>4.2</w:t>
      </w:r>
      <w:r>
        <w:rPr>
          <w:rFonts w:asciiTheme="majorEastAsia" w:hAnsiTheme="majorEastAsia" w:eastAsiaTheme="majorEastAsia"/>
          <w:color w:val="auto"/>
          <w:sz w:val="24"/>
          <w:szCs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adjustRightInd/>
        <w:snapToGrid/>
        <w:spacing w:line="360" w:lineRule="auto"/>
        <w:ind w:firstLine="480" w:firstLineChars="200"/>
        <w:rPr>
          <w:rFonts w:asciiTheme="majorEastAsia" w:hAnsiTheme="majorEastAsia" w:eastAsiaTheme="majorEastAsia"/>
          <w:snapToGrid/>
          <w:color w:val="auto"/>
          <w:kern w:val="2"/>
          <w:sz w:val="24"/>
          <w:szCs w:val="24"/>
          <w:highlight w:val="none"/>
        </w:rPr>
      </w:pPr>
      <w:r>
        <w:rPr>
          <w:rFonts w:asciiTheme="majorEastAsia" w:hAnsiTheme="majorEastAsia" w:eastAsiaTheme="majorEastAsia"/>
          <w:snapToGrid/>
          <w:color w:val="auto"/>
          <w:kern w:val="2"/>
          <w:sz w:val="24"/>
          <w:szCs w:val="24"/>
          <w:highlight w:val="none"/>
        </w:rPr>
        <w:t>4.2.2.1对招标文件提出质疑的，质疑期限为供应商获得招标文件之日或者招标公告期限届满之日起计算。</w:t>
      </w:r>
    </w:p>
    <w:p>
      <w:pPr>
        <w:pStyle w:val="33"/>
        <w:adjustRightInd/>
        <w:spacing w:line="360" w:lineRule="auto"/>
        <w:ind w:firstLine="480" w:firstLineChars="200"/>
        <w:rPr>
          <w:rFonts w:asciiTheme="majorEastAsia" w:hAnsiTheme="majorEastAsia" w:eastAsiaTheme="majorEastAsia"/>
          <w:color w:val="auto"/>
          <w:sz w:val="24"/>
          <w:szCs w:val="24"/>
          <w:highlight w:val="none"/>
        </w:rPr>
      </w:pPr>
      <w:r>
        <w:rPr>
          <w:rFonts w:asciiTheme="majorEastAsia" w:hAnsiTheme="majorEastAsia" w:eastAsiaTheme="majorEastAsia"/>
          <w:color w:val="auto"/>
          <w:sz w:val="24"/>
          <w:szCs w:val="24"/>
          <w:highlight w:val="none"/>
        </w:rPr>
        <w:t>4.2.2.2对采购过程提出质疑的，质疑期限为各采购程序环节结束之日起计算。对同一采购程序环节的质疑，供应商须一次性提出。</w:t>
      </w:r>
    </w:p>
    <w:p>
      <w:pPr>
        <w:pStyle w:val="33"/>
        <w:adjustRightInd/>
        <w:spacing w:line="360" w:lineRule="auto"/>
        <w:ind w:firstLine="480" w:firstLineChars="200"/>
        <w:rPr>
          <w:rFonts w:asciiTheme="majorEastAsia" w:hAnsiTheme="majorEastAsia" w:eastAsiaTheme="majorEastAsia"/>
          <w:color w:val="auto"/>
          <w:sz w:val="24"/>
          <w:szCs w:val="24"/>
          <w:highlight w:val="none"/>
        </w:rPr>
      </w:pPr>
      <w:r>
        <w:rPr>
          <w:rFonts w:asciiTheme="majorEastAsia" w:hAnsiTheme="majorEastAsia" w:eastAsiaTheme="majorEastAsia"/>
          <w:color w:val="auto"/>
          <w:sz w:val="24"/>
          <w:szCs w:val="24"/>
          <w:highlight w:val="none"/>
        </w:rPr>
        <w:t>4.2.2.3对采购结果提出质疑的，质疑期限自采购结果公告期限届满之日起计算。</w:t>
      </w:r>
    </w:p>
    <w:p>
      <w:pPr>
        <w:pStyle w:val="33"/>
        <w:adjustRightInd/>
        <w:spacing w:line="360" w:lineRule="auto"/>
        <w:ind w:firstLine="480" w:firstLineChars="200"/>
        <w:rPr>
          <w:rFonts w:cs="微软雅黑" w:asciiTheme="majorEastAsia" w:hAnsiTheme="majorEastAsia" w:eastAsiaTheme="majorEastAsia"/>
          <w:color w:val="auto"/>
          <w:kern w:val="0"/>
          <w:sz w:val="24"/>
          <w:szCs w:val="24"/>
          <w:highlight w:val="none"/>
          <w:lang w:val="zh-CN"/>
        </w:rPr>
      </w:pPr>
      <w:r>
        <w:rPr>
          <w:rFonts w:cs="微软雅黑" w:asciiTheme="majorEastAsia" w:hAnsiTheme="majorEastAsia" w:eastAsiaTheme="majorEastAsia"/>
          <w:color w:val="auto"/>
          <w:kern w:val="0"/>
          <w:sz w:val="24"/>
          <w:szCs w:val="24"/>
          <w:highlight w:val="none"/>
          <w:lang w:val="zh-CN"/>
        </w:rPr>
        <w:t>4.2.3</w:t>
      </w:r>
      <w:r>
        <w:rPr>
          <w:rFonts w:hint="eastAsia" w:asciiTheme="majorEastAsia" w:hAnsiTheme="majorEastAsia" w:eastAsiaTheme="majorEastAsia"/>
          <w:color w:val="auto"/>
          <w:sz w:val="24"/>
          <w:szCs w:val="24"/>
          <w:highlight w:val="none"/>
        </w:rPr>
        <w:t>供应商提出质疑应当提交质疑函和必要的证明材料。质疑函应当包括下列内容：</w:t>
      </w:r>
    </w:p>
    <w:p>
      <w:pPr>
        <w:pStyle w:val="33"/>
        <w:adjustRightInd/>
        <w:spacing w:line="360" w:lineRule="auto"/>
        <w:ind w:firstLine="480" w:firstLineChars="200"/>
        <w:rPr>
          <w:rFonts w:cs="微软雅黑" w:asciiTheme="majorEastAsia" w:hAnsiTheme="majorEastAsia" w:eastAsiaTheme="majorEastAsia"/>
          <w:color w:val="auto"/>
          <w:kern w:val="0"/>
          <w:sz w:val="24"/>
          <w:szCs w:val="24"/>
          <w:highlight w:val="none"/>
          <w:lang w:val="zh-CN"/>
        </w:rPr>
      </w:pPr>
      <w:r>
        <w:rPr>
          <w:rFonts w:cs="微软雅黑" w:asciiTheme="majorEastAsia" w:hAnsiTheme="majorEastAsia" w:eastAsiaTheme="majorEastAsia"/>
          <w:color w:val="auto"/>
          <w:kern w:val="0"/>
          <w:sz w:val="24"/>
          <w:szCs w:val="24"/>
          <w:highlight w:val="none"/>
          <w:lang w:val="zh-CN"/>
        </w:rPr>
        <w:t>4.2.3.1</w:t>
      </w:r>
      <w:r>
        <w:rPr>
          <w:rFonts w:hint="eastAsia" w:cs="微软雅黑" w:asciiTheme="majorEastAsia" w:hAnsiTheme="majorEastAsia" w:eastAsiaTheme="majorEastAsia"/>
          <w:color w:val="auto"/>
          <w:kern w:val="0"/>
          <w:sz w:val="24"/>
          <w:szCs w:val="24"/>
          <w:highlight w:val="none"/>
          <w:lang w:val="zh-CN"/>
        </w:rPr>
        <w:t>供应商的姓名或者名称、地址、邮编、联系人及联系电话；</w:t>
      </w:r>
    </w:p>
    <w:p>
      <w:pPr>
        <w:pStyle w:val="33"/>
        <w:adjustRightInd/>
        <w:spacing w:line="360" w:lineRule="auto"/>
        <w:ind w:firstLine="480" w:firstLineChars="200"/>
        <w:rPr>
          <w:rFonts w:cs="微软雅黑" w:asciiTheme="majorEastAsia" w:hAnsiTheme="majorEastAsia" w:eastAsiaTheme="majorEastAsia"/>
          <w:color w:val="auto"/>
          <w:kern w:val="0"/>
          <w:sz w:val="24"/>
          <w:szCs w:val="24"/>
          <w:highlight w:val="none"/>
          <w:lang w:val="zh-CN"/>
        </w:rPr>
      </w:pPr>
      <w:r>
        <w:rPr>
          <w:rFonts w:cs="微软雅黑" w:asciiTheme="majorEastAsia" w:hAnsiTheme="majorEastAsia" w:eastAsiaTheme="majorEastAsia"/>
          <w:color w:val="auto"/>
          <w:kern w:val="0"/>
          <w:sz w:val="24"/>
          <w:szCs w:val="24"/>
          <w:highlight w:val="none"/>
          <w:lang w:val="zh-CN"/>
        </w:rPr>
        <w:t>4.2.3.2</w:t>
      </w:r>
      <w:r>
        <w:rPr>
          <w:rFonts w:hint="eastAsia" w:cs="微软雅黑" w:asciiTheme="majorEastAsia" w:hAnsiTheme="majorEastAsia" w:eastAsiaTheme="majorEastAsia"/>
          <w:color w:val="auto"/>
          <w:kern w:val="0"/>
          <w:sz w:val="24"/>
          <w:szCs w:val="24"/>
          <w:highlight w:val="none"/>
          <w:lang w:val="zh-CN"/>
        </w:rPr>
        <w:t>质疑项目的名称、编号；</w:t>
      </w:r>
    </w:p>
    <w:p>
      <w:pPr>
        <w:pStyle w:val="33"/>
        <w:adjustRightInd/>
        <w:spacing w:line="360" w:lineRule="auto"/>
        <w:ind w:firstLine="480" w:firstLineChars="200"/>
        <w:rPr>
          <w:rFonts w:cs="微软雅黑" w:asciiTheme="majorEastAsia" w:hAnsiTheme="majorEastAsia" w:eastAsiaTheme="majorEastAsia"/>
          <w:color w:val="auto"/>
          <w:kern w:val="0"/>
          <w:sz w:val="24"/>
          <w:szCs w:val="24"/>
          <w:highlight w:val="none"/>
          <w:lang w:val="zh-CN"/>
        </w:rPr>
      </w:pPr>
      <w:r>
        <w:rPr>
          <w:rFonts w:cs="微软雅黑" w:asciiTheme="majorEastAsia" w:hAnsiTheme="majorEastAsia" w:eastAsiaTheme="majorEastAsia"/>
          <w:color w:val="auto"/>
          <w:kern w:val="0"/>
          <w:sz w:val="24"/>
          <w:szCs w:val="24"/>
          <w:highlight w:val="none"/>
          <w:lang w:val="zh-CN"/>
        </w:rPr>
        <w:t>4.2.3.3</w:t>
      </w:r>
      <w:r>
        <w:rPr>
          <w:rFonts w:hint="eastAsia" w:cs="微软雅黑" w:asciiTheme="majorEastAsia" w:hAnsiTheme="majorEastAsia" w:eastAsiaTheme="majorEastAsia"/>
          <w:color w:val="auto"/>
          <w:kern w:val="0"/>
          <w:sz w:val="24"/>
          <w:szCs w:val="24"/>
          <w:highlight w:val="none"/>
          <w:lang w:val="zh-CN"/>
        </w:rPr>
        <w:t>具体、明确的质疑事项和与质疑事项相关的请求；</w:t>
      </w:r>
    </w:p>
    <w:p>
      <w:pPr>
        <w:pStyle w:val="33"/>
        <w:adjustRightInd/>
        <w:spacing w:line="360" w:lineRule="auto"/>
        <w:ind w:firstLine="480" w:firstLineChars="200"/>
        <w:rPr>
          <w:rFonts w:cs="微软雅黑" w:asciiTheme="majorEastAsia" w:hAnsiTheme="majorEastAsia" w:eastAsiaTheme="majorEastAsia"/>
          <w:color w:val="auto"/>
          <w:kern w:val="0"/>
          <w:sz w:val="24"/>
          <w:szCs w:val="24"/>
          <w:highlight w:val="none"/>
          <w:lang w:val="zh-CN"/>
        </w:rPr>
      </w:pPr>
      <w:r>
        <w:rPr>
          <w:rFonts w:cs="微软雅黑" w:asciiTheme="majorEastAsia" w:hAnsiTheme="majorEastAsia" w:eastAsiaTheme="majorEastAsia"/>
          <w:color w:val="auto"/>
          <w:kern w:val="0"/>
          <w:sz w:val="24"/>
          <w:szCs w:val="24"/>
          <w:highlight w:val="none"/>
          <w:lang w:val="zh-CN"/>
        </w:rPr>
        <w:t>4.2.3.4</w:t>
      </w:r>
      <w:r>
        <w:rPr>
          <w:rFonts w:hint="eastAsia" w:cs="微软雅黑" w:asciiTheme="majorEastAsia" w:hAnsiTheme="majorEastAsia" w:eastAsiaTheme="majorEastAsia"/>
          <w:color w:val="auto"/>
          <w:kern w:val="0"/>
          <w:sz w:val="24"/>
          <w:szCs w:val="24"/>
          <w:highlight w:val="none"/>
          <w:lang w:val="zh-CN"/>
        </w:rPr>
        <w:t>事实依据；</w:t>
      </w:r>
    </w:p>
    <w:p>
      <w:pPr>
        <w:pStyle w:val="33"/>
        <w:adjustRightInd/>
        <w:spacing w:line="360" w:lineRule="auto"/>
        <w:ind w:firstLine="480" w:firstLineChars="200"/>
        <w:rPr>
          <w:rFonts w:cs="微软雅黑" w:asciiTheme="majorEastAsia" w:hAnsiTheme="majorEastAsia" w:eastAsiaTheme="majorEastAsia"/>
          <w:color w:val="auto"/>
          <w:kern w:val="0"/>
          <w:sz w:val="24"/>
          <w:szCs w:val="24"/>
          <w:highlight w:val="none"/>
          <w:lang w:val="en-GB"/>
        </w:rPr>
      </w:pPr>
      <w:r>
        <w:rPr>
          <w:rFonts w:cs="微软雅黑" w:asciiTheme="majorEastAsia" w:hAnsiTheme="majorEastAsia" w:eastAsiaTheme="majorEastAsia"/>
          <w:color w:val="auto"/>
          <w:kern w:val="0"/>
          <w:sz w:val="24"/>
          <w:szCs w:val="24"/>
          <w:highlight w:val="none"/>
          <w:lang w:val="zh-CN"/>
        </w:rPr>
        <w:t>4.2.3.5</w:t>
      </w:r>
      <w:r>
        <w:rPr>
          <w:rFonts w:hint="eastAsia" w:cs="微软雅黑" w:asciiTheme="majorEastAsia" w:hAnsiTheme="majorEastAsia" w:eastAsiaTheme="majorEastAsia"/>
          <w:color w:val="auto"/>
          <w:kern w:val="0"/>
          <w:sz w:val="24"/>
          <w:szCs w:val="24"/>
          <w:highlight w:val="none"/>
          <w:lang w:val="zh-CN"/>
        </w:rPr>
        <w:t>必要的法律依据；</w:t>
      </w:r>
    </w:p>
    <w:p>
      <w:pPr>
        <w:pStyle w:val="33"/>
        <w:adjustRightInd/>
        <w:spacing w:line="360" w:lineRule="auto"/>
        <w:ind w:firstLine="480" w:firstLineChars="200"/>
        <w:rPr>
          <w:rFonts w:cs="微软雅黑" w:asciiTheme="majorEastAsia" w:hAnsiTheme="majorEastAsia" w:eastAsiaTheme="majorEastAsia"/>
          <w:color w:val="auto"/>
          <w:kern w:val="0"/>
          <w:sz w:val="24"/>
          <w:szCs w:val="24"/>
          <w:highlight w:val="none"/>
          <w:lang w:val="zh-CN"/>
        </w:rPr>
      </w:pPr>
      <w:r>
        <w:rPr>
          <w:rFonts w:cs="微软雅黑" w:asciiTheme="majorEastAsia" w:hAnsiTheme="majorEastAsia" w:eastAsiaTheme="majorEastAsia"/>
          <w:color w:val="auto"/>
          <w:kern w:val="0"/>
          <w:sz w:val="24"/>
          <w:szCs w:val="24"/>
          <w:highlight w:val="none"/>
          <w:lang w:val="zh-CN"/>
        </w:rPr>
        <w:t>4.2.3.6</w:t>
      </w:r>
      <w:r>
        <w:rPr>
          <w:rFonts w:hint="eastAsia" w:cs="微软雅黑" w:asciiTheme="majorEastAsia" w:hAnsiTheme="majorEastAsia" w:eastAsiaTheme="majorEastAsia"/>
          <w:color w:val="auto"/>
          <w:kern w:val="0"/>
          <w:sz w:val="24"/>
          <w:szCs w:val="24"/>
          <w:highlight w:val="none"/>
          <w:lang w:val="zh-CN"/>
        </w:rPr>
        <w:t>提出质疑的日期。</w:t>
      </w:r>
    </w:p>
    <w:p>
      <w:pPr>
        <w:pStyle w:val="5"/>
        <w:adjustRightInd/>
        <w:snapToGrid/>
        <w:spacing w:line="360" w:lineRule="auto"/>
        <w:ind w:firstLine="480" w:firstLineChars="200"/>
        <w:rPr>
          <w:rFonts w:asciiTheme="majorEastAsia" w:hAnsiTheme="majorEastAsia" w:eastAsiaTheme="majorEastAsia"/>
          <w:snapToGrid/>
          <w:color w:val="auto"/>
          <w:kern w:val="2"/>
          <w:sz w:val="24"/>
          <w:szCs w:val="24"/>
          <w:highlight w:val="none"/>
          <w:lang w:val="zh-CN"/>
        </w:rPr>
      </w:pPr>
      <w:r>
        <w:rPr>
          <w:rFonts w:asciiTheme="majorEastAsia" w:hAnsiTheme="majorEastAsia" w:eastAsiaTheme="majorEastAsia"/>
          <w:snapToGrid/>
          <w:color w:val="auto"/>
          <w:kern w:val="2"/>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5"/>
        <w:adjustRightInd/>
        <w:snapToGrid/>
        <w:spacing w:line="360" w:lineRule="auto"/>
        <w:ind w:firstLine="480" w:firstLineChars="200"/>
        <w:rPr>
          <w:rFonts w:asciiTheme="majorEastAsia" w:hAnsiTheme="majorEastAsia" w:eastAsiaTheme="majorEastAsia"/>
          <w:snapToGrid/>
          <w:color w:val="auto"/>
          <w:kern w:val="2"/>
          <w:sz w:val="24"/>
          <w:szCs w:val="24"/>
          <w:highlight w:val="none"/>
          <w:lang w:val="zh-CN"/>
        </w:rPr>
      </w:pPr>
      <w:r>
        <w:rPr>
          <w:rFonts w:asciiTheme="majorEastAsia" w:hAnsiTheme="majorEastAsia" w:eastAsiaTheme="majorEastAsia"/>
          <w:snapToGrid/>
          <w:color w:val="auto"/>
          <w:kern w:val="2"/>
          <w:sz w:val="24"/>
          <w:szCs w:val="24"/>
          <w:highlight w:val="none"/>
          <w:lang w:val="zh-CN"/>
        </w:rPr>
        <w:t>4.2.4</w:t>
      </w:r>
      <w:r>
        <w:rPr>
          <w:rFonts w:hint="eastAsia" w:asciiTheme="majorEastAsia" w:hAnsiTheme="majorEastAsia" w:eastAsiaTheme="majorEastAsia"/>
          <w:snapToGrid/>
          <w:color w:val="auto"/>
          <w:kern w:val="2"/>
          <w:sz w:val="24"/>
          <w:szCs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5"/>
        <w:adjustRightInd/>
        <w:snapToGrid/>
        <w:spacing w:line="360" w:lineRule="auto"/>
        <w:ind w:firstLine="480" w:firstLineChars="200"/>
        <w:rPr>
          <w:rFonts w:asciiTheme="majorEastAsia" w:hAnsiTheme="majorEastAsia" w:eastAsiaTheme="majorEastAsia"/>
          <w:snapToGrid/>
          <w:color w:val="auto"/>
          <w:kern w:val="2"/>
          <w:sz w:val="24"/>
          <w:szCs w:val="24"/>
          <w:highlight w:val="none"/>
          <w:lang w:val="zh-CN"/>
        </w:rPr>
      </w:pPr>
      <w:r>
        <w:rPr>
          <w:rFonts w:asciiTheme="majorEastAsia" w:hAnsiTheme="majorEastAsia" w:eastAsiaTheme="majorEastAsia"/>
          <w:snapToGrid/>
          <w:color w:val="auto"/>
          <w:kern w:val="2"/>
          <w:sz w:val="24"/>
          <w:szCs w:val="24"/>
          <w:highlight w:val="none"/>
          <w:lang w:val="zh-CN"/>
        </w:rPr>
        <w:t>4.2.5询问或者质疑事项可能影响采购结果的，采购人应当暂停签订合同，已经签订合同的，应当中止履行合同。</w:t>
      </w:r>
    </w:p>
    <w:p>
      <w:pPr>
        <w:pStyle w:val="5"/>
        <w:adjustRightInd/>
        <w:snapToGrid/>
        <w:spacing w:line="360" w:lineRule="auto"/>
        <w:ind w:firstLine="480" w:firstLineChars="200"/>
        <w:rPr>
          <w:rFonts w:asciiTheme="majorEastAsia" w:hAnsiTheme="majorEastAsia" w:eastAsiaTheme="majorEastAsia"/>
          <w:snapToGrid/>
          <w:color w:val="auto"/>
          <w:kern w:val="2"/>
          <w:sz w:val="24"/>
          <w:szCs w:val="24"/>
          <w:highlight w:val="none"/>
          <w:lang w:val="zh-CN"/>
        </w:rPr>
      </w:pPr>
      <w:r>
        <w:rPr>
          <w:rFonts w:asciiTheme="majorEastAsia" w:hAnsiTheme="majorEastAsia" w:eastAsiaTheme="majorEastAsia"/>
          <w:snapToGrid/>
          <w:color w:val="auto"/>
          <w:kern w:val="2"/>
          <w:sz w:val="24"/>
          <w:szCs w:val="24"/>
          <w:highlight w:val="none"/>
          <w:lang w:val="zh-CN"/>
        </w:rPr>
        <w:t>4.3供应商投诉</w:t>
      </w:r>
    </w:p>
    <w:p>
      <w:pPr>
        <w:pStyle w:val="5"/>
        <w:adjustRightInd/>
        <w:snapToGrid/>
        <w:spacing w:line="360" w:lineRule="auto"/>
        <w:ind w:firstLine="480" w:firstLineChars="200"/>
        <w:rPr>
          <w:rFonts w:asciiTheme="majorEastAsia" w:hAnsiTheme="majorEastAsia" w:eastAsiaTheme="majorEastAsia"/>
          <w:snapToGrid/>
          <w:color w:val="auto"/>
          <w:kern w:val="2"/>
          <w:sz w:val="24"/>
          <w:szCs w:val="24"/>
          <w:highlight w:val="none"/>
          <w:lang w:val="zh-CN"/>
        </w:rPr>
      </w:pPr>
      <w:r>
        <w:rPr>
          <w:rFonts w:asciiTheme="majorEastAsia" w:hAnsiTheme="majorEastAsia" w:eastAsiaTheme="majorEastAsia"/>
          <w:snapToGrid/>
          <w:color w:val="auto"/>
          <w:kern w:val="2"/>
          <w:sz w:val="24"/>
          <w:szCs w:val="24"/>
          <w:highlight w:val="none"/>
          <w:lang w:val="zh-CN"/>
        </w:rPr>
        <w:t>4.3.1质疑供应商对采购人、采购代理机构的答复不满意或者采购人、采购代理机构未在规定的时间内作出答复的，可以在答复期满后十五个工作日内向同级政府采购监督管理部门提出投诉。</w:t>
      </w:r>
    </w:p>
    <w:p>
      <w:pPr>
        <w:pStyle w:val="5"/>
        <w:adjustRightInd/>
        <w:snapToGrid/>
        <w:spacing w:line="360" w:lineRule="auto"/>
        <w:ind w:firstLine="480" w:firstLineChars="200"/>
        <w:rPr>
          <w:rFonts w:asciiTheme="majorEastAsia" w:hAnsiTheme="majorEastAsia" w:eastAsiaTheme="majorEastAsia"/>
          <w:snapToGrid/>
          <w:color w:val="auto"/>
          <w:kern w:val="2"/>
          <w:sz w:val="24"/>
          <w:szCs w:val="24"/>
          <w:highlight w:val="none"/>
          <w:lang w:val="zh-CN"/>
        </w:rPr>
      </w:pPr>
      <w:r>
        <w:rPr>
          <w:rFonts w:asciiTheme="majorEastAsia" w:hAnsiTheme="majorEastAsia" w:eastAsiaTheme="majorEastAsia"/>
          <w:snapToGrid/>
          <w:color w:val="auto"/>
          <w:kern w:val="2"/>
          <w:sz w:val="24"/>
          <w:szCs w:val="24"/>
          <w:highlight w:val="none"/>
          <w:lang w:val="zh-CN"/>
        </w:rPr>
        <w:t>4.3.2供应商投诉的事项不得超出已质疑事项的范围，基于质疑答复内容提出的投诉事项除外。</w:t>
      </w:r>
    </w:p>
    <w:p>
      <w:pPr>
        <w:pStyle w:val="5"/>
        <w:adjustRightInd/>
        <w:snapToGrid/>
        <w:spacing w:line="360" w:lineRule="auto"/>
        <w:ind w:firstLine="480" w:firstLineChars="200"/>
        <w:rPr>
          <w:rFonts w:asciiTheme="majorEastAsia" w:hAnsiTheme="majorEastAsia" w:eastAsiaTheme="majorEastAsia"/>
          <w:snapToGrid/>
          <w:color w:val="auto"/>
          <w:kern w:val="2"/>
          <w:sz w:val="24"/>
          <w:szCs w:val="24"/>
          <w:highlight w:val="none"/>
          <w:lang w:val="zh-CN"/>
        </w:rPr>
      </w:pPr>
      <w:r>
        <w:rPr>
          <w:rFonts w:asciiTheme="majorEastAsia" w:hAnsiTheme="majorEastAsia" w:eastAsiaTheme="majorEastAsia"/>
          <w:snapToGrid/>
          <w:color w:val="auto"/>
          <w:kern w:val="2"/>
          <w:sz w:val="24"/>
          <w:szCs w:val="24"/>
          <w:highlight w:val="none"/>
          <w:lang w:val="zh-CN"/>
        </w:rPr>
        <w:t>4.3.3供应商投诉应当有明确的请求和必要的证明材料。</w:t>
      </w:r>
    </w:p>
    <w:p>
      <w:pPr>
        <w:pStyle w:val="5"/>
        <w:adjustRightInd/>
        <w:snapToGrid/>
        <w:spacing w:line="360" w:lineRule="auto"/>
        <w:ind w:firstLine="480" w:firstLineChars="200"/>
        <w:rPr>
          <w:rFonts w:asciiTheme="majorEastAsia" w:hAnsiTheme="majorEastAsia" w:eastAsiaTheme="majorEastAsia"/>
          <w:snapToGrid/>
          <w:color w:val="auto"/>
          <w:kern w:val="2"/>
          <w:sz w:val="24"/>
          <w:szCs w:val="24"/>
          <w:highlight w:val="none"/>
          <w:lang w:val="zh-CN"/>
        </w:rPr>
      </w:pPr>
      <w:r>
        <w:rPr>
          <w:rFonts w:asciiTheme="majorEastAsia" w:hAnsiTheme="majorEastAsia" w:eastAsiaTheme="majorEastAsia"/>
          <w:snapToGrid/>
          <w:color w:val="auto"/>
          <w:kern w:val="2"/>
          <w:sz w:val="24"/>
          <w:szCs w:val="24"/>
          <w:highlight w:val="none"/>
          <w:lang w:val="zh-CN"/>
        </w:rPr>
        <w:t>4.3.5 以联合体形式参加政府采购活动的，其投诉应当由组成联合体的所有供应商共同提出。</w:t>
      </w:r>
    </w:p>
    <w:p>
      <w:pPr>
        <w:adjustRightInd/>
        <w:spacing w:line="360" w:lineRule="auto"/>
        <w:jc w:val="left"/>
        <w:outlineLvl w:val="1"/>
        <w:rPr>
          <w:rFonts w:cs="仿宋_GB2312" w:asciiTheme="majorEastAsia" w:hAnsiTheme="majorEastAsia" w:eastAsiaTheme="majorEastAsia"/>
          <w:b/>
          <w:color w:val="auto"/>
          <w:sz w:val="24"/>
          <w:highlight w:val="none"/>
        </w:rPr>
      </w:pPr>
      <w:r>
        <w:rPr>
          <w:rFonts w:cs="仿宋_GB2312" w:asciiTheme="majorEastAsia" w:hAnsiTheme="majorEastAsia" w:eastAsiaTheme="majorEastAsia"/>
          <w:b/>
          <w:color w:val="auto"/>
          <w:sz w:val="24"/>
          <w:highlight w:val="none"/>
        </w:rPr>
        <w:t>二、招标文件的构成、澄清、修改</w:t>
      </w:r>
    </w:p>
    <w:p>
      <w:pPr>
        <w:pStyle w:val="33"/>
        <w:adjustRightInd/>
        <w:spacing w:line="360" w:lineRule="auto"/>
        <w:rPr>
          <w:rFonts w:cs="仿宋_GB2312" w:asciiTheme="majorEastAsia" w:hAnsiTheme="majorEastAsia" w:eastAsiaTheme="majorEastAsia"/>
          <w:b/>
          <w:color w:val="auto"/>
          <w:sz w:val="24"/>
          <w:szCs w:val="24"/>
          <w:highlight w:val="none"/>
        </w:rPr>
      </w:pPr>
      <w:r>
        <w:rPr>
          <w:rFonts w:cs="仿宋_GB2312" w:asciiTheme="majorEastAsia" w:hAnsiTheme="majorEastAsia" w:eastAsiaTheme="majorEastAsia"/>
          <w:b/>
          <w:color w:val="auto"/>
          <w:sz w:val="24"/>
          <w:szCs w:val="24"/>
          <w:highlight w:val="none"/>
        </w:rPr>
        <w:t>5．招标文件的构成</w:t>
      </w:r>
    </w:p>
    <w:p>
      <w:pPr>
        <w:pStyle w:val="33"/>
        <w:adjustRightInd/>
        <w:spacing w:line="360" w:lineRule="auto"/>
        <w:ind w:firstLine="480" w:firstLineChars="200"/>
        <w:rPr>
          <w:rFonts w:cs="仿宋_GB2312" w:asciiTheme="majorEastAsia" w:hAnsiTheme="majorEastAsia" w:eastAsiaTheme="majorEastAsia"/>
          <w:color w:val="auto"/>
          <w:sz w:val="24"/>
          <w:szCs w:val="24"/>
          <w:highlight w:val="none"/>
        </w:rPr>
      </w:pPr>
      <w:r>
        <w:rPr>
          <w:rFonts w:cs="仿宋_GB2312" w:asciiTheme="majorEastAsia" w:hAnsiTheme="majorEastAsia" w:eastAsiaTheme="majorEastAsia"/>
          <w:color w:val="auto"/>
          <w:sz w:val="24"/>
          <w:szCs w:val="24"/>
          <w:highlight w:val="none"/>
        </w:rPr>
        <w:t xml:space="preserve">5.1 </w:t>
      </w:r>
      <w:r>
        <w:rPr>
          <w:rFonts w:hint="eastAsia" w:cs="仿宋_GB2312" w:asciiTheme="majorEastAsia" w:hAnsiTheme="majorEastAsia" w:eastAsiaTheme="majorEastAsia"/>
          <w:color w:val="auto"/>
          <w:sz w:val="24"/>
          <w:szCs w:val="24"/>
          <w:highlight w:val="none"/>
        </w:rPr>
        <w:t>招标文件包括下列文件及附件：</w:t>
      </w:r>
    </w:p>
    <w:p>
      <w:pPr>
        <w:pStyle w:val="33"/>
        <w:tabs>
          <w:tab w:val="left" w:pos="840"/>
        </w:tabs>
        <w:adjustRightInd/>
        <w:spacing w:line="360" w:lineRule="auto"/>
        <w:ind w:firstLine="960" w:firstLineChars="400"/>
        <w:rPr>
          <w:rFonts w:cs="仿宋_GB2312" w:asciiTheme="majorEastAsia" w:hAnsiTheme="majorEastAsia" w:eastAsiaTheme="majorEastAsia"/>
          <w:color w:val="auto"/>
          <w:sz w:val="24"/>
          <w:szCs w:val="24"/>
          <w:highlight w:val="none"/>
        </w:rPr>
      </w:pPr>
      <w:r>
        <w:rPr>
          <w:rFonts w:cs="仿宋_GB2312" w:asciiTheme="majorEastAsia" w:hAnsiTheme="majorEastAsia" w:eastAsiaTheme="majorEastAsia"/>
          <w:color w:val="auto"/>
          <w:sz w:val="24"/>
          <w:szCs w:val="24"/>
          <w:highlight w:val="none"/>
        </w:rPr>
        <w:t>5.1.1招标公告；</w:t>
      </w:r>
    </w:p>
    <w:p>
      <w:pPr>
        <w:pStyle w:val="33"/>
        <w:tabs>
          <w:tab w:val="left" w:pos="840"/>
        </w:tabs>
        <w:adjustRightInd/>
        <w:spacing w:line="360" w:lineRule="auto"/>
        <w:ind w:firstLine="960" w:firstLineChars="400"/>
        <w:rPr>
          <w:rFonts w:cs="仿宋_GB2312" w:asciiTheme="majorEastAsia" w:hAnsiTheme="majorEastAsia" w:eastAsiaTheme="majorEastAsia"/>
          <w:color w:val="auto"/>
          <w:sz w:val="24"/>
          <w:szCs w:val="24"/>
          <w:highlight w:val="none"/>
        </w:rPr>
      </w:pPr>
      <w:r>
        <w:rPr>
          <w:rFonts w:cs="仿宋_GB2312" w:asciiTheme="majorEastAsia" w:hAnsiTheme="majorEastAsia" w:eastAsiaTheme="majorEastAsia"/>
          <w:color w:val="auto"/>
          <w:sz w:val="24"/>
          <w:szCs w:val="24"/>
          <w:highlight w:val="none"/>
        </w:rPr>
        <w:t>5.1.2投标人须知；</w:t>
      </w:r>
    </w:p>
    <w:p>
      <w:pPr>
        <w:pStyle w:val="33"/>
        <w:tabs>
          <w:tab w:val="left" w:pos="840"/>
        </w:tabs>
        <w:adjustRightInd/>
        <w:spacing w:line="360" w:lineRule="auto"/>
        <w:ind w:firstLine="960" w:firstLineChars="400"/>
        <w:rPr>
          <w:rFonts w:cs="仿宋_GB2312" w:asciiTheme="majorEastAsia" w:hAnsiTheme="majorEastAsia" w:eastAsiaTheme="majorEastAsia"/>
          <w:color w:val="auto"/>
          <w:sz w:val="24"/>
          <w:szCs w:val="24"/>
          <w:highlight w:val="none"/>
        </w:rPr>
      </w:pPr>
      <w:r>
        <w:rPr>
          <w:rFonts w:cs="仿宋_GB2312" w:asciiTheme="majorEastAsia" w:hAnsiTheme="majorEastAsia" w:eastAsiaTheme="majorEastAsia"/>
          <w:color w:val="auto"/>
          <w:sz w:val="24"/>
          <w:szCs w:val="24"/>
          <w:highlight w:val="none"/>
        </w:rPr>
        <w:t>5.1.3采购需求；</w:t>
      </w:r>
    </w:p>
    <w:p>
      <w:pPr>
        <w:pStyle w:val="33"/>
        <w:tabs>
          <w:tab w:val="left" w:pos="840"/>
        </w:tabs>
        <w:adjustRightInd/>
        <w:spacing w:line="360" w:lineRule="auto"/>
        <w:ind w:firstLine="960" w:firstLineChars="400"/>
        <w:rPr>
          <w:rFonts w:cs="仿宋_GB2312" w:asciiTheme="majorEastAsia" w:hAnsiTheme="majorEastAsia" w:eastAsiaTheme="majorEastAsia"/>
          <w:color w:val="auto"/>
          <w:sz w:val="24"/>
          <w:szCs w:val="24"/>
          <w:highlight w:val="none"/>
        </w:rPr>
      </w:pPr>
      <w:r>
        <w:rPr>
          <w:rFonts w:cs="仿宋_GB2312" w:asciiTheme="majorEastAsia" w:hAnsiTheme="majorEastAsia" w:eastAsiaTheme="majorEastAsia"/>
          <w:color w:val="auto"/>
          <w:sz w:val="24"/>
          <w:szCs w:val="24"/>
          <w:highlight w:val="none"/>
        </w:rPr>
        <w:t>5.1.4评标</w:t>
      </w:r>
      <w:r>
        <w:rPr>
          <w:rFonts w:hint="eastAsia" w:cs="仿宋_GB2312" w:asciiTheme="majorEastAsia" w:hAnsiTheme="majorEastAsia" w:eastAsiaTheme="majorEastAsia"/>
          <w:color w:val="auto"/>
          <w:sz w:val="24"/>
          <w:szCs w:val="24"/>
          <w:highlight w:val="none"/>
        </w:rPr>
        <w:t>办</w:t>
      </w:r>
      <w:r>
        <w:rPr>
          <w:rFonts w:cs="仿宋_GB2312" w:asciiTheme="majorEastAsia" w:hAnsiTheme="majorEastAsia" w:eastAsiaTheme="majorEastAsia"/>
          <w:color w:val="auto"/>
          <w:sz w:val="24"/>
          <w:szCs w:val="24"/>
          <w:highlight w:val="none"/>
        </w:rPr>
        <w:t>法；</w:t>
      </w:r>
    </w:p>
    <w:p>
      <w:pPr>
        <w:pStyle w:val="33"/>
        <w:tabs>
          <w:tab w:val="left" w:pos="840"/>
        </w:tabs>
        <w:adjustRightInd/>
        <w:spacing w:line="360" w:lineRule="auto"/>
        <w:ind w:firstLine="960" w:firstLineChars="400"/>
        <w:rPr>
          <w:rFonts w:cs="仿宋_GB2312" w:asciiTheme="majorEastAsia" w:hAnsiTheme="majorEastAsia" w:eastAsiaTheme="majorEastAsia"/>
          <w:color w:val="auto"/>
          <w:sz w:val="24"/>
          <w:szCs w:val="24"/>
          <w:highlight w:val="none"/>
        </w:rPr>
      </w:pPr>
      <w:r>
        <w:rPr>
          <w:rFonts w:cs="仿宋_GB2312" w:asciiTheme="majorEastAsia" w:hAnsiTheme="majorEastAsia" w:eastAsiaTheme="majorEastAsia"/>
          <w:color w:val="auto"/>
          <w:sz w:val="24"/>
          <w:szCs w:val="24"/>
          <w:highlight w:val="none"/>
        </w:rPr>
        <w:t>5.1.5</w:t>
      </w:r>
      <w:r>
        <w:rPr>
          <w:rFonts w:hint="eastAsia" w:cs="仿宋_GB2312" w:asciiTheme="majorEastAsia" w:hAnsiTheme="majorEastAsia" w:eastAsiaTheme="majorEastAsia"/>
          <w:color w:val="auto"/>
          <w:sz w:val="24"/>
          <w:szCs w:val="24"/>
          <w:highlight w:val="none"/>
        </w:rPr>
        <w:t>拟签订的合同文本；</w:t>
      </w:r>
    </w:p>
    <w:p>
      <w:pPr>
        <w:pStyle w:val="33"/>
        <w:tabs>
          <w:tab w:val="left" w:pos="840"/>
        </w:tabs>
        <w:adjustRightInd/>
        <w:spacing w:line="360" w:lineRule="auto"/>
        <w:ind w:firstLine="960" w:firstLineChars="400"/>
        <w:rPr>
          <w:rFonts w:cs="仿宋_GB2312" w:asciiTheme="majorEastAsia" w:hAnsiTheme="majorEastAsia" w:eastAsiaTheme="majorEastAsia"/>
          <w:color w:val="auto"/>
          <w:sz w:val="24"/>
          <w:szCs w:val="24"/>
          <w:highlight w:val="none"/>
        </w:rPr>
      </w:pPr>
      <w:r>
        <w:rPr>
          <w:rFonts w:cs="仿宋_GB2312" w:asciiTheme="majorEastAsia" w:hAnsiTheme="majorEastAsia" w:eastAsiaTheme="majorEastAsia"/>
          <w:color w:val="auto"/>
          <w:sz w:val="24"/>
          <w:szCs w:val="24"/>
          <w:highlight w:val="none"/>
        </w:rPr>
        <w:t>5.1.6</w:t>
      </w:r>
      <w:r>
        <w:rPr>
          <w:rFonts w:hint="eastAsia" w:cs="仿宋_GB2312" w:asciiTheme="majorEastAsia" w:hAnsiTheme="majorEastAsia" w:eastAsiaTheme="majorEastAsia"/>
          <w:color w:val="auto"/>
          <w:sz w:val="24"/>
          <w:szCs w:val="24"/>
          <w:highlight w:val="none"/>
        </w:rPr>
        <w:t>应提交的有关格式范例。</w:t>
      </w:r>
    </w:p>
    <w:p>
      <w:pPr>
        <w:adjustRightInd/>
        <w:spacing w:line="360" w:lineRule="auto"/>
        <w:ind w:firstLine="480" w:firstLineChars="200"/>
        <w:rPr>
          <w:rFonts w:cs="仿宋_GB2312"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5.2与本项目有关的</w:t>
      </w:r>
      <w:r>
        <w:rPr>
          <w:rFonts w:hint="eastAsia" w:asciiTheme="majorEastAsia" w:hAnsiTheme="majorEastAsia" w:eastAsiaTheme="majorEastAsia"/>
          <w:bCs/>
          <w:color w:val="auto"/>
          <w:sz w:val="24"/>
          <w:highlight w:val="none"/>
        </w:rPr>
        <w:t>澄清或者修改的内容为招标文件的组成部分</w:t>
      </w:r>
      <w:r>
        <w:rPr>
          <w:rFonts w:hint="eastAsia" w:cs="仿宋_GB2312" w:asciiTheme="majorEastAsia" w:hAnsiTheme="majorEastAsia" w:eastAsiaTheme="majorEastAsia"/>
          <w:color w:val="auto"/>
          <w:sz w:val="24"/>
          <w:highlight w:val="none"/>
        </w:rPr>
        <w:t>。</w:t>
      </w:r>
    </w:p>
    <w:p>
      <w:pPr>
        <w:pStyle w:val="33"/>
        <w:adjustRightInd/>
        <w:spacing w:line="360" w:lineRule="auto"/>
        <w:rPr>
          <w:rFonts w:cs="仿宋_GB2312" w:asciiTheme="majorEastAsia" w:hAnsiTheme="majorEastAsia" w:eastAsiaTheme="majorEastAsia"/>
          <w:b/>
          <w:color w:val="auto"/>
          <w:sz w:val="24"/>
          <w:szCs w:val="24"/>
          <w:highlight w:val="none"/>
        </w:rPr>
      </w:pPr>
      <w:r>
        <w:rPr>
          <w:rFonts w:cs="仿宋_GB2312" w:asciiTheme="majorEastAsia" w:hAnsiTheme="majorEastAsia" w:eastAsiaTheme="majorEastAsia"/>
          <w:b/>
          <w:color w:val="auto"/>
          <w:sz w:val="24"/>
          <w:szCs w:val="24"/>
          <w:highlight w:val="none"/>
        </w:rPr>
        <w:t xml:space="preserve">6. </w:t>
      </w:r>
      <w:r>
        <w:rPr>
          <w:rFonts w:hint="eastAsia" w:cs="仿宋_GB2312" w:asciiTheme="majorEastAsia" w:hAnsiTheme="majorEastAsia" w:eastAsiaTheme="majorEastAsia"/>
          <w:b/>
          <w:color w:val="auto"/>
          <w:sz w:val="24"/>
          <w:szCs w:val="24"/>
          <w:highlight w:val="none"/>
        </w:rPr>
        <w:t>招标文件的澄清、修改</w:t>
      </w:r>
    </w:p>
    <w:p>
      <w:pPr>
        <w:pStyle w:val="132"/>
        <w:adjustRightInd/>
        <w:spacing w:before="0"/>
        <w:ind w:firstLine="480"/>
        <w:rPr>
          <w:rFonts w:cs="仿宋_GB2312" w:asciiTheme="majorEastAsia" w:hAnsiTheme="majorEastAsia" w:eastAsiaTheme="majorEastAsia"/>
          <w:color w:val="auto"/>
          <w:szCs w:val="24"/>
          <w:highlight w:val="none"/>
        </w:rPr>
      </w:pPr>
      <w:r>
        <w:rPr>
          <w:rFonts w:cs="仿宋_GB2312" w:asciiTheme="majorEastAsia" w:hAnsiTheme="majorEastAsia" w:eastAsiaTheme="majorEastAsia"/>
          <w:color w:val="auto"/>
          <w:szCs w:val="24"/>
          <w:highlight w:val="none"/>
        </w:rPr>
        <w:t>6.1已获取招标文件的潜在投标人，若有问题需要澄清，应于投标截止时间前，以书面形式向采购代理机构提出。</w:t>
      </w:r>
    </w:p>
    <w:p>
      <w:pPr>
        <w:pStyle w:val="132"/>
        <w:adjustRightInd/>
        <w:spacing w:before="0"/>
        <w:ind w:firstLine="480"/>
        <w:rPr>
          <w:rFonts w:asciiTheme="majorEastAsia" w:hAnsiTheme="majorEastAsia" w:eastAsiaTheme="majorEastAsia"/>
          <w:color w:val="auto"/>
          <w:szCs w:val="24"/>
          <w:highlight w:val="none"/>
        </w:rPr>
      </w:pPr>
      <w:r>
        <w:rPr>
          <w:rFonts w:asciiTheme="majorEastAsia" w:hAnsiTheme="majorEastAsia" w:eastAsiaTheme="majorEastAsia"/>
          <w:color w:val="auto"/>
          <w:szCs w:val="24"/>
          <w:highlight w:val="none"/>
        </w:rPr>
        <w:t xml:space="preserve">6.2 </w:t>
      </w:r>
      <w:r>
        <w:rPr>
          <w:rFonts w:hint="eastAsia" w:asciiTheme="majorEastAsia" w:hAnsiTheme="majorEastAsia" w:eastAsiaTheme="majorEastAsia"/>
          <w:color w:val="auto"/>
          <w:szCs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rPr>
          <w:rFonts w:cs="仿宋_GB2312" w:asciiTheme="majorEastAsia" w:hAnsiTheme="majorEastAsia" w:eastAsiaTheme="majorEastAsia"/>
          <w:b/>
          <w:color w:val="auto"/>
          <w:sz w:val="24"/>
          <w:highlight w:val="none"/>
        </w:rPr>
      </w:pPr>
    </w:p>
    <w:p>
      <w:pPr>
        <w:adjustRightInd/>
        <w:spacing w:line="360" w:lineRule="auto"/>
        <w:jc w:val="left"/>
        <w:outlineLvl w:val="1"/>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三、投标</w:t>
      </w:r>
    </w:p>
    <w:p>
      <w:pPr>
        <w:pStyle w:val="33"/>
        <w:adjustRightInd/>
        <w:spacing w:line="360" w:lineRule="auto"/>
        <w:rPr>
          <w:rFonts w:cs="仿宋_GB2312" w:asciiTheme="majorEastAsia" w:hAnsiTheme="majorEastAsia" w:eastAsiaTheme="majorEastAsia"/>
          <w:b/>
          <w:color w:val="auto"/>
          <w:sz w:val="24"/>
          <w:szCs w:val="24"/>
          <w:highlight w:val="none"/>
        </w:rPr>
      </w:pPr>
      <w:r>
        <w:rPr>
          <w:rFonts w:cs="仿宋_GB2312" w:asciiTheme="majorEastAsia" w:hAnsiTheme="majorEastAsia" w:eastAsiaTheme="majorEastAsia"/>
          <w:b/>
          <w:color w:val="auto"/>
          <w:sz w:val="24"/>
          <w:szCs w:val="24"/>
          <w:highlight w:val="none"/>
        </w:rPr>
        <w:t xml:space="preserve">7. </w:t>
      </w:r>
      <w:r>
        <w:rPr>
          <w:rFonts w:hint="eastAsia" w:cs="仿宋_GB2312" w:asciiTheme="majorEastAsia" w:hAnsiTheme="majorEastAsia" w:eastAsiaTheme="majorEastAsia"/>
          <w:b/>
          <w:color w:val="auto"/>
          <w:sz w:val="24"/>
          <w:szCs w:val="24"/>
          <w:highlight w:val="none"/>
        </w:rPr>
        <w:t>招标文件的获取</w:t>
      </w:r>
    </w:p>
    <w:p>
      <w:pPr>
        <w:adjustRightInd/>
        <w:spacing w:line="360" w:lineRule="auto"/>
        <w:ind w:firstLine="480" w:firstLineChars="200"/>
        <w:rPr>
          <w:rFonts w:cs="仿宋_GB2312" w:asciiTheme="majorEastAsia" w:hAnsiTheme="majorEastAsia" w:eastAsiaTheme="majorEastAsia"/>
          <w:snapToGrid w:val="0"/>
          <w:color w:val="auto"/>
          <w:kern w:val="28"/>
          <w:sz w:val="24"/>
          <w:highlight w:val="none"/>
        </w:rPr>
      </w:pPr>
      <w:r>
        <w:rPr>
          <w:rFonts w:hint="eastAsia" w:cs="仿宋_GB2312" w:asciiTheme="majorEastAsia" w:hAnsiTheme="majorEastAsia" w:eastAsiaTheme="majorEastAsia"/>
          <w:snapToGrid w:val="0"/>
          <w:color w:val="auto"/>
          <w:kern w:val="28"/>
          <w:sz w:val="24"/>
          <w:highlight w:val="none"/>
        </w:rPr>
        <w:t>详见招标公告中获取招标文件的时间期限、地点、方式及招标文件售价。</w:t>
      </w:r>
    </w:p>
    <w:p>
      <w:pPr>
        <w:pStyle w:val="33"/>
        <w:adjustRightInd/>
        <w:spacing w:line="360" w:lineRule="auto"/>
        <w:rPr>
          <w:rFonts w:cs="仿宋_GB2312" w:asciiTheme="majorEastAsia" w:hAnsiTheme="majorEastAsia" w:eastAsiaTheme="majorEastAsia"/>
          <w:b/>
          <w:color w:val="auto"/>
          <w:sz w:val="24"/>
          <w:szCs w:val="24"/>
          <w:highlight w:val="none"/>
        </w:rPr>
      </w:pPr>
      <w:r>
        <w:rPr>
          <w:rFonts w:cs="仿宋_GB2312" w:asciiTheme="majorEastAsia" w:hAnsiTheme="majorEastAsia" w:eastAsiaTheme="majorEastAsia"/>
          <w:b/>
          <w:color w:val="auto"/>
          <w:sz w:val="24"/>
          <w:szCs w:val="24"/>
          <w:highlight w:val="none"/>
        </w:rPr>
        <w:t>8.开标前答疑会或现场考察</w:t>
      </w:r>
    </w:p>
    <w:p>
      <w:pPr>
        <w:pStyle w:val="33"/>
        <w:adjustRightInd/>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adjustRightInd/>
        <w:spacing w:line="360" w:lineRule="auto"/>
        <w:rPr>
          <w:rFonts w:cs="仿宋_GB2312" w:asciiTheme="majorEastAsia" w:hAnsiTheme="majorEastAsia" w:eastAsiaTheme="majorEastAsia"/>
          <w:b/>
          <w:color w:val="auto"/>
          <w:sz w:val="24"/>
          <w:szCs w:val="24"/>
          <w:highlight w:val="none"/>
        </w:rPr>
      </w:pPr>
      <w:r>
        <w:rPr>
          <w:rFonts w:asciiTheme="majorEastAsia" w:hAnsiTheme="majorEastAsia" w:eastAsiaTheme="majorEastAsia"/>
          <w:b/>
          <w:color w:val="auto"/>
          <w:kern w:val="28"/>
          <w:sz w:val="24"/>
          <w:szCs w:val="24"/>
          <w:highlight w:val="none"/>
        </w:rPr>
        <w:t>9.投标保证金</w:t>
      </w:r>
    </w:p>
    <w:p>
      <w:pPr>
        <w:pStyle w:val="5"/>
        <w:adjustRightInd/>
        <w:snapToGrid/>
        <w:spacing w:line="360" w:lineRule="auto"/>
        <w:ind w:firstLine="470" w:firstLineChars="196"/>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本项目不需缴纳投标保证金。</w:t>
      </w:r>
    </w:p>
    <w:p>
      <w:pPr>
        <w:pStyle w:val="33"/>
        <w:adjustRightInd/>
        <w:spacing w:line="360" w:lineRule="auto"/>
        <w:rPr>
          <w:rFonts w:cs="仿宋_GB2312" w:asciiTheme="majorEastAsia" w:hAnsiTheme="majorEastAsia" w:eastAsiaTheme="majorEastAsia"/>
          <w:b/>
          <w:color w:val="auto"/>
          <w:sz w:val="24"/>
          <w:szCs w:val="24"/>
          <w:highlight w:val="none"/>
        </w:rPr>
      </w:pPr>
      <w:r>
        <w:rPr>
          <w:rFonts w:cs="仿宋_GB2312" w:asciiTheme="majorEastAsia" w:hAnsiTheme="majorEastAsia" w:eastAsiaTheme="majorEastAsia"/>
          <w:b/>
          <w:color w:val="auto"/>
          <w:sz w:val="24"/>
          <w:szCs w:val="24"/>
          <w:highlight w:val="none"/>
        </w:rPr>
        <w:t xml:space="preserve">10. </w:t>
      </w:r>
      <w:r>
        <w:rPr>
          <w:rFonts w:hint="eastAsia" w:cs="仿宋_GB2312" w:asciiTheme="majorEastAsia" w:hAnsiTheme="majorEastAsia" w:eastAsiaTheme="majorEastAsia"/>
          <w:b/>
          <w:color w:val="auto"/>
          <w:sz w:val="24"/>
          <w:szCs w:val="24"/>
          <w:highlight w:val="none"/>
        </w:rPr>
        <w:t>投标文件的语言</w:t>
      </w:r>
    </w:p>
    <w:p>
      <w:pPr>
        <w:autoSpaceDE w:val="0"/>
        <w:autoSpaceDN w:val="0"/>
        <w:adjustRightInd/>
        <w:spacing w:line="360" w:lineRule="auto"/>
        <w:ind w:firstLine="480" w:firstLineChars="200"/>
        <w:rPr>
          <w:rFonts w:cs="仿宋_GB2312" w:asciiTheme="majorEastAsia" w:hAnsiTheme="majorEastAsia" w:eastAsiaTheme="majorEastAsia"/>
          <w:color w:val="auto"/>
          <w:sz w:val="24"/>
          <w:highlight w:val="none"/>
          <w:lang w:val="zh-CN"/>
        </w:rPr>
      </w:pPr>
      <w:r>
        <w:rPr>
          <w:rFonts w:hint="eastAsia" w:cs="仿宋_GB2312" w:asciiTheme="majorEastAsia" w:hAnsiTheme="majorEastAsia" w:eastAsiaTheme="majorEastAsia"/>
          <w:color w:val="auto"/>
          <w:sz w:val="24"/>
          <w:highlight w:val="none"/>
        </w:rPr>
        <w:t>投标文件及投标人与采购有关的来往通知、函件和文件均应使用中文。</w:t>
      </w:r>
    </w:p>
    <w:p>
      <w:pPr>
        <w:pStyle w:val="33"/>
        <w:adjustRightInd/>
        <w:spacing w:line="360" w:lineRule="auto"/>
        <w:rPr>
          <w:rFonts w:cs="仿宋_GB2312" w:asciiTheme="majorEastAsia" w:hAnsiTheme="majorEastAsia" w:eastAsiaTheme="majorEastAsia"/>
          <w:b/>
          <w:color w:val="auto"/>
          <w:sz w:val="24"/>
          <w:szCs w:val="24"/>
          <w:highlight w:val="none"/>
        </w:rPr>
      </w:pPr>
      <w:r>
        <w:rPr>
          <w:rFonts w:cs="仿宋_GB2312" w:asciiTheme="majorEastAsia" w:hAnsiTheme="majorEastAsia" w:eastAsiaTheme="majorEastAsia"/>
          <w:b/>
          <w:color w:val="auto"/>
          <w:sz w:val="24"/>
          <w:szCs w:val="24"/>
          <w:highlight w:val="none"/>
        </w:rPr>
        <w:t xml:space="preserve">11. </w:t>
      </w:r>
      <w:r>
        <w:rPr>
          <w:rFonts w:hint="eastAsia" w:cs="仿宋_GB2312" w:asciiTheme="majorEastAsia" w:hAnsiTheme="majorEastAsia" w:eastAsiaTheme="majorEastAsia"/>
          <w:b/>
          <w:color w:val="auto"/>
          <w:sz w:val="24"/>
          <w:szCs w:val="24"/>
          <w:highlight w:val="none"/>
        </w:rPr>
        <w:t>投标文件的组成</w:t>
      </w:r>
    </w:p>
    <w:p>
      <w:pPr>
        <w:adjustRightInd/>
        <w:spacing w:line="360" w:lineRule="auto"/>
        <w:ind w:firstLine="482" w:firstLineChars="200"/>
        <w:rPr>
          <w:rFonts w:cs="仿宋_GB2312" w:asciiTheme="majorEastAsia" w:hAnsiTheme="majorEastAsia" w:eastAsiaTheme="majorEastAsia"/>
          <w:b/>
          <w:color w:val="auto"/>
          <w:sz w:val="24"/>
          <w:highlight w:val="none"/>
        </w:rPr>
      </w:pPr>
      <w:r>
        <w:rPr>
          <w:rFonts w:cs="仿宋_GB2312" w:asciiTheme="majorEastAsia" w:hAnsiTheme="majorEastAsia" w:eastAsiaTheme="majorEastAsia"/>
          <w:b/>
          <w:color w:val="auto"/>
          <w:sz w:val="24"/>
          <w:highlight w:val="none"/>
        </w:rPr>
        <w:t>11.1</w:t>
      </w:r>
      <w:r>
        <w:rPr>
          <w:rFonts w:hint="eastAsia" w:cs="仿宋_GB2312" w:asciiTheme="majorEastAsia" w:hAnsiTheme="majorEastAsia" w:eastAsiaTheme="majorEastAsia"/>
          <w:b/>
          <w:color w:val="auto"/>
          <w:sz w:val="24"/>
          <w:highlight w:val="none"/>
        </w:rPr>
        <w:t>资格文件：</w:t>
      </w:r>
    </w:p>
    <w:p>
      <w:pPr>
        <w:adjustRightInd/>
        <w:spacing w:line="360" w:lineRule="auto"/>
        <w:ind w:firstLine="960" w:firstLineChars="4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11.1.1具有独立承担民事责任能力的证明材料；</w:t>
      </w:r>
    </w:p>
    <w:p>
      <w:pPr>
        <w:adjustRightInd/>
        <w:spacing w:line="360" w:lineRule="auto"/>
        <w:ind w:firstLine="960" w:firstLineChars="4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11.1.</w:t>
      </w:r>
      <w:r>
        <w:rPr>
          <w:rFonts w:hint="eastAsia" w:cs="仿宋_GB2312" w:asciiTheme="majorEastAsia" w:hAnsiTheme="majorEastAsia" w:eastAsiaTheme="majorEastAsia"/>
          <w:color w:val="auto"/>
          <w:sz w:val="24"/>
          <w:highlight w:val="none"/>
        </w:rPr>
        <w:t>2</w:t>
      </w:r>
      <w:r>
        <w:rPr>
          <w:rFonts w:cs="仿宋_GB2312" w:asciiTheme="majorEastAsia" w:hAnsiTheme="majorEastAsia" w:eastAsiaTheme="majorEastAsia"/>
          <w:color w:val="auto"/>
          <w:sz w:val="24"/>
          <w:highlight w:val="none"/>
        </w:rPr>
        <w:t>符合参加政府采购活动应当具备的一般条件的承诺函；</w:t>
      </w:r>
    </w:p>
    <w:p>
      <w:pPr>
        <w:adjustRightInd/>
        <w:spacing w:line="360" w:lineRule="auto"/>
        <w:ind w:firstLine="1024" w:firstLineChars="427"/>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11.1.</w:t>
      </w:r>
      <w:r>
        <w:rPr>
          <w:rFonts w:hint="eastAsia" w:cs="仿宋_GB2312" w:asciiTheme="majorEastAsia" w:hAnsiTheme="majorEastAsia" w:eastAsiaTheme="majorEastAsia"/>
          <w:color w:val="auto"/>
          <w:sz w:val="24"/>
          <w:highlight w:val="none"/>
        </w:rPr>
        <w:t>3</w:t>
      </w:r>
      <w:r>
        <w:rPr>
          <w:rFonts w:cs="仿宋_GB2312" w:asciiTheme="majorEastAsia" w:hAnsiTheme="majorEastAsia" w:eastAsiaTheme="majorEastAsia"/>
          <w:color w:val="auto"/>
          <w:sz w:val="24"/>
          <w:highlight w:val="none"/>
        </w:rPr>
        <w:t>落实政府采购政策需满足的资格要求</w:t>
      </w:r>
      <w:r>
        <w:rPr>
          <w:rFonts w:hint="eastAsia" w:cs="仿宋_GB2312" w:asciiTheme="majorEastAsia" w:hAnsiTheme="majorEastAsia" w:eastAsiaTheme="majorEastAsia"/>
          <w:color w:val="auto"/>
          <w:sz w:val="24"/>
          <w:highlight w:val="none"/>
          <w:lang w:eastAsia="zh-CN"/>
        </w:rPr>
        <w:t>【</w:t>
      </w:r>
      <w:r>
        <w:rPr>
          <w:rFonts w:hint="eastAsia" w:cs="仿宋_GB2312" w:asciiTheme="minorEastAsia" w:hAnsiTheme="minorEastAsia" w:eastAsiaTheme="minorEastAsia"/>
          <w:snapToGrid w:val="0"/>
          <w:color w:val="auto"/>
          <w:kern w:val="28"/>
          <w:sz w:val="24"/>
          <w:szCs w:val="20"/>
          <w:highlight w:val="none"/>
          <w:lang w:val="en-US" w:eastAsia="zh-CN"/>
        </w:rPr>
        <w:t>本项目专门面向中小企业采购（货物由中小企业制造，即货物由中小企业生产且使用该中小企业商号或者注册商标），提供中小企业声明函</w:t>
      </w:r>
      <w:r>
        <w:rPr>
          <w:rFonts w:hint="eastAsia" w:cs="仿宋_GB2312" w:asciiTheme="majorEastAsia" w:hAnsiTheme="majorEastAsia" w:eastAsiaTheme="majorEastAsia"/>
          <w:color w:val="auto"/>
          <w:sz w:val="24"/>
          <w:highlight w:val="none"/>
          <w:lang w:eastAsia="zh-CN"/>
        </w:rPr>
        <w:t>】</w:t>
      </w:r>
      <w:r>
        <w:rPr>
          <w:rFonts w:cs="仿宋_GB2312" w:asciiTheme="majorEastAsia" w:hAnsiTheme="majorEastAsia" w:eastAsiaTheme="majorEastAsia"/>
          <w:color w:val="auto"/>
          <w:sz w:val="24"/>
          <w:highlight w:val="none"/>
        </w:rPr>
        <w:t>；</w:t>
      </w:r>
    </w:p>
    <w:p>
      <w:pPr>
        <w:adjustRightInd/>
        <w:spacing w:line="360" w:lineRule="auto"/>
        <w:ind w:firstLine="960" w:firstLineChars="4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11.1.</w:t>
      </w:r>
      <w:r>
        <w:rPr>
          <w:rFonts w:hint="eastAsia" w:cs="仿宋_GB2312" w:asciiTheme="majorEastAsia" w:hAnsiTheme="majorEastAsia" w:eastAsiaTheme="majorEastAsia"/>
          <w:color w:val="auto"/>
          <w:sz w:val="24"/>
          <w:highlight w:val="none"/>
        </w:rPr>
        <w:t>4</w:t>
      </w:r>
      <w:r>
        <w:rPr>
          <w:rFonts w:cs="仿宋_GB2312" w:asciiTheme="majorEastAsia" w:hAnsiTheme="majorEastAsia" w:eastAsiaTheme="majorEastAsia"/>
          <w:color w:val="auto"/>
          <w:sz w:val="24"/>
          <w:highlight w:val="none"/>
        </w:rPr>
        <w:t>本项目的特定资格要求</w:t>
      </w:r>
      <w:r>
        <w:rPr>
          <w:rFonts w:hint="eastAsia" w:cs="仿宋_GB2312" w:asciiTheme="majorEastAsia" w:hAnsiTheme="majorEastAsia" w:eastAsiaTheme="majorEastAsia"/>
          <w:color w:val="auto"/>
          <w:sz w:val="24"/>
          <w:highlight w:val="none"/>
        </w:rPr>
        <w:t>（如有）</w:t>
      </w:r>
      <w:r>
        <w:rPr>
          <w:rFonts w:cs="仿宋_GB2312" w:asciiTheme="majorEastAsia" w:hAnsiTheme="majorEastAsia" w:eastAsiaTheme="majorEastAsia"/>
          <w:color w:val="auto"/>
          <w:sz w:val="24"/>
          <w:highlight w:val="none"/>
        </w:rPr>
        <w:t>。</w:t>
      </w:r>
    </w:p>
    <w:p>
      <w:pPr>
        <w:adjustRightInd/>
        <w:spacing w:line="360" w:lineRule="auto"/>
        <w:ind w:firstLine="482" w:firstLineChars="200"/>
        <w:rPr>
          <w:rFonts w:cs="仿宋_GB2312" w:asciiTheme="majorEastAsia" w:hAnsiTheme="majorEastAsia" w:eastAsiaTheme="majorEastAsia"/>
          <w:b/>
          <w:color w:val="auto"/>
          <w:sz w:val="24"/>
          <w:highlight w:val="none"/>
          <w:lang w:val="zh-CN"/>
        </w:rPr>
      </w:pPr>
      <w:r>
        <w:rPr>
          <w:rFonts w:cs="仿宋_GB2312" w:asciiTheme="majorEastAsia" w:hAnsiTheme="majorEastAsia" w:eastAsiaTheme="majorEastAsia"/>
          <w:b/>
          <w:color w:val="auto"/>
          <w:sz w:val="24"/>
          <w:highlight w:val="none"/>
          <w:lang w:val="zh-CN"/>
        </w:rPr>
        <w:t>11.</w:t>
      </w:r>
      <w:r>
        <w:rPr>
          <w:rFonts w:cs="仿宋_GB2312" w:asciiTheme="majorEastAsia" w:hAnsiTheme="majorEastAsia" w:eastAsiaTheme="majorEastAsia"/>
          <w:b/>
          <w:color w:val="auto"/>
          <w:sz w:val="24"/>
          <w:highlight w:val="none"/>
        </w:rPr>
        <w:t>2</w:t>
      </w:r>
      <w:r>
        <w:rPr>
          <w:rFonts w:cs="仿宋_GB2312" w:asciiTheme="majorEastAsia" w:hAnsiTheme="majorEastAsia" w:eastAsiaTheme="majorEastAsia"/>
          <w:b/>
          <w:color w:val="auto"/>
          <w:sz w:val="24"/>
          <w:highlight w:val="none"/>
          <w:lang w:val="zh-CN"/>
        </w:rPr>
        <w:t xml:space="preserve">  </w:t>
      </w:r>
      <w:r>
        <w:rPr>
          <w:rFonts w:hint="eastAsia" w:cs="仿宋_GB2312" w:asciiTheme="majorEastAsia" w:hAnsiTheme="majorEastAsia" w:eastAsiaTheme="majorEastAsia"/>
          <w:b/>
          <w:color w:val="auto"/>
          <w:sz w:val="24"/>
          <w:highlight w:val="none"/>
        </w:rPr>
        <w:t>商务技术</w:t>
      </w:r>
      <w:r>
        <w:rPr>
          <w:rFonts w:hint="eastAsia" w:cs="仿宋_GB2312" w:asciiTheme="majorEastAsia" w:hAnsiTheme="majorEastAsia" w:eastAsiaTheme="majorEastAsia"/>
          <w:b/>
          <w:color w:val="auto"/>
          <w:sz w:val="24"/>
          <w:highlight w:val="none"/>
          <w:lang w:val="zh-CN"/>
        </w:rPr>
        <w:t>文件：</w:t>
      </w:r>
    </w:p>
    <w:p>
      <w:pPr>
        <w:adjustRightInd/>
        <w:spacing w:line="360" w:lineRule="auto"/>
        <w:ind w:firstLine="960" w:firstLineChars="4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11.2.1投标函；</w:t>
      </w:r>
      <w:r>
        <w:rPr>
          <w:rFonts w:cs="仿宋_GB2312" w:asciiTheme="majorEastAsia" w:hAnsiTheme="majorEastAsia" w:eastAsiaTheme="majorEastAsia"/>
          <w:color w:val="auto"/>
          <w:sz w:val="24"/>
          <w:highlight w:val="none"/>
          <w:lang w:val="zh-CN"/>
        </w:rPr>
        <w:t xml:space="preserve"> </w:t>
      </w:r>
    </w:p>
    <w:p>
      <w:pPr>
        <w:adjustRightInd/>
        <w:spacing w:line="360" w:lineRule="auto"/>
        <w:ind w:firstLine="960" w:firstLineChars="4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11.2.2授权委托书或法定代表人（单位负责人、自然人本人）身份证明；</w:t>
      </w:r>
    </w:p>
    <w:p>
      <w:pPr>
        <w:adjustRightInd/>
        <w:spacing w:line="360" w:lineRule="auto"/>
        <w:ind w:firstLine="960" w:firstLineChars="4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11.2.</w:t>
      </w:r>
      <w:r>
        <w:rPr>
          <w:rFonts w:hint="eastAsia" w:cs="仿宋_GB2312" w:asciiTheme="majorEastAsia" w:hAnsiTheme="majorEastAsia" w:eastAsiaTheme="majorEastAsia"/>
          <w:color w:val="auto"/>
          <w:sz w:val="24"/>
          <w:highlight w:val="none"/>
        </w:rPr>
        <w:t>3技术方案（包括但不仅限于项目整体供货方案、安装调试方案等）；</w:t>
      </w:r>
    </w:p>
    <w:p>
      <w:pPr>
        <w:adjustRightInd/>
        <w:spacing w:line="360" w:lineRule="auto"/>
        <w:ind w:firstLine="960" w:firstLineChars="4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11.2.</w:t>
      </w:r>
      <w:r>
        <w:rPr>
          <w:rFonts w:hint="eastAsia" w:cs="仿宋_GB2312" w:asciiTheme="majorEastAsia" w:hAnsiTheme="majorEastAsia" w:eastAsiaTheme="majorEastAsia"/>
          <w:color w:val="auto"/>
          <w:sz w:val="24"/>
          <w:highlight w:val="none"/>
        </w:rPr>
        <w:t>4</w:t>
      </w:r>
      <w:r>
        <w:rPr>
          <w:rFonts w:cs="仿宋_GB2312" w:asciiTheme="majorEastAsia" w:hAnsiTheme="majorEastAsia" w:eastAsiaTheme="majorEastAsia"/>
          <w:color w:val="auto"/>
          <w:sz w:val="24"/>
          <w:highlight w:val="none"/>
        </w:rPr>
        <w:t>评标标准相应的商务技术得分证明方案或说明；</w:t>
      </w:r>
    </w:p>
    <w:p>
      <w:pPr>
        <w:adjustRightInd/>
        <w:spacing w:line="360" w:lineRule="auto"/>
        <w:ind w:firstLine="960" w:firstLineChars="4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11.2.</w:t>
      </w:r>
      <w:r>
        <w:rPr>
          <w:rFonts w:hint="eastAsia" w:cs="仿宋_GB2312" w:asciiTheme="majorEastAsia" w:hAnsiTheme="majorEastAsia" w:eastAsiaTheme="majorEastAsia"/>
          <w:color w:val="auto"/>
          <w:sz w:val="24"/>
          <w:highlight w:val="none"/>
        </w:rPr>
        <w:t>5</w:t>
      </w:r>
      <w:r>
        <w:rPr>
          <w:rFonts w:cs="仿宋_GB2312" w:asciiTheme="majorEastAsia" w:hAnsiTheme="majorEastAsia" w:eastAsiaTheme="majorEastAsia"/>
          <w:color w:val="auto"/>
          <w:sz w:val="24"/>
          <w:highlight w:val="none"/>
        </w:rPr>
        <w:t>商务技术偏离表</w:t>
      </w:r>
      <w:r>
        <w:rPr>
          <w:rFonts w:hint="eastAsia" w:cs="仿宋_GB2312" w:asciiTheme="majorEastAsia" w:hAnsiTheme="majorEastAsia" w:eastAsiaTheme="majorEastAsia"/>
          <w:color w:val="auto"/>
          <w:sz w:val="24"/>
          <w:highlight w:val="none"/>
        </w:rPr>
        <w:t>及附表</w:t>
      </w:r>
      <w:r>
        <w:rPr>
          <w:rFonts w:cs="仿宋_GB2312" w:asciiTheme="majorEastAsia" w:hAnsiTheme="majorEastAsia" w:eastAsiaTheme="majorEastAsia"/>
          <w:color w:val="auto"/>
          <w:sz w:val="24"/>
          <w:highlight w:val="none"/>
        </w:rPr>
        <w:t>；</w:t>
      </w:r>
    </w:p>
    <w:p>
      <w:pPr>
        <w:adjustRightInd/>
        <w:spacing w:line="360" w:lineRule="auto"/>
        <w:ind w:firstLine="960" w:firstLineChars="400"/>
        <w:jc w:val="left"/>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11.2.</w:t>
      </w:r>
      <w:r>
        <w:rPr>
          <w:rFonts w:hint="eastAsia" w:cs="仿宋_GB2312" w:asciiTheme="majorEastAsia" w:hAnsiTheme="majorEastAsia" w:eastAsiaTheme="majorEastAsia"/>
          <w:color w:val="auto"/>
          <w:sz w:val="24"/>
          <w:highlight w:val="none"/>
        </w:rPr>
        <w:t>6政府采购供应商廉洁自律承诺书；</w:t>
      </w:r>
    </w:p>
    <w:p>
      <w:pPr>
        <w:adjustRightInd/>
        <w:spacing w:line="360" w:lineRule="auto"/>
        <w:ind w:firstLine="960" w:firstLineChars="4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11.2.7采购文件要求提供的其他证明资料。</w:t>
      </w:r>
    </w:p>
    <w:p>
      <w:pPr>
        <w:adjustRightInd/>
        <w:spacing w:line="360" w:lineRule="auto"/>
        <w:ind w:firstLine="482" w:firstLineChars="200"/>
        <w:rPr>
          <w:rFonts w:cs="仿宋_GB2312" w:asciiTheme="majorEastAsia" w:hAnsiTheme="majorEastAsia" w:eastAsiaTheme="majorEastAsia"/>
          <w:b/>
          <w:color w:val="auto"/>
          <w:sz w:val="24"/>
          <w:highlight w:val="none"/>
          <w:u w:val="single"/>
          <w:lang w:val="zh-CN"/>
        </w:rPr>
      </w:pPr>
      <w:r>
        <w:rPr>
          <w:rFonts w:cs="仿宋_GB2312" w:asciiTheme="majorEastAsia" w:hAnsiTheme="majorEastAsia" w:eastAsiaTheme="majorEastAsia"/>
          <w:b/>
          <w:color w:val="auto"/>
          <w:kern w:val="0"/>
          <w:sz w:val="24"/>
          <w:highlight w:val="none"/>
          <w:lang w:val="zh-CN"/>
        </w:rPr>
        <w:t>11.</w:t>
      </w:r>
      <w:r>
        <w:rPr>
          <w:rFonts w:cs="仿宋_GB2312" w:asciiTheme="majorEastAsia" w:hAnsiTheme="majorEastAsia" w:eastAsiaTheme="majorEastAsia"/>
          <w:b/>
          <w:color w:val="auto"/>
          <w:kern w:val="0"/>
          <w:sz w:val="24"/>
          <w:highlight w:val="none"/>
        </w:rPr>
        <w:t>3</w:t>
      </w:r>
      <w:r>
        <w:rPr>
          <w:rFonts w:hint="eastAsia" w:cs="仿宋_GB2312" w:asciiTheme="majorEastAsia" w:hAnsiTheme="majorEastAsia" w:eastAsiaTheme="majorEastAsia"/>
          <w:b/>
          <w:color w:val="auto"/>
          <w:sz w:val="24"/>
          <w:highlight w:val="none"/>
        </w:rPr>
        <w:t>报价文件：</w:t>
      </w:r>
      <w:r>
        <w:rPr>
          <w:rFonts w:cs="仿宋_GB2312" w:asciiTheme="majorEastAsia" w:hAnsiTheme="majorEastAsia" w:eastAsiaTheme="majorEastAsia"/>
          <w:b/>
          <w:color w:val="auto"/>
          <w:sz w:val="24"/>
          <w:highlight w:val="none"/>
        </w:rPr>
        <w:t xml:space="preserve"> </w:t>
      </w:r>
    </w:p>
    <w:p>
      <w:pPr>
        <w:adjustRightInd/>
        <w:spacing w:line="360" w:lineRule="auto"/>
        <w:ind w:firstLine="960" w:firstLineChars="4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11.3.1开标一览表；</w:t>
      </w:r>
    </w:p>
    <w:p>
      <w:pPr>
        <w:adjustRightInd/>
        <w:spacing w:line="360" w:lineRule="auto"/>
        <w:ind w:firstLine="960" w:firstLineChars="4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11.3.</w:t>
      </w:r>
      <w:r>
        <w:rPr>
          <w:rFonts w:hint="eastAsia" w:cs="仿宋_GB2312" w:asciiTheme="majorEastAsia" w:hAnsiTheme="majorEastAsia" w:eastAsiaTheme="majorEastAsia"/>
          <w:color w:val="auto"/>
          <w:sz w:val="24"/>
          <w:highlight w:val="none"/>
        </w:rPr>
        <w:t>2报价情况说明（如供应商报价低于项目预算50%的，应当提交本文档，详细阐述不影响产品质量或者诚信履约的具体原因）</w:t>
      </w:r>
    </w:p>
    <w:p>
      <w:pPr>
        <w:adjustRightInd/>
        <w:spacing w:line="360" w:lineRule="auto"/>
        <w:ind w:firstLine="960" w:firstLineChars="4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11.3.3报价明细表</w:t>
      </w:r>
      <w:r>
        <w:rPr>
          <w:rFonts w:cs="仿宋_GB2312" w:asciiTheme="majorEastAsia" w:hAnsiTheme="majorEastAsia" w:eastAsiaTheme="majorEastAsia"/>
          <w:color w:val="auto"/>
          <w:sz w:val="24"/>
          <w:highlight w:val="none"/>
        </w:rPr>
        <w:t>；</w:t>
      </w:r>
    </w:p>
    <w:p>
      <w:pPr>
        <w:adjustRightInd/>
        <w:spacing w:line="360" w:lineRule="auto"/>
        <w:ind w:firstLine="723" w:firstLineChars="3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投标文件含有采购人不能接受的附加条件的，投标无效；</w:t>
      </w:r>
    </w:p>
    <w:p>
      <w:pPr>
        <w:adjustRightInd/>
        <w:spacing w:line="360" w:lineRule="auto"/>
        <w:ind w:firstLine="723" w:firstLineChars="300"/>
        <w:rPr>
          <w:rFonts w:cs="仿宋_GB2312"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投标人提供虚假材料投标的，投标无效。投标人应对投标文件中材料的真实性、合法性负责。</w:t>
      </w:r>
    </w:p>
    <w:p>
      <w:pPr>
        <w:adjustRightInd/>
        <w:spacing w:line="360" w:lineRule="auto"/>
        <w:rPr>
          <w:rFonts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 xml:space="preserve">12. </w:t>
      </w:r>
      <w:r>
        <w:rPr>
          <w:rFonts w:hint="eastAsia" w:asciiTheme="majorEastAsia" w:hAnsiTheme="majorEastAsia" w:eastAsiaTheme="majorEastAsia"/>
          <w:b/>
          <w:color w:val="auto"/>
          <w:sz w:val="24"/>
          <w:highlight w:val="none"/>
        </w:rPr>
        <w:t>投标文件的编制</w:t>
      </w:r>
    </w:p>
    <w:p>
      <w:pPr>
        <w:adjustRightInd/>
        <w:spacing w:line="360" w:lineRule="auto"/>
        <w:ind w:firstLine="480" w:firstLineChars="200"/>
        <w:rPr>
          <w:rFonts w:cs="仿宋_GB2312" w:asciiTheme="majorEastAsia" w:hAnsiTheme="majorEastAsia" w:eastAsiaTheme="majorEastAsia"/>
          <w:b/>
          <w:color w:val="auto"/>
          <w:sz w:val="24"/>
          <w:highlight w:val="none"/>
        </w:rPr>
      </w:pPr>
      <w:r>
        <w:rPr>
          <w:rFonts w:cs="仿宋_GB2312" w:asciiTheme="majorEastAsia" w:hAnsiTheme="majorEastAsia" w:eastAsiaTheme="majorEastAsia"/>
          <w:color w:val="auto"/>
          <w:kern w:val="0"/>
          <w:sz w:val="24"/>
          <w:highlight w:val="none"/>
          <w:lang w:val="zh-CN"/>
        </w:rPr>
        <w:t>12.1投标文件分为资格文件、商务技术文件、报价文件三部分。各投标人在编制投标文件时请按照招标文件第六部</w:t>
      </w:r>
      <w:r>
        <w:rPr>
          <w:rFonts w:hint="eastAsia" w:cs="仿宋_GB2312" w:asciiTheme="majorEastAsia" w:hAnsiTheme="majorEastAsia" w:eastAsiaTheme="majorEastAsia"/>
          <w:color w:val="auto"/>
          <w:kern w:val="0"/>
          <w:sz w:val="24"/>
          <w:highlight w:val="none"/>
          <w:lang w:val="zh-CN"/>
        </w:rPr>
        <w:t>分规定的格式进行，混乱的编排导致投标文件被误读或评标委员会查找不到有效文件是投标人的风险。</w:t>
      </w:r>
    </w:p>
    <w:p>
      <w:pPr>
        <w:adjustRightInd/>
        <w:spacing w:line="360" w:lineRule="auto"/>
        <w:ind w:firstLine="480" w:firstLineChars="200"/>
        <w:rPr>
          <w:rFonts w:cs="仿宋_GB2312" w:asciiTheme="majorEastAsia" w:hAnsiTheme="majorEastAsia" w:eastAsiaTheme="majorEastAsia"/>
          <w:color w:val="auto"/>
          <w:kern w:val="0"/>
          <w:sz w:val="24"/>
          <w:highlight w:val="none"/>
          <w:lang w:val="zh-CN"/>
        </w:rPr>
      </w:pPr>
      <w:r>
        <w:rPr>
          <w:rFonts w:cs="仿宋_GB2312" w:asciiTheme="majorEastAsia" w:hAnsiTheme="majorEastAsia" w:eastAsiaTheme="majorEastAsia"/>
          <w:color w:val="auto"/>
          <w:kern w:val="0"/>
          <w:sz w:val="24"/>
          <w:highlight w:val="none"/>
          <w:lang w:val="zh-CN"/>
        </w:rPr>
        <w:t>12.2投标人进行电子投标应安装客户端软件—“政</w:t>
      </w:r>
      <w:r>
        <w:rPr>
          <w:rFonts w:hint="eastAsia" w:cs="仿宋_GB2312" w:asciiTheme="majorEastAsia" w:hAnsiTheme="majorEastAsia" w:eastAsiaTheme="majorEastAsia"/>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adjustRightInd/>
        <w:spacing w:line="360" w:lineRule="auto"/>
        <w:ind w:firstLine="480" w:firstLineChars="200"/>
        <w:rPr>
          <w:rFonts w:cs="仿宋_GB2312" w:asciiTheme="majorEastAsia" w:hAnsiTheme="majorEastAsia" w:eastAsiaTheme="majorEastAsia"/>
          <w:color w:val="auto"/>
          <w:kern w:val="0"/>
          <w:sz w:val="24"/>
          <w:highlight w:val="none"/>
          <w:lang w:val="zh-CN"/>
        </w:rPr>
      </w:pPr>
      <w:r>
        <w:rPr>
          <w:rFonts w:cs="仿宋_GB2312" w:asciiTheme="majorEastAsia" w:hAnsiTheme="majorEastAsia" w:eastAsiaTheme="majorEastAsia"/>
          <w:color w:val="auto"/>
          <w:kern w:val="0"/>
          <w:sz w:val="24"/>
          <w:highlight w:val="none"/>
          <w:lang w:val="zh-CN"/>
        </w:rPr>
        <w:t>12.3使用“政</w:t>
      </w:r>
      <w:r>
        <w:rPr>
          <w:rFonts w:hint="eastAsia" w:cs="仿宋_GB2312" w:asciiTheme="majorEastAsia" w:hAnsiTheme="majorEastAsia" w:eastAsiaTheme="majorEastAsia"/>
          <w:color w:val="auto"/>
          <w:kern w:val="0"/>
          <w:sz w:val="24"/>
          <w:highlight w:val="none"/>
          <w:lang w:val="zh-CN"/>
        </w:rPr>
        <w:t>采云电子交易客户端”需要提前申领</w:t>
      </w:r>
      <w:r>
        <w:rPr>
          <w:rFonts w:cs="仿宋_GB2312" w:asciiTheme="majorEastAsia" w:hAnsiTheme="majorEastAsia" w:eastAsiaTheme="majorEastAsia"/>
          <w:color w:val="auto"/>
          <w:kern w:val="0"/>
          <w:sz w:val="24"/>
          <w:highlight w:val="none"/>
          <w:lang w:val="zh-CN"/>
        </w:rPr>
        <w:t>CA数字证书，申领流程请自行前往“浙江政府采购网-下载专区-电子交易客户端-CA驱动和申领流程”进行查阅。</w:t>
      </w:r>
    </w:p>
    <w:p>
      <w:pPr>
        <w:adjustRightInd/>
        <w:spacing w:line="360" w:lineRule="auto"/>
        <w:rPr>
          <w:rFonts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13.投标文件的签署、盖章</w:t>
      </w:r>
    </w:p>
    <w:p>
      <w:pPr>
        <w:pStyle w:val="132"/>
        <w:adjustRightInd/>
        <w:spacing w:before="0"/>
        <w:ind w:firstLine="480"/>
        <w:rPr>
          <w:rFonts w:cs="仿宋_GB2312" w:asciiTheme="majorEastAsia" w:hAnsiTheme="majorEastAsia" w:eastAsiaTheme="majorEastAsia"/>
          <w:b/>
          <w:color w:val="auto"/>
          <w:szCs w:val="24"/>
          <w:highlight w:val="none"/>
        </w:rPr>
      </w:pPr>
      <w:r>
        <w:rPr>
          <w:rFonts w:cs="仿宋_GB2312" w:asciiTheme="majorEastAsia" w:hAnsiTheme="majorEastAsia" w:eastAsiaTheme="majorEastAsia"/>
          <w:color w:val="auto"/>
          <w:szCs w:val="24"/>
          <w:highlight w:val="none"/>
        </w:rPr>
        <w:t>13.1投标文件按照招标文件第六部分格式要</w:t>
      </w:r>
      <w:r>
        <w:rPr>
          <w:rFonts w:hint="eastAsia" w:cs="仿宋_GB2312" w:asciiTheme="majorEastAsia" w:hAnsiTheme="majorEastAsia" w:eastAsiaTheme="majorEastAsia"/>
          <w:color w:val="auto"/>
          <w:szCs w:val="24"/>
          <w:highlight w:val="none"/>
        </w:rPr>
        <w:t>求进行签署、盖章。</w:t>
      </w:r>
      <w:r>
        <w:rPr>
          <w:rFonts w:hint="eastAsia" w:cs="宋体" w:asciiTheme="majorEastAsia" w:hAnsiTheme="majorEastAsia" w:eastAsiaTheme="majorEastAsia"/>
          <w:b/>
          <w:bCs/>
          <w:color w:val="auto"/>
          <w:szCs w:val="24"/>
          <w:highlight w:val="none"/>
        </w:rPr>
        <w:t>★</w:t>
      </w:r>
      <w:r>
        <w:rPr>
          <w:rFonts w:hint="eastAsia" w:cs="仿宋_GB2312" w:asciiTheme="majorEastAsia" w:hAnsiTheme="majorEastAsia" w:eastAsiaTheme="majorEastAsia"/>
          <w:b/>
          <w:color w:val="auto"/>
          <w:szCs w:val="24"/>
          <w:highlight w:val="none"/>
        </w:rPr>
        <w:t>投标人的投标文件未按照招标文件要求签署、盖章的，其投标无效</w:t>
      </w:r>
      <w:r>
        <w:rPr>
          <w:rFonts w:hint="eastAsia" w:cs="仿宋_GB2312" w:asciiTheme="majorEastAsia" w:hAnsiTheme="majorEastAsia" w:eastAsiaTheme="majorEastAsia"/>
          <w:color w:val="auto"/>
          <w:szCs w:val="24"/>
          <w:highlight w:val="none"/>
        </w:rPr>
        <w:t>。</w:t>
      </w:r>
    </w:p>
    <w:p>
      <w:pPr>
        <w:pStyle w:val="132"/>
        <w:adjustRightInd/>
        <w:spacing w:before="0"/>
        <w:ind w:firstLine="480"/>
        <w:rPr>
          <w:rFonts w:cs="仿宋_GB2312" w:asciiTheme="majorEastAsia" w:hAnsiTheme="majorEastAsia" w:eastAsiaTheme="majorEastAsia"/>
          <w:color w:val="auto"/>
          <w:szCs w:val="24"/>
          <w:highlight w:val="none"/>
        </w:rPr>
      </w:pPr>
      <w:r>
        <w:rPr>
          <w:rFonts w:cs="仿宋_GB2312" w:asciiTheme="majorEastAsia" w:hAnsiTheme="majorEastAsia" w:eastAsiaTheme="majorEastAsia"/>
          <w:color w:val="auto"/>
          <w:szCs w:val="24"/>
          <w:highlight w:val="none"/>
        </w:rPr>
        <w:t>13.2为确保网上操作合法、有效和安全，投标人应当在投标截止时间前完成在“政府采购云平台”的身份认证，确保在电子投标过程中能够对相关数据电文进行加密和使用电子签名。</w:t>
      </w:r>
    </w:p>
    <w:p>
      <w:pPr>
        <w:pStyle w:val="132"/>
        <w:adjustRightInd/>
        <w:spacing w:before="0"/>
        <w:ind w:firstLine="480"/>
        <w:rPr>
          <w:rFonts w:cs="仿宋_GB2312" w:asciiTheme="majorEastAsia" w:hAnsiTheme="majorEastAsia" w:eastAsiaTheme="majorEastAsia"/>
          <w:color w:val="auto"/>
          <w:szCs w:val="24"/>
          <w:highlight w:val="none"/>
        </w:rPr>
      </w:pPr>
      <w:r>
        <w:rPr>
          <w:rFonts w:cs="仿宋_GB2312" w:asciiTheme="majorEastAsia" w:hAnsiTheme="majorEastAsia" w:eastAsiaTheme="majorEastAsia"/>
          <w:color w:val="auto"/>
          <w:szCs w:val="24"/>
          <w:highlight w:val="none"/>
        </w:rPr>
        <w:t>13.3招标文件对投标文件签署、盖章的要求适用于电子签名。</w:t>
      </w:r>
    </w:p>
    <w:p>
      <w:pPr>
        <w:pStyle w:val="132"/>
        <w:adjustRightInd/>
        <w:spacing w:before="0"/>
        <w:ind w:firstLine="0" w:firstLineChars="0"/>
        <w:rPr>
          <w:rFonts w:cs="仿宋_GB2312" w:asciiTheme="majorEastAsia" w:hAnsiTheme="majorEastAsia" w:eastAsiaTheme="majorEastAsia"/>
          <w:b/>
          <w:color w:val="auto"/>
          <w:szCs w:val="24"/>
          <w:highlight w:val="none"/>
        </w:rPr>
      </w:pPr>
      <w:r>
        <w:rPr>
          <w:rFonts w:cs="仿宋_GB2312" w:asciiTheme="majorEastAsia" w:hAnsiTheme="majorEastAsia" w:eastAsiaTheme="majorEastAsia"/>
          <w:b/>
          <w:color w:val="auto"/>
          <w:szCs w:val="24"/>
          <w:highlight w:val="none"/>
        </w:rPr>
        <w:t xml:space="preserve">14. </w:t>
      </w:r>
      <w:r>
        <w:rPr>
          <w:rFonts w:hint="eastAsia" w:cs="仿宋_GB2312" w:asciiTheme="majorEastAsia" w:hAnsiTheme="majorEastAsia" w:eastAsiaTheme="majorEastAsia"/>
          <w:b/>
          <w:color w:val="auto"/>
          <w:szCs w:val="24"/>
          <w:highlight w:val="none"/>
        </w:rPr>
        <w:t>投标文件的提交、补充、修改、撤回</w:t>
      </w:r>
    </w:p>
    <w:p>
      <w:pPr>
        <w:pStyle w:val="132"/>
        <w:adjustRightInd/>
        <w:spacing w:before="0"/>
        <w:ind w:firstLine="480"/>
        <w:rPr>
          <w:rFonts w:cs="仿宋_GB2312" w:asciiTheme="majorEastAsia" w:hAnsiTheme="majorEastAsia" w:eastAsiaTheme="majorEastAsia"/>
          <w:color w:val="auto"/>
          <w:szCs w:val="24"/>
          <w:highlight w:val="none"/>
        </w:rPr>
      </w:pPr>
      <w:r>
        <w:rPr>
          <w:rFonts w:cs="仿宋_GB2312" w:asciiTheme="majorEastAsia" w:hAnsiTheme="majorEastAsia" w:eastAsiaTheme="majorEastAsia"/>
          <w:color w:val="auto"/>
          <w:szCs w:val="24"/>
          <w:highlight w:val="none"/>
        </w:rPr>
        <w:t xml:space="preserve">14.1 </w:t>
      </w:r>
      <w:r>
        <w:rPr>
          <w:rFonts w:hint="eastAsia" w:cs="仿宋_GB2312" w:asciiTheme="majorEastAsia" w:hAnsiTheme="majorEastAsia" w:eastAsiaTheme="majorEastAsia"/>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adjustRightInd/>
        <w:spacing w:before="0"/>
        <w:ind w:firstLine="480"/>
        <w:rPr>
          <w:rFonts w:cs="仿宋_GB2312" w:asciiTheme="majorEastAsia" w:hAnsiTheme="majorEastAsia" w:eastAsiaTheme="majorEastAsia"/>
          <w:color w:val="auto"/>
          <w:szCs w:val="24"/>
          <w:highlight w:val="none"/>
        </w:rPr>
      </w:pPr>
      <w:r>
        <w:rPr>
          <w:rFonts w:cs="仿宋_GB2312" w:asciiTheme="majorEastAsia" w:hAnsiTheme="majorEastAsia" w:eastAsiaTheme="maj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2"/>
        <w:adjustRightInd/>
        <w:spacing w:before="0"/>
        <w:ind w:firstLine="480"/>
        <w:rPr>
          <w:rFonts w:cs="仿宋_GB2312" w:asciiTheme="majorEastAsia" w:hAnsiTheme="majorEastAsia" w:eastAsiaTheme="majorEastAsia"/>
          <w:color w:val="auto"/>
          <w:szCs w:val="24"/>
          <w:highlight w:val="none"/>
        </w:rPr>
      </w:pPr>
      <w:r>
        <w:rPr>
          <w:rFonts w:cs="仿宋_GB2312" w:asciiTheme="majorEastAsia" w:hAnsiTheme="majorEastAsia" w:eastAsiaTheme="maj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3"/>
        <w:adjustRightInd/>
        <w:spacing w:line="360" w:lineRule="auto"/>
        <w:rPr>
          <w:rFonts w:cs="仿宋_GB2312" w:asciiTheme="majorEastAsia" w:hAnsiTheme="majorEastAsia" w:eastAsiaTheme="majorEastAsia"/>
          <w:b/>
          <w:color w:val="auto"/>
          <w:sz w:val="24"/>
          <w:szCs w:val="24"/>
          <w:highlight w:val="none"/>
        </w:rPr>
      </w:pPr>
      <w:r>
        <w:rPr>
          <w:rFonts w:cs="仿宋_GB2312" w:asciiTheme="majorEastAsia" w:hAnsiTheme="majorEastAsia" w:eastAsiaTheme="majorEastAsia"/>
          <w:b/>
          <w:color w:val="auto"/>
          <w:sz w:val="24"/>
          <w:szCs w:val="24"/>
          <w:highlight w:val="none"/>
        </w:rPr>
        <w:t>15.备份投标文件</w:t>
      </w:r>
    </w:p>
    <w:p>
      <w:pPr>
        <w:pStyle w:val="33"/>
        <w:adjustRightInd/>
        <w:spacing w:line="360" w:lineRule="auto"/>
        <w:ind w:firstLine="360" w:firstLineChars="150"/>
        <w:rPr>
          <w:rFonts w:cs="仿宋_GB2312" w:asciiTheme="majorEastAsia" w:hAnsiTheme="majorEastAsia" w:eastAsiaTheme="majorEastAsia"/>
          <w:b/>
          <w:color w:val="auto"/>
          <w:sz w:val="24"/>
          <w:szCs w:val="24"/>
          <w:highlight w:val="none"/>
        </w:rPr>
      </w:pPr>
      <w:r>
        <w:rPr>
          <w:rFonts w:cs="仿宋_GB2312" w:asciiTheme="majorEastAsia" w:hAnsiTheme="majorEastAsia" w:eastAsiaTheme="majorEastAsia"/>
          <w:color w:val="auto"/>
          <w:sz w:val="24"/>
          <w:szCs w:val="24"/>
          <w:highlight w:val="none"/>
        </w:rPr>
        <w:t xml:space="preserve"> 15.1投标人在电子交易平台传输递交投标文件后，还可以在投标截止时间前直接提交备份投标文件1份，</w:t>
      </w:r>
      <w:r>
        <w:rPr>
          <w:rFonts w:hint="eastAsia" w:cs="仿宋_GB2312" w:asciiTheme="majorEastAsia" w:hAnsiTheme="majorEastAsia" w:eastAsiaTheme="majorEastAsia"/>
          <w:b/>
          <w:color w:val="auto"/>
          <w:sz w:val="24"/>
          <w:szCs w:val="24"/>
          <w:highlight w:val="none"/>
        </w:rPr>
        <w:t>但采购人、采购代理机构不强制或变相强制投标人提交备份投标文件。</w:t>
      </w:r>
    </w:p>
    <w:p>
      <w:pPr>
        <w:pStyle w:val="33"/>
        <w:adjustRightInd/>
        <w:spacing w:line="360" w:lineRule="auto"/>
        <w:ind w:firstLine="480" w:firstLineChars="200"/>
        <w:rPr>
          <w:rFonts w:cs="仿宋_GB2312" w:asciiTheme="majorEastAsia" w:hAnsiTheme="majorEastAsia" w:eastAsiaTheme="majorEastAsia"/>
          <w:b/>
          <w:color w:val="auto"/>
          <w:sz w:val="24"/>
          <w:szCs w:val="24"/>
          <w:highlight w:val="none"/>
        </w:rPr>
      </w:pPr>
      <w:r>
        <w:rPr>
          <w:rFonts w:cs="仿宋_GB2312" w:asciiTheme="majorEastAsia" w:hAnsiTheme="majorEastAsia" w:eastAsiaTheme="majorEastAsia"/>
          <w:color w:val="auto"/>
          <w:sz w:val="24"/>
          <w:szCs w:val="24"/>
          <w:highlight w:val="none"/>
        </w:rPr>
        <w:t>15.2备份投标文件须在“政</w:t>
      </w:r>
      <w:r>
        <w:rPr>
          <w:rFonts w:hint="eastAsia" w:cs="仿宋_GB2312" w:asciiTheme="majorEastAsia" w:hAnsiTheme="majorEastAsia" w:eastAsiaTheme="majorEastAsia"/>
          <w:color w:val="auto"/>
          <w:sz w:val="24"/>
          <w:szCs w:val="24"/>
          <w:highlight w:val="none"/>
        </w:rPr>
        <w:t>采云投标客户端”制作生成，并储存在</w:t>
      </w:r>
      <w:r>
        <w:rPr>
          <w:rFonts w:hint="eastAsia" w:asciiTheme="majorEastAsia" w:hAnsiTheme="majorEastAsia" w:eastAsiaTheme="majorEastAsia"/>
          <w:color w:val="auto"/>
          <w:sz w:val="24"/>
          <w:szCs w:val="24"/>
          <w:highlight w:val="none"/>
        </w:rPr>
        <w:t>U</w:t>
      </w:r>
      <w:r>
        <w:rPr>
          <w:rFonts w:asciiTheme="majorEastAsia" w:hAnsiTheme="majorEastAsia" w:eastAsiaTheme="majorEastAsia"/>
          <w:color w:val="auto"/>
          <w:sz w:val="24"/>
          <w:szCs w:val="24"/>
          <w:highlight w:val="none"/>
        </w:rPr>
        <w:t>盘</w:t>
      </w:r>
      <w:r>
        <w:rPr>
          <w:rFonts w:hint="eastAsia" w:cs="仿宋_GB2312" w:asciiTheme="majorEastAsia" w:hAnsiTheme="majorEastAsia" w:eastAsiaTheme="majorEastAsia"/>
          <w:color w:val="auto"/>
          <w:sz w:val="24"/>
          <w:szCs w:val="24"/>
          <w:highlight w:val="none"/>
        </w:rPr>
        <w:t>中。备份投标文件应当密封包装并在包装上加盖公章并注明投标项目名称，投标人名称</w:t>
      </w:r>
      <w:r>
        <w:rPr>
          <w:rFonts w:cs="仿宋_GB2312" w:asciiTheme="majorEastAsia" w:hAnsiTheme="majorEastAsia" w:eastAsiaTheme="majorEastAsia"/>
          <w:color w:val="auto"/>
          <w:sz w:val="24"/>
          <w:szCs w:val="24"/>
          <w:highlight w:val="none"/>
        </w:rPr>
        <w:t>(联合体投标的，包装物封面需注明联合体投标，并注明联合体成员各方的名称和联合协议中约定的牵头人的名称)。</w:t>
      </w:r>
      <w:r>
        <w:rPr>
          <w:rFonts w:hint="eastAsia" w:asciiTheme="majorEastAsia" w:hAnsiTheme="majorEastAsia" w:eastAsiaTheme="majorEastAsia"/>
          <w:b/>
          <w:color w:val="auto"/>
          <w:sz w:val="24"/>
          <w:szCs w:val="24"/>
          <w:highlight w:val="none"/>
        </w:rPr>
        <w:t>不符合上述制作、</w:t>
      </w:r>
      <w:r>
        <w:rPr>
          <w:rFonts w:hint="eastAsia" w:cs="仿宋_GB2312" w:asciiTheme="majorEastAsia" w:hAnsiTheme="majorEastAsia" w:eastAsiaTheme="majorEastAsia"/>
          <w:b/>
          <w:color w:val="auto"/>
          <w:sz w:val="24"/>
          <w:szCs w:val="24"/>
          <w:highlight w:val="none"/>
        </w:rPr>
        <w:t>存储、密封规定的备份投标文件将被视为无效或者被拒绝接收。</w:t>
      </w:r>
    </w:p>
    <w:p>
      <w:pPr>
        <w:pStyle w:val="33"/>
        <w:adjustRightInd/>
        <w:spacing w:line="360" w:lineRule="auto"/>
        <w:ind w:firstLine="480" w:firstLineChars="200"/>
        <w:rPr>
          <w:rFonts w:cs="仿宋_GB2312" w:asciiTheme="majorEastAsia" w:hAnsiTheme="majorEastAsia" w:eastAsiaTheme="majorEastAsia"/>
          <w:color w:val="auto"/>
          <w:sz w:val="24"/>
          <w:szCs w:val="24"/>
          <w:highlight w:val="none"/>
        </w:rPr>
      </w:pPr>
      <w:r>
        <w:rPr>
          <w:rFonts w:cs="仿宋_GB2312" w:asciiTheme="majorEastAsia" w:hAnsiTheme="majorEastAsia" w:eastAsiaTheme="maj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3"/>
        <w:adjustRightInd/>
        <w:spacing w:line="360" w:lineRule="auto"/>
        <w:ind w:firstLine="479" w:firstLineChars="199"/>
        <w:rPr>
          <w:rFonts w:cs="仿宋_GB2312" w:asciiTheme="majorEastAsia" w:hAnsiTheme="majorEastAsia" w:eastAsiaTheme="majorEastAsia"/>
          <w:b/>
          <w:color w:val="auto"/>
          <w:sz w:val="24"/>
          <w:szCs w:val="24"/>
          <w:highlight w:val="none"/>
        </w:rPr>
      </w:pPr>
      <w:r>
        <w:rPr>
          <w:rFonts w:cs="仿宋_GB2312" w:asciiTheme="majorEastAsia" w:hAnsiTheme="majorEastAsia" w:eastAsiaTheme="majorEastAsia"/>
          <w:b/>
          <w:color w:val="auto"/>
          <w:sz w:val="24"/>
          <w:szCs w:val="24"/>
          <w:highlight w:val="none"/>
        </w:rPr>
        <w:t>15.4投标人仅提交备份投标文件，没有在电子交易平台传输递交投标文件的，投标无效。</w:t>
      </w:r>
    </w:p>
    <w:p>
      <w:pPr>
        <w:pStyle w:val="132"/>
        <w:adjustRightInd/>
        <w:spacing w:before="0"/>
        <w:ind w:firstLine="0" w:firstLineChars="0"/>
        <w:rPr>
          <w:rFonts w:cs="仿宋_GB2312" w:asciiTheme="majorEastAsia" w:hAnsiTheme="majorEastAsia" w:eastAsiaTheme="majorEastAsia"/>
          <w:b/>
          <w:color w:val="auto"/>
          <w:szCs w:val="24"/>
          <w:highlight w:val="none"/>
        </w:rPr>
      </w:pPr>
      <w:r>
        <w:rPr>
          <w:rFonts w:cs="仿宋_GB2312" w:asciiTheme="majorEastAsia" w:hAnsiTheme="majorEastAsia" w:eastAsiaTheme="majorEastAsia"/>
          <w:b/>
          <w:color w:val="auto"/>
          <w:szCs w:val="24"/>
          <w:highlight w:val="none"/>
        </w:rPr>
        <w:t>16.投标文件的无效处理</w:t>
      </w:r>
    </w:p>
    <w:p>
      <w:pPr>
        <w:pStyle w:val="25"/>
        <w:adjustRightInd/>
        <w:spacing w:line="360" w:lineRule="auto"/>
        <w:ind w:firstLine="360" w:firstLineChars="15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有招标文件第四部分“</w:t>
      </w:r>
      <w:r>
        <w:rPr>
          <w:rFonts w:hint="eastAsia" w:asciiTheme="majorEastAsia" w:hAnsiTheme="majorEastAsia" w:eastAsiaTheme="majorEastAsia"/>
          <w:color w:val="auto"/>
          <w:highlight w:val="none"/>
        </w:rPr>
        <w:t>4.2投标无效</w:t>
      </w:r>
      <w:r>
        <w:rPr>
          <w:rFonts w:asciiTheme="majorEastAsia" w:hAnsiTheme="majorEastAsia" w:eastAsiaTheme="majorEastAsia"/>
          <w:color w:val="auto"/>
          <w:highlight w:val="none"/>
        </w:rPr>
        <w:t>规定</w:t>
      </w:r>
      <w:r>
        <w:rPr>
          <w:rFonts w:hint="eastAsia" w:cs="仿宋_GB2312" w:asciiTheme="majorEastAsia" w:hAnsiTheme="majorEastAsia" w:eastAsiaTheme="majorEastAsia"/>
          <w:color w:val="auto"/>
          <w:highlight w:val="none"/>
        </w:rPr>
        <w:t>”的情形之一的，投标无效：</w:t>
      </w:r>
    </w:p>
    <w:p>
      <w:pPr>
        <w:pStyle w:val="132"/>
        <w:adjustRightInd/>
        <w:spacing w:before="0"/>
        <w:ind w:firstLine="0" w:firstLineChars="0"/>
        <w:rPr>
          <w:rFonts w:cs="仿宋_GB2312" w:asciiTheme="majorEastAsia" w:hAnsiTheme="majorEastAsia" w:eastAsiaTheme="majorEastAsia"/>
          <w:b/>
          <w:color w:val="auto"/>
          <w:szCs w:val="24"/>
          <w:highlight w:val="none"/>
        </w:rPr>
      </w:pPr>
      <w:r>
        <w:rPr>
          <w:rFonts w:cs="仿宋_GB2312" w:asciiTheme="majorEastAsia" w:hAnsiTheme="majorEastAsia" w:eastAsiaTheme="majorEastAsia"/>
          <w:b/>
          <w:color w:val="auto"/>
          <w:szCs w:val="24"/>
          <w:highlight w:val="none"/>
        </w:rPr>
        <w:t>17.投标有效期</w:t>
      </w:r>
    </w:p>
    <w:p>
      <w:pPr>
        <w:adjustRightInd/>
        <w:spacing w:line="360" w:lineRule="auto"/>
        <w:ind w:firstLine="480" w:firstLineChars="200"/>
        <w:rPr>
          <w:rFonts w:cs="仿宋_GB2312" w:asciiTheme="majorEastAsia" w:hAnsiTheme="majorEastAsia" w:eastAsiaTheme="majorEastAsia"/>
          <w:b/>
          <w:color w:val="auto"/>
          <w:sz w:val="24"/>
          <w:highlight w:val="none"/>
        </w:rPr>
      </w:pPr>
      <w:r>
        <w:rPr>
          <w:rFonts w:cs="仿宋_GB2312" w:asciiTheme="majorEastAsia" w:hAnsiTheme="majorEastAsia" w:eastAsiaTheme="majorEastAsia"/>
          <w:color w:val="auto"/>
          <w:sz w:val="24"/>
          <w:highlight w:val="none"/>
        </w:rPr>
        <w:t>17.1投标有效期为从提交投标文件的截止之日起90天。</w:t>
      </w:r>
      <w:r>
        <w:rPr>
          <w:rFonts w:hint="eastAsia" w:cs="宋体" w:asciiTheme="majorEastAsia" w:hAnsiTheme="majorEastAsia" w:eastAsiaTheme="majorEastAsia"/>
          <w:b/>
          <w:bCs/>
          <w:color w:val="auto"/>
          <w:sz w:val="24"/>
          <w:highlight w:val="none"/>
        </w:rPr>
        <w:t>★</w:t>
      </w:r>
      <w:r>
        <w:rPr>
          <w:rFonts w:hint="eastAsia" w:cs="仿宋_GB2312" w:asciiTheme="majorEastAsia" w:hAnsiTheme="majorEastAsia" w:eastAsiaTheme="majorEastAsia"/>
          <w:b/>
          <w:color w:val="auto"/>
          <w:sz w:val="24"/>
          <w:highlight w:val="none"/>
        </w:rPr>
        <w:t>投标人的投标文件中承诺的投标有效期少于招标文件中载明的投标有效期的，投标无效。</w:t>
      </w:r>
    </w:p>
    <w:p>
      <w:pPr>
        <w:pStyle w:val="132"/>
        <w:adjustRightInd/>
        <w:spacing w:before="0"/>
        <w:ind w:firstLine="480"/>
        <w:rPr>
          <w:rFonts w:cs="仿宋_GB2312" w:asciiTheme="majorEastAsia" w:hAnsiTheme="majorEastAsia" w:eastAsiaTheme="majorEastAsia"/>
          <w:color w:val="auto"/>
          <w:szCs w:val="24"/>
          <w:highlight w:val="none"/>
        </w:rPr>
      </w:pPr>
      <w:r>
        <w:rPr>
          <w:rFonts w:cs="仿宋_GB2312" w:asciiTheme="majorEastAsia" w:hAnsiTheme="majorEastAsia" w:eastAsiaTheme="majorEastAsia"/>
          <w:color w:val="auto"/>
          <w:szCs w:val="24"/>
          <w:highlight w:val="none"/>
        </w:rPr>
        <w:t>17.2投标文件合格投递后，自投标截止日期起，在投标有效期内有效。</w:t>
      </w:r>
    </w:p>
    <w:p>
      <w:pPr>
        <w:pStyle w:val="132"/>
        <w:adjustRightInd/>
        <w:spacing w:before="0"/>
        <w:ind w:firstLine="480"/>
        <w:rPr>
          <w:rFonts w:cs="仿宋_GB2312" w:asciiTheme="majorEastAsia" w:hAnsiTheme="majorEastAsia" w:eastAsiaTheme="majorEastAsia"/>
          <w:color w:val="auto"/>
          <w:szCs w:val="24"/>
          <w:highlight w:val="none"/>
        </w:rPr>
      </w:pPr>
      <w:r>
        <w:rPr>
          <w:rFonts w:cs="仿宋_GB2312" w:asciiTheme="majorEastAsia" w:hAnsiTheme="majorEastAsia" w:eastAsiaTheme="majorEastAsia"/>
          <w:color w:val="auto"/>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left"/>
        <w:outlineLvl w:val="1"/>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四、开标、资格审查与信用信息查询</w:t>
      </w:r>
    </w:p>
    <w:p>
      <w:pPr>
        <w:pStyle w:val="558"/>
        <w:adjustRightInd/>
        <w:spacing w:before="0" w:line="360" w:lineRule="auto"/>
        <w:ind w:left="0" w:firstLine="0"/>
        <w:contextualSpacing/>
        <w:rPr>
          <w:rFonts w:asciiTheme="minorEastAsia" w:hAnsiTheme="minorEastAsia" w:eastAsiaTheme="minorEastAsia"/>
          <w:color w:val="auto"/>
          <w:sz w:val="24"/>
          <w:highlight w:val="none"/>
        </w:rPr>
      </w:pPr>
      <w:r>
        <w:rPr>
          <w:rFonts w:cs="仿宋_GB2312" w:asciiTheme="minorEastAsia" w:hAnsiTheme="minorEastAsia" w:eastAsiaTheme="minorEastAsia"/>
          <w:b/>
          <w:color w:val="auto"/>
          <w:sz w:val="24"/>
          <w:szCs w:val="24"/>
          <w:highlight w:val="none"/>
        </w:rPr>
        <w:t>18.开标</w:t>
      </w:r>
      <w:r>
        <w:rPr>
          <w:rFonts w:asciiTheme="minorEastAsia" w:hAnsiTheme="minorEastAsia" w:eastAsiaTheme="minorEastAsia"/>
          <w:color w:val="auto"/>
          <w:sz w:val="24"/>
          <w:highlight w:val="none"/>
        </w:rPr>
        <w:t xml:space="preserve"> </w:t>
      </w:r>
    </w:p>
    <w:p>
      <w:pPr>
        <w:pStyle w:val="558"/>
        <w:adjustRightInd/>
        <w:spacing w:before="0" w:line="360" w:lineRule="auto"/>
        <w:ind w:left="0" w:firstLine="480" w:firstLineChars="200"/>
        <w:contextualSpacing/>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18.1采购代理机构按照招标文件规定的时间通过电子交易平台组织开标，所有投标人均应当准时在线参加。投标人不足3家的，</w:t>
      </w:r>
      <w:r>
        <w:rPr>
          <w:rFonts w:hint="eastAsia" w:cs="仿宋_GB2312" w:asciiTheme="minorEastAsia" w:hAnsiTheme="minorEastAsia" w:eastAsiaTheme="minorEastAsia"/>
          <w:color w:val="auto"/>
          <w:sz w:val="24"/>
          <w:highlight w:val="none"/>
        </w:rPr>
        <w:t>不开启投标文件，终止本次采购活动</w:t>
      </w:r>
      <w:r>
        <w:rPr>
          <w:rFonts w:cs="仿宋_GB2312" w:asciiTheme="minorEastAsia" w:hAnsiTheme="minorEastAsia" w:eastAsiaTheme="minorEastAsia"/>
          <w:color w:val="auto"/>
          <w:sz w:val="24"/>
          <w:highlight w:val="none"/>
        </w:rPr>
        <w:t>。</w:t>
      </w:r>
    </w:p>
    <w:p>
      <w:pPr>
        <w:pStyle w:val="558"/>
        <w:adjustRightInd/>
        <w:spacing w:before="0" w:line="360" w:lineRule="auto"/>
        <w:ind w:left="0" w:firstLine="240" w:firstLineChars="1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w:t>
      </w:r>
      <w:r>
        <w:rPr>
          <w:rFonts w:cs="仿宋_GB2312" w:asciiTheme="minorEastAsia" w:hAnsiTheme="minorEastAsia" w:eastAsiaTheme="minorEastAsia"/>
          <w:color w:val="auto"/>
          <w:sz w:val="24"/>
          <w:highlight w:val="none"/>
        </w:rPr>
        <w:t>18.2开标时，电子交易平台按开标时间自动提取所有投标文件。采购代理机构依托电子交易平台发起开始解密指令，</w:t>
      </w:r>
      <w:r>
        <w:rPr>
          <w:rFonts w:cs="仿宋_GB2312" w:asciiTheme="minorEastAsia" w:hAnsiTheme="minorEastAsia" w:eastAsiaTheme="minorEastAsia"/>
          <w:b/>
          <w:bCs/>
          <w:color w:val="auto"/>
          <w:sz w:val="24"/>
          <w:highlight w:val="none"/>
        </w:rPr>
        <w:t>投标人按照平台提示和招标文件的规定在半小时内完成在线解密</w:t>
      </w:r>
      <w:r>
        <w:rPr>
          <w:rFonts w:cs="仿宋_GB2312" w:asciiTheme="minorEastAsia" w:hAnsiTheme="minorEastAsia" w:eastAsiaTheme="minorEastAsia"/>
          <w:color w:val="auto"/>
          <w:sz w:val="24"/>
          <w:highlight w:val="none"/>
        </w:rPr>
        <w:t>。</w:t>
      </w:r>
    </w:p>
    <w:p>
      <w:pPr>
        <w:pStyle w:val="558"/>
        <w:adjustRightInd/>
        <w:spacing w:before="0" w:line="360" w:lineRule="auto"/>
        <w:ind w:left="0" w:firstLine="240" w:firstLineChars="100"/>
        <w:contextualSpacing/>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w:t>
      </w:r>
      <w:r>
        <w:rPr>
          <w:rFonts w:cs="仿宋_GB2312" w:asciiTheme="minorEastAsia" w:hAnsiTheme="minorEastAsia" w:eastAsiaTheme="minorEastAsia"/>
          <w:color w:val="auto"/>
          <w:sz w:val="24"/>
          <w:highlight w:val="none"/>
        </w:rPr>
        <w:t>18.3</w:t>
      </w:r>
      <w:r>
        <w:rPr>
          <w:rFonts w:hint="eastAsia" w:cs="仿宋_GB2312" w:asciiTheme="minorEastAsia" w:hAnsiTheme="minorEastAsia" w:eastAsiaTheme="minorEastAsia"/>
          <w:b/>
          <w:color w:val="auto"/>
          <w:sz w:val="24"/>
          <w:highlight w:val="none"/>
        </w:rPr>
        <w:t>投标文件未按时解密，投标人提供了备份投标文件的，以备份投标文件作为依据，否则视为投标文件撤回。投标文件已按时解密的，备份投标文件自动失效。</w:t>
      </w:r>
    </w:p>
    <w:p>
      <w:pPr>
        <w:pStyle w:val="558"/>
        <w:adjustRightInd/>
        <w:spacing w:before="0" w:line="360" w:lineRule="auto"/>
        <w:ind w:left="0" w:firstLine="0"/>
        <w:contextualSpacing/>
        <w:rPr>
          <w:rFonts w:cs="仿宋_GB2312" w:asciiTheme="minorEastAsia" w:hAnsiTheme="minorEastAsia" w:eastAsiaTheme="minorEastAsia"/>
          <w:b/>
          <w:color w:val="auto"/>
          <w:sz w:val="24"/>
          <w:szCs w:val="24"/>
          <w:highlight w:val="none"/>
        </w:rPr>
      </w:pPr>
      <w:r>
        <w:rPr>
          <w:rFonts w:cs="仿宋_GB2312" w:asciiTheme="minorEastAsia" w:hAnsiTheme="minorEastAsia" w:eastAsiaTheme="minorEastAsia"/>
          <w:b/>
          <w:color w:val="auto"/>
          <w:sz w:val="24"/>
          <w:szCs w:val="24"/>
          <w:highlight w:val="none"/>
        </w:rPr>
        <w:t>19、资格审查</w:t>
      </w:r>
    </w:p>
    <w:p>
      <w:pPr>
        <w:adjustRightInd/>
        <w:spacing w:line="360" w:lineRule="auto"/>
        <w:ind w:firstLine="480" w:firstLineChars="200"/>
        <w:rPr>
          <w:rFonts w:cs="仿宋_GB2312" w:asciiTheme="minorEastAsia" w:hAnsiTheme="minorEastAsia" w:eastAsiaTheme="minorEastAsia"/>
          <w:color w:val="auto"/>
          <w:sz w:val="24"/>
          <w:highlight w:val="none"/>
        </w:rPr>
      </w:pPr>
      <w:r>
        <w:rPr>
          <w:rFonts w:cs="Arial" w:asciiTheme="minorEastAsia" w:hAnsiTheme="minorEastAsia" w:eastAsiaTheme="minorEastAsia"/>
          <w:color w:val="auto"/>
          <w:kern w:val="0"/>
          <w:sz w:val="24"/>
          <w:highlight w:val="none"/>
        </w:rPr>
        <w:t>19.</w:t>
      </w:r>
      <w:r>
        <w:rPr>
          <w:rFonts w:hint="eastAsia" w:cs="Arial"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sz w:val="24"/>
          <w:highlight w:val="none"/>
        </w:rPr>
        <w:t>采购人或采购代理机构依据法律法规和招标文件的规定，对投标人的基本资格条件、特定资格条件进行审查。</w:t>
      </w:r>
    </w:p>
    <w:p>
      <w:pPr>
        <w:pStyle w:val="132"/>
        <w:adjustRightInd/>
        <w:spacing w:before="0"/>
        <w:ind w:firstLine="480"/>
        <w:rPr>
          <w:rFonts w:cs="仿宋_GB2312" w:asciiTheme="minorEastAsia" w:hAnsiTheme="minorEastAsia" w:eastAsiaTheme="minorEastAsia"/>
          <w:color w:val="auto"/>
          <w:highlight w:val="none"/>
        </w:rPr>
      </w:pPr>
      <w:r>
        <w:rPr>
          <w:rFonts w:cs="Arial" w:asciiTheme="minorEastAsia" w:hAnsiTheme="minorEastAsia" w:eastAsiaTheme="minorEastAsia"/>
          <w:color w:val="auto"/>
          <w:kern w:val="0"/>
          <w:szCs w:val="24"/>
          <w:highlight w:val="none"/>
        </w:rPr>
        <w:t>19.</w:t>
      </w:r>
      <w:r>
        <w:rPr>
          <w:rFonts w:hint="eastAsia" w:cs="Arial" w:asciiTheme="minorEastAsia" w:hAnsiTheme="minorEastAsia" w:eastAsiaTheme="minorEastAsia"/>
          <w:color w:val="auto"/>
          <w:kern w:val="0"/>
          <w:szCs w:val="24"/>
          <w:highlight w:val="none"/>
        </w:rPr>
        <w:t>2</w:t>
      </w:r>
      <w:r>
        <w:rPr>
          <w:rFonts w:cs="Arial" w:asciiTheme="minorEastAsia" w:hAnsiTheme="minorEastAsia" w:eastAsiaTheme="minorEastAsia"/>
          <w:color w:val="auto"/>
          <w:kern w:val="0"/>
          <w:szCs w:val="24"/>
          <w:highlight w:val="none"/>
        </w:rPr>
        <w:t>投标人未按照招标文件要求提供与</w:t>
      </w:r>
      <w:r>
        <w:rPr>
          <w:rFonts w:hint="eastAsia" w:cs="仿宋_GB2312" w:asciiTheme="minorEastAsia" w:hAnsiTheme="minorEastAsia" w:eastAsiaTheme="minorEastAsia"/>
          <w:color w:val="auto"/>
          <w:highlight w:val="none"/>
        </w:rPr>
        <w:t>基本资格条件、特定资格条件相应的</w:t>
      </w:r>
      <w:r>
        <w:rPr>
          <w:rFonts w:hint="eastAsia" w:cs="Arial" w:asciiTheme="minorEastAsia" w:hAnsiTheme="minorEastAsia" w:eastAsiaTheme="minorEastAsia"/>
          <w:color w:val="auto"/>
          <w:kern w:val="0"/>
          <w:szCs w:val="24"/>
          <w:highlight w:val="none"/>
        </w:rPr>
        <w:t>有效资格证明材料的，视为</w:t>
      </w:r>
      <w:r>
        <w:rPr>
          <w:rFonts w:hint="eastAsia" w:cs="仿宋_GB2312" w:asciiTheme="minorEastAsia" w:hAnsiTheme="minorEastAsia" w:eastAsiaTheme="minorEastAsia"/>
          <w:color w:val="auto"/>
          <w:highlight w:val="none"/>
        </w:rPr>
        <w:t>投标人不具备招标文件中规定的资格要求，其投标无效。</w:t>
      </w:r>
    </w:p>
    <w:p>
      <w:pPr>
        <w:pStyle w:val="132"/>
        <w:adjustRightInd/>
        <w:spacing w:before="0"/>
        <w:ind w:firstLine="480"/>
        <w:rPr>
          <w:rFonts w:cs="仿宋_GB2312" w:asciiTheme="minorEastAsia" w:hAnsiTheme="minorEastAsia" w:eastAsiaTheme="minorEastAsia"/>
          <w:color w:val="auto"/>
          <w:highlight w:val="none"/>
        </w:rPr>
      </w:pPr>
      <w:r>
        <w:rPr>
          <w:rFonts w:cs="Arial" w:asciiTheme="minorEastAsia" w:hAnsiTheme="minorEastAsia" w:eastAsiaTheme="minorEastAsia"/>
          <w:color w:val="auto"/>
          <w:kern w:val="0"/>
          <w:szCs w:val="24"/>
          <w:highlight w:val="none"/>
        </w:rPr>
        <w:t>19.</w:t>
      </w:r>
      <w:r>
        <w:rPr>
          <w:rFonts w:hint="eastAsia" w:cs="仿宋_GB2312" w:asciiTheme="minorEastAsia" w:hAnsiTheme="minorEastAsia" w:eastAsiaTheme="minorEastAsia"/>
          <w:color w:val="auto"/>
          <w:highlight w:val="none"/>
        </w:rPr>
        <w:t>3</w:t>
      </w:r>
      <w:r>
        <w:rPr>
          <w:rFonts w:cs="仿宋_GB2312" w:asciiTheme="minorEastAsia" w:hAnsiTheme="minorEastAsia" w:eastAsiaTheme="minorEastAsia"/>
          <w:color w:val="auto"/>
          <w:highlight w:val="none"/>
        </w:rPr>
        <w:t>对未通过资格审查的投标人，采购人或采购代理机构告知其未通过的原因。</w:t>
      </w:r>
    </w:p>
    <w:p>
      <w:pPr>
        <w:pStyle w:val="132"/>
        <w:adjustRightInd/>
        <w:spacing w:before="0"/>
        <w:ind w:firstLine="480"/>
        <w:rPr>
          <w:rFonts w:cs="Arial" w:asciiTheme="minorEastAsia" w:hAnsiTheme="minorEastAsia" w:eastAsiaTheme="minorEastAsia"/>
          <w:color w:val="auto"/>
          <w:kern w:val="0"/>
          <w:szCs w:val="24"/>
          <w:highlight w:val="none"/>
        </w:rPr>
      </w:pPr>
      <w:r>
        <w:rPr>
          <w:rFonts w:cs="Arial" w:asciiTheme="minorEastAsia" w:hAnsiTheme="minorEastAsia" w:eastAsiaTheme="minorEastAsia"/>
          <w:color w:val="auto"/>
          <w:kern w:val="0"/>
          <w:szCs w:val="24"/>
          <w:highlight w:val="none"/>
        </w:rPr>
        <w:t>19.</w:t>
      </w:r>
      <w:r>
        <w:rPr>
          <w:rFonts w:hint="eastAsia" w:cs="Arial" w:asciiTheme="minorEastAsia" w:hAnsiTheme="minorEastAsia" w:eastAsiaTheme="minorEastAsia"/>
          <w:color w:val="auto"/>
          <w:kern w:val="0"/>
          <w:szCs w:val="24"/>
          <w:highlight w:val="none"/>
        </w:rPr>
        <w:t>4</w:t>
      </w:r>
      <w:r>
        <w:rPr>
          <w:rFonts w:cs="Arial" w:asciiTheme="minorEastAsia" w:hAnsiTheme="minorEastAsia" w:eastAsiaTheme="minorEastAsia"/>
          <w:color w:val="auto"/>
          <w:kern w:val="0"/>
          <w:szCs w:val="24"/>
          <w:highlight w:val="none"/>
        </w:rPr>
        <w:t>合格投标人不足3家的，不再评标。</w:t>
      </w:r>
    </w:p>
    <w:p>
      <w:pPr>
        <w:pStyle w:val="132"/>
        <w:adjustRightInd/>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2"/>
        <w:adjustRightInd/>
        <w:spacing w:before="0"/>
        <w:ind w:firstLine="0" w:firstLineChars="0"/>
        <w:rPr>
          <w:rFonts w:cs="仿宋_GB2312" w:asciiTheme="minorEastAsia" w:hAnsiTheme="minorEastAsia" w:eastAsiaTheme="minorEastAsia"/>
          <w:b/>
          <w:color w:val="auto"/>
          <w:szCs w:val="24"/>
          <w:highlight w:val="none"/>
        </w:rPr>
      </w:pPr>
      <w:r>
        <w:rPr>
          <w:rFonts w:cs="仿宋_GB2312" w:asciiTheme="minorEastAsia" w:hAnsiTheme="minorEastAsia" w:eastAsiaTheme="minorEastAsia"/>
          <w:b/>
          <w:color w:val="auto"/>
          <w:szCs w:val="24"/>
          <w:highlight w:val="none"/>
        </w:rPr>
        <w:t>20、信用信息查询</w:t>
      </w:r>
    </w:p>
    <w:p>
      <w:pPr>
        <w:pStyle w:val="132"/>
        <w:adjustRightInd/>
        <w:spacing w:before="0"/>
        <w:ind w:firstLine="495" w:firstLineChars="0"/>
        <w:rPr>
          <w:rFonts w:cs="Arial" w:asciiTheme="minorEastAsia" w:hAnsiTheme="minorEastAsia" w:eastAsiaTheme="minorEastAsia"/>
          <w:color w:val="auto"/>
          <w:kern w:val="0"/>
          <w:szCs w:val="24"/>
          <w:highlight w:val="none"/>
        </w:rPr>
      </w:pPr>
      <w:r>
        <w:rPr>
          <w:rFonts w:cs="Arial" w:asciiTheme="minorEastAsia" w:hAnsiTheme="minorEastAsia" w:eastAsiaTheme="minorEastAsia"/>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pPr>
        <w:pStyle w:val="132"/>
        <w:adjustRightInd/>
        <w:spacing w:before="0"/>
        <w:ind w:firstLine="495" w:firstLineChars="0"/>
        <w:rPr>
          <w:rFonts w:cs="Arial" w:asciiTheme="minorEastAsia" w:hAnsiTheme="minorEastAsia" w:eastAsiaTheme="minorEastAsia"/>
          <w:color w:val="auto"/>
          <w:kern w:val="0"/>
          <w:szCs w:val="24"/>
          <w:highlight w:val="none"/>
        </w:rPr>
      </w:pPr>
      <w:r>
        <w:rPr>
          <w:rFonts w:cs="Arial" w:asciiTheme="minorEastAsia" w:hAnsiTheme="minorEastAsia" w:eastAsiaTheme="minorEastAsia"/>
          <w:color w:val="auto"/>
          <w:kern w:val="0"/>
          <w:szCs w:val="24"/>
          <w:highlight w:val="none"/>
        </w:rPr>
        <w:t>20.2信用信息查询记录和证据留存的具体方式：现场查询的投标人的信用记录、查询结果经确认后将与采购文件一起存档。</w:t>
      </w:r>
    </w:p>
    <w:p>
      <w:pPr>
        <w:pStyle w:val="132"/>
        <w:adjustRightInd/>
        <w:spacing w:before="0"/>
        <w:ind w:firstLine="495" w:firstLineChars="0"/>
        <w:rPr>
          <w:rFonts w:cs="Arial" w:asciiTheme="minorEastAsia" w:hAnsiTheme="minorEastAsia" w:eastAsiaTheme="minorEastAsia"/>
          <w:color w:val="auto"/>
          <w:kern w:val="0"/>
          <w:szCs w:val="24"/>
          <w:highlight w:val="none"/>
        </w:rPr>
      </w:pPr>
      <w:r>
        <w:rPr>
          <w:rFonts w:cs="Arial" w:asciiTheme="minorEastAsia" w:hAnsiTheme="minorEastAsia" w:eastAsiaTheme="minorEastAsia"/>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2"/>
        <w:adjustRightInd/>
        <w:spacing w:before="0"/>
        <w:ind w:firstLine="480"/>
        <w:rPr>
          <w:rFonts w:cs="仿宋_GB2312" w:asciiTheme="minorEastAsia" w:hAnsiTheme="minorEastAsia" w:eastAsiaTheme="minorEastAsia"/>
          <w:color w:val="auto"/>
          <w:highlight w:val="none"/>
        </w:rPr>
      </w:pPr>
      <w:r>
        <w:rPr>
          <w:rFonts w:cs="Arial" w:asciiTheme="minorEastAsia" w:hAnsiTheme="minorEastAsia" w:eastAsia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asciiTheme="minorEastAsia" w:hAnsiTheme="minorEastAsia" w:eastAsiaTheme="minorEastAsia"/>
          <w:color w:val="auto"/>
          <w:highlight w:val="none"/>
        </w:rPr>
        <w:t>。</w:t>
      </w:r>
    </w:p>
    <w:p>
      <w:pPr>
        <w:adjustRightInd/>
        <w:spacing w:line="360" w:lineRule="auto"/>
        <w:jc w:val="left"/>
        <w:outlineLvl w:val="1"/>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五、评标</w:t>
      </w:r>
    </w:p>
    <w:p>
      <w:pPr>
        <w:adjustRightInd/>
        <w:spacing w:line="360" w:lineRule="auto"/>
        <w:rPr>
          <w:rFonts w:cs="仿宋_GB2312" w:asciiTheme="minorEastAsia" w:hAnsiTheme="minorEastAsia" w:eastAsiaTheme="minorEastAsia"/>
          <w:b/>
          <w:color w:val="auto"/>
          <w:sz w:val="24"/>
          <w:highlight w:val="none"/>
        </w:rPr>
      </w:pPr>
      <w:bookmarkStart w:id="14" w:name="_Toc91899903"/>
      <w:r>
        <w:rPr>
          <w:rFonts w:cs="仿宋_GB2312" w:asciiTheme="minorEastAsia" w:hAnsiTheme="minorEastAsia" w:eastAsiaTheme="minorEastAsia"/>
          <w:b/>
          <w:color w:val="auto"/>
          <w:sz w:val="24"/>
          <w:highlight w:val="none"/>
        </w:rPr>
        <w:t>21.</w:t>
      </w:r>
      <w:r>
        <w:rPr>
          <w:rFonts w:asciiTheme="minorEastAsia" w:hAnsiTheme="minorEastAsia" w:eastAsiaTheme="minorEastAsia"/>
          <w:color w:val="auto"/>
          <w:highlight w:val="none"/>
        </w:rPr>
        <w:t xml:space="preserve"> </w:t>
      </w:r>
      <w:r>
        <w:rPr>
          <w:rFonts w:hint="eastAsia" w:cs="仿宋_GB2312" w:asciiTheme="minorEastAsia" w:hAnsiTheme="minorEastAsia" w:eastAsia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仿宋_GB2312" w:asciiTheme="minorEastAsia" w:hAnsiTheme="minorEastAsia" w:eastAsiaTheme="minorEastAsia"/>
          <w:b/>
          <w:color w:val="auto"/>
          <w:sz w:val="24"/>
          <w:highlight w:val="none"/>
        </w:rPr>
        <w:t>详见招标文件第四部分评标办法。</w:t>
      </w:r>
    </w:p>
    <w:p>
      <w:pPr>
        <w:adjustRightInd/>
        <w:spacing w:line="360" w:lineRule="auto"/>
        <w:jc w:val="left"/>
        <w:outlineLvl w:val="1"/>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六、定 标</w:t>
      </w:r>
    </w:p>
    <w:p>
      <w:pPr>
        <w:pStyle w:val="25"/>
        <w:adjustRightInd/>
        <w:spacing w:line="360" w:lineRule="auto"/>
        <w:ind w:firstLine="0" w:firstLineChars="0"/>
        <w:rPr>
          <w:rFonts w:cs="仿宋_GB2312" w:asciiTheme="minorEastAsia" w:hAnsiTheme="minorEastAsia" w:eastAsiaTheme="minorEastAsia"/>
          <w:b/>
          <w:color w:val="auto"/>
          <w:highlight w:val="none"/>
        </w:rPr>
      </w:pPr>
      <w:r>
        <w:rPr>
          <w:rFonts w:cs="仿宋_GB2312" w:asciiTheme="minorEastAsia" w:hAnsiTheme="minorEastAsia" w:eastAsiaTheme="minorEastAsia"/>
          <w:b/>
          <w:color w:val="auto"/>
          <w:highlight w:val="none"/>
        </w:rPr>
        <w:t xml:space="preserve">22. </w:t>
      </w:r>
      <w:r>
        <w:rPr>
          <w:rFonts w:hint="eastAsia" w:cs="仿宋_GB2312" w:asciiTheme="minorEastAsia" w:hAnsiTheme="minorEastAsia" w:eastAsiaTheme="minorEastAsia"/>
          <w:b/>
          <w:color w:val="auto"/>
          <w:highlight w:val="none"/>
        </w:rPr>
        <w:t>确定中标供应商</w:t>
      </w:r>
    </w:p>
    <w:p>
      <w:pPr>
        <w:pStyle w:val="132"/>
        <w:adjustRightInd/>
        <w:spacing w:before="0"/>
        <w:ind w:firstLine="48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color w:val="auto"/>
          <w:szCs w:val="24"/>
          <w:highlight w:val="none"/>
        </w:rPr>
        <w:t>采购人将自收到评审报告之日起5</w:t>
      </w:r>
      <w:r>
        <w:rPr>
          <w:rFonts w:cs="仿宋_GB2312" w:asciiTheme="minorEastAsia" w:hAnsiTheme="minorEastAsia" w:eastAsiaTheme="minorEastAsia"/>
          <w:color w:val="auto"/>
          <w:szCs w:val="24"/>
          <w:highlight w:val="none"/>
        </w:rPr>
        <w:t>个工作日内通过电子交易平台在评审报告推荐的中标候选人中按顺序确定中标供应商。</w:t>
      </w:r>
    </w:p>
    <w:p>
      <w:pPr>
        <w:pStyle w:val="132"/>
        <w:adjustRightInd/>
        <w:spacing w:before="0"/>
        <w:ind w:firstLine="0" w:firstLineChars="0"/>
        <w:rPr>
          <w:rFonts w:cs="仿宋_GB2312" w:asciiTheme="minorEastAsia" w:hAnsiTheme="minorEastAsia" w:eastAsiaTheme="minorEastAsia"/>
          <w:b/>
          <w:color w:val="auto"/>
          <w:szCs w:val="24"/>
          <w:highlight w:val="none"/>
        </w:rPr>
      </w:pPr>
      <w:r>
        <w:rPr>
          <w:rFonts w:cs="仿宋_GB2312" w:asciiTheme="minorEastAsia" w:hAnsiTheme="minorEastAsia" w:eastAsiaTheme="minorEastAsia"/>
          <w:b/>
          <w:color w:val="auto"/>
          <w:szCs w:val="24"/>
          <w:highlight w:val="none"/>
        </w:rPr>
        <w:t xml:space="preserve">23. </w:t>
      </w:r>
      <w:r>
        <w:rPr>
          <w:rFonts w:hint="eastAsia" w:cs="仿宋_GB2312" w:asciiTheme="minorEastAsia" w:hAnsiTheme="minorEastAsia" w:eastAsiaTheme="minorEastAsia"/>
          <w:b/>
          <w:color w:val="auto"/>
          <w:szCs w:val="24"/>
          <w:highlight w:val="none"/>
        </w:rPr>
        <w:t>中标通知与中标结果公告</w:t>
      </w:r>
    </w:p>
    <w:p>
      <w:pPr>
        <w:pStyle w:val="132"/>
        <w:adjustRightInd/>
        <w:spacing w:before="0"/>
        <w:ind w:firstLine="495" w:firstLineChars="0"/>
        <w:rPr>
          <w:rFonts w:cs="Arial" w:asciiTheme="minorEastAsia" w:hAnsiTheme="minorEastAsia" w:eastAsiaTheme="minorEastAsia"/>
          <w:color w:val="auto"/>
          <w:kern w:val="0"/>
          <w:szCs w:val="24"/>
          <w:highlight w:val="none"/>
        </w:rPr>
      </w:pPr>
      <w:r>
        <w:rPr>
          <w:rFonts w:cs="Arial" w:asciiTheme="minorEastAsia" w:hAnsiTheme="minorEastAsia" w:eastAsiaTheme="minorEastAsia"/>
          <w:color w:val="auto"/>
          <w:kern w:val="0"/>
          <w:szCs w:val="24"/>
          <w:highlight w:val="none"/>
        </w:rPr>
        <w:t>23.1自中标人确定之日起</w:t>
      </w:r>
      <w:r>
        <w:rPr>
          <w:rFonts w:hint="eastAsia" w:cs="Arial" w:asciiTheme="minorEastAsia" w:hAnsiTheme="minorEastAsia" w:eastAsiaTheme="minorEastAsia"/>
          <w:color w:val="auto"/>
          <w:kern w:val="0"/>
          <w:szCs w:val="24"/>
          <w:highlight w:val="none"/>
        </w:rPr>
        <w:t>2</w:t>
      </w:r>
      <w:r>
        <w:rPr>
          <w:rFonts w:cs="Arial" w:asciiTheme="minorEastAsia" w:hAnsiTheme="minorEastAsia" w:eastAsiaTheme="minorEastAsia"/>
          <w:color w:val="auto"/>
          <w:kern w:val="0"/>
          <w:szCs w:val="24"/>
          <w:highlight w:val="none"/>
        </w:rPr>
        <w:t>个工作日内，采购代理机构通过电子交易平台向中标人发出中标通知书，</w:t>
      </w:r>
      <w:r>
        <w:rPr>
          <w:rFonts w:hint="eastAsia" w:cs="Arial" w:asciiTheme="minorEastAsia" w:hAnsiTheme="minorEastAsia" w:eastAsiaTheme="minorEastAsia"/>
          <w:color w:val="auto"/>
          <w:kern w:val="0"/>
          <w:szCs w:val="24"/>
          <w:highlight w:val="none"/>
        </w:rPr>
        <w:t>同时编制发布采购结果公告。采购代理机构也可以以纸质形式进行中标通知。</w:t>
      </w:r>
    </w:p>
    <w:p>
      <w:pPr>
        <w:pStyle w:val="132"/>
        <w:adjustRightInd/>
        <w:spacing w:before="0"/>
        <w:ind w:firstLine="495" w:firstLineChars="0"/>
        <w:rPr>
          <w:rFonts w:cs="Arial" w:asciiTheme="minorEastAsia" w:hAnsiTheme="minorEastAsia" w:eastAsiaTheme="minorEastAsia"/>
          <w:color w:val="auto"/>
          <w:kern w:val="0"/>
          <w:szCs w:val="24"/>
          <w:highlight w:val="none"/>
        </w:rPr>
      </w:pPr>
      <w:r>
        <w:rPr>
          <w:rFonts w:cs="Arial" w:asciiTheme="minorEastAsia" w:hAnsiTheme="minorEastAsia" w:eastAsiaTheme="minorEastAsia"/>
          <w:color w:val="auto"/>
          <w:kern w:val="0"/>
          <w:szCs w:val="24"/>
          <w:highlight w:val="none"/>
        </w:rPr>
        <w:t>23.2中标结果公告内容包括采购人及其委托的采购代理机构的名称、地址、联系方式，项目名称和项目编号，中标人名称、地址和中标金额，主要中标标的</w:t>
      </w:r>
      <w:r>
        <w:rPr>
          <w:rFonts w:hint="eastAsia" w:cs="Arial" w:asciiTheme="minorEastAsia" w:hAnsiTheme="minorEastAsia" w:eastAsiaTheme="minorEastAsia"/>
          <w:color w:val="auto"/>
          <w:kern w:val="0"/>
          <w:szCs w:val="24"/>
          <w:highlight w:val="none"/>
        </w:rPr>
        <w:t>的名称、规格型号、数量、单价、服务要求，开标记录、未中标情况说明、中标公告期限以及评审专家名单、评分汇总及明细。</w:t>
      </w:r>
    </w:p>
    <w:p>
      <w:pPr>
        <w:pStyle w:val="132"/>
        <w:adjustRightInd/>
        <w:spacing w:before="0"/>
        <w:ind w:firstLine="495" w:firstLineChars="0"/>
        <w:rPr>
          <w:rFonts w:cs="Arial" w:asciiTheme="minorEastAsia" w:hAnsiTheme="minorEastAsia" w:eastAsiaTheme="minorEastAsia"/>
          <w:color w:val="auto"/>
          <w:kern w:val="0"/>
          <w:szCs w:val="24"/>
          <w:highlight w:val="none"/>
        </w:rPr>
      </w:pPr>
      <w:r>
        <w:rPr>
          <w:rFonts w:cs="Arial" w:asciiTheme="minorEastAsia" w:hAnsiTheme="minorEastAsia" w:eastAsiaTheme="minorEastAsia"/>
          <w:color w:val="auto"/>
          <w:kern w:val="0"/>
          <w:szCs w:val="24"/>
          <w:highlight w:val="none"/>
        </w:rPr>
        <w:t>23.3公告期限为1个工作日。</w:t>
      </w:r>
    </w:p>
    <w:p>
      <w:pPr>
        <w:pStyle w:val="132"/>
        <w:adjustRightInd/>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23.4 由于中标、成交供应商原因导致重新采购的，应当承担支付代理费和专家评审费等费用在内的赔偿责任。</w:t>
      </w:r>
    </w:p>
    <w:p>
      <w:pPr>
        <w:adjustRightInd/>
        <w:spacing w:line="360" w:lineRule="auto"/>
        <w:jc w:val="left"/>
        <w:outlineLvl w:val="1"/>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七、合同授予</w:t>
      </w:r>
    </w:p>
    <w:p>
      <w:pPr>
        <w:pStyle w:val="25"/>
        <w:adjustRightInd/>
        <w:spacing w:line="360" w:lineRule="auto"/>
        <w:ind w:left="479" w:hanging="479" w:hangingChars="199"/>
        <w:rPr>
          <w:rFonts w:cs="仿宋_GB2312" w:asciiTheme="minorEastAsia" w:hAnsiTheme="minorEastAsia" w:eastAsiaTheme="minorEastAsia"/>
          <w:b/>
          <w:bCs/>
          <w:color w:val="auto"/>
          <w:highlight w:val="none"/>
        </w:rPr>
      </w:pPr>
      <w:r>
        <w:rPr>
          <w:rFonts w:cs="仿宋_GB2312" w:asciiTheme="minorEastAsia" w:hAnsiTheme="minorEastAsia" w:eastAsiaTheme="minorEastAsia"/>
          <w:b/>
          <w:color w:val="auto"/>
          <w:highlight w:val="none"/>
        </w:rPr>
        <w:t xml:space="preserve">24. </w:t>
      </w:r>
      <w:r>
        <w:rPr>
          <w:rFonts w:hint="eastAsia" w:cs="仿宋_GB2312" w:asciiTheme="minorEastAsia" w:hAnsiTheme="minorEastAsia" w:eastAsiaTheme="minorEastAsia"/>
          <w:color w:val="auto"/>
          <w:highlight w:val="none"/>
        </w:rPr>
        <w:t>合同主要条款详见第五部分拟签订的合同文本</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b/>
          <w:bCs/>
          <w:color w:val="auto"/>
          <w:highlight w:val="none"/>
          <w:lang w:val="en-US" w:eastAsia="zh-CN"/>
        </w:rPr>
        <w:t>本项目由中标人和具体学校分别签订合同并结算</w:t>
      </w:r>
      <w:r>
        <w:rPr>
          <w:rFonts w:hint="eastAsia" w:cs="仿宋_GB2312" w:asciiTheme="minorEastAsia" w:hAnsiTheme="minorEastAsia" w:eastAsiaTheme="minorEastAsia"/>
          <w:b/>
          <w:bCs/>
          <w:color w:val="auto"/>
          <w:highlight w:val="none"/>
        </w:rPr>
        <w:t>。</w:t>
      </w:r>
    </w:p>
    <w:p>
      <w:pPr>
        <w:pStyle w:val="25"/>
        <w:adjustRightInd/>
        <w:spacing w:line="360" w:lineRule="auto"/>
        <w:ind w:left="479" w:hanging="479" w:hangingChars="199"/>
        <w:rPr>
          <w:rFonts w:cs="仿宋_GB2312" w:asciiTheme="minorEastAsia" w:hAnsiTheme="minorEastAsia" w:eastAsiaTheme="minorEastAsia"/>
          <w:b/>
          <w:color w:val="auto"/>
          <w:highlight w:val="none"/>
        </w:rPr>
      </w:pPr>
      <w:r>
        <w:rPr>
          <w:rFonts w:cs="仿宋_GB2312" w:asciiTheme="minorEastAsia" w:hAnsiTheme="minorEastAsia" w:eastAsiaTheme="minorEastAsia"/>
          <w:b/>
          <w:color w:val="auto"/>
          <w:highlight w:val="none"/>
        </w:rPr>
        <w:t xml:space="preserve">25. </w:t>
      </w:r>
      <w:r>
        <w:rPr>
          <w:rFonts w:hint="eastAsia" w:cs="仿宋_GB2312" w:asciiTheme="minorEastAsia" w:hAnsiTheme="minorEastAsia" w:eastAsiaTheme="minorEastAsia"/>
          <w:b/>
          <w:color w:val="auto"/>
          <w:highlight w:val="none"/>
        </w:rPr>
        <w:t>合同的签订</w:t>
      </w:r>
    </w:p>
    <w:p>
      <w:pPr>
        <w:pStyle w:val="132"/>
        <w:adjustRightInd/>
        <w:spacing w:before="0"/>
        <w:ind w:firstLine="495" w:firstLineChars="0"/>
        <w:rPr>
          <w:rFonts w:cs="Arial" w:asciiTheme="minorEastAsia" w:hAnsiTheme="minorEastAsia" w:eastAsiaTheme="minorEastAsia"/>
          <w:color w:val="auto"/>
          <w:kern w:val="0"/>
          <w:szCs w:val="24"/>
          <w:highlight w:val="none"/>
        </w:rPr>
      </w:pPr>
      <w:r>
        <w:rPr>
          <w:rFonts w:cs="Arial" w:asciiTheme="minorEastAsia" w:hAnsiTheme="minorEastAsia" w:eastAsiaTheme="minorEastAsia"/>
          <w:color w:val="auto"/>
          <w:kern w:val="0"/>
          <w:szCs w:val="24"/>
          <w:highlight w:val="none"/>
        </w:rPr>
        <w:t>25.1</w:t>
      </w:r>
      <w:r>
        <w:rPr>
          <w:rFonts w:hint="eastAsia" w:cs="Arial" w:asciiTheme="minorEastAsia" w:hAnsiTheme="minorEastAsia" w:eastAsiaTheme="minorEastAsia"/>
          <w:color w:val="auto"/>
          <w:kern w:val="0"/>
          <w:szCs w:val="24"/>
          <w:highlight w:val="none"/>
        </w:rPr>
        <w:t>采购人与中标人应当在中标通知书发出之日起三十日内，按照采购文件确定的事项签订政府采购合同，并在合同签订之日起2个工作日内依法发布合同公告。</w:t>
      </w:r>
    </w:p>
    <w:p>
      <w:pPr>
        <w:pStyle w:val="132"/>
        <w:adjustRightInd/>
        <w:spacing w:before="0"/>
        <w:ind w:firstLine="480"/>
        <w:rPr>
          <w:rFonts w:asciiTheme="minorEastAsia" w:hAnsiTheme="minorEastAsia" w:eastAsiaTheme="minorEastAsia"/>
          <w:color w:val="auto"/>
          <w:kern w:val="0"/>
          <w:highlight w:val="none"/>
        </w:rPr>
      </w:pPr>
      <w:r>
        <w:rPr>
          <w:rFonts w:cs="仿宋_GB2312" w:asciiTheme="minorEastAsia" w:hAnsiTheme="minorEastAsia" w:eastAsiaTheme="minorEastAsia"/>
          <w:color w:val="auto"/>
          <w:kern w:val="0"/>
          <w:highlight w:val="none"/>
          <w:lang w:val="zh-CN"/>
        </w:rPr>
        <w:t>25.2</w:t>
      </w:r>
      <w:r>
        <w:rPr>
          <w:rFonts w:hint="eastAsia" w:asciiTheme="minorEastAsia" w:hAnsiTheme="minorEastAsia" w:eastAsiaTheme="minorEastAsia"/>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32"/>
        <w:adjustRightInd/>
        <w:spacing w:before="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25.3如签订合同并生效后，供应商无故拒绝或延期，除按照合同条款处理外，列入不良行为记录一次，并给予通报。</w:t>
      </w:r>
    </w:p>
    <w:p>
      <w:pPr>
        <w:pStyle w:val="132"/>
        <w:adjustRightInd/>
        <w:spacing w:before="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25.4中标供应</w:t>
      </w:r>
      <w:r>
        <w:rPr>
          <w:rFonts w:hint="eastAsia" w:cs="仿宋_GB2312" w:asciiTheme="minorEastAsia" w:hAnsiTheme="minorEastAsia" w:eastAsiaTheme="minorEastAsia"/>
          <w:color w:val="auto"/>
          <w:highlight w:val="none"/>
        </w:rPr>
        <w:t>商拒绝与采购人签订合同的，采购人可以按照评审报告推荐的中标或者成交候选人名单排序，确定下一候选人为中标供应商，也可以重新开展政府采购活动。</w:t>
      </w:r>
    </w:p>
    <w:p>
      <w:pPr>
        <w:pStyle w:val="25"/>
        <w:adjustRightInd/>
        <w:spacing w:line="360" w:lineRule="auto"/>
        <w:ind w:left="479" w:hanging="479" w:hangingChars="199"/>
        <w:rPr>
          <w:rFonts w:cs="仿宋_GB2312" w:asciiTheme="minorEastAsia" w:hAnsiTheme="minorEastAsia" w:eastAsiaTheme="minorEastAsia"/>
          <w:b/>
          <w:color w:val="auto"/>
          <w:highlight w:val="none"/>
        </w:rPr>
      </w:pPr>
      <w:r>
        <w:rPr>
          <w:rFonts w:cs="仿宋_GB2312" w:asciiTheme="minorEastAsia" w:hAnsiTheme="minorEastAsia" w:eastAsiaTheme="minorEastAsia"/>
          <w:b/>
          <w:color w:val="auto"/>
          <w:highlight w:val="none"/>
        </w:rPr>
        <w:t xml:space="preserve">26. </w:t>
      </w:r>
      <w:r>
        <w:rPr>
          <w:rFonts w:hint="eastAsia" w:cs="仿宋_GB2312" w:asciiTheme="minorEastAsia" w:hAnsiTheme="minorEastAsia" w:eastAsiaTheme="minorEastAsia"/>
          <w:b/>
          <w:color w:val="auto"/>
          <w:highlight w:val="none"/>
        </w:rPr>
        <w:t>履约保证金</w:t>
      </w:r>
    </w:p>
    <w:p>
      <w:pPr>
        <w:tabs>
          <w:tab w:val="left" w:pos="0"/>
        </w:tabs>
        <w:adjustRightInd/>
        <w:spacing w:line="360" w:lineRule="auto"/>
        <w:ind w:firstLine="482"/>
        <w:rPr>
          <w:rFonts w:asciiTheme="minorEastAsia" w:hAnsiTheme="minorEastAsia" w:eastAsiaTheme="minorEastAsia"/>
          <w:b/>
          <w:color w:val="auto"/>
          <w:sz w:val="24"/>
          <w:highlight w:val="none"/>
        </w:rPr>
      </w:pPr>
      <w:r>
        <w:rPr>
          <w:rFonts w:hint="eastAsia" w:cs="Helvetica" w:asciiTheme="minorEastAsia" w:hAnsiTheme="minorEastAsia" w:eastAsiaTheme="min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olor w:val="auto"/>
          <w:sz w:val="24"/>
          <w:highlight w:val="none"/>
        </w:rPr>
        <w:t>。履约保证金的数额不得超过政府采购合同金额的1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鼓励和支持供应商以银行、保险公司出具的保函形式提供履约保证金。</w:t>
      </w:r>
      <w:r>
        <w:rPr>
          <w:rFonts w:hint="eastAsia" w:asciiTheme="minorEastAsia" w:hAnsiTheme="minorEastAsia" w:eastAsiaTheme="minorEastAsia"/>
          <w:b/>
          <w:color w:val="auto"/>
          <w:sz w:val="24"/>
          <w:highlight w:val="none"/>
        </w:rPr>
        <w:t>采购人不得拒收履约保函。</w:t>
      </w:r>
    </w:p>
    <w:p>
      <w:pPr>
        <w:adjustRightInd/>
        <w:spacing w:line="360" w:lineRule="auto"/>
        <w:jc w:val="left"/>
        <w:outlineLvl w:val="1"/>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八、电子交易活动的中止</w:t>
      </w:r>
    </w:p>
    <w:p>
      <w:pPr>
        <w:pStyle w:val="132"/>
        <w:adjustRightInd/>
        <w:spacing w:before="0"/>
        <w:ind w:firstLine="0" w:firstLineChars="0"/>
        <w:rPr>
          <w:rFonts w:cs="仿宋_GB2312" w:asciiTheme="minorEastAsia" w:hAnsiTheme="minorEastAsia" w:eastAsiaTheme="minorEastAsia"/>
          <w:color w:val="auto"/>
          <w:highlight w:val="none"/>
        </w:rPr>
      </w:pPr>
      <w:r>
        <w:rPr>
          <w:rFonts w:cs="仿宋_GB2312" w:asciiTheme="minorEastAsia" w:hAnsiTheme="minorEastAsia" w:eastAsiaTheme="minorEastAsia"/>
          <w:b/>
          <w:color w:val="auto"/>
          <w:highlight w:val="none"/>
        </w:rPr>
        <w:t>2</w:t>
      </w:r>
      <w:r>
        <w:rPr>
          <w:rFonts w:cs="仿宋_GB2312" w:asciiTheme="minorEastAsia" w:hAnsiTheme="minorEastAsia" w:eastAsiaTheme="minorEastAsia"/>
          <w:b/>
          <w:color w:val="auto"/>
          <w:szCs w:val="24"/>
          <w:highlight w:val="none"/>
        </w:rPr>
        <w:t xml:space="preserve">7. </w:t>
      </w:r>
      <w:r>
        <w:rPr>
          <w:rFonts w:hint="eastAsia" w:cs="仿宋_GB2312" w:asciiTheme="minorEastAsia" w:hAnsiTheme="minorEastAsia" w:eastAsiaTheme="minorEastAsia"/>
          <w:b/>
          <w:color w:val="auto"/>
          <w:szCs w:val="24"/>
          <w:highlight w:val="none"/>
        </w:rPr>
        <w:t>电子交易活动的中止。</w:t>
      </w:r>
      <w:r>
        <w:rPr>
          <w:rFonts w:hint="eastAsia" w:cs="仿宋_GB2312" w:asciiTheme="minorEastAsia" w:hAnsiTheme="minorEastAsia" w:eastAsiaTheme="minorEastAsia"/>
          <w:color w:val="auto"/>
          <w:highlight w:val="none"/>
        </w:rPr>
        <w:t>采购过程中出现以下情形，导致电子交易平台无法正常运行，或者无法保证电子交易的公平、公正和安全时，采购代理机构可中止电子交易活动：</w:t>
      </w:r>
    </w:p>
    <w:p>
      <w:pPr>
        <w:pStyle w:val="132"/>
        <w:adjustRightInd/>
        <w:spacing w:before="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 xml:space="preserve">27.1电子交易平台发生故障而无法登录访问的； </w:t>
      </w:r>
    </w:p>
    <w:p>
      <w:pPr>
        <w:pStyle w:val="132"/>
        <w:adjustRightInd/>
        <w:spacing w:before="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27.2电子交易平台应用或数据库出现错误，不能进行正常操作的；</w:t>
      </w:r>
    </w:p>
    <w:p>
      <w:pPr>
        <w:pStyle w:val="132"/>
        <w:adjustRightInd/>
        <w:spacing w:before="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27.3电子交易平台发现严重安全漏洞，有潜在泄密危险的；</w:t>
      </w:r>
    </w:p>
    <w:p>
      <w:pPr>
        <w:pStyle w:val="132"/>
        <w:adjustRightInd/>
        <w:spacing w:before="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 xml:space="preserve">27.4病毒发作导致不能进行正常操作的； </w:t>
      </w:r>
    </w:p>
    <w:p>
      <w:pPr>
        <w:pStyle w:val="132"/>
        <w:adjustRightInd/>
        <w:spacing w:before="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27.5其他无法保证电子交易的公平、公正和安全的情况。</w:t>
      </w:r>
    </w:p>
    <w:p>
      <w:pPr>
        <w:pStyle w:val="132"/>
        <w:adjustRightInd/>
        <w:spacing w:before="0"/>
        <w:ind w:firstLine="0" w:firstLineChars="0"/>
        <w:rPr>
          <w:rFonts w:cs="仿宋_GB2312" w:asciiTheme="minorEastAsia" w:hAnsiTheme="minorEastAsia" w:eastAsiaTheme="minorEastAsia"/>
          <w:color w:val="auto"/>
          <w:highlight w:val="none"/>
        </w:rPr>
      </w:pPr>
      <w:r>
        <w:rPr>
          <w:rFonts w:cs="仿宋_GB2312" w:asciiTheme="minorEastAsia" w:hAnsiTheme="minorEastAsia" w:eastAsiaTheme="minorEastAsia"/>
          <w:b/>
          <w:color w:val="auto"/>
          <w:highlight w:val="none"/>
        </w:rPr>
        <w:t xml:space="preserve"> 28.</w:t>
      </w:r>
      <w:r>
        <w:rPr>
          <w:rFonts w:cs="仿宋_GB2312" w:asciiTheme="minorEastAsia" w:hAnsiTheme="minorEastAsia" w:eastAsiaTheme="minorEastAsia"/>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left"/>
        <w:outlineLvl w:val="1"/>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九、验收</w:t>
      </w:r>
    </w:p>
    <w:p>
      <w:pPr>
        <w:pStyle w:val="25"/>
        <w:adjustRightInd/>
        <w:spacing w:line="360" w:lineRule="auto"/>
        <w:ind w:firstLine="0" w:firstLineChars="0"/>
        <w:rPr>
          <w:rFonts w:cs="仿宋_GB2312" w:asciiTheme="minorEastAsia" w:hAnsiTheme="minorEastAsia" w:eastAsiaTheme="minorEastAsia"/>
          <w:b/>
          <w:color w:val="auto"/>
          <w:highlight w:val="none"/>
        </w:rPr>
      </w:pPr>
      <w:r>
        <w:rPr>
          <w:rFonts w:cs="仿宋_GB2312" w:asciiTheme="minorEastAsia" w:hAnsiTheme="minorEastAsia" w:eastAsiaTheme="minorEastAsia"/>
          <w:b/>
          <w:color w:val="auto"/>
          <w:highlight w:val="none"/>
        </w:rPr>
        <w:t>29.验收</w:t>
      </w:r>
    </w:p>
    <w:p>
      <w:pPr>
        <w:tabs>
          <w:tab w:val="left" w:pos="0"/>
        </w:tabs>
        <w:adjustRightInd/>
        <w:spacing w:line="360" w:lineRule="auto"/>
        <w:ind w:firstLine="480"/>
        <w:rPr>
          <w:rFonts w:cs="Helvetica"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highlight w:val="none"/>
        </w:rPr>
        <w:t>29.1</w:t>
      </w:r>
      <w:r>
        <w:rPr>
          <w:rFonts w:hint="eastAsia" w:cs="Helvetica" w:asciiTheme="minorEastAsia" w:hAnsiTheme="minorEastAsia" w:eastAsiaTheme="minorEastAsia"/>
          <w:color w:val="auto"/>
          <w:kern w:val="0"/>
          <w:sz w:val="24"/>
          <w:highlight w:val="none"/>
        </w:rPr>
        <w:t>采购人应当根据采购项目的具体情况，自行组织项目验收或者委托采购代理机构验收。</w:t>
      </w:r>
      <w:r>
        <w:rPr>
          <w:rFonts w:cs="Helvetica" w:asciiTheme="minorEastAsia" w:hAnsiTheme="minorEastAsia" w:eastAsiaTheme="minorEastAsia"/>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spacing w:line="360" w:lineRule="auto"/>
        <w:ind w:firstLine="480"/>
        <w:rPr>
          <w:rFonts w:cs="Helvetica"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highlight w:val="none"/>
        </w:rPr>
        <w:t>29.2采购人可以邀请参加本项目的其他投标人或者第三方机构参与验收。参与验收的投标人或者第三方机构的意见作为</w:t>
      </w:r>
      <w:r>
        <w:rPr>
          <w:rFonts w:hint="eastAsia" w:cs="Helvetica" w:asciiTheme="minorEastAsia" w:hAnsiTheme="minorEastAsia" w:eastAsiaTheme="minorEastAsia"/>
          <w:color w:val="auto"/>
          <w:kern w:val="0"/>
          <w:sz w:val="24"/>
          <w:highlight w:val="none"/>
        </w:rPr>
        <w:t>验收书的参考资料一并存档。</w:t>
      </w:r>
    </w:p>
    <w:p>
      <w:pPr>
        <w:tabs>
          <w:tab w:val="left" w:pos="0"/>
        </w:tabs>
        <w:adjustRightInd/>
        <w:spacing w:line="360" w:lineRule="auto"/>
        <w:ind w:firstLine="480"/>
        <w:rPr>
          <w:rFonts w:cs="Helvetica"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spacing w:line="360" w:lineRule="auto"/>
        <w:ind w:firstLine="480"/>
        <w:rPr>
          <w:rFonts w:cs="仿宋_GB2312" w:asciiTheme="minorEastAsia" w:hAnsiTheme="minorEastAsia" w:eastAsiaTheme="minorEastAsia"/>
          <w:color w:val="auto"/>
          <w:sz w:val="18"/>
          <w:szCs w:val="18"/>
          <w:highlight w:val="none"/>
        </w:rPr>
      </w:pPr>
      <w:r>
        <w:rPr>
          <w:rFonts w:cs="Helvetica" w:asciiTheme="minorEastAsia" w:hAnsiTheme="minorEastAsia" w:eastAsiaTheme="minorEastAsi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cs="Helvetica" w:asciiTheme="minorEastAsia" w:hAnsiTheme="minorEastAsia" w:eastAsiaTheme="minorEastAsia"/>
          <w:color w:val="auto"/>
          <w:kern w:val="0"/>
          <w:sz w:val="24"/>
          <w:highlight w:val="none"/>
        </w:rPr>
        <w:sectPr>
          <w:footerReference r:id="rId9" w:type="first"/>
          <w:footerReference r:id="rId8" w:type="default"/>
          <w:pgSz w:w="11906" w:h="16838"/>
          <w:pgMar w:top="1134" w:right="1134" w:bottom="1134" w:left="1134" w:header="851" w:footer="992" w:gutter="0"/>
          <w:pgNumType w:fmt="decimal"/>
          <w:cols w:space="720" w:num="1"/>
          <w:titlePg/>
          <w:docGrid w:linePitch="312" w:charSpace="0"/>
        </w:sectPr>
      </w:pPr>
      <w:bookmarkStart w:id="15" w:name="_Hlt68073093"/>
      <w:bookmarkEnd w:id="15"/>
      <w:bookmarkStart w:id="16" w:name="_Hlt74730295"/>
      <w:bookmarkEnd w:id="16"/>
      <w:bookmarkStart w:id="17" w:name="_Hlt75236290"/>
      <w:bookmarkEnd w:id="17"/>
      <w:bookmarkStart w:id="18" w:name="_Hlt74707468"/>
      <w:bookmarkEnd w:id="18"/>
      <w:bookmarkStart w:id="19" w:name="_Hlt74729768"/>
      <w:bookmarkEnd w:id="19"/>
      <w:bookmarkStart w:id="20" w:name="_Hlt75236101"/>
      <w:bookmarkEnd w:id="20"/>
      <w:bookmarkStart w:id="21" w:name="_Hlt68072998"/>
      <w:bookmarkEnd w:id="21"/>
      <w:bookmarkStart w:id="22" w:name="_Hlt68057669"/>
      <w:bookmarkEnd w:id="22"/>
      <w:bookmarkStart w:id="23" w:name="_Hlt68403820"/>
      <w:bookmarkEnd w:id="23"/>
      <w:bookmarkStart w:id="24" w:name="_Hlt75236011"/>
      <w:bookmarkEnd w:id="24"/>
      <w:bookmarkStart w:id="25" w:name="_Hlt68072990"/>
      <w:bookmarkEnd w:id="25"/>
      <w:bookmarkStart w:id="26" w:name="_Hlt74714665"/>
      <w:bookmarkEnd w:id="26"/>
    </w:p>
    <w:bookmarkEnd w:id="11"/>
    <w:bookmarkEnd w:id="12"/>
    <w:p>
      <w:pPr>
        <w:spacing w:line="360" w:lineRule="auto"/>
        <w:jc w:val="center"/>
        <w:outlineLvl w:val="0"/>
        <w:rPr>
          <w:rFonts w:cs="仿宋_GB2312" w:asciiTheme="minorEastAsia" w:hAnsiTheme="minorEastAsia" w:eastAsiaTheme="minorEastAsia"/>
          <w:b/>
          <w:color w:val="auto"/>
          <w:sz w:val="36"/>
          <w:szCs w:val="36"/>
          <w:highlight w:val="none"/>
        </w:rPr>
      </w:pPr>
      <w:bookmarkStart w:id="27" w:name="_Toc26615"/>
      <w:bookmarkStart w:id="28" w:name="第四部分"/>
      <w:r>
        <w:rPr>
          <w:rFonts w:hint="eastAsia" w:cs="仿宋_GB2312" w:asciiTheme="minorEastAsia" w:hAnsiTheme="minorEastAsia" w:eastAsiaTheme="minorEastAsia"/>
          <w:b/>
          <w:color w:val="auto"/>
          <w:sz w:val="36"/>
          <w:szCs w:val="36"/>
          <w:highlight w:val="none"/>
        </w:rPr>
        <w:t>第三部分</w:t>
      </w:r>
      <w:r>
        <w:rPr>
          <w:rFonts w:cs="仿宋_GB2312" w:asciiTheme="minorEastAsia" w:hAnsiTheme="minorEastAsia" w:eastAsiaTheme="minorEastAsia"/>
          <w:b/>
          <w:color w:val="auto"/>
          <w:sz w:val="36"/>
          <w:szCs w:val="36"/>
          <w:highlight w:val="none"/>
        </w:rPr>
        <w:t xml:space="preserve"> </w:t>
      </w:r>
      <w:r>
        <w:rPr>
          <w:rFonts w:hint="eastAsia" w:cs="仿宋_GB2312" w:asciiTheme="minorEastAsia" w:hAnsiTheme="minorEastAsia" w:eastAsiaTheme="minorEastAsia"/>
          <w:b/>
          <w:color w:val="auto"/>
          <w:sz w:val="36"/>
          <w:szCs w:val="36"/>
          <w:highlight w:val="none"/>
        </w:rPr>
        <w:t>采购需求</w:t>
      </w:r>
      <w:bookmarkEnd w:id="27"/>
    </w:p>
    <w:p>
      <w:pPr>
        <w:pStyle w:val="3"/>
        <w:adjustRightInd w:val="0"/>
        <w:spacing w:line="240" w:lineRule="auto"/>
        <w:ind w:left="0" w:firstLine="0"/>
        <w:rPr>
          <w:rFonts w:ascii="宋体" w:hAnsi="宋体" w:eastAsia="宋体"/>
          <w:color w:val="auto"/>
          <w:sz w:val="24"/>
          <w:szCs w:val="24"/>
          <w:highlight w:val="none"/>
          <w:lang w:val="en-US"/>
        </w:rPr>
      </w:pPr>
      <w:bookmarkStart w:id="29" w:name="_Toc2817"/>
      <w:r>
        <w:rPr>
          <w:rFonts w:hint="eastAsia" w:ascii="宋体" w:hAnsi="宋体" w:eastAsia="宋体"/>
          <w:color w:val="auto"/>
          <w:sz w:val="24"/>
          <w:szCs w:val="24"/>
          <w:highlight w:val="none"/>
          <w:lang w:val="en-US"/>
        </w:rPr>
        <w:t>特别说明：标“★”的技术参数实质性要求条款，不接受负偏离。</w:t>
      </w:r>
    </w:p>
    <w:p>
      <w:pPr>
        <w:rPr>
          <w:rFonts w:hint="eastAsia"/>
          <w:color w:val="auto"/>
          <w:highlight w:val="none"/>
          <w:lang w:val="en-US"/>
        </w:rPr>
      </w:pPr>
    </w:p>
    <w:p>
      <w:pPr>
        <w:pStyle w:val="3"/>
        <w:tabs>
          <w:tab w:val="left" w:pos="1110"/>
        </w:tabs>
        <w:ind w:left="0" w:firstLine="482" w:firstLineChars="200"/>
        <w:rPr>
          <w:rFonts w:ascii="宋体" w:hAnsi="宋体" w:eastAsia="宋体"/>
          <w:color w:val="auto"/>
          <w:sz w:val="24"/>
          <w:szCs w:val="24"/>
          <w:highlight w:val="none"/>
        </w:rPr>
      </w:pPr>
      <w:bookmarkStart w:id="30" w:name="_Toc82338547"/>
      <w:r>
        <w:rPr>
          <w:rFonts w:hint="eastAsia" w:ascii="宋体" w:hAnsi="宋体" w:eastAsia="宋体"/>
          <w:color w:val="auto"/>
          <w:sz w:val="24"/>
          <w:szCs w:val="24"/>
          <w:highlight w:val="none"/>
        </w:rPr>
        <w:t>一、技术要求</w:t>
      </w:r>
      <w:bookmarkEnd w:id="30"/>
    </w:p>
    <w:p>
      <w:pPr>
        <w:pStyle w:val="4"/>
        <w:adjustRightInd/>
        <w:spacing w:before="0" w:after="0" w:line="360" w:lineRule="auto"/>
        <w:ind w:left="0" w:firstLine="482" w:firstLineChars="200"/>
        <w:rPr>
          <w:rFonts w:ascii="宋体" w:hAnsi="宋体"/>
          <w:color w:val="auto"/>
          <w:sz w:val="24"/>
          <w:highlight w:val="none"/>
        </w:rPr>
      </w:pPr>
      <w:r>
        <w:rPr>
          <w:rFonts w:hint="eastAsia" w:ascii="宋体" w:hAnsi="宋体"/>
          <w:color w:val="auto"/>
          <w:sz w:val="24"/>
          <w:highlight w:val="none"/>
        </w:rPr>
        <w:t>（一）采购清单</w:t>
      </w:r>
      <w:r>
        <w:rPr>
          <w:rFonts w:hint="eastAsia" w:ascii="宋体" w:hAnsi="宋体"/>
          <w:color w:val="auto"/>
          <w:sz w:val="24"/>
          <w:highlight w:val="none"/>
          <w:lang w:val="en-US" w:eastAsia="zh-CN"/>
        </w:rPr>
        <w:t>及</w:t>
      </w:r>
      <w:r>
        <w:rPr>
          <w:rFonts w:hint="eastAsia" w:ascii="宋体" w:hAnsi="宋体"/>
          <w:color w:val="auto"/>
          <w:sz w:val="24"/>
          <w:highlight w:val="none"/>
        </w:rPr>
        <w:t>产品技术要求</w:t>
      </w:r>
    </w:p>
    <w:p>
      <w:pPr>
        <w:pStyle w:val="4"/>
        <w:adjustRightInd/>
        <w:spacing w:before="0" w:after="0" w:line="360" w:lineRule="auto"/>
        <w:ind w:left="0" w:firstLine="482"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采购清单</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3640"/>
        <w:gridCol w:w="973"/>
        <w:gridCol w:w="2750"/>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vAlign w:val="center"/>
          </w:tcPr>
          <w:p>
            <w:pPr>
              <w:adjustRightInd/>
              <w:spacing w:line="240" w:lineRule="auto"/>
              <w:jc w:val="center"/>
              <w:rPr>
                <w:rFonts w:hint="eastAsia" w:ascii="宋体" w:hAnsi="宋体" w:eastAsia="宋体"/>
                <w:color w:val="auto"/>
                <w:sz w:val="24"/>
                <w:highlight w:val="none"/>
                <w:vertAlign w:val="baseline"/>
                <w:lang w:val="en-US" w:eastAsia="zh-CN"/>
              </w:rPr>
            </w:pPr>
            <w:r>
              <w:rPr>
                <w:rFonts w:hint="eastAsia" w:ascii="宋体" w:hAnsi="宋体"/>
                <w:color w:val="auto"/>
                <w:sz w:val="24"/>
                <w:highlight w:val="none"/>
                <w:vertAlign w:val="baseline"/>
                <w:lang w:val="en-US" w:eastAsia="zh-CN"/>
              </w:rPr>
              <w:t>序号</w:t>
            </w:r>
          </w:p>
        </w:tc>
        <w:tc>
          <w:tcPr>
            <w:tcW w:w="3640" w:type="dxa"/>
            <w:vAlign w:val="center"/>
          </w:tcPr>
          <w:p>
            <w:pPr>
              <w:adjustRightInd/>
              <w:spacing w:line="240" w:lineRule="auto"/>
              <w:jc w:val="center"/>
              <w:rPr>
                <w:rFonts w:hint="default" w:ascii="宋体" w:hAnsi="宋体" w:eastAsia="宋体"/>
                <w:color w:val="auto"/>
                <w:sz w:val="24"/>
                <w:highlight w:val="none"/>
                <w:vertAlign w:val="baseline"/>
                <w:lang w:val="en-US" w:eastAsia="zh-CN"/>
              </w:rPr>
            </w:pPr>
            <w:r>
              <w:rPr>
                <w:rFonts w:hint="eastAsia" w:ascii="宋体" w:hAnsi="宋体"/>
                <w:color w:val="auto"/>
                <w:sz w:val="24"/>
                <w:highlight w:val="none"/>
                <w:vertAlign w:val="baseline"/>
                <w:lang w:val="en-US" w:eastAsia="zh-CN"/>
              </w:rPr>
              <w:t>标的名称</w:t>
            </w:r>
          </w:p>
        </w:tc>
        <w:tc>
          <w:tcPr>
            <w:tcW w:w="973" w:type="dxa"/>
            <w:vAlign w:val="center"/>
          </w:tcPr>
          <w:p>
            <w:pPr>
              <w:adjustRightInd/>
              <w:spacing w:line="240" w:lineRule="auto"/>
              <w:jc w:val="center"/>
              <w:rPr>
                <w:rFonts w:hint="eastAsia" w:ascii="宋体" w:hAnsi="宋体" w:eastAsia="宋体"/>
                <w:color w:val="auto"/>
                <w:sz w:val="24"/>
                <w:highlight w:val="none"/>
                <w:vertAlign w:val="baseline"/>
                <w:lang w:val="en-US" w:eastAsia="zh-CN"/>
              </w:rPr>
            </w:pPr>
            <w:r>
              <w:rPr>
                <w:rFonts w:hint="eastAsia" w:ascii="宋体" w:hAnsi="宋体"/>
                <w:color w:val="auto"/>
                <w:sz w:val="24"/>
                <w:highlight w:val="none"/>
                <w:vertAlign w:val="baseline"/>
                <w:lang w:val="en-US" w:eastAsia="zh-CN"/>
              </w:rPr>
              <w:t>数量</w:t>
            </w:r>
          </w:p>
        </w:tc>
        <w:tc>
          <w:tcPr>
            <w:tcW w:w="2750" w:type="dxa"/>
            <w:vAlign w:val="center"/>
          </w:tcPr>
          <w:p>
            <w:pPr>
              <w:adjustRightInd/>
              <w:spacing w:line="240" w:lineRule="auto"/>
              <w:jc w:val="center"/>
              <w:rPr>
                <w:rFonts w:hint="default" w:ascii="宋体" w:hAnsi="宋体" w:eastAsia="宋体"/>
                <w:color w:val="auto"/>
                <w:sz w:val="24"/>
                <w:highlight w:val="none"/>
                <w:vertAlign w:val="baseline"/>
                <w:lang w:val="en-US" w:eastAsia="zh-CN"/>
              </w:rPr>
            </w:pPr>
            <w:r>
              <w:rPr>
                <w:rFonts w:hint="eastAsia" w:ascii="宋体" w:hAnsi="宋体"/>
                <w:color w:val="auto"/>
                <w:sz w:val="24"/>
                <w:highlight w:val="none"/>
                <w:vertAlign w:val="baseline"/>
                <w:lang w:val="en-US" w:eastAsia="zh-CN"/>
              </w:rPr>
              <w:t>位置</w:t>
            </w:r>
          </w:p>
        </w:tc>
        <w:tc>
          <w:tcPr>
            <w:tcW w:w="1428" w:type="dxa"/>
            <w:vAlign w:val="center"/>
          </w:tcPr>
          <w:p>
            <w:pPr>
              <w:adjustRightInd/>
              <w:spacing w:line="240" w:lineRule="auto"/>
              <w:jc w:val="center"/>
              <w:rPr>
                <w:rFonts w:hint="default" w:ascii="宋体" w:hAnsi="宋体"/>
                <w:color w:val="auto"/>
                <w:sz w:val="24"/>
                <w:highlight w:val="none"/>
                <w:vertAlign w:val="baseline"/>
                <w:lang w:val="en-US" w:eastAsia="zh-CN"/>
              </w:rPr>
            </w:pPr>
            <w:r>
              <w:rPr>
                <w:rFonts w:hint="eastAsia" w:ascii="宋体" w:hAnsi="宋体"/>
                <w:color w:val="auto"/>
                <w:sz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vAlign w:val="center"/>
          </w:tcPr>
          <w:p>
            <w:pPr>
              <w:adjustRightInd/>
              <w:spacing w:line="240" w:lineRule="auto"/>
              <w:jc w:val="center"/>
              <w:rPr>
                <w:rFonts w:hint="eastAsia" w:ascii="宋体" w:hAnsi="宋体" w:eastAsia="宋体"/>
                <w:color w:val="auto"/>
                <w:sz w:val="24"/>
                <w:highlight w:val="none"/>
                <w:vertAlign w:val="baseline"/>
                <w:lang w:val="en-US" w:eastAsia="zh-CN"/>
              </w:rPr>
            </w:pPr>
            <w:r>
              <w:rPr>
                <w:rFonts w:hint="eastAsia" w:ascii="宋体" w:hAnsi="宋体"/>
                <w:color w:val="auto"/>
                <w:sz w:val="24"/>
                <w:highlight w:val="none"/>
                <w:vertAlign w:val="baseline"/>
                <w:lang w:val="en-US" w:eastAsia="zh-CN"/>
              </w:rPr>
              <w:t>1</w:t>
            </w:r>
          </w:p>
        </w:tc>
        <w:tc>
          <w:tcPr>
            <w:tcW w:w="3640" w:type="dxa"/>
            <w:vAlign w:val="center"/>
          </w:tcPr>
          <w:p>
            <w:pPr>
              <w:adjustRightInd/>
              <w:spacing w:line="240" w:lineRule="auto"/>
              <w:jc w:val="center"/>
              <w:rPr>
                <w:rFonts w:hint="eastAsia" w:ascii="宋体" w:hAnsi="宋体" w:eastAsia="宋体"/>
                <w:color w:val="auto"/>
                <w:sz w:val="24"/>
                <w:highlight w:val="none"/>
                <w:vertAlign w:val="baseline"/>
                <w:lang w:val="en-US" w:eastAsia="zh-CN"/>
              </w:rPr>
            </w:pPr>
            <w:r>
              <w:rPr>
                <w:rFonts w:hint="eastAsia" w:cs="Helvetica" w:asciiTheme="minorEastAsia" w:hAnsiTheme="minorEastAsia" w:eastAsiaTheme="minorEastAsia"/>
                <w:b w:val="0"/>
                <w:bCs w:val="0"/>
                <w:color w:val="auto"/>
                <w:kern w:val="0"/>
                <w:sz w:val="24"/>
                <w:szCs w:val="24"/>
                <w:highlight w:val="none"/>
                <w:lang w:val="en-US"/>
              </w:rPr>
              <w:t>▲</w:t>
            </w:r>
            <w:r>
              <w:rPr>
                <w:rFonts w:hint="eastAsia" w:ascii="宋体" w:hAnsi="宋体"/>
                <w:color w:val="auto"/>
                <w:sz w:val="24"/>
                <w:highlight w:val="none"/>
                <w:vertAlign w:val="baseline"/>
              </w:rPr>
              <w:t>报告厅舞台音响</w:t>
            </w:r>
            <w:r>
              <w:rPr>
                <w:rFonts w:hint="eastAsia" w:ascii="宋体" w:hAnsi="宋体"/>
                <w:color w:val="auto"/>
                <w:sz w:val="24"/>
                <w:highlight w:val="none"/>
                <w:vertAlign w:val="baseline"/>
                <w:lang w:val="en-US" w:eastAsia="zh-CN"/>
              </w:rPr>
              <w:t>系统</w:t>
            </w:r>
          </w:p>
        </w:tc>
        <w:tc>
          <w:tcPr>
            <w:tcW w:w="973" w:type="dxa"/>
            <w:vAlign w:val="center"/>
          </w:tcPr>
          <w:p>
            <w:pPr>
              <w:adjustRightInd/>
              <w:spacing w:line="240" w:lineRule="auto"/>
              <w:jc w:val="center"/>
              <w:rPr>
                <w:rFonts w:hint="eastAsia" w:ascii="宋体" w:hAnsi="宋体" w:eastAsia="宋体"/>
                <w:color w:val="auto"/>
                <w:sz w:val="24"/>
                <w:highlight w:val="none"/>
                <w:vertAlign w:val="baseline"/>
                <w:lang w:val="en-US" w:eastAsia="zh-CN"/>
              </w:rPr>
            </w:pPr>
            <w:r>
              <w:rPr>
                <w:rFonts w:hint="eastAsia" w:ascii="宋体" w:hAnsi="宋体"/>
                <w:color w:val="auto"/>
                <w:sz w:val="24"/>
                <w:highlight w:val="none"/>
                <w:vertAlign w:val="baseline"/>
                <w:lang w:val="en-US" w:eastAsia="zh-CN"/>
              </w:rPr>
              <w:t>1项</w:t>
            </w:r>
          </w:p>
        </w:tc>
        <w:tc>
          <w:tcPr>
            <w:tcW w:w="2750" w:type="dxa"/>
            <w:vMerge w:val="restart"/>
            <w:vAlign w:val="center"/>
          </w:tcPr>
          <w:p>
            <w:pPr>
              <w:adjustRightInd/>
              <w:spacing w:line="240" w:lineRule="auto"/>
              <w:jc w:val="center"/>
              <w:rPr>
                <w:rFonts w:ascii="宋体" w:hAnsi="宋体"/>
                <w:color w:val="auto"/>
                <w:sz w:val="24"/>
                <w:highlight w:val="none"/>
                <w:vertAlign w:val="baseline"/>
              </w:rPr>
            </w:pPr>
            <w:r>
              <w:rPr>
                <w:rFonts w:hint="eastAsia" w:ascii="宋体" w:hAnsi="宋体"/>
                <w:color w:val="auto"/>
                <w:sz w:val="24"/>
                <w:highlight w:val="none"/>
                <w:vertAlign w:val="baseline"/>
              </w:rPr>
              <w:t>江北区外国语3F多功能厅</w:t>
            </w:r>
          </w:p>
        </w:tc>
        <w:tc>
          <w:tcPr>
            <w:tcW w:w="1428" w:type="dxa"/>
            <w:vAlign w:val="center"/>
          </w:tcPr>
          <w:p>
            <w:pPr>
              <w:adjustRightInd/>
              <w:spacing w:line="240" w:lineRule="auto"/>
              <w:jc w:val="center"/>
              <w:rPr>
                <w:rFonts w:hint="eastAsia" w:ascii="宋体" w:hAnsi="宋体" w:eastAsia="宋体"/>
                <w:color w:val="auto"/>
                <w:sz w:val="24"/>
                <w:highlight w:val="none"/>
                <w:vertAlign w:val="baseline"/>
                <w:lang w:val="en-US" w:eastAsia="zh-CN"/>
              </w:rPr>
            </w:pPr>
            <w:r>
              <w:rPr>
                <w:rFonts w:hint="eastAsia" w:ascii="宋体" w:hAnsi="宋体"/>
                <w:color w:val="auto"/>
                <w:sz w:val="24"/>
                <w:highlight w:val="none"/>
                <w:vertAlign w:val="baseline"/>
                <w:lang w:val="en-US" w:eastAsia="zh-CN"/>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vAlign w:val="center"/>
          </w:tcPr>
          <w:p>
            <w:pPr>
              <w:adjustRightInd/>
              <w:spacing w:line="240" w:lineRule="auto"/>
              <w:jc w:val="center"/>
              <w:rPr>
                <w:rFonts w:hint="eastAsia" w:ascii="宋体" w:hAnsi="宋体" w:eastAsia="宋体"/>
                <w:color w:val="auto"/>
                <w:sz w:val="24"/>
                <w:highlight w:val="none"/>
                <w:vertAlign w:val="baseline"/>
                <w:lang w:val="en-US" w:eastAsia="zh-CN"/>
              </w:rPr>
            </w:pPr>
            <w:r>
              <w:rPr>
                <w:rFonts w:hint="eastAsia" w:ascii="宋体" w:hAnsi="宋体"/>
                <w:color w:val="auto"/>
                <w:sz w:val="24"/>
                <w:highlight w:val="none"/>
                <w:vertAlign w:val="baseline"/>
                <w:lang w:val="en-US" w:eastAsia="zh-CN"/>
              </w:rPr>
              <w:t>2</w:t>
            </w:r>
          </w:p>
        </w:tc>
        <w:tc>
          <w:tcPr>
            <w:tcW w:w="3640" w:type="dxa"/>
            <w:vAlign w:val="center"/>
          </w:tcPr>
          <w:p>
            <w:pPr>
              <w:adjustRightInd/>
              <w:spacing w:line="240" w:lineRule="auto"/>
              <w:jc w:val="center"/>
              <w:rPr>
                <w:rFonts w:ascii="宋体" w:hAnsi="宋体"/>
                <w:color w:val="auto"/>
                <w:sz w:val="24"/>
                <w:highlight w:val="none"/>
                <w:vertAlign w:val="baseline"/>
              </w:rPr>
            </w:pPr>
            <w:r>
              <w:rPr>
                <w:rFonts w:hint="eastAsia" w:cs="Helvetica" w:asciiTheme="minorEastAsia" w:hAnsiTheme="minorEastAsia" w:eastAsiaTheme="minorEastAsia"/>
                <w:b w:val="0"/>
                <w:bCs w:val="0"/>
                <w:color w:val="auto"/>
                <w:kern w:val="0"/>
                <w:sz w:val="24"/>
                <w:szCs w:val="24"/>
                <w:highlight w:val="none"/>
                <w:lang w:val="en-US"/>
              </w:rPr>
              <w:t>▲</w:t>
            </w:r>
            <w:r>
              <w:rPr>
                <w:rFonts w:hint="eastAsia" w:ascii="宋体" w:hAnsi="宋体" w:eastAsia="宋体" w:cs="宋体"/>
                <w:i w:val="0"/>
                <w:iCs w:val="0"/>
                <w:color w:val="auto"/>
                <w:kern w:val="0"/>
                <w:sz w:val="24"/>
                <w:szCs w:val="24"/>
                <w:highlight w:val="none"/>
                <w:u w:val="none"/>
                <w:lang w:val="en-US" w:eastAsia="zh-CN" w:bidi="ar"/>
              </w:rPr>
              <w:t>舞台机械及灯光系统</w:t>
            </w:r>
          </w:p>
        </w:tc>
        <w:tc>
          <w:tcPr>
            <w:tcW w:w="973" w:type="dxa"/>
            <w:vAlign w:val="center"/>
          </w:tcPr>
          <w:p>
            <w:pPr>
              <w:adjustRightInd/>
              <w:spacing w:line="240" w:lineRule="auto"/>
              <w:jc w:val="center"/>
              <w:rPr>
                <w:rFonts w:ascii="宋体" w:hAnsi="宋体"/>
                <w:color w:val="auto"/>
                <w:sz w:val="24"/>
                <w:highlight w:val="none"/>
                <w:vertAlign w:val="baseline"/>
              </w:rPr>
            </w:pPr>
            <w:r>
              <w:rPr>
                <w:rFonts w:hint="eastAsia" w:ascii="宋体" w:hAnsi="宋体"/>
                <w:color w:val="auto"/>
                <w:sz w:val="24"/>
                <w:highlight w:val="none"/>
                <w:vertAlign w:val="baseline"/>
                <w:lang w:val="en-US" w:eastAsia="zh-CN"/>
              </w:rPr>
              <w:t>1项</w:t>
            </w:r>
          </w:p>
        </w:tc>
        <w:tc>
          <w:tcPr>
            <w:tcW w:w="2750" w:type="dxa"/>
            <w:vMerge w:val="continue"/>
            <w:vAlign w:val="center"/>
          </w:tcPr>
          <w:p>
            <w:pPr>
              <w:adjustRightInd/>
              <w:spacing w:line="240" w:lineRule="auto"/>
              <w:jc w:val="center"/>
              <w:rPr>
                <w:rFonts w:ascii="宋体" w:hAnsi="宋体"/>
                <w:color w:val="auto"/>
                <w:sz w:val="24"/>
                <w:highlight w:val="none"/>
                <w:vertAlign w:val="baseline"/>
              </w:rPr>
            </w:pPr>
          </w:p>
        </w:tc>
        <w:tc>
          <w:tcPr>
            <w:tcW w:w="1428" w:type="dxa"/>
            <w:vAlign w:val="center"/>
          </w:tcPr>
          <w:p>
            <w:pPr>
              <w:adjustRightInd/>
              <w:spacing w:line="240" w:lineRule="auto"/>
              <w:jc w:val="center"/>
              <w:rPr>
                <w:rFonts w:ascii="宋体" w:hAnsi="宋体"/>
                <w:color w:val="auto"/>
                <w:sz w:val="24"/>
                <w:highlight w:val="none"/>
                <w:vertAlign w:val="baseline"/>
              </w:rPr>
            </w:pPr>
            <w:r>
              <w:rPr>
                <w:rFonts w:hint="eastAsia" w:ascii="宋体" w:hAnsi="宋体"/>
                <w:color w:val="auto"/>
                <w:sz w:val="24"/>
                <w:highlight w:val="none"/>
                <w:vertAlign w:val="baseline"/>
                <w:lang w:val="en-US" w:eastAsia="zh-CN"/>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826" w:type="dxa"/>
            <w:vAlign w:val="center"/>
          </w:tcPr>
          <w:p>
            <w:pPr>
              <w:adjustRightInd/>
              <w:spacing w:line="240" w:lineRule="auto"/>
              <w:jc w:val="center"/>
              <w:rPr>
                <w:rFonts w:hint="eastAsia" w:ascii="宋体" w:hAnsi="宋体" w:eastAsia="宋体" w:cs="Times New Roman"/>
                <w:color w:val="auto"/>
                <w:kern w:val="2"/>
                <w:sz w:val="24"/>
                <w:szCs w:val="24"/>
                <w:highlight w:val="none"/>
                <w:vertAlign w:val="baseline"/>
                <w:lang w:val="en-US" w:eastAsia="zh-CN" w:bidi="ar-SA"/>
              </w:rPr>
            </w:pPr>
            <w:r>
              <w:rPr>
                <w:rFonts w:hint="eastAsia" w:ascii="宋体" w:hAnsi="宋体"/>
                <w:color w:val="auto"/>
                <w:sz w:val="24"/>
                <w:highlight w:val="none"/>
                <w:vertAlign w:val="baseline"/>
                <w:lang w:val="en-US" w:eastAsia="zh-CN"/>
              </w:rPr>
              <w:t>3</w:t>
            </w:r>
          </w:p>
        </w:tc>
        <w:tc>
          <w:tcPr>
            <w:tcW w:w="3640" w:type="dxa"/>
            <w:vAlign w:val="center"/>
          </w:tcPr>
          <w:p>
            <w:pPr>
              <w:adjustRightInd/>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多功能厅音响系统</w:t>
            </w:r>
          </w:p>
        </w:tc>
        <w:tc>
          <w:tcPr>
            <w:tcW w:w="973" w:type="dxa"/>
            <w:vAlign w:val="center"/>
          </w:tcPr>
          <w:p>
            <w:pPr>
              <w:adjustRightInd/>
              <w:spacing w:line="240" w:lineRule="auto"/>
              <w:jc w:val="center"/>
              <w:rPr>
                <w:rFonts w:ascii="宋体" w:hAnsi="宋体"/>
                <w:color w:val="auto"/>
                <w:sz w:val="24"/>
                <w:highlight w:val="none"/>
                <w:vertAlign w:val="baseline"/>
              </w:rPr>
            </w:pPr>
            <w:r>
              <w:rPr>
                <w:rFonts w:hint="eastAsia" w:ascii="宋体" w:hAnsi="宋体"/>
                <w:color w:val="auto"/>
                <w:sz w:val="24"/>
                <w:highlight w:val="none"/>
                <w:vertAlign w:val="baseline"/>
                <w:lang w:val="en-US" w:eastAsia="zh-CN"/>
              </w:rPr>
              <w:t>1项</w:t>
            </w:r>
          </w:p>
        </w:tc>
        <w:tc>
          <w:tcPr>
            <w:tcW w:w="2750" w:type="dxa"/>
            <w:vMerge w:val="restart"/>
            <w:vAlign w:val="center"/>
          </w:tcPr>
          <w:p>
            <w:pPr>
              <w:adjustRightInd/>
              <w:spacing w:line="240" w:lineRule="auto"/>
              <w:jc w:val="center"/>
              <w:rPr>
                <w:rFonts w:hint="default" w:ascii="宋体" w:hAnsi="宋体" w:cs="Times New Roman"/>
                <w:color w:val="auto"/>
                <w:sz w:val="24"/>
                <w:highlight w:val="none"/>
                <w:vertAlign w:val="baseline"/>
                <w:lang w:val="en-US"/>
              </w:rPr>
            </w:pPr>
            <w:r>
              <w:rPr>
                <w:rFonts w:hint="eastAsia" w:ascii="宋体" w:hAnsi="宋体" w:cs="Times New Roman"/>
                <w:color w:val="auto"/>
                <w:sz w:val="24"/>
                <w:highlight w:val="none"/>
                <w:vertAlign w:val="baseline"/>
                <w:lang w:val="en-US" w:eastAsia="zh-CN"/>
              </w:rPr>
              <w:t>悦和幼儿园多</w:t>
            </w:r>
          </w:p>
        </w:tc>
        <w:tc>
          <w:tcPr>
            <w:tcW w:w="1428" w:type="dxa"/>
            <w:vAlign w:val="center"/>
          </w:tcPr>
          <w:p>
            <w:pPr>
              <w:adjustRightInd/>
              <w:spacing w:line="240" w:lineRule="auto"/>
              <w:jc w:val="center"/>
              <w:rPr>
                <w:rFonts w:ascii="宋体" w:hAnsi="宋体"/>
                <w:color w:val="auto"/>
                <w:sz w:val="24"/>
                <w:highlight w:val="none"/>
                <w:vertAlign w:val="baseline"/>
              </w:rPr>
            </w:pPr>
            <w:r>
              <w:rPr>
                <w:rFonts w:hint="eastAsia" w:ascii="宋体" w:hAnsi="宋体"/>
                <w:color w:val="auto"/>
                <w:sz w:val="24"/>
                <w:highlight w:val="none"/>
                <w:vertAlign w:val="baseline"/>
                <w:lang w:val="en-US" w:eastAsia="zh-CN"/>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vAlign w:val="center"/>
          </w:tcPr>
          <w:p>
            <w:pPr>
              <w:adjustRightInd/>
              <w:spacing w:line="240" w:lineRule="auto"/>
              <w:jc w:val="center"/>
              <w:rPr>
                <w:rFonts w:hint="eastAsia" w:ascii="宋体" w:hAnsi="宋体" w:eastAsia="宋体" w:cs="Times New Roman"/>
                <w:color w:val="auto"/>
                <w:kern w:val="2"/>
                <w:sz w:val="24"/>
                <w:szCs w:val="24"/>
                <w:highlight w:val="none"/>
                <w:vertAlign w:val="baseline"/>
                <w:lang w:val="en-US" w:eastAsia="zh-CN" w:bidi="ar-SA"/>
              </w:rPr>
            </w:pPr>
            <w:r>
              <w:rPr>
                <w:rFonts w:hint="eastAsia" w:ascii="宋体" w:hAnsi="宋体"/>
                <w:color w:val="auto"/>
                <w:sz w:val="24"/>
                <w:highlight w:val="none"/>
                <w:vertAlign w:val="baseline"/>
                <w:lang w:val="en-US" w:eastAsia="zh-CN"/>
              </w:rPr>
              <w:t>4</w:t>
            </w:r>
          </w:p>
        </w:tc>
        <w:tc>
          <w:tcPr>
            <w:tcW w:w="3640" w:type="dxa"/>
            <w:vAlign w:val="center"/>
          </w:tcPr>
          <w:p>
            <w:pPr>
              <w:adjustRightInd/>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户外操场音响系统</w:t>
            </w:r>
          </w:p>
        </w:tc>
        <w:tc>
          <w:tcPr>
            <w:tcW w:w="973" w:type="dxa"/>
            <w:vAlign w:val="center"/>
          </w:tcPr>
          <w:p>
            <w:pPr>
              <w:adjustRightInd/>
              <w:spacing w:line="240" w:lineRule="auto"/>
              <w:jc w:val="center"/>
              <w:rPr>
                <w:rFonts w:ascii="宋体" w:hAnsi="宋体"/>
                <w:color w:val="auto"/>
                <w:sz w:val="24"/>
                <w:highlight w:val="none"/>
                <w:vertAlign w:val="baseline"/>
              </w:rPr>
            </w:pPr>
            <w:r>
              <w:rPr>
                <w:rFonts w:hint="eastAsia" w:ascii="宋体" w:hAnsi="宋体"/>
                <w:color w:val="auto"/>
                <w:sz w:val="24"/>
                <w:highlight w:val="none"/>
                <w:vertAlign w:val="baseline"/>
                <w:lang w:val="en-US" w:eastAsia="zh-CN"/>
              </w:rPr>
              <w:t>1项</w:t>
            </w:r>
          </w:p>
        </w:tc>
        <w:tc>
          <w:tcPr>
            <w:tcW w:w="2750" w:type="dxa"/>
            <w:vMerge w:val="continue"/>
            <w:vAlign w:val="center"/>
          </w:tcPr>
          <w:p>
            <w:pPr>
              <w:adjustRightInd/>
              <w:spacing w:line="240" w:lineRule="auto"/>
              <w:jc w:val="center"/>
              <w:rPr>
                <w:rFonts w:hint="eastAsia" w:ascii="宋体" w:hAnsi="宋体" w:cs="Times New Roman"/>
                <w:color w:val="auto"/>
                <w:sz w:val="24"/>
                <w:highlight w:val="none"/>
                <w:vertAlign w:val="baseline"/>
                <w:lang w:val="en-US" w:eastAsia="zh-CN"/>
              </w:rPr>
            </w:pPr>
          </w:p>
        </w:tc>
        <w:tc>
          <w:tcPr>
            <w:tcW w:w="1428" w:type="dxa"/>
            <w:vAlign w:val="center"/>
          </w:tcPr>
          <w:p>
            <w:pPr>
              <w:adjustRightInd/>
              <w:spacing w:line="240" w:lineRule="auto"/>
              <w:jc w:val="center"/>
              <w:rPr>
                <w:rFonts w:ascii="宋体" w:hAnsi="宋体"/>
                <w:color w:val="auto"/>
                <w:sz w:val="24"/>
                <w:highlight w:val="none"/>
                <w:vertAlign w:val="baseline"/>
              </w:rPr>
            </w:pPr>
            <w:r>
              <w:rPr>
                <w:rFonts w:hint="eastAsia" w:ascii="宋体" w:hAnsi="宋体"/>
                <w:color w:val="auto"/>
                <w:sz w:val="24"/>
                <w:highlight w:val="none"/>
                <w:vertAlign w:val="baseline"/>
                <w:lang w:val="en-US" w:eastAsia="zh-CN"/>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vAlign w:val="center"/>
          </w:tcPr>
          <w:p>
            <w:pPr>
              <w:adjustRightInd/>
              <w:spacing w:line="240" w:lineRule="auto"/>
              <w:jc w:val="center"/>
              <w:rPr>
                <w:rFonts w:hint="eastAsia" w:ascii="宋体" w:hAnsi="宋体" w:eastAsia="宋体" w:cs="Times New Roman"/>
                <w:color w:val="auto"/>
                <w:kern w:val="2"/>
                <w:sz w:val="24"/>
                <w:szCs w:val="24"/>
                <w:highlight w:val="none"/>
                <w:vertAlign w:val="baseline"/>
                <w:lang w:val="en-US" w:eastAsia="zh-CN" w:bidi="ar-SA"/>
              </w:rPr>
            </w:pPr>
            <w:r>
              <w:rPr>
                <w:rFonts w:hint="eastAsia" w:ascii="宋体" w:hAnsi="宋体"/>
                <w:color w:val="auto"/>
                <w:sz w:val="24"/>
                <w:highlight w:val="none"/>
                <w:vertAlign w:val="baseline"/>
                <w:lang w:val="en-US" w:eastAsia="zh-CN"/>
              </w:rPr>
              <w:t>5</w:t>
            </w:r>
          </w:p>
        </w:tc>
        <w:tc>
          <w:tcPr>
            <w:tcW w:w="3640" w:type="dxa"/>
            <w:vAlign w:val="center"/>
          </w:tcPr>
          <w:p>
            <w:pPr>
              <w:adjustRightInd/>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悦士庭院音响系统</w:t>
            </w:r>
          </w:p>
        </w:tc>
        <w:tc>
          <w:tcPr>
            <w:tcW w:w="973" w:type="dxa"/>
            <w:vAlign w:val="center"/>
          </w:tcPr>
          <w:p>
            <w:pPr>
              <w:adjustRightInd/>
              <w:spacing w:line="240" w:lineRule="auto"/>
              <w:jc w:val="center"/>
              <w:rPr>
                <w:rFonts w:ascii="宋体" w:hAnsi="宋体"/>
                <w:color w:val="auto"/>
                <w:sz w:val="24"/>
                <w:highlight w:val="none"/>
                <w:vertAlign w:val="baseline"/>
              </w:rPr>
            </w:pPr>
            <w:r>
              <w:rPr>
                <w:rFonts w:hint="eastAsia" w:ascii="宋体" w:hAnsi="宋体"/>
                <w:color w:val="auto"/>
                <w:sz w:val="24"/>
                <w:highlight w:val="none"/>
                <w:vertAlign w:val="baseline"/>
                <w:lang w:val="en-US" w:eastAsia="zh-CN"/>
              </w:rPr>
              <w:t>1项</w:t>
            </w:r>
          </w:p>
        </w:tc>
        <w:tc>
          <w:tcPr>
            <w:tcW w:w="2750" w:type="dxa"/>
            <w:vAlign w:val="center"/>
          </w:tcPr>
          <w:p>
            <w:pPr>
              <w:adjustRightInd/>
              <w:spacing w:line="240" w:lineRule="auto"/>
              <w:jc w:val="center"/>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悦和幼儿园（悦士庭院）</w:t>
            </w:r>
          </w:p>
        </w:tc>
        <w:tc>
          <w:tcPr>
            <w:tcW w:w="1428" w:type="dxa"/>
            <w:vAlign w:val="center"/>
          </w:tcPr>
          <w:p>
            <w:pPr>
              <w:adjustRightInd/>
              <w:spacing w:line="240" w:lineRule="auto"/>
              <w:jc w:val="center"/>
              <w:rPr>
                <w:rFonts w:ascii="宋体" w:hAnsi="宋体"/>
                <w:color w:val="auto"/>
                <w:sz w:val="24"/>
                <w:highlight w:val="none"/>
                <w:vertAlign w:val="baseline"/>
              </w:rPr>
            </w:pPr>
            <w:r>
              <w:rPr>
                <w:rFonts w:hint="eastAsia" w:ascii="宋体" w:hAnsi="宋体"/>
                <w:color w:val="auto"/>
                <w:sz w:val="24"/>
                <w:highlight w:val="none"/>
                <w:vertAlign w:val="baseline"/>
                <w:lang w:val="en-US" w:eastAsia="zh-CN"/>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vAlign w:val="center"/>
          </w:tcPr>
          <w:p>
            <w:pPr>
              <w:adjustRightInd/>
              <w:spacing w:line="240" w:lineRule="auto"/>
              <w:jc w:val="center"/>
              <w:rPr>
                <w:rFonts w:hint="eastAsia" w:ascii="宋体" w:hAnsi="宋体" w:eastAsia="宋体" w:cs="Times New Roman"/>
                <w:color w:val="auto"/>
                <w:kern w:val="2"/>
                <w:sz w:val="24"/>
                <w:szCs w:val="24"/>
                <w:highlight w:val="none"/>
                <w:vertAlign w:val="baseline"/>
                <w:lang w:val="en-US" w:eastAsia="zh-CN" w:bidi="ar-SA"/>
              </w:rPr>
            </w:pPr>
            <w:r>
              <w:rPr>
                <w:rFonts w:hint="eastAsia" w:ascii="宋体" w:hAnsi="宋体"/>
                <w:color w:val="auto"/>
                <w:sz w:val="24"/>
                <w:highlight w:val="none"/>
                <w:vertAlign w:val="baseline"/>
                <w:lang w:val="en-US" w:eastAsia="zh-CN"/>
              </w:rPr>
              <w:t>6</w:t>
            </w:r>
          </w:p>
        </w:tc>
        <w:tc>
          <w:tcPr>
            <w:tcW w:w="3640" w:type="dxa"/>
            <w:vAlign w:val="center"/>
          </w:tcPr>
          <w:p>
            <w:pPr>
              <w:adjustRightInd/>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初中部会议室音响设备</w:t>
            </w:r>
          </w:p>
        </w:tc>
        <w:tc>
          <w:tcPr>
            <w:tcW w:w="973" w:type="dxa"/>
            <w:vAlign w:val="center"/>
          </w:tcPr>
          <w:p>
            <w:pPr>
              <w:adjustRightInd/>
              <w:spacing w:line="240" w:lineRule="auto"/>
              <w:jc w:val="center"/>
              <w:rPr>
                <w:rFonts w:ascii="宋体" w:hAnsi="宋体"/>
                <w:color w:val="auto"/>
                <w:sz w:val="24"/>
                <w:highlight w:val="none"/>
                <w:vertAlign w:val="baseline"/>
              </w:rPr>
            </w:pPr>
            <w:r>
              <w:rPr>
                <w:rFonts w:hint="eastAsia" w:ascii="宋体" w:hAnsi="宋体"/>
                <w:color w:val="auto"/>
                <w:sz w:val="24"/>
                <w:highlight w:val="none"/>
                <w:vertAlign w:val="baseline"/>
                <w:lang w:val="en-US" w:eastAsia="zh-CN"/>
              </w:rPr>
              <w:t>1项</w:t>
            </w:r>
          </w:p>
        </w:tc>
        <w:tc>
          <w:tcPr>
            <w:tcW w:w="2750" w:type="dxa"/>
            <w:vAlign w:val="center"/>
          </w:tcPr>
          <w:p>
            <w:pPr>
              <w:adjustRightInd/>
              <w:spacing w:line="240" w:lineRule="auto"/>
              <w:jc w:val="center"/>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新城外国语学校</w:t>
            </w:r>
          </w:p>
        </w:tc>
        <w:tc>
          <w:tcPr>
            <w:tcW w:w="1428" w:type="dxa"/>
            <w:vAlign w:val="center"/>
          </w:tcPr>
          <w:p>
            <w:pPr>
              <w:adjustRightInd/>
              <w:spacing w:line="240" w:lineRule="auto"/>
              <w:jc w:val="center"/>
              <w:rPr>
                <w:rFonts w:ascii="宋体" w:hAnsi="宋体"/>
                <w:color w:val="auto"/>
                <w:sz w:val="24"/>
                <w:highlight w:val="none"/>
                <w:vertAlign w:val="baseline"/>
              </w:rPr>
            </w:pPr>
            <w:r>
              <w:rPr>
                <w:rFonts w:hint="eastAsia" w:ascii="宋体" w:hAnsi="宋体"/>
                <w:color w:val="auto"/>
                <w:sz w:val="24"/>
                <w:highlight w:val="none"/>
                <w:vertAlign w:val="baseline"/>
                <w:lang w:val="en-US" w:eastAsia="zh-CN"/>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826" w:type="dxa"/>
            <w:vAlign w:val="center"/>
          </w:tcPr>
          <w:p>
            <w:pPr>
              <w:adjustRightInd/>
              <w:spacing w:line="240" w:lineRule="auto"/>
              <w:jc w:val="center"/>
              <w:rPr>
                <w:rFonts w:hint="eastAsia" w:ascii="宋体" w:hAnsi="宋体" w:eastAsia="宋体" w:cs="Times New Roman"/>
                <w:color w:val="auto"/>
                <w:kern w:val="2"/>
                <w:sz w:val="24"/>
                <w:szCs w:val="24"/>
                <w:highlight w:val="none"/>
                <w:vertAlign w:val="baseline"/>
                <w:lang w:val="en-US" w:eastAsia="zh-CN" w:bidi="ar-SA"/>
              </w:rPr>
            </w:pPr>
            <w:r>
              <w:rPr>
                <w:rFonts w:hint="eastAsia" w:ascii="宋体" w:hAnsi="宋体"/>
                <w:color w:val="auto"/>
                <w:sz w:val="24"/>
                <w:highlight w:val="none"/>
                <w:vertAlign w:val="baseline"/>
                <w:lang w:val="en-US" w:eastAsia="zh-CN"/>
              </w:rPr>
              <w:t>7</w:t>
            </w:r>
          </w:p>
        </w:tc>
        <w:tc>
          <w:tcPr>
            <w:tcW w:w="3640" w:type="dxa"/>
            <w:vAlign w:val="center"/>
          </w:tcPr>
          <w:p>
            <w:pPr>
              <w:adjustRightInd/>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福山正达外国语学校</w:t>
            </w:r>
            <w:r>
              <w:rPr>
                <w:rFonts w:hint="eastAsia" w:ascii="宋体" w:hAnsi="宋体" w:cs="宋体"/>
                <w:b w:val="0"/>
                <w:bCs w:val="0"/>
                <w:i w:val="0"/>
                <w:iCs w:val="0"/>
                <w:color w:val="auto"/>
                <w:kern w:val="0"/>
                <w:sz w:val="24"/>
                <w:szCs w:val="24"/>
                <w:highlight w:val="none"/>
                <w:u w:val="none"/>
                <w:lang w:val="en-US" w:eastAsia="zh-CN" w:bidi="ar"/>
              </w:rPr>
              <w:t>音响系统</w:t>
            </w:r>
          </w:p>
        </w:tc>
        <w:tc>
          <w:tcPr>
            <w:tcW w:w="973" w:type="dxa"/>
            <w:vAlign w:val="center"/>
          </w:tcPr>
          <w:p>
            <w:pPr>
              <w:adjustRightInd/>
              <w:spacing w:line="240" w:lineRule="auto"/>
              <w:jc w:val="center"/>
              <w:rPr>
                <w:rFonts w:ascii="宋体" w:hAnsi="宋体"/>
                <w:color w:val="auto"/>
                <w:sz w:val="24"/>
                <w:highlight w:val="none"/>
                <w:vertAlign w:val="baseline"/>
              </w:rPr>
            </w:pPr>
            <w:r>
              <w:rPr>
                <w:rFonts w:hint="eastAsia" w:ascii="宋体" w:hAnsi="宋体"/>
                <w:color w:val="auto"/>
                <w:sz w:val="24"/>
                <w:highlight w:val="none"/>
                <w:vertAlign w:val="baseline"/>
                <w:lang w:val="en-US" w:eastAsia="zh-CN"/>
              </w:rPr>
              <w:t>1项</w:t>
            </w:r>
          </w:p>
        </w:tc>
        <w:tc>
          <w:tcPr>
            <w:tcW w:w="2750" w:type="dxa"/>
            <w:vAlign w:val="center"/>
          </w:tcPr>
          <w:p>
            <w:pPr>
              <w:adjustRightInd/>
              <w:spacing w:line="240" w:lineRule="auto"/>
              <w:jc w:val="center"/>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福山正达外国语学校</w:t>
            </w:r>
          </w:p>
        </w:tc>
        <w:tc>
          <w:tcPr>
            <w:tcW w:w="1428" w:type="dxa"/>
            <w:vAlign w:val="center"/>
          </w:tcPr>
          <w:p>
            <w:pPr>
              <w:adjustRightInd/>
              <w:spacing w:line="240" w:lineRule="auto"/>
              <w:jc w:val="center"/>
              <w:rPr>
                <w:rFonts w:ascii="宋体" w:hAnsi="宋体"/>
                <w:color w:val="auto"/>
                <w:sz w:val="24"/>
                <w:highlight w:val="none"/>
                <w:vertAlign w:val="baseline"/>
              </w:rPr>
            </w:pPr>
            <w:r>
              <w:rPr>
                <w:rFonts w:hint="eastAsia" w:ascii="宋体" w:hAnsi="宋体"/>
                <w:color w:val="auto"/>
                <w:sz w:val="24"/>
                <w:highlight w:val="none"/>
                <w:vertAlign w:val="baseline"/>
                <w:lang w:val="en-US" w:eastAsia="zh-CN"/>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vAlign w:val="center"/>
          </w:tcPr>
          <w:p>
            <w:pPr>
              <w:adjustRightInd/>
              <w:spacing w:line="240" w:lineRule="auto"/>
              <w:jc w:val="center"/>
              <w:rPr>
                <w:rFonts w:hint="eastAsia" w:ascii="宋体" w:hAnsi="宋体" w:eastAsia="宋体" w:cs="Times New Roman"/>
                <w:color w:val="auto"/>
                <w:kern w:val="2"/>
                <w:sz w:val="24"/>
                <w:szCs w:val="24"/>
                <w:highlight w:val="none"/>
                <w:vertAlign w:val="baseline"/>
                <w:lang w:val="en-US" w:eastAsia="zh-CN" w:bidi="ar-SA"/>
              </w:rPr>
            </w:pPr>
            <w:r>
              <w:rPr>
                <w:rFonts w:hint="eastAsia" w:ascii="宋体" w:hAnsi="宋体"/>
                <w:color w:val="auto"/>
                <w:sz w:val="24"/>
                <w:highlight w:val="none"/>
                <w:vertAlign w:val="baseline"/>
                <w:lang w:val="en-US" w:eastAsia="zh-CN"/>
              </w:rPr>
              <w:t>8</w:t>
            </w:r>
          </w:p>
        </w:tc>
        <w:tc>
          <w:tcPr>
            <w:tcW w:w="3640" w:type="dxa"/>
            <w:vAlign w:val="center"/>
          </w:tcPr>
          <w:p>
            <w:pPr>
              <w:adjustRightInd/>
              <w:spacing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报告厅</w:t>
            </w:r>
            <w:r>
              <w:rPr>
                <w:rFonts w:hint="eastAsia" w:ascii="宋体" w:hAnsi="宋体" w:cs="宋体"/>
                <w:b w:val="0"/>
                <w:bCs w:val="0"/>
                <w:i w:val="0"/>
                <w:iCs w:val="0"/>
                <w:color w:val="auto"/>
                <w:kern w:val="0"/>
                <w:sz w:val="24"/>
                <w:szCs w:val="24"/>
                <w:highlight w:val="none"/>
                <w:u w:val="none"/>
                <w:lang w:val="en-US" w:eastAsia="zh-CN" w:bidi="ar"/>
              </w:rPr>
              <w:t>音响系统</w:t>
            </w:r>
          </w:p>
        </w:tc>
        <w:tc>
          <w:tcPr>
            <w:tcW w:w="973" w:type="dxa"/>
            <w:vAlign w:val="center"/>
          </w:tcPr>
          <w:p>
            <w:pPr>
              <w:adjustRightInd/>
              <w:spacing w:line="240" w:lineRule="auto"/>
              <w:jc w:val="center"/>
              <w:rPr>
                <w:rFonts w:ascii="宋体" w:hAnsi="宋体"/>
                <w:color w:val="auto"/>
                <w:sz w:val="24"/>
                <w:highlight w:val="none"/>
                <w:vertAlign w:val="baseline"/>
              </w:rPr>
            </w:pPr>
            <w:r>
              <w:rPr>
                <w:rFonts w:hint="eastAsia" w:ascii="宋体" w:hAnsi="宋体"/>
                <w:color w:val="auto"/>
                <w:sz w:val="24"/>
                <w:highlight w:val="none"/>
                <w:vertAlign w:val="baseline"/>
                <w:lang w:val="en-US" w:eastAsia="zh-CN"/>
              </w:rPr>
              <w:t>1项</w:t>
            </w:r>
          </w:p>
        </w:tc>
        <w:tc>
          <w:tcPr>
            <w:tcW w:w="2750" w:type="dxa"/>
            <w:vAlign w:val="center"/>
          </w:tcPr>
          <w:p>
            <w:pPr>
              <w:adjustRightInd/>
              <w:spacing w:line="240" w:lineRule="auto"/>
              <w:jc w:val="center"/>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育才实验学校</w:t>
            </w:r>
          </w:p>
        </w:tc>
        <w:tc>
          <w:tcPr>
            <w:tcW w:w="1428" w:type="dxa"/>
            <w:vAlign w:val="center"/>
          </w:tcPr>
          <w:p>
            <w:pPr>
              <w:adjustRightInd/>
              <w:spacing w:line="240" w:lineRule="auto"/>
              <w:jc w:val="center"/>
              <w:rPr>
                <w:rFonts w:ascii="宋体" w:hAnsi="宋体"/>
                <w:color w:val="auto"/>
                <w:sz w:val="24"/>
                <w:highlight w:val="none"/>
                <w:vertAlign w:val="baseline"/>
              </w:rPr>
            </w:pPr>
            <w:r>
              <w:rPr>
                <w:rFonts w:hint="eastAsia" w:ascii="宋体" w:hAnsi="宋体"/>
                <w:color w:val="auto"/>
                <w:sz w:val="24"/>
                <w:highlight w:val="none"/>
                <w:vertAlign w:val="baseline"/>
                <w:lang w:val="en-US" w:eastAsia="zh-CN"/>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vAlign w:val="center"/>
          </w:tcPr>
          <w:p>
            <w:pPr>
              <w:adjustRightInd/>
              <w:spacing w:line="240" w:lineRule="auto"/>
              <w:jc w:val="center"/>
              <w:rPr>
                <w:rFonts w:hint="default" w:ascii="宋体" w:hAnsi="宋体" w:eastAsia="宋体" w:cs="Times New Roman"/>
                <w:color w:val="auto"/>
                <w:kern w:val="2"/>
                <w:sz w:val="24"/>
                <w:szCs w:val="24"/>
                <w:highlight w:val="none"/>
                <w:vertAlign w:val="baseline"/>
                <w:lang w:val="en-US" w:eastAsia="zh-CN" w:bidi="ar-SA"/>
              </w:rPr>
            </w:pPr>
            <w:r>
              <w:rPr>
                <w:rFonts w:hint="eastAsia" w:ascii="宋体" w:hAnsi="宋体"/>
                <w:color w:val="auto"/>
                <w:sz w:val="24"/>
                <w:highlight w:val="none"/>
                <w:vertAlign w:val="baseline"/>
                <w:lang w:val="en-US" w:eastAsia="zh-CN"/>
              </w:rPr>
              <w:t>9</w:t>
            </w:r>
          </w:p>
        </w:tc>
        <w:tc>
          <w:tcPr>
            <w:tcW w:w="3640" w:type="dxa"/>
            <w:vAlign w:val="center"/>
          </w:tcPr>
          <w:p>
            <w:pPr>
              <w:adjustRightInd/>
              <w:spacing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扩音系统</w:t>
            </w:r>
          </w:p>
        </w:tc>
        <w:tc>
          <w:tcPr>
            <w:tcW w:w="973" w:type="dxa"/>
            <w:vAlign w:val="center"/>
          </w:tcPr>
          <w:p>
            <w:pPr>
              <w:adjustRightInd/>
              <w:spacing w:line="240" w:lineRule="auto"/>
              <w:jc w:val="center"/>
              <w:rPr>
                <w:rFonts w:ascii="宋体" w:hAnsi="宋体"/>
                <w:color w:val="auto"/>
                <w:sz w:val="24"/>
                <w:highlight w:val="none"/>
                <w:vertAlign w:val="baseline"/>
              </w:rPr>
            </w:pPr>
            <w:r>
              <w:rPr>
                <w:rFonts w:hint="eastAsia" w:ascii="宋体" w:hAnsi="宋体"/>
                <w:color w:val="auto"/>
                <w:sz w:val="24"/>
                <w:highlight w:val="none"/>
                <w:vertAlign w:val="baseline"/>
                <w:lang w:val="en-US" w:eastAsia="zh-CN"/>
              </w:rPr>
              <w:t>1项</w:t>
            </w:r>
          </w:p>
        </w:tc>
        <w:tc>
          <w:tcPr>
            <w:tcW w:w="2750" w:type="dxa"/>
            <w:vMerge w:val="restart"/>
            <w:vAlign w:val="center"/>
          </w:tcPr>
          <w:p>
            <w:pPr>
              <w:adjustRightInd/>
              <w:spacing w:line="240" w:lineRule="auto"/>
              <w:jc w:val="center"/>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江北中心学校</w:t>
            </w:r>
          </w:p>
        </w:tc>
        <w:tc>
          <w:tcPr>
            <w:tcW w:w="1428" w:type="dxa"/>
            <w:vAlign w:val="center"/>
          </w:tcPr>
          <w:p>
            <w:pPr>
              <w:adjustRightInd/>
              <w:spacing w:line="240" w:lineRule="auto"/>
              <w:jc w:val="center"/>
              <w:rPr>
                <w:rFonts w:ascii="宋体" w:hAnsi="宋体"/>
                <w:color w:val="auto"/>
                <w:sz w:val="24"/>
                <w:highlight w:val="none"/>
                <w:vertAlign w:val="baseline"/>
              </w:rPr>
            </w:pPr>
            <w:r>
              <w:rPr>
                <w:rFonts w:hint="eastAsia" w:ascii="宋体" w:hAnsi="宋体"/>
                <w:color w:val="auto"/>
                <w:sz w:val="24"/>
                <w:highlight w:val="none"/>
                <w:vertAlign w:val="baseline"/>
                <w:lang w:val="en-US" w:eastAsia="zh-CN"/>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vAlign w:val="center"/>
          </w:tcPr>
          <w:p>
            <w:pPr>
              <w:adjustRightInd/>
              <w:spacing w:line="240" w:lineRule="auto"/>
              <w:jc w:val="center"/>
              <w:rPr>
                <w:rFonts w:hint="default" w:ascii="宋体" w:hAnsi="宋体" w:eastAsia="宋体" w:cs="Times New Roman"/>
                <w:color w:val="auto"/>
                <w:kern w:val="2"/>
                <w:sz w:val="24"/>
                <w:szCs w:val="24"/>
                <w:highlight w:val="none"/>
                <w:vertAlign w:val="baseline"/>
                <w:lang w:val="en-US" w:eastAsia="zh-CN" w:bidi="ar-SA"/>
              </w:rPr>
            </w:pPr>
            <w:r>
              <w:rPr>
                <w:rFonts w:hint="eastAsia" w:ascii="宋体" w:hAnsi="宋体"/>
                <w:color w:val="auto"/>
                <w:sz w:val="24"/>
                <w:highlight w:val="none"/>
                <w:vertAlign w:val="baseline"/>
                <w:lang w:val="en-US" w:eastAsia="zh-CN"/>
              </w:rPr>
              <w:t>10</w:t>
            </w:r>
          </w:p>
        </w:tc>
        <w:tc>
          <w:tcPr>
            <w:tcW w:w="3640" w:type="dxa"/>
            <w:vAlign w:val="center"/>
          </w:tcPr>
          <w:p>
            <w:pPr>
              <w:adjustRightInd/>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灯光系统</w:t>
            </w:r>
          </w:p>
        </w:tc>
        <w:tc>
          <w:tcPr>
            <w:tcW w:w="973" w:type="dxa"/>
            <w:vAlign w:val="center"/>
          </w:tcPr>
          <w:p>
            <w:pPr>
              <w:adjustRightInd/>
              <w:spacing w:line="240" w:lineRule="auto"/>
              <w:jc w:val="center"/>
              <w:rPr>
                <w:rFonts w:ascii="宋体" w:hAnsi="宋体"/>
                <w:color w:val="auto"/>
                <w:sz w:val="24"/>
                <w:highlight w:val="none"/>
                <w:vertAlign w:val="baseline"/>
              </w:rPr>
            </w:pPr>
            <w:r>
              <w:rPr>
                <w:rFonts w:hint="eastAsia" w:ascii="宋体" w:hAnsi="宋体"/>
                <w:color w:val="auto"/>
                <w:sz w:val="24"/>
                <w:highlight w:val="none"/>
                <w:vertAlign w:val="baseline"/>
                <w:lang w:val="en-US" w:eastAsia="zh-CN"/>
              </w:rPr>
              <w:t>1项</w:t>
            </w:r>
          </w:p>
        </w:tc>
        <w:tc>
          <w:tcPr>
            <w:tcW w:w="2750" w:type="dxa"/>
            <w:vMerge w:val="continue"/>
            <w:vAlign w:val="center"/>
          </w:tcPr>
          <w:p>
            <w:pPr>
              <w:adjustRightInd/>
              <w:spacing w:line="240" w:lineRule="auto"/>
              <w:jc w:val="center"/>
              <w:rPr>
                <w:rFonts w:hint="eastAsia" w:ascii="宋体" w:hAnsi="宋体" w:eastAsia="宋体" w:cs="宋体"/>
                <w:b/>
                <w:bCs/>
                <w:i w:val="0"/>
                <w:iCs w:val="0"/>
                <w:color w:val="auto"/>
                <w:kern w:val="0"/>
                <w:sz w:val="24"/>
                <w:szCs w:val="24"/>
                <w:highlight w:val="none"/>
                <w:u w:val="none"/>
                <w:lang w:val="en-US" w:eastAsia="zh-CN" w:bidi="ar"/>
              </w:rPr>
            </w:pPr>
          </w:p>
        </w:tc>
        <w:tc>
          <w:tcPr>
            <w:tcW w:w="1428" w:type="dxa"/>
            <w:vAlign w:val="center"/>
          </w:tcPr>
          <w:p>
            <w:pPr>
              <w:adjustRightInd/>
              <w:spacing w:line="240" w:lineRule="auto"/>
              <w:jc w:val="center"/>
              <w:rPr>
                <w:rFonts w:ascii="宋体" w:hAnsi="宋体"/>
                <w:color w:val="auto"/>
                <w:sz w:val="24"/>
                <w:highlight w:val="none"/>
                <w:vertAlign w:val="baseline"/>
              </w:rPr>
            </w:pPr>
            <w:r>
              <w:rPr>
                <w:rFonts w:hint="eastAsia" w:ascii="宋体" w:hAnsi="宋体"/>
                <w:color w:val="auto"/>
                <w:sz w:val="24"/>
                <w:highlight w:val="none"/>
                <w:vertAlign w:val="baseline"/>
                <w:lang w:val="en-US" w:eastAsia="zh-CN"/>
              </w:rPr>
              <w:t>定制</w:t>
            </w:r>
          </w:p>
        </w:tc>
      </w:tr>
    </w:tbl>
    <w:p>
      <w:pPr>
        <w:pStyle w:val="4"/>
        <w:adjustRightInd/>
        <w:spacing w:before="0" w:after="0" w:line="360" w:lineRule="auto"/>
        <w:ind w:left="0" w:firstLine="482" w:firstLineChars="200"/>
        <w:rPr>
          <w:rFonts w:hint="eastAsia" w:ascii="宋体" w:hAnsi="宋体"/>
          <w:color w:val="auto"/>
          <w:sz w:val="24"/>
          <w:highlight w:val="none"/>
          <w:lang w:eastAsia="zh-CN"/>
        </w:rPr>
      </w:pPr>
      <w:r>
        <w:rPr>
          <w:rFonts w:hint="eastAsia" w:ascii="宋体" w:hAnsi="宋体"/>
          <w:color w:val="auto"/>
          <w:sz w:val="24"/>
          <w:highlight w:val="none"/>
        </w:rPr>
        <w:t>技术参数要求详见“第三部分 采购需求”附件1。</w:t>
      </w:r>
    </w:p>
    <w:p>
      <w:pPr>
        <w:pStyle w:val="4"/>
        <w:adjustRightInd/>
        <w:spacing w:before="0" w:after="0" w:line="360" w:lineRule="auto"/>
        <w:ind w:left="0" w:firstLine="480" w:firstLineChars="200"/>
        <w:rPr>
          <w:rFonts w:hint="eastAsia" w:ascii="宋体" w:hAnsi="宋体"/>
          <w:color w:val="auto"/>
          <w:sz w:val="24"/>
          <w:highlight w:val="none"/>
        </w:rPr>
      </w:pPr>
      <w:r>
        <w:rPr>
          <w:rFonts w:hint="eastAsia" w:cs="Helvetica" w:asciiTheme="minorEastAsia" w:hAnsiTheme="minorEastAsia" w:eastAsiaTheme="minorEastAsia"/>
          <w:b w:val="0"/>
          <w:bCs w:val="0"/>
          <w:color w:val="auto"/>
          <w:kern w:val="0"/>
          <w:sz w:val="24"/>
          <w:szCs w:val="24"/>
          <w:highlight w:val="none"/>
          <w:lang w:val="en-US"/>
        </w:rPr>
        <w:t>注：“▲”系产品采购项目中的核心产品。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4"/>
        <w:adjustRightInd/>
        <w:spacing w:before="0" w:after="0" w:line="360" w:lineRule="auto"/>
        <w:ind w:left="0" w:firstLine="482"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二</w:t>
      </w:r>
      <w:r>
        <w:rPr>
          <w:rFonts w:hint="eastAsia" w:ascii="宋体" w:hAnsi="宋体"/>
          <w:color w:val="auto"/>
          <w:sz w:val="24"/>
          <w:highlight w:val="none"/>
        </w:rPr>
        <w:t>）质量、环保要求</w:t>
      </w:r>
    </w:p>
    <w:p>
      <w:pPr>
        <w:adjustRightInd/>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质量要求：合格（符合采购文件要求、投标承诺以及国家、行业等有关技术规范和标准）。</w:t>
      </w:r>
    </w:p>
    <w:p>
      <w:pPr>
        <w:adjustRightInd/>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本项目所供产品（成品及原材料）及其生产厂家需满足国家、行业等相关质量、环境、健康、环保、品质、卫生、有害物质限量的标准、规范、要求及采购文件明确的要求，投标人可以提供优于或严于国家、行业及本采购需求要求的产品。</w:t>
      </w:r>
    </w:p>
    <w:p>
      <w:pPr>
        <w:adjustRightInd/>
        <w:spacing w:line="360" w:lineRule="auto"/>
        <w:ind w:firstLine="480" w:firstLineChars="200"/>
        <w:rPr>
          <w:rFonts w:ascii="宋体" w:hAnsi="宋体"/>
          <w:b w:val="0"/>
          <w:bCs w:val="0"/>
          <w:color w:val="auto"/>
          <w:sz w:val="24"/>
          <w:highlight w:val="none"/>
        </w:rPr>
      </w:pPr>
      <w:r>
        <w:rPr>
          <w:rFonts w:ascii="宋体" w:hAnsi="宋体"/>
          <w:b w:val="0"/>
          <w:bCs w:val="0"/>
          <w:color w:val="auto"/>
          <w:sz w:val="24"/>
          <w:highlight w:val="none"/>
        </w:rPr>
        <w:t>3.</w:t>
      </w:r>
      <w:r>
        <w:rPr>
          <w:rFonts w:hint="eastAsia" w:ascii="宋体" w:hAnsi="宋体"/>
          <w:b w:val="0"/>
          <w:bCs w:val="0"/>
          <w:color w:val="auto"/>
          <w:sz w:val="24"/>
          <w:highlight w:val="none"/>
        </w:rPr>
        <w:t>投标人</w:t>
      </w:r>
      <w:r>
        <w:rPr>
          <w:rFonts w:ascii="宋体" w:hAnsi="宋体"/>
          <w:b w:val="0"/>
          <w:bCs w:val="0"/>
          <w:color w:val="auto"/>
          <w:sz w:val="24"/>
          <w:highlight w:val="none"/>
        </w:rPr>
        <w:t>应确保所供货物为正品，自行承担侵权、提供假冒伪劣商品的法律风险。</w:t>
      </w:r>
    </w:p>
    <w:p>
      <w:pPr>
        <w:adjustRightInd/>
        <w:spacing w:line="360" w:lineRule="auto"/>
        <w:ind w:firstLine="480" w:firstLineChars="200"/>
        <w:rPr>
          <w:rFonts w:ascii="宋体" w:hAnsi="宋体"/>
          <w:b w:val="0"/>
          <w:bCs w:val="0"/>
          <w:color w:val="auto"/>
          <w:sz w:val="24"/>
          <w:highlight w:val="none"/>
        </w:rPr>
      </w:pPr>
      <w:r>
        <w:rPr>
          <w:rFonts w:ascii="宋体" w:hAnsi="宋体"/>
          <w:b w:val="0"/>
          <w:bCs w:val="0"/>
          <w:color w:val="auto"/>
          <w:sz w:val="24"/>
          <w:highlight w:val="none"/>
        </w:rPr>
        <w:t>4.供货前，甲方有权要求乙方提供样品，并有权对提供的样品进行破坏性试验（可委托第三方检测机构），其产品在品质、标准上达不到招标要求及响应承诺的，不符合国家、行业相关标准、项目整体配套和甲方场所使用要求的，甲方有权要求乙方调换产品直到达到甲方要求的品质为止，否则甲方有权解除合同，拒付货款，并扣罚所有履约担保。</w:t>
      </w:r>
    </w:p>
    <w:p>
      <w:pPr>
        <w:adjustRightInd/>
        <w:spacing w:line="360" w:lineRule="auto"/>
        <w:ind w:firstLine="480" w:firstLineChars="200"/>
        <w:rPr>
          <w:rFonts w:ascii="宋体" w:hAnsi="宋体"/>
          <w:b w:val="0"/>
          <w:bCs w:val="0"/>
          <w:color w:val="auto"/>
          <w:sz w:val="24"/>
          <w:highlight w:val="none"/>
        </w:rPr>
      </w:pPr>
      <w:r>
        <w:rPr>
          <w:rFonts w:ascii="宋体" w:hAnsi="宋体"/>
          <w:b w:val="0"/>
          <w:bCs w:val="0"/>
          <w:color w:val="auto"/>
          <w:sz w:val="24"/>
          <w:highlight w:val="none"/>
        </w:rPr>
        <w:t>5.</w:t>
      </w:r>
      <w:r>
        <w:rPr>
          <w:rFonts w:hint="eastAsia" w:ascii="宋体" w:hAnsi="宋体"/>
          <w:b w:val="0"/>
          <w:bCs w:val="0"/>
          <w:color w:val="auto"/>
          <w:sz w:val="24"/>
          <w:highlight w:val="none"/>
        </w:rPr>
        <w:t>甲方有权对乙方所供货物（含配件）随机抽取并进行破坏性试验（可委托第三方检测机构），如检测结果不合格，则视为该批次产品不符合质量要求，甲方有权做拒收、退货处理，相关损失及费用由乙方承担。</w:t>
      </w:r>
    </w:p>
    <w:p>
      <w:pPr>
        <w:pStyle w:val="4"/>
        <w:adjustRightInd/>
        <w:spacing w:before="0" w:after="0" w:line="360" w:lineRule="auto"/>
        <w:ind w:left="0" w:firstLine="482"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三</w:t>
      </w:r>
      <w:r>
        <w:rPr>
          <w:rFonts w:hint="eastAsia" w:ascii="宋体" w:hAnsi="宋体"/>
          <w:color w:val="auto"/>
          <w:sz w:val="24"/>
          <w:highlight w:val="none"/>
        </w:rPr>
        <w:t>）知识产权要求</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生产厂家应取得本项目所投产品所涉及的外观、结构、工艺及技术专利或使用授权，包括发明、实用新型、外观设计专利。</w:t>
      </w:r>
    </w:p>
    <w:p>
      <w:pPr>
        <w:pStyle w:val="3"/>
        <w:tabs>
          <w:tab w:val="left" w:pos="1110"/>
        </w:tabs>
        <w:ind w:left="0" w:firstLine="482"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二、商务要求</w:t>
      </w:r>
    </w:p>
    <w:p>
      <w:pPr>
        <w:pStyle w:val="4"/>
        <w:adjustRightInd/>
        <w:spacing w:before="0" w:after="0" w:line="360" w:lineRule="auto"/>
        <w:ind w:left="0" w:firstLine="482" w:firstLineChars="200"/>
        <w:rPr>
          <w:rFonts w:ascii="宋体" w:hAnsi="宋体"/>
          <w:color w:val="auto"/>
          <w:sz w:val="24"/>
          <w:highlight w:val="none"/>
        </w:rPr>
      </w:pPr>
      <w:r>
        <w:rPr>
          <w:rFonts w:hint="eastAsia" w:ascii="宋体" w:hAnsi="宋体"/>
          <w:color w:val="auto"/>
          <w:sz w:val="24"/>
          <w:highlight w:val="none"/>
        </w:rPr>
        <w:t>（一）交付（实施）的时间（期限）要求</w:t>
      </w:r>
    </w:p>
    <w:p>
      <w:pPr>
        <w:pStyle w:val="4"/>
        <w:adjustRightInd/>
        <w:spacing w:before="0" w:after="0" w:line="360" w:lineRule="auto"/>
        <w:ind w:left="0" w:firstLine="480" w:firstLineChars="200"/>
        <w:rPr>
          <w:rFonts w:ascii="宋体" w:hAnsi="宋体"/>
          <w:b w:val="0"/>
          <w:color w:val="auto"/>
          <w:sz w:val="24"/>
          <w:highlight w:val="none"/>
        </w:rPr>
      </w:pPr>
      <w:r>
        <w:rPr>
          <w:rFonts w:hint="eastAsia" w:ascii="宋体" w:hAnsi="宋体"/>
          <w:b w:val="0"/>
          <w:color w:val="auto"/>
          <w:sz w:val="24"/>
          <w:highlight w:val="none"/>
        </w:rPr>
        <w:t>接采购人供货通知后45日历天内完成所有设备供货、安装、调试并验收合格。</w:t>
      </w:r>
    </w:p>
    <w:p>
      <w:pPr>
        <w:pStyle w:val="4"/>
        <w:adjustRightInd/>
        <w:spacing w:before="0" w:after="0" w:line="360" w:lineRule="auto"/>
        <w:ind w:left="0" w:firstLine="482" w:firstLineChars="200"/>
        <w:rPr>
          <w:rFonts w:ascii="宋体" w:hAnsi="宋体"/>
          <w:color w:val="auto"/>
          <w:sz w:val="24"/>
          <w:highlight w:val="none"/>
        </w:rPr>
      </w:pPr>
      <w:r>
        <w:rPr>
          <w:rFonts w:hint="eastAsia" w:ascii="宋体" w:hAnsi="宋体"/>
          <w:color w:val="auto"/>
          <w:sz w:val="24"/>
          <w:highlight w:val="none"/>
        </w:rPr>
        <w:t>（二）地点（范围）要求</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江北教育局下属学校（详见附件1），具体满足采购人要求</w:t>
      </w:r>
      <w:r>
        <w:rPr>
          <w:rFonts w:hint="eastAsia" w:ascii="宋体" w:hAnsi="宋体"/>
          <w:color w:val="auto"/>
          <w:sz w:val="24"/>
          <w:highlight w:val="none"/>
        </w:rPr>
        <w:t>。</w:t>
      </w:r>
    </w:p>
    <w:p>
      <w:pPr>
        <w:pStyle w:val="4"/>
        <w:adjustRightInd/>
        <w:spacing w:before="0" w:after="0" w:line="360" w:lineRule="auto"/>
        <w:ind w:left="0" w:firstLine="482" w:firstLineChars="200"/>
        <w:rPr>
          <w:rFonts w:ascii="宋体" w:hAnsi="宋体"/>
          <w:color w:val="auto"/>
          <w:sz w:val="24"/>
          <w:highlight w:val="none"/>
        </w:rPr>
      </w:pPr>
      <w:r>
        <w:rPr>
          <w:rFonts w:hint="eastAsia" w:ascii="宋体" w:hAnsi="宋体"/>
          <w:color w:val="auto"/>
          <w:sz w:val="24"/>
          <w:highlight w:val="none"/>
        </w:rPr>
        <w:t>（三）报价要求</w:t>
      </w:r>
    </w:p>
    <w:p>
      <w:pPr>
        <w:pStyle w:val="4"/>
        <w:adjustRightInd/>
        <w:spacing w:before="0" w:after="0" w:line="360" w:lineRule="auto"/>
        <w:ind w:left="0" w:firstLine="480" w:firstLineChars="200"/>
        <w:rPr>
          <w:rFonts w:ascii="宋体" w:hAnsi="宋体" w:cs="宋体"/>
          <w:bCs w:val="0"/>
          <w:color w:val="auto"/>
          <w:sz w:val="24"/>
          <w:highlight w:val="none"/>
        </w:rPr>
      </w:pPr>
      <w:r>
        <w:rPr>
          <w:rFonts w:hint="eastAsia" w:ascii="宋体" w:hAnsi="宋体"/>
          <w:b w:val="0"/>
          <w:color w:val="auto"/>
          <w:sz w:val="24"/>
          <w:highlight w:val="none"/>
        </w:rPr>
        <w:t>投标报价包括验收合格后的所有费用以及完成质保期内保修服务等费用，包括但不仅限于：</w:t>
      </w:r>
      <w:r>
        <w:rPr>
          <w:rFonts w:hint="eastAsia" w:ascii="宋体" w:hAnsi="宋体" w:cs="宋体"/>
          <w:b w:val="0"/>
          <w:color w:val="auto"/>
          <w:sz w:val="24"/>
          <w:highlight w:val="none"/>
        </w:rPr>
        <w:t>产品供货、包装、运输、装卸、</w:t>
      </w:r>
      <w:r>
        <w:rPr>
          <w:rFonts w:hint="eastAsia" w:ascii="宋体" w:hAnsi="宋体"/>
          <w:b w:val="0"/>
          <w:color w:val="auto"/>
          <w:sz w:val="24"/>
          <w:highlight w:val="none"/>
        </w:rPr>
        <w:t>拆除、搬运、人工、机械、安装调试、验收、技术服务、保修及售后服务</w:t>
      </w:r>
      <w:r>
        <w:rPr>
          <w:rFonts w:hint="eastAsia" w:ascii="宋体" w:hAnsi="宋体" w:cs="宋体"/>
          <w:b w:val="0"/>
          <w:color w:val="auto"/>
          <w:sz w:val="24"/>
          <w:highlight w:val="none"/>
        </w:rPr>
        <w:t>、利润、保险、税金等完成本项目所需的一切费用</w:t>
      </w:r>
      <w:r>
        <w:rPr>
          <w:rFonts w:hint="eastAsia" w:ascii="宋体" w:hAnsi="宋体" w:cs="宋体"/>
          <w:bCs w:val="0"/>
          <w:color w:val="auto"/>
          <w:sz w:val="24"/>
          <w:highlight w:val="none"/>
        </w:rPr>
        <w:t>。</w:t>
      </w:r>
    </w:p>
    <w:p>
      <w:pPr>
        <w:pStyle w:val="4"/>
        <w:adjustRightInd/>
        <w:spacing w:before="0" w:after="0" w:line="360" w:lineRule="auto"/>
        <w:ind w:left="0" w:firstLine="482" w:firstLineChars="200"/>
        <w:rPr>
          <w:rFonts w:ascii="宋体" w:hAnsi="宋体"/>
          <w:color w:val="auto"/>
          <w:sz w:val="24"/>
          <w:highlight w:val="none"/>
        </w:rPr>
      </w:pPr>
      <w:r>
        <w:rPr>
          <w:rFonts w:hint="eastAsia" w:ascii="宋体" w:hAnsi="宋体"/>
          <w:color w:val="auto"/>
          <w:sz w:val="24"/>
          <w:highlight w:val="none"/>
        </w:rPr>
        <w:t>（四）服务要求</w:t>
      </w:r>
    </w:p>
    <w:p>
      <w:pPr>
        <w:pStyle w:val="6"/>
        <w:adjustRightInd/>
        <w:spacing w:before="0" w:after="0" w:line="360" w:lineRule="auto"/>
        <w:ind w:left="0" w:firstLine="482" w:firstLineChars="200"/>
        <w:rPr>
          <w:rFonts w:ascii="宋体" w:hAnsi="宋体" w:eastAsia="宋体"/>
          <w:bCs w:val="0"/>
          <w:color w:val="auto"/>
          <w:sz w:val="24"/>
          <w:highlight w:val="none"/>
        </w:rPr>
      </w:pPr>
      <w:r>
        <w:rPr>
          <w:rFonts w:ascii="宋体" w:hAnsi="宋体" w:eastAsia="宋体"/>
          <w:bCs w:val="0"/>
          <w:color w:val="auto"/>
          <w:sz w:val="24"/>
          <w:highlight w:val="none"/>
        </w:rPr>
        <w:t>1.</w:t>
      </w:r>
      <w:r>
        <w:rPr>
          <w:rFonts w:hint="eastAsia" w:ascii="宋体" w:hAnsi="宋体" w:eastAsia="宋体"/>
          <w:bCs w:val="0"/>
          <w:color w:val="auto"/>
          <w:sz w:val="24"/>
          <w:highlight w:val="none"/>
        </w:rPr>
        <w:t>实施要求</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w:t>
      </w:r>
      <w:r>
        <w:rPr>
          <w:rFonts w:ascii="宋体" w:hAnsi="宋体"/>
          <w:color w:val="auto"/>
          <w:sz w:val="24"/>
          <w:highlight w:val="none"/>
        </w:rPr>
        <w:t>需要提供项目实施规划方案，提出合理的项目整体实施方案，能按照项目分解节点，并可跟踪实施。</w:t>
      </w:r>
    </w:p>
    <w:p>
      <w:pPr>
        <w:adjustRightInd/>
        <w:spacing w:line="360" w:lineRule="auto"/>
        <w:ind w:firstLine="480" w:firstLineChars="200"/>
        <w:rPr>
          <w:rFonts w:ascii="宋体" w:hAnsi="宋体"/>
          <w:bCs/>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w:t>
      </w:r>
      <w:r>
        <w:rPr>
          <w:rFonts w:ascii="宋体" w:hAnsi="宋体"/>
          <w:bCs/>
          <w:color w:val="auto"/>
          <w:sz w:val="24"/>
          <w:highlight w:val="none"/>
        </w:rPr>
        <w:t>需要制定品控管理方案，对产品品质有管理管控过程，有独立品管部门和专门品管人员，确保产品生产过程中的质量控制完善。</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投标人</w:t>
      </w:r>
      <w:r>
        <w:rPr>
          <w:rFonts w:ascii="宋体" w:hAnsi="宋体"/>
          <w:color w:val="auto"/>
          <w:sz w:val="24"/>
          <w:highlight w:val="none"/>
        </w:rPr>
        <w:t>需要提供</w:t>
      </w:r>
      <w:r>
        <w:rPr>
          <w:rFonts w:hint="eastAsia" w:ascii="宋体" w:hAnsi="宋体"/>
          <w:color w:val="auto"/>
          <w:sz w:val="24"/>
          <w:highlight w:val="none"/>
          <w:lang w:val="en-US" w:eastAsia="zh-CN"/>
        </w:rPr>
        <w:t>项目安装</w:t>
      </w:r>
      <w:r>
        <w:rPr>
          <w:rFonts w:ascii="宋体" w:hAnsi="宋体"/>
          <w:color w:val="auto"/>
          <w:sz w:val="24"/>
          <w:highlight w:val="none"/>
        </w:rPr>
        <w:t>实施方案，根据货物交付时间节点，落实送货安装时间和人员安排，确保按期交付使用。</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投标人</w:t>
      </w:r>
      <w:r>
        <w:rPr>
          <w:rFonts w:ascii="宋体" w:hAnsi="宋体"/>
          <w:color w:val="auto"/>
          <w:sz w:val="24"/>
          <w:highlight w:val="none"/>
        </w:rPr>
        <w:t>需要提供本项目整体设计方案，包括产品解析图、效果图等，确保设计合理，适合本项目实际需求。</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（5）投标人</w:t>
      </w:r>
      <w:r>
        <w:rPr>
          <w:rFonts w:ascii="宋体" w:hAnsi="宋体"/>
          <w:color w:val="auto"/>
          <w:sz w:val="24"/>
          <w:highlight w:val="none"/>
        </w:rPr>
        <w:t>在产品交付的同时按招标人要求提供相应的原材料、产品合格检测报告。</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6）采购人开展履约验收工作，供应商做好相关验收配合工作。</w:t>
      </w:r>
    </w:p>
    <w:p>
      <w:pPr>
        <w:pStyle w:val="6"/>
        <w:adjustRightInd/>
        <w:spacing w:before="0" w:after="0" w:line="360" w:lineRule="auto"/>
        <w:ind w:left="0" w:firstLine="482" w:firstLineChars="200"/>
        <w:rPr>
          <w:rFonts w:ascii="宋体" w:hAnsi="宋体" w:eastAsia="宋体"/>
          <w:bCs w:val="0"/>
          <w:color w:val="auto"/>
          <w:sz w:val="24"/>
          <w:highlight w:val="none"/>
        </w:rPr>
      </w:pPr>
      <w:r>
        <w:rPr>
          <w:rFonts w:ascii="宋体" w:hAnsi="宋体" w:eastAsia="宋体"/>
          <w:bCs w:val="0"/>
          <w:color w:val="auto"/>
          <w:sz w:val="24"/>
          <w:highlight w:val="none"/>
        </w:rPr>
        <w:t>2.</w:t>
      </w:r>
      <w:r>
        <w:rPr>
          <w:rFonts w:hint="eastAsia" w:ascii="宋体" w:hAnsi="宋体" w:eastAsia="宋体"/>
          <w:bCs w:val="0"/>
          <w:color w:val="auto"/>
          <w:sz w:val="24"/>
          <w:highlight w:val="none"/>
        </w:rPr>
        <w:t>项目团队要求</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投标人需要提供项目实施团队及其能力说明，提供人员清单、履历、专业技术能力等资料。</w:t>
      </w:r>
    </w:p>
    <w:p>
      <w:pPr>
        <w:pStyle w:val="6"/>
        <w:adjustRightInd/>
        <w:spacing w:before="0" w:after="0" w:line="360" w:lineRule="auto"/>
        <w:ind w:left="0" w:firstLine="482" w:firstLineChars="200"/>
        <w:rPr>
          <w:rFonts w:ascii="宋体" w:hAnsi="宋体" w:eastAsia="宋体"/>
          <w:bCs w:val="0"/>
          <w:color w:val="auto"/>
          <w:sz w:val="24"/>
          <w:highlight w:val="none"/>
        </w:rPr>
      </w:pPr>
      <w:r>
        <w:rPr>
          <w:rFonts w:ascii="宋体" w:hAnsi="宋体" w:eastAsia="宋体"/>
          <w:bCs w:val="0"/>
          <w:color w:val="auto"/>
          <w:sz w:val="24"/>
          <w:highlight w:val="none"/>
        </w:rPr>
        <w:t>3.</w:t>
      </w:r>
      <w:r>
        <w:rPr>
          <w:rFonts w:hint="eastAsia" w:ascii="宋体" w:hAnsi="宋体" w:eastAsia="宋体"/>
          <w:bCs w:val="0"/>
          <w:color w:val="auto"/>
          <w:sz w:val="24"/>
          <w:highlight w:val="none"/>
        </w:rPr>
        <w:t>包装、运输、保管要求</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投标人投标报价中需考虑所有产品包装、运输至采购人指定地点的所有费用，其中运输包括货物到达采购人指定地点后搬运至指定点位所产生的车辆、机械、人员等所有费用。</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现场临时堆放的保护由投标人负责，如发生保管的相关费用由投标人自行承担。</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投标人交付的全部货物</w:t>
      </w:r>
      <w:r>
        <w:rPr>
          <w:rFonts w:ascii="宋体" w:hAnsi="宋体"/>
          <w:color w:val="auto"/>
          <w:sz w:val="24"/>
          <w:highlight w:val="none"/>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w:t>
      </w:r>
      <w:r>
        <w:rPr>
          <w:rFonts w:hint="eastAsia" w:ascii="宋体" w:hAnsi="宋体"/>
          <w:color w:val="auto"/>
          <w:sz w:val="24"/>
          <w:highlight w:val="none"/>
        </w:rPr>
        <w:t>投标人</w:t>
      </w:r>
      <w:r>
        <w:rPr>
          <w:rFonts w:ascii="宋体" w:hAnsi="宋体"/>
          <w:color w:val="auto"/>
          <w:sz w:val="24"/>
          <w:highlight w:val="none"/>
        </w:rPr>
        <w:t>承担。</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设备包装为使产品不损坏为限在运输过程中造成的损坏均由投标人承担，并保证对产品在运输过程中的保护。</w:t>
      </w:r>
    </w:p>
    <w:p>
      <w:pPr>
        <w:pStyle w:val="6"/>
        <w:adjustRightInd/>
        <w:spacing w:before="0" w:after="0" w:line="360" w:lineRule="auto"/>
        <w:ind w:left="0" w:firstLine="482" w:firstLineChars="200"/>
        <w:rPr>
          <w:rFonts w:ascii="宋体" w:hAnsi="宋体" w:eastAsia="宋体"/>
          <w:bCs w:val="0"/>
          <w:color w:val="auto"/>
          <w:sz w:val="24"/>
          <w:highlight w:val="none"/>
        </w:rPr>
      </w:pPr>
      <w:r>
        <w:rPr>
          <w:rFonts w:ascii="宋体" w:hAnsi="宋体" w:eastAsia="宋体"/>
          <w:bCs w:val="0"/>
          <w:color w:val="auto"/>
          <w:sz w:val="24"/>
          <w:highlight w:val="none"/>
        </w:rPr>
        <w:t>4.</w:t>
      </w:r>
      <w:r>
        <w:rPr>
          <w:rFonts w:hint="eastAsia" w:ascii="宋体" w:hAnsi="宋体" w:eastAsia="宋体"/>
          <w:bCs w:val="0"/>
          <w:color w:val="auto"/>
          <w:sz w:val="24"/>
          <w:highlight w:val="none"/>
        </w:rPr>
        <w:t>售后服务要求</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）质保期：最终验收合格之日起2</w:t>
      </w:r>
      <w:r>
        <w:rPr>
          <w:rFonts w:ascii="宋体" w:hAnsi="宋体"/>
          <w:color w:val="auto"/>
          <w:sz w:val="24"/>
          <w:highlight w:val="none"/>
        </w:rPr>
        <w:t>年。</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如在使用过程中发生质量问题，接到采购人通知后2小时内响应，4小时内到达维修现场，一般问题12小时内修复，重大问题3个工作日内修复</w:t>
      </w:r>
      <w:r>
        <w:rPr>
          <w:rFonts w:ascii="宋体" w:hAnsi="宋体"/>
          <w:color w:val="auto"/>
          <w:sz w:val="24"/>
          <w:highlight w:val="none"/>
        </w:rPr>
        <w:t>。</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投标人</w:t>
      </w:r>
      <w:r>
        <w:rPr>
          <w:rFonts w:ascii="宋体" w:hAnsi="宋体"/>
          <w:color w:val="auto"/>
          <w:sz w:val="24"/>
          <w:highlight w:val="none"/>
        </w:rPr>
        <w:t>应制定具体售后服务方案，包括质保期内及质保期外的技术支持、维护方案等。</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4）在质保期内，如在正常使用过程中出现的质量问题，</w:t>
      </w:r>
      <w:r>
        <w:rPr>
          <w:rFonts w:hint="eastAsia" w:ascii="宋体" w:hAnsi="宋体"/>
          <w:color w:val="auto"/>
          <w:sz w:val="24"/>
          <w:highlight w:val="none"/>
        </w:rPr>
        <w:t>投标人</w:t>
      </w:r>
      <w:r>
        <w:rPr>
          <w:rFonts w:ascii="宋体" w:hAnsi="宋体"/>
          <w:color w:val="auto"/>
          <w:sz w:val="24"/>
          <w:highlight w:val="none"/>
        </w:rPr>
        <w:t>须负责修复或调换（以上费用包含在合同总价中）。</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投标人</w:t>
      </w:r>
      <w:r>
        <w:rPr>
          <w:rFonts w:ascii="宋体" w:hAnsi="宋体"/>
          <w:color w:val="auto"/>
          <w:sz w:val="24"/>
          <w:highlight w:val="none"/>
        </w:rPr>
        <w:t>应提供详细完整的“三包”措施及售后服务措施和方案，包括服务措施、产品质量保证、回访等。</w:t>
      </w:r>
    </w:p>
    <w:p>
      <w:pPr>
        <w:adjustRightInd/>
        <w:spacing w:line="360" w:lineRule="auto"/>
        <w:ind w:firstLine="482" w:firstLineChars="200"/>
        <w:rPr>
          <w:rFonts w:ascii="宋体" w:hAnsi="宋体"/>
          <w:b/>
          <w:color w:val="auto"/>
          <w:sz w:val="24"/>
          <w:highlight w:val="none"/>
        </w:rPr>
      </w:pPr>
      <w:r>
        <w:rPr>
          <w:rFonts w:ascii="宋体" w:hAnsi="宋体"/>
          <w:b/>
          <w:color w:val="auto"/>
          <w:sz w:val="24"/>
          <w:highlight w:val="none"/>
        </w:rPr>
        <w:t>5.备品配件、专用工具</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投标人应提供备品备件准备及保障方案，准备充足的备品备件，以满足采购人维修、更换需求。</w:t>
      </w:r>
    </w:p>
    <w:p>
      <w:pPr>
        <w:pStyle w:val="4"/>
        <w:tabs>
          <w:tab w:val="left" w:pos="280"/>
        </w:tabs>
        <w:adjustRightInd/>
        <w:spacing w:before="0" w:after="0" w:line="360" w:lineRule="auto"/>
        <w:ind w:left="0" w:firstLine="482" w:firstLineChars="200"/>
        <w:jc w:val="left"/>
        <w:rPr>
          <w:rFonts w:ascii="宋体" w:hAnsi="宋体"/>
          <w:color w:val="auto"/>
          <w:sz w:val="24"/>
          <w:szCs w:val="24"/>
          <w:highlight w:val="none"/>
        </w:rPr>
      </w:pPr>
      <w:r>
        <w:rPr>
          <w:rFonts w:hint="eastAsia" w:ascii="宋体" w:hAnsi="宋体"/>
          <w:color w:val="auto"/>
          <w:sz w:val="24"/>
          <w:szCs w:val="24"/>
          <w:highlight w:val="none"/>
        </w:rPr>
        <w:t>（五）履约验收方案</w:t>
      </w:r>
    </w:p>
    <w:p>
      <w:pPr>
        <w:adjustRightInd/>
        <w:spacing w:line="360" w:lineRule="auto"/>
        <w:ind w:firstLine="482" w:firstLineChars="200"/>
        <w:rPr>
          <w:rFonts w:ascii="宋体" w:hAnsi="宋体" w:cs="宋体"/>
          <w:b/>
          <w:bCs/>
          <w:color w:val="auto"/>
          <w:kern w:val="0"/>
          <w:sz w:val="24"/>
          <w:highlight w:val="none"/>
        </w:rPr>
      </w:pPr>
      <w:r>
        <w:rPr>
          <w:rFonts w:ascii="宋体" w:hAnsi="宋体" w:cs="宋体"/>
          <w:b/>
          <w:bCs/>
          <w:color w:val="auto"/>
          <w:kern w:val="0"/>
          <w:sz w:val="24"/>
          <w:highlight w:val="none"/>
        </w:rPr>
        <w:t>1.履约验收的主体</w:t>
      </w:r>
    </w:p>
    <w:p>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宁波市江北区教育局</w:t>
      </w:r>
      <w:r>
        <w:rPr>
          <w:rFonts w:hint="eastAsia" w:ascii="宋体" w:hAnsi="宋体" w:cs="宋体"/>
          <w:color w:val="auto"/>
          <w:kern w:val="0"/>
          <w:sz w:val="24"/>
          <w:highlight w:val="none"/>
          <w:lang w:val="en-US" w:eastAsia="zh-CN"/>
        </w:rPr>
        <w:t>或下属学校（使用单位）</w:t>
      </w:r>
      <w:r>
        <w:rPr>
          <w:rFonts w:hint="eastAsia" w:ascii="宋体" w:hAnsi="宋体" w:cs="宋体"/>
          <w:color w:val="auto"/>
          <w:kern w:val="0"/>
          <w:sz w:val="24"/>
          <w:highlight w:val="none"/>
        </w:rPr>
        <w:t>。</w:t>
      </w:r>
    </w:p>
    <w:p>
      <w:pPr>
        <w:adjustRightInd/>
        <w:spacing w:line="360" w:lineRule="auto"/>
        <w:ind w:firstLine="482" w:firstLineChars="200"/>
        <w:rPr>
          <w:rFonts w:ascii="宋体" w:hAnsi="宋体" w:cs="宋体"/>
          <w:b/>
          <w:bCs/>
          <w:color w:val="auto"/>
          <w:kern w:val="0"/>
          <w:sz w:val="24"/>
          <w:highlight w:val="none"/>
        </w:rPr>
      </w:pPr>
      <w:r>
        <w:rPr>
          <w:rFonts w:ascii="宋体" w:hAnsi="宋体" w:cs="宋体"/>
          <w:b/>
          <w:bCs/>
          <w:color w:val="auto"/>
          <w:kern w:val="0"/>
          <w:sz w:val="24"/>
          <w:highlight w:val="none"/>
        </w:rPr>
        <w:t>2.履约验收的时间</w:t>
      </w:r>
    </w:p>
    <w:p>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项目实施完成，</w:t>
      </w:r>
      <w:r>
        <w:rPr>
          <w:rFonts w:hint="eastAsia" w:ascii="宋体" w:hAnsi="宋体"/>
          <w:color w:val="auto"/>
          <w:sz w:val="24"/>
          <w:highlight w:val="none"/>
        </w:rPr>
        <w:t>投标人</w:t>
      </w:r>
      <w:r>
        <w:rPr>
          <w:rFonts w:hint="eastAsia" w:ascii="宋体" w:hAnsi="宋体" w:cs="宋体"/>
          <w:color w:val="auto"/>
          <w:kern w:val="0"/>
          <w:sz w:val="24"/>
          <w:highlight w:val="none"/>
        </w:rPr>
        <w:t>提交履约验收书面申请且经采购人确认后</w:t>
      </w:r>
      <w:r>
        <w:rPr>
          <w:rFonts w:ascii="宋体" w:hAnsi="宋体" w:cs="宋体"/>
          <w:color w:val="auto"/>
          <w:kern w:val="0"/>
          <w:sz w:val="24"/>
          <w:highlight w:val="none"/>
        </w:rPr>
        <w:t>30日内完成履约验收。</w:t>
      </w:r>
      <w:r>
        <w:rPr>
          <w:rFonts w:hint="eastAsia" w:ascii="宋体" w:hAnsi="宋体"/>
          <w:color w:val="auto"/>
          <w:sz w:val="24"/>
          <w:highlight w:val="none"/>
        </w:rPr>
        <w:t>具体验收流程、程序以甲方要求为准。</w:t>
      </w:r>
    </w:p>
    <w:p>
      <w:pPr>
        <w:adjustRightInd/>
        <w:spacing w:line="360" w:lineRule="auto"/>
        <w:ind w:firstLine="482" w:firstLineChars="200"/>
        <w:rPr>
          <w:rFonts w:ascii="宋体" w:hAnsi="宋体" w:cs="宋体"/>
          <w:b/>
          <w:bCs/>
          <w:color w:val="auto"/>
          <w:kern w:val="0"/>
          <w:sz w:val="24"/>
          <w:highlight w:val="none"/>
        </w:rPr>
      </w:pPr>
      <w:r>
        <w:rPr>
          <w:rFonts w:ascii="宋体" w:hAnsi="宋体" w:cs="宋体"/>
          <w:b/>
          <w:bCs/>
          <w:color w:val="auto"/>
          <w:kern w:val="0"/>
          <w:sz w:val="24"/>
          <w:highlight w:val="none"/>
        </w:rPr>
        <w:t>3.履约验收的方式</w:t>
      </w:r>
    </w:p>
    <w:p>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一次性验收方式进行履约验收。</w:t>
      </w:r>
    </w:p>
    <w:p>
      <w:pPr>
        <w:adjustRightInd/>
        <w:spacing w:line="360" w:lineRule="auto"/>
        <w:ind w:firstLine="482" w:firstLineChars="200"/>
        <w:rPr>
          <w:rFonts w:ascii="宋体" w:hAnsi="宋体" w:cs="宋体"/>
          <w:b/>
          <w:bCs/>
          <w:color w:val="auto"/>
          <w:kern w:val="0"/>
          <w:sz w:val="24"/>
          <w:highlight w:val="none"/>
        </w:rPr>
      </w:pPr>
      <w:r>
        <w:rPr>
          <w:rFonts w:ascii="宋体" w:hAnsi="宋体" w:cs="宋体"/>
          <w:b/>
          <w:bCs/>
          <w:color w:val="auto"/>
          <w:kern w:val="0"/>
          <w:sz w:val="24"/>
          <w:highlight w:val="none"/>
        </w:rPr>
        <w:t>4.履约验收的程序</w:t>
      </w:r>
    </w:p>
    <w:p>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一般程序进行履约验收。</w:t>
      </w:r>
    </w:p>
    <w:p>
      <w:pPr>
        <w:adjustRightInd/>
        <w:spacing w:line="360" w:lineRule="auto"/>
        <w:ind w:firstLine="482" w:firstLineChars="200"/>
        <w:rPr>
          <w:rFonts w:ascii="宋体" w:hAnsi="宋体" w:cs="宋体"/>
          <w:b/>
          <w:bCs/>
          <w:color w:val="auto"/>
          <w:kern w:val="0"/>
          <w:sz w:val="24"/>
          <w:highlight w:val="none"/>
        </w:rPr>
      </w:pPr>
      <w:r>
        <w:rPr>
          <w:rFonts w:ascii="宋体" w:hAnsi="宋体" w:cs="宋体"/>
          <w:b/>
          <w:bCs/>
          <w:color w:val="auto"/>
          <w:kern w:val="0"/>
          <w:sz w:val="24"/>
          <w:highlight w:val="none"/>
        </w:rPr>
        <w:t>5.履约验收的内容</w:t>
      </w:r>
    </w:p>
    <w:p>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采购合同规定的内容。</w:t>
      </w:r>
    </w:p>
    <w:p>
      <w:pPr>
        <w:adjustRightInd/>
        <w:spacing w:line="360" w:lineRule="auto"/>
        <w:ind w:firstLine="482" w:firstLineChars="200"/>
        <w:rPr>
          <w:rFonts w:ascii="宋体" w:hAnsi="宋体" w:cs="宋体"/>
          <w:b/>
          <w:bCs/>
          <w:color w:val="auto"/>
          <w:kern w:val="0"/>
          <w:sz w:val="24"/>
          <w:highlight w:val="none"/>
        </w:rPr>
      </w:pPr>
      <w:r>
        <w:rPr>
          <w:rFonts w:ascii="宋体" w:hAnsi="宋体" w:cs="宋体"/>
          <w:b/>
          <w:bCs/>
          <w:color w:val="auto"/>
          <w:kern w:val="0"/>
          <w:sz w:val="24"/>
          <w:highlight w:val="none"/>
        </w:rPr>
        <w:t>6.验收标准</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应当符合国家强制性规定、政策要求、安全标准、行业或企业有关标准，满足招标文件、投标文件、合同约定及封样样品要求。</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中标供应商需提供本项目所投产品的相关质检报告。</w:t>
      </w:r>
    </w:p>
    <w:p>
      <w:pPr>
        <w:adjustRightIn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人有权根据需要委托具有检验资质的权威检测机构对生产过程和交付现场的产品进行抽样检测，检测不合格的，采购人有权要求退货或换货，并由中标供应商承担相关检测费用，中标供应商须无条件配合检验检测工作。</w:t>
      </w:r>
    </w:p>
    <w:p>
      <w:pPr>
        <w:pStyle w:val="24"/>
        <w:rPr>
          <w:rFonts w:hint="eastAsia" w:ascii="宋体" w:hAnsi="宋体"/>
          <w:color w:val="auto"/>
          <w:sz w:val="24"/>
          <w:highlight w:val="none"/>
        </w:rPr>
      </w:pPr>
    </w:p>
    <w:p>
      <w:pPr>
        <w:rPr>
          <w:rFonts w:hint="eastAsia" w:ascii="宋体" w:hAnsi="宋体"/>
          <w:color w:val="auto"/>
          <w:sz w:val="24"/>
          <w:highlight w:val="none"/>
        </w:rPr>
        <w:sectPr>
          <w:headerReference r:id="rId10" w:type="default"/>
          <w:footerReference r:id="rId11" w:type="default"/>
          <w:pgSz w:w="11907" w:h="16840"/>
          <w:pgMar w:top="1134" w:right="1134" w:bottom="1134" w:left="1134" w:header="850" w:footer="992" w:gutter="0"/>
          <w:pgNumType w:fmt="decimal"/>
          <w:cols w:space="720" w:num="1"/>
          <w:docGrid w:linePitch="286" w:charSpace="0"/>
        </w:sectPr>
      </w:pPr>
    </w:p>
    <w:p>
      <w:pPr>
        <w:pStyle w:val="24"/>
        <w:ind w:left="0" w:leftChars="0" w:firstLine="0" w:firstLineChars="0"/>
        <w:rPr>
          <w:rFonts w:hint="eastAsia" w:ascii="宋体" w:hAnsi="宋体"/>
          <w:color w:val="auto"/>
          <w:sz w:val="24"/>
          <w:highlight w:val="none"/>
          <w:lang w:eastAsia="zh-CN"/>
        </w:rPr>
      </w:pPr>
      <w:r>
        <w:rPr>
          <w:rFonts w:hint="eastAsia" w:ascii="宋体" w:hAnsi="宋体"/>
          <w:color w:val="auto"/>
          <w:sz w:val="24"/>
          <w:highlight w:val="none"/>
        </w:rPr>
        <w:t>附件1</w:t>
      </w:r>
      <w:r>
        <w:rPr>
          <w:rFonts w:hint="eastAsia" w:ascii="宋体" w:hAnsi="宋体"/>
          <w:color w:val="auto"/>
          <w:sz w:val="24"/>
          <w:highlight w:val="none"/>
          <w:lang w:eastAsia="zh-CN"/>
        </w:rPr>
        <w:t>：</w:t>
      </w:r>
    </w:p>
    <w:p>
      <w:pPr>
        <w:rPr>
          <w:rFonts w:hint="eastAsia" w:ascii="宋体" w:hAnsi="宋体"/>
          <w:color w:val="auto"/>
          <w:sz w:val="24"/>
          <w:highlight w:val="none"/>
          <w:lang w:eastAsia="zh-CN"/>
        </w:rPr>
      </w:pPr>
    </w:p>
    <w:p>
      <w:pPr>
        <w:pStyle w:val="24"/>
        <w:jc w:val="center"/>
        <w:rPr>
          <w:rFonts w:hint="eastAsia" w:ascii="宋体" w:hAnsi="宋体"/>
          <w:color w:val="auto"/>
          <w:sz w:val="24"/>
          <w:highlight w:val="none"/>
        </w:rPr>
      </w:pPr>
      <w:r>
        <w:rPr>
          <w:rFonts w:hint="eastAsia" w:ascii="宋体" w:hAnsi="宋体"/>
          <w:color w:val="auto"/>
          <w:sz w:val="24"/>
          <w:highlight w:val="none"/>
        </w:rPr>
        <w:t>采购清单及技术参数要求</w:t>
      </w:r>
    </w:p>
    <w:tbl>
      <w:tblPr>
        <w:tblStyle w:val="63"/>
        <w:tblW w:w="104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1416"/>
        <w:gridCol w:w="6931"/>
        <w:gridCol w:w="683"/>
        <w:gridCol w:w="221"/>
        <w:gridCol w:w="413"/>
        <w:gridCol w:w="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633"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技术参数</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633" w:hRule="atLeast"/>
          <w:jc w:val="center"/>
        </w:trPr>
        <w:tc>
          <w:tcPr>
            <w:tcW w:w="10204"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一、江北区外国语3F多功能厅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633" w:hRule="atLeast"/>
          <w:jc w:val="center"/>
        </w:trPr>
        <w:tc>
          <w:tcPr>
            <w:tcW w:w="10204"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1、报告厅舞台音响系统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029"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线阵音箱</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1.频率响应：80 Hz ~ 16KHz (+/-3dB )50 Hz ~ 18KHz (-10dB )标称指向性：100°（H）垂直可调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2.灵敏度：(@1W/1m) HF/LF:110 dB SPL/:96 dB SPL 阻抗 HF/LF: 16/16 Ohm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3.最大功率(AES) HF/LF: 120W/500W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4.低频单元</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2×10〞纸盘低音 (50mm 音圈)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5.高频单元</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1×3〞压缩高音 (75mm 音圈)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6.最大声压级：HF: /136dBSPL LF:130dBSPL尺寸：(H×W×D) 285×730×420 (mm)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7.重量：35kg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8.●提供EASE Focus数据官网相关数据截图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w:t>
            </w:r>
            <w:r>
              <w:rPr>
                <w:rFonts w:hint="eastAsia" w:ascii="宋体" w:hAnsi="宋体" w:cs="宋体"/>
                <w:i w:val="0"/>
                <w:iCs w:val="0"/>
                <w:color w:val="auto"/>
                <w:kern w:val="0"/>
                <w:sz w:val="24"/>
                <w:szCs w:val="24"/>
                <w:highlight w:val="none"/>
                <w:u w:val="none"/>
                <w:lang w:val="en-US" w:eastAsia="zh-CN" w:bidi="ar"/>
              </w:rPr>
              <w:t>提供权威第三方检测机构出具的检测报告</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77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辅助音箱</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系统类型：单10英寸，2分频，低频反射式，同轴设计。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低音单元：1个10英寸51芯低频单元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高音单元：1个3英寸(75mm音圈）高频驱动器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频率范围（-10db）：55Hz-20KHz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频率响应（±3db）：65Hz-18Hz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灵敏度（1w/1m）：96db SPL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额定阻抗：8ohms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最大声压级输出：127db SPL peak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额定功率：350W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覆盖范围：80*80（HxV）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外型尺寸：420mm**310mm*310mm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净重：18Kg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箱体材料：15mm厚优质多层夹板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14. 表面处理：黑色水性沙点环保树脂漆喷涂处理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w:t>
            </w:r>
            <w:r>
              <w:rPr>
                <w:rFonts w:hint="eastAsia" w:ascii="宋体" w:hAnsi="宋体" w:cs="宋体"/>
                <w:i w:val="0"/>
                <w:iCs w:val="0"/>
                <w:color w:val="auto"/>
                <w:kern w:val="0"/>
                <w:sz w:val="24"/>
                <w:szCs w:val="24"/>
                <w:highlight w:val="none"/>
                <w:u w:val="none"/>
                <w:lang w:val="en-US" w:eastAsia="zh-CN" w:bidi="ar"/>
              </w:rPr>
              <w:t>提供权威第三方检测机构出具的检测报告</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32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返听音箱</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系统类型：单12英寸，2分频，低频反射式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低音单元：1个12英寸(75mm音圈)低频单元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高音单元：1x44mm压缩高音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4. 频率范围（-10db）：50Hz-20kHz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频率响应（±3db）：60Hz-18kHz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灵敏度（1w/1m）：96dB/SPL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额定阻抗：8ohms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8.压级输出：122 dB/128 dB SPL peak</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额定功率：400W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覆盖范围：90*50（HxV）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外型尺寸：576×372×384 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净重：23Kg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箱体材料：118mm,24mm多层夹板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 表面处理：黑色水性油漆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 面网：黑色环氧多孔钢网和透声的音箱棉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w:t>
            </w:r>
            <w:r>
              <w:rPr>
                <w:rFonts w:hint="eastAsia" w:ascii="宋体" w:hAnsi="宋体" w:cs="宋体"/>
                <w:i w:val="0"/>
                <w:iCs w:val="0"/>
                <w:color w:val="auto"/>
                <w:kern w:val="0"/>
                <w:sz w:val="24"/>
                <w:szCs w:val="24"/>
                <w:highlight w:val="none"/>
                <w:u w:val="none"/>
                <w:lang w:val="en-US" w:eastAsia="zh-CN" w:bidi="ar"/>
              </w:rPr>
              <w:t>提供权威第三方检测机构出具的检测报告</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373"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超低音音箱</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低音单元：1个18英寸100芯低频单元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频率范围（-10db）：40Hz-220Hz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频率响应（±3db）：38Hz-200Hz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灵敏度（1w/1m）：101db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额定阻抗：8 ohms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最大声压级输出：136db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额定功率：600W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峰值功率：2400W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箱体材料：18mm厚优质多层夹板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表面处理：黑色水性沙点环保树脂漆喷涂处理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面网：黑色粉末涂层钢网，外包声学吸音网布棉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外型尺寸（H*W*D): 570mm*700mm*600mm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净重：41kg</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374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功放</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电源：环形变压器电源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8Ω输出功率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2X600W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4Ω输出功率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2X800W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频率响应： 20Hz~20KHz（+/- 3dB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5. 输入灵敏度： 0.775V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6. 输入阻抗 ： 20KΩ平衡输入,10KΩ/不平衡输入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7. 信噪比（A计权）： ≥94dB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失真度/THD： ≤0.02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声道分离度： 72dB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阻尼系数： ≥290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转换速率： 30V/Us</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 </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9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音频矩阵处理器</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1、4进×8出音频处理器，24-bit DSP技术，高性能AD/DA，人性化设计，性能更出色，操作更便捷。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2.灵活组合的4输入8输出(2输入6输出/2输入4输出），多种分频模式。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3.输入输出音量调节，范围从-40dB到+12dB，最小步进0.1dB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4.每个输入/输出通道有7段参数均衡（PEQ)，每段参数均衡（PEQ）有参数（Parametric),Low-Shelf 6dB,Low-Shelf12dB,High-Shelf6dB,High-Shelf12dB多种EQ类型选择。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5.参数均衡（PEQ）频率范围从19.7Hz到21.9kHz，增益范围从-30dB到+15dB，带宽范围从0.017到4.750倍频程（Oct)。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6.输出高通、低通滤波器，每个滤波器有多种斜率和类型供选择，滤波器斜率有：-12dB,-24dB,-36dB,-48dB,滤波器类型有：巴特沃斯（Butterworth),贝塞尔（Bessel),宁可锐（Linkwitz-Riley)。</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7.每个输入/输出通道可设置最长延时达1000.00ms,带延时开关。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8.每个输入/输出通道均有压缩器，可调节各压缩器的门限值，压缩比，上冲时间和释放时间，关闭/硬拐点/5级软拐点可调。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9.每个输出通道带相位反转功能。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10.通道复制功能，令调节更省便。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11.多通道链接功能，可同时设置多个通道参数。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12.可以通过WIFI/RS485/USB，端口对本级进行远程控制，PC端操作更加直观快捷</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13.132*32点阵LCD液晶屏显示。</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9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调音台</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1.12个话筒 / 16个线路输入 (12个单声道 + 2个立体声)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2.1个辅助输出，可用于效果和舞台监听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3.内置99种DSP数码效果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4.1组主输出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5.2个编组输出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6.48V DC 幻象电源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7.MP3录音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8、带蓝牙播放</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9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播放器</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采用4核64位的高性能CPU，含：3T硬盘，支持云歌库，21.5寸触摸屏， 输出接口：HDMI</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931"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9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反馈抑制器</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采用自适应环境啸叫抑制算法，采用高速浮点数字音频处理器和先进的子带（Sub-Band)回声消除(Echo Cancellation)技术，可高速全自动完全消除啸叫和回声，同时让现场音频精准清晰实时送出，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置自适应动态噪声滤波器，可滤掉现场环境的背景噪声但不影响语音信号高质量的传送。系统智能电平控制技术，可以获的到清晰、持续的、信号电平无明显波动的语音信号。内置AGC双向控制，具有区分加强信号和轻柔信号的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保持对讲话声调的连贯和语音易于听清楚，维持听感上的舒适性，提升增益达6-15dB.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内置24Bit  A/D、D/A转换；24位DSP处理器，48KHz高速采样。采用高速浮点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全自动化操作的工作方式，免人工调试，无论房间环境中位置、温度、湿度、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装饰的改变，系统安装都无需进行声场调试，精准可靠使用简单。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内置自适应动态噪声滤波器，可滤掉现场环境的背景噪声但不影响语音信号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高质量的传送。提高信噪比，改善音质。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内置AGC自动增益控制，可以获得到清晰、持续平稳的语音信号。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内置数字压限器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可提高拾音的距离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输入通道：2个，输出通道1个，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信号接口类型：输入K3P/JACK6.35*2个，RCA*1个，输出K3P/JACK6.35*1个，RCA*1个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输入拨片式开关：48V幻象电源开关*2个，可设置48V电源关闭及开启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输出拨片式开关：高、中、低、三挡电平可调。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调节旋即：旋钮式调节开关*1个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前面板：7个LED电平状态灯，2个接入/旁通LED状态灯，1个频率校准LED状态灯，1个自动混合状态灯，1个按键式接入/旁通开关，1个频率校准/退出LED状态灯</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35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4天线真分集一拖二无线头戴话筒</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4天线真分集接收机*1台，无线头戴话筒*2支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自动跟踪调谐技术，保证系统在任何频率工作时保持最佳的选择性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OLED点阵屏幕显示，下拉式菜单控制。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采用电子音量开关，操作快速方便。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6段式发射机电池电量指示功能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联机自动扫描选择频率。频率范围 580~870MHz（默认740-790MHZ)最大频道数 200最大频率个数 1600频带宽度 50MHz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接收灵敏度 &lt;-95dBm for 30dB S/N Ratio最大频偏 +/-60KHz频率响应 50~20000Hz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信噪比 110dBm(A)失真度 &lt;0.5%动态范围 &gt;102Db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音频插座 XLR+jack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天线插座 2 BNC,50Ω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音频输出电平 +8dBu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电源 12~18V DC/1000mA"</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526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12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4天线真分集一拖二无线会议话筒</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4天线真分集接收机*1台，无线会议话筒*2支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自动跟踪调谐技术，保证系统在任何频率工作时保持最佳的选择性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OLED点阵屏幕显示，下拉式菜单控制。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采用电子音量开关，操作快速方便。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6段式发射机电池电量指示功能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联机自动扫描选择频率。频率范围 580~870MHz（默认740-790MHZ)最大频道数 200最大频率个数 1600频带宽度 50MHz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接收灵敏度 &lt;-95dBm for 30dB S/N Ratio最大频偏 +/-60KHz频率响应 50~20000Hz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信噪比 110dBm(A)失真度 &lt;0.5%动态范围 &gt;102Db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音频插座 XLR+jack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天线插座 2 BNC,50Ω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音频输出电平 +8dBu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电源 12~18V DC/1000mA"</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3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4天线真分集一拖二无线手持话筒</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天线真分集接收机*1台，无线手持话筒*2支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自动跟踪调谐技术，保证系统在任何频率工作时保持最佳的选择性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OLED点阵屏幕显示，下拉式菜单控制。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采用电子音量开关，操作快速方便。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6段式发射机电池电量指示功能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联机自动扫描选择频率。频率范围 580~870MHz（默认740-790MHZ)最大频道数 200最大频率个数 1600频带宽度 50MHz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接收灵敏度 &lt;-95dBm for 30dB S/N Ratio最大频偏 +/-60KHz频率响应 50~20000Hz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信噪比 110dBm(A)失真度 &lt;0.5%动态范围 &gt;102Db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音频插座 XLR+jack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天线插座 2 BNC,50Ω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音频输出电平 +8dBu max</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94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14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抗干扰音频传输器</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输入阻抗：600Ω（交流阻抗），输出阻抗：600Ω（交流阻抗）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，频率响应：20HZ～55KHZ（-0.22db +0DB），直流耐压DC 1000V</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6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线性阵列吊架</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线性阵列吊架系统</w:t>
            </w:r>
            <w:r>
              <w:rPr>
                <w:rFonts w:hint="eastAsia" w:ascii="宋体" w:hAnsi="宋体" w:cs="宋体"/>
                <w:i w:val="0"/>
                <w:iCs w:val="0"/>
                <w:color w:val="auto"/>
                <w:kern w:val="0"/>
                <w:sz w:val="24"/>
                <w:szCs w:val="24"/>
                <w:highlight w:val="none"/>
                <w:u w:val="none"/>
                <w:lang w:val="en-US" w:eastAsia="zh-CN" w:bidi="ar"/>
              </w:rPr>
              <w:t>，能完美适配</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299"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16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电源时序器</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负荷容量/功率限制：3520W/7040W，额定输入/输出电压：110V-240V，输出，最大输出电流：16A/32A，输出连接：8位16A国际万用插口。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内部web服务器，无需专用计算机操作，可通过集中管理软件来集中管理。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内部实时时钟，断电时间保持。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上电延时时间，设备加电后延时给开关供电，保证电压稳定。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延时顺序开机，避免设备同时加电给电源和设备本身带来冲击。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定时功能，编排定时开关设备电源的计划。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LED数码管显示时间和传感器数值，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局域网内实现远程开、关机，8个电源输出端口名称显示（跟自行更改端口名称，显示直观）、电压、电流状态。</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6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操作台</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二个工位</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25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18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机柜</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规格：1.8米,主要材料</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SPCC优质冷扎钢板制作；厚度：方孔条2.0mm，安装梁1.5mm，其它1.2mm。</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633"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多媒体地插</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推荐品牌：国标铜制面板，含HDMI等模块</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9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其他辅助材料</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音视频线采用秋叶原、百通、金三湖；音视频接插头采用甬生、日昇、金三湖。</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637" w:hRule="atLeast"/>
          <w:jc w:val="center"/>
        </w:trPr>
        <w:tc>
          <w:tcPr>
            <w:tcW w:w="10204"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2、舞台机械及灯光系统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99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LED面光灯</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1、光    源</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300W高显指LEDCOB灯珠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2、电源电压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AC100~240V，50/60Hz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3、额定功率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350W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4、光源寿命</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可达50000小时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5、显色指数</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Ra（CRI）≥95，R9≥90,TLCI≥95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6、中心照度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5米4760LUX（5600K，15°）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7、色    温</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3200K,5600K可选（可按要求定制色温）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8、调    光</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0~100%线性调光，让调光过程中，无闪烁、抖动，跳变，调光换色更柔和，摄像更清晰真实</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9、通道模式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1CH/2CH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10、控制面板</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LCD数码显示屏+四按键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11、光    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15-60度线性电子变焦，24K无闪烁光源管理系统，不刺眼防眩目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●12、散热方式：具有铜管散热器 +智能静音风机散热系统 。</w:t>
            </w:r>
            <w:r>
              <w:rPr>
                <w:rFonts w:hint="eastAsia" w:ascii="宋体" w:hAnsi="宋体" w:eastAsia="宋体" w:cs="宋体"/>
                <w:b/>
                <w:bCs/>
                <w:i w:val="0"/>
                <w:iCs w:val="0"/>
                <w:color w:val="auto"/>
                <w:kern w:val="0"/>
                <w:sz w:val="24"/>
                <w:szCs w:val="24"/>
                <w:highlight w:val="none"/>
                <w:u w:val="none"/>
                <w:lang w:val="en-US" w:eastAsia="zh-CN" w:bidi="ar"/>
              </w:rPr>
              <w:t>提供LED影视聚光灯高效散热控制系统计算机软件软著证书(复印件加盖投标人公章)。</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13噪    音</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1米噪音≤30db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14、温度监控</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内置温度保护传感器,通过自动调节灯具功率来进行过温保护，显示面板实时查看灯具工作温度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15、控制模式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DMX有线.无线信号可选/手动控制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16、防护等级</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IP20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17、配    件</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遮扉，电源线，信号线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18、净重/毛重</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8kg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19、灯体尺寸</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455*265*292MM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●20、灯具光源有无蓝光危害设计。</w:t>
            </w:r>
            <w:r>
              <w:rPr>
                <w:rFonts w:hint="eastAsia" w:ascii="宋体" w:hAnsi="宋体" w:cs="宋体"/>
                <w:b/>
                <w:bCs/>
                <w:i w:val="0"/>
                <w:iCs w:val="0"/>
                <w:color w:val="auto"/>
                <w:kern w:val="0"/>
                <w:sz w:val="24"/>
                <w:szCs w:val="24"/>
                <w:highlight w:val="none"/>
                <w:u w:val="none"/>
                <w:lang w:val="en-US" w:eastAsia="zh-CN" w:bidi="ar"/>
              </w:rPr>
              <w:t>提供权威第三方检测机构出具的检测报告</w:t>
            </w:r>
            <w:r>
              <w:rPr>
                <w:rFonts w:hint="eastAsia" w:ascii="宋体" w:hAnsi="宋体" w:eastAsia="宋体" w:cs="宋体"/>
                <w:b/>
                <w:bCs/>
                <w:i w:val="0"/>
                <w:iCs w:val="0"/>
                <w:color w:val="auto"/>
                <w:kern w:val="0"/>
                <w:sz w:val="24"/>
                <w:szCs w:val="24"/>
                <w:highlight w:val="none"/>
                <w:u w:val="none"/>
                <w:lang w:val="en-US" w:eastAsia="zh-CN" w:bidi="ar"/>
              </w:rPr>
              <w:t>(复印件加</w:t>
            </w:r>
            <w:r>
              <w:rPr>
                <w:rFonts w:hint="eastAsia" w:ascii="宋体" w:hAnsi="宋体" w:cs="宋体"/>
                <w:b/>
                <w:bCs/>
                <w:i w:val="0"/>
                <w:iCs w:val="0"/>
                <w:color w:val="auto"/>
                <w:kern w:val="0"/>
                <w:sz w:val="24"/>
                <w:szCs w:val="24"/>
                <w:highlight w:val="none"/>
                <w:u w:val="none"/>
                <w:lang w:val="en-US" w:eastAsia="zh-CN" w:bidi="ar"/>
              </w:rPr>
              <w:t>投标人</w:t>
            </w:r>
            <w:r>
              <w:rPr>
                <w:rFonts w:hint="eastAsia" w:ascii="宋体" w:hAnsi="宋体" w:eastAsia="宋体" w:cs="宋体"/>
                <w:b/>
                <w:bCs/>
                <w:i w:val="0"/>
                <w:iCs w:val="0"/>
                <w:color w:val="auto"/>
                <w:kern w:val="0"/>
                <w:sz w:val="24"/>
                <w:szCs w:val="24"/>
                <w:highlight w:val="none"/>
                <w:u w:val="none"/>
                <w:lang w:val="en-US" w:eastAsia="zh-CN" w:bidi="ar"/>
              </w:rPr>
              <w:t>公章)</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711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电脑摇头光束灯</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1、电压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110 -240V,50/60Hz，光源</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OSRAM 371光源，功率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450W，光源寿命</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1500小时。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●2、光学系统：光束角度2.5°-62°。纯光束角度2.5度，图案角度48度，染色角度62度。</w:t>
            </w:r>
            <w:r>
              <w:rPr>
                <w:rFonts w:hint="eastAsia" w:ascii="宋体" w:hAnsi="宋体" w:cs="宋体"/>
                <w:b/>
                <w:bCs/>
                <w:i w:val="0"/>
                <w:iCs w:val="0"/>
                <w:color w:val="auto"/>
                <w:kern w:val="0"/>
                <w:sz w:val="24"/>
                <w:szCs w:val="24"/>
                <w:highlight w:val="none"/>
                <w:u w:val="none"/>
                <w:lang w:val="en-US" w:eastAsia="zh-CN" w:bidi="ar"/>
              </w:rPr>
              <w:t>提供权威第三方检测机构出具的检测报告</w:t>
            </w:r>
            <w:r>
              <w:rPr>
                <w:rFonts w:hint="eastAsia" w:ascii="宋体" w:hAnsi="宋体" w:eastAsia="宋体" w:cs="宋体"/>
                <w:b/>
                <w:bCs/>
                <w:i w:val="0"/>
                <w:iCs w:val="0"/>
                <w:color w:val="auto"/>
                <w:kern w:val="0"/>
                <w:sz w:val="24"/>
                <w:szCs w:val="24"/>
                <w:highlight w:val="none"/>
                <w:u w:val="none"/>
                <w:lang w:val="en-US" w:eastAsia="zh-CN" w:bidi="ar"/>
              </w:rPr>
              <w:t>中体现检测结果(复印件加投标人公章)。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3、颜色</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≥12个色片+白光可线性色彩转换及彩虹效果。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●4、固定图案盘</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11个固定图案+白光，可变速抖动/双向旋转效果旋转图案盘</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7个旋转图案+白光(图案可选购，拆装更换方便，角度一至性保持好)可变速抖动/双向旋转效果；</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5、棱镜</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独立的25和16棱镜，棱镜打光束可重叠，带角度调节和旋转功能；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6、频 闪：双频闪结构,0-12次/秒。带随机频闪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7、水平/垂直：水平扫描角度540°，垂直扫描角度270°，XY轴带自动纠错系统，采用光电复位系统，当偶然发生误动后，可自动检索复位；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8、散热方式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智能风机自动散热控制，点灯泡风机智能启动，闭光半功率自动调节。</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743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LED平板灯</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1、光源</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≥1480颗0.5W贴片高显指LED阵列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2、电源电压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AC100~240V，50/60Hz，恒功率≥290W输出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3、显色指数</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Ra(CRI)≥95，R9≥90,TLCI≥95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●4、中心照度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1米≥7900LUX(5600K)，</w:t>
            </w:r>
            <w:r>
              <w:rPr>
                <w:rFonts w:hint="eastAsia" w:ascii="宋体" w:hAnsi="宋体" w:cs="宋体"/>
                <w:b/>
                <w:bCs/>
                <w:i w:val="0"/>
                <w:iCs w:val="0"/>
                <w:color w:val="auto"/>
                <w:kern w:val="0"/>
                <w:sz w:val="24"/>
                <w:szCs w:val="24"/>
                <w:highlight w:val="none"/>
                <w:u w:val="none"/>
                <w:lang w:val="en-US" w:eastAsia="zh-CN" w:bidi="ar"/>
              </w:rPr>
              <w:t>提供权威第三方检测机构出具的检测报告</w:t>
            </w:r>
            <w:r>
              <w:rPr>
                <w:rFonts w:hint="eastAsia" w:ascii="宋体" w:hAnsi="宋体" w:eastAsia="宋体" w:cs="宋体"/>
                <w:b/>
                <w:bCs/>
                <w:i w:val="0"/>
                <w:iCs w:val="0"/>
                <w:color w:val="auto"/>
                <w:kern w:val="0"/>
                <w:sz w:val="24"/>
                <w:szCs w:val="24"/>
                <w:highlight w:val="none"/>
                <w:u w:val="none"/>
                <w:lang w:val="en-US" w:eastAsia="zh-CN" w:bidi="ar"/>
              </w:rPr>
              <w:t>中体现检测结果(复印件加投标人公章)。</w:t>
            </w:r>
          </w:p>
          <w:p>
            <w:pPr>
              <w:keepNext w:val="0"/>
              <w:keepLines w:val="0"/>
              <w:widowControl/>
              <w:numPr>
                <w:ilvl w:val="0"/>
                <w:numId w:val="1"/>
              </w:numPr>
              <w:suppressLineNumbers w:val="0"/>
              <w:spacing w:line="360" w:lineRule="auto"/>
              <w:ind w:left="24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色温</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满足3200K-5600K色温可调；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6、调光</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具有0~100%线性调光，调光过程中，无闪烁、抖动，跳变，调光换色更柔和，摄像更清晰真实；</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7、控制面板</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≥2.4寸液晶显示屏，手动调光旋钮，可实现512信号和手动调光智能无缝切换。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8、通道模式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≥4CH/5CH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9、光学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具有120度出光角度，24K无闪烁光源管理系统，不刺眼防眩目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10、散热方式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满足空气对流自然散热，超静音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11、温度监控</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具有内置温度保护传感器,通过自动调节灯具功率来进行过温保护，显示面板实时查看灯具工作温度。</w:t>
            </w:r>
          </w:p>
          <w:p>
            <w:pPr>
              <w:keepNext w:val="0"/>
              <w:keepLines w:val="0"/>
              <w:widowControl/>
              <w:numPr>
                <w:ilvl w:val="0"/>
                <w:numId w:val="0"/>
              </w:numPr>
              <w:suppressLineNumbers w:val="0"/>
              <w:spacing w:line="360" w:lineRule="auto"/>
              <w:ind w:left="240"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12、控制模式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具有DMX有线/无线信号可选，RDM双向控制技术，DMX版本升级，可直接手动控制；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13、提供产品的CE及ROHS安全认证(复印件加盖</w:t>
            </w:r>
            <w:r>
              <w:rPr>
                <w:rFonts w:hint="eastAsia" w:ascii="宋体" w:hAnsi="宋体" w:cs="宋体"/>
                <w:i w:val="0"/>
                <w:iCs w:val="0"/>
                <w:color w:val="auto"/>
                <w:kern w:val="0"/>
                <w:sz w:val="24"/>
                <w:szCs w:val="24"/>
                <w:highlight w:val="none"/>
                <w:u w:val="none"/>
                <w:lang w:val="en-US" w:eastAsia="zh-CN" w:bidi="ar"/>
              </w:rPr>
              <w:t>投标人公章</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●14、灯具光源有无蓝光危害设计，</w:t>
            </w:r>
            <w:r>
              <w:rPr>
                <w:rFonts w:hint="eastAsia" w:ascii="宋体" w:hAnsi="宋体" w:cs="宋体"/>
                <w:b/>
                <w:bCs/>
                <w:i w:val="0"/>
                <w:iCs w:val="0"/>
                <w:color w:val="auto"/>
                <w:kern w:val="0"/>
                <w:sz w:val="24"/>
                <w:szCs w:val="24"/>
                <w:highlight w:val="none"/>
                <w:u w:val="none"/>
                <w:lang w:val="en-US" w:eastAsia="zh-CN" w:bidi="ar"/>
              </w:rPr>
              <w:t>提供权威第三方检测机构出具的检测报告</w:t>
            </w:r>
            <w:r>
              <w:rPr>
                <w:rFonts w:hint="eastAsia" w:ascii="宋体" w:hAnsi="宋体" w:eastAsia="宋体" w:cs="宋体"/>
                <w:b/>
                <w:bCs/>
                <w:i w:val="0"/>
                <w:iCs w:val="0"/>
                <w:color w:val="auto"/>
                <w:kern w:val="0"/>
                <w:sz w:val="24"/>
                <w:szCs w:val="24"/>
                <w:highlight w:val="none"/>
                <w:u w:val="none"/>
                <w:lang w:val="en-US" w:eastAsia="zh-CN" w:bidi="ar"/>
              </w:rPr>
              <w:t>(复印件加投标人公章))</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7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四合一LED染色灯</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电源电压：AC100～240V，50/60Hz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额定功率：200W，功率因素PF&gt;0.95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光    源：单颗10W*18颗LED灯珠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光源寿命：50000小时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出光角度：15°/25°/45°/60°可选。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颜色系统：RGBW线性混色，1670万种颜色变化，内置宏功能,无限的RGBW虚拟颜色混色系统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效果配置：0—100%独立线性调光，0—100%独立饱和度调节。3200K-10000K色温线性调节。独立高速频闪。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控制面板：数码显示屏+四按键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控制同道：4CH/9CH两种通道控制模式。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协     议：标准DMX512协议主从控制模式。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菜单显示：LED显示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灯体结构：铝合金压铸外壳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电控技术：菜单或控台控制灯具复位，0-100%调光。恒功率控制，温度传感检测智能调整光源功率，DMX通道电平监视，DMX信号提示，灯具信息查询。各颜色起始亮度设置，过流，过压，过热保护。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防护等级：IP20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散热方式：智能风机散热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控制模式：DMX512控制/手动模式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环境温度：-25℃～+45℃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配   件：电源线，信号线  净重/毛重</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3kg/3.5kg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灯体尺寸</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315*295*248MM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●灯具光源有无蓝光危害设计，</w:t>
            </w:r>
            <w:r>
              <w:rPr>
                <w:rFonts w:hint="eastAsia" w:ascii="宋体" w:hAnsi="宋体" w:cs="宋体"/>
                <w:b/>
                <w:bCs/>
                <w:i w:val="0"/>
                <w:iCs w:val="0"/>
                <w:color w:val="auto"/>
                <w:kern w:val="0"/>
                <w:sz w:val="24"/>
                <w:szCs w:val="24"/>
                <w:highlight w:val="none"/>
                <w:u w:val="none"/>
                <w:lang w:val="en-US" w:eastAsia="zh-CN" w:bidi="ar"/>
              </w:rPr>
              <w:t>提供权威第三方检测机构出具的检测报告</w:t>
            </w:r>
            <w:r>
              <w:rPr>
                <w:rFonts w:hint="eastAsia" w:ascii="宋体" w:hAnsi="宋体" w:eastAsia="宋体" w:cs="宋体"/>
                <w:b/>
                <w:bCs/>
                <w:i w:val="0"/>
                <w:iCs w:val="0"/>
                <w:color w:val="auto"/>
                <w:kern w:val="0"/>
                <w:sz w:val="24"/>
                <w:szCs w:val="24"/>
                <w:highlight w:val="none"/>
                <w:u w:val="none"/>
                <w:lang w:val="en-US" w:eastAsia="zh-CN" w:bidi="ar"/>
              </w:rPr>
              <w:t>(复印件加投标人公章)</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217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电源直通箱</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供电：三相五线制AC380V±10％，频率50Hz±5％.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额定功率：12路×4KW; 可适用于任何负载.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过载与短路双重保护高分断空气开关.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A.B.C三相工作指示灯. 设两脚和三脚万能插座，进口接线端输入，单40A胶木插输出。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外形尺寸(mm):L515×W485×H133. 单机重量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12KG.</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9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信号放大器</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1路DMX512数码输入，1路DMX512直接输出。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输入/输出光电隔离。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8路独立放大驱动输出。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信号放大整形功能，延长信号传输距离。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增强数据总线接入设备数量的能力。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保护灯光控制台DMX512输出接口，故障现场隔离，提高数字式灯光控制系统的安全运行可靠性。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电源</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AC100V-240V / 50-60Hz</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9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电脑型灯光集控台</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1、通过 PC软件实现灯光的所有控制；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2、可通过 PC软件实现灯光亮度变化控制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3、可通过 PC软件实现灯光颜色变化控制；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4、通过软件由用户自定义场景控制程序，并由用户自行选择调用；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5、用户可自定义键盘快捷键对应相应的场景控制程序，方便用户管制；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6、软件的用户交互界面简单直观，面向对象可视化的场景编辑，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含舞台灯光控制系统软件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8、硬盘容量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500GB显卡类型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集成显卡显存容量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共享系统，含显示器、键盘、鼠标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9、●提供《计算机软件著作权登记证书》。</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6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舞台灯架</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根据实际</w:t>
            </w:r>
            <w:r>
              <w:rPr>
                <w:rFonts w:hint="eastAsia" w:ascii="宋体" w:hAnsi="宋体" w:eastAsia="宋体" w:cs="宋体"/>
                <w:i w:val="0"/>
                <w:iCs w:val="0"/>
                <w:color w:val="auto"/>
                <w:kern w:val="0"/>
                <w:sz w:val="24"/>
                <w:szCs w:val="24"/>
                <w:highlight w:val="none"/>
                <w:u w:val="none"/>
                <w:lang w:val="en-US" w:eastAsia="zh-CN" w:bidi="ar"/>
              </w:rPr>
              <w:t>现场定制</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9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电动升降面光灯架</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优质外壳、坚固耐用，4m/min、内置双滑轮刹车稳定、卷边设计不卡链条，镀锌链条G80、铝合金桁架</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6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控制器</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可单台或多台同时升降</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6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灯光电源线</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推荐品牌：国标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RVV3*2.5</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94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灯光信号控制线</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推荐品牌：国标DMX512专用线</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94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舞台机械控制线</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4*1.5电源线</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499"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辅助材料</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1、音响线 2*2.5mm² , 材质：铜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2、音频线（咪线）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3.控制线 网线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4.电源线 RVV3*2.5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布线管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6.其他辅料 另购大三芯、莲花头、3.5 耳机接头、BNC 头、六类水晶头、焊锡、松香、扎带、线 号、防水胶布、电工胶布、 电源插头、标签、插排等辅助材料。</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36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追光灯</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输入电源：AC100V-240V, 50Hz/60Hz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额定功率：450W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色    温：8000-8500k</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灯    珠：LED350W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光 通 量：20000lm-24000lm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灯珠寿命：≥50000小时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通道模式：5个通道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颜 色 盘：5色+白光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色 温 盘：3200K+4500K+5600K手动变焦放大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手动变焦，放大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出光角度：7°-13°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电子频闪：1-20次/秒</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25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机柜</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规格：1米,主要材料</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SPCC优质冷扎钢板制作；厚度：方孔条2.0mm，安装梁1.5mm，其它1.2mm。</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646" w:hRule="atLeast"/>
          <w:jc w:val="center"/>
        </w:trPr>
        <w:tc>
          <w:tcPr>
            <w:tcW w:w="10204"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3、舞台天花板拆除及喷黑（配套服务）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25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天花板拆除及吊顶喷黑</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舞台天花板拆除、顶部喷黑等施工</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94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highlight w:val="none"/>
                <w:u w:val="none"/>
                <w:lang w:eastAsia="zh-CN"/>
              </w:rPr>
              <w:t>安装调试及场地清理</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highlight w:val="none"/>
                <w:u w:val="none"/>
                <w:lang w:eastAsia="zh-CN"/>
              </w:rPr>
              <w:t>含学校所有设备安装调试及后期场地复原、清理</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944" w:hRule="atLeast"/>
          <w:jc w:val="center"/>
        </w:trPr>
        <w:tc>
          <w:tcPr>
            <w:tcW w:w="10204"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二、悦和幼儿园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944" w:hRule="atLeast"/>
          <w:jc w:val="center"/>
        </w:trPr>
        <w:tc>
          <w:tcPr>
            <w:tcW w:w="10204"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1、多功能厅音响系统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38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4天线真分集一拖二无线手持话筒</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4天线真分集接收机*1台，无线手持话筒*2支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自动跟踪调谐技术，保证系统在任何频率工作时保持最佳的选择性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OLED点阵屏幕显示，下拉式菜单控制。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采用电子音量开关，操作快速方便。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6段式发射机电池电量指示功能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联机自动扫描选择频率。频率范围 580~870MHz（默认740-790MHZ)最大频道数 200最大频率个数 1600频带宽度 50MHz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接收灵敏度 &lt;-95dBm for 30dB S/N Ratio最大频偏 +/-60KHz频率响应 50~20000Hz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信噪比 110dBm(A)失真度 &lt;0.5%动态范围 &gt;102Db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音频插座 XLR+jack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天线插座 2 BNC,50Ω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音频输出电平 +8dBu max</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814" w:hRule="atLeast"/>
          <w:jc w:val="center"/>
        </w:trPr>
        <w:tc>
          <w:tcPr>
            <w:tcW w:w="10204"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2、户外操场音响系统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51"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4天线真分集一拖二无线手持话筒</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天线真分集接收机*1台，无线手持话筒*2支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自动跟踪调谐技术，保证系统在任何频率工作时保持最佳的选择性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OLED点阵屏幕显示，下拉式菜单控制。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采用电子音量开关，操作快速方便。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6段式发射机电池电量指示功能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联机自动扫描选择频率。频率范围 580~870MHz（默认740-790MHZ)最大频道数 200最大频率个数 1600频带宽度 50MHz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接收灵敏度 &lt;-95dBm for 30dB S/N Ratio最大频偏 +/-60KHz频率响应 50~20000Hz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信噪比 110dBm(A)失真度 &lt;0.5%动态范围 &gt;102Db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音频插座 XLR+jack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天线插座 2 BNC,50Ω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音频输出电平 +8dBu max</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675" w:hRule="atLeast"/>
          <w:jc w:val="center"/>
        </w:trPr>
        <w:tc>
          <w:tcPr>
            <w:tcW w:w="10204"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三、悦和幼儿园（悦士庭院）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675" w:hRule="atLeast"/>
          <w:jc w:val="center"/>
        </w:trPr>
        <w:tc>
          <w:tcPr>
            <w:tcW w:w="10204"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悦士庭院音响系统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07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4天线真分集一拖二无线手持话筒</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天线真分集接收机*1台，无线手持话筒*2支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自动跟踪调谐技术，保证系统在任何频率工作时保持最佳的选择性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OLED点阵屏幕显示，下拉式菜单控制。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采用电子音量开关，操作快速方便。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6段式发射机电池电量指示功能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联机自动扫描选择频率。频率范围 580~870MHz（默认740-790MHZ)最大频道数 200最大频率个数 1600频带宽度 50MHz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接收灵敏度 &lt;-95dBm for 30dB S/N Ratio最大频偏 +/-60KHz频率响应 50~20000Hz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信噪比 110dBm(A)失真度 &lt;0.5%动态范围 &gt;102Db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音频插座 XLR+jack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天线插座 2 BNC,50Ω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音频输出电平 +8dBu max</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4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天线放大器</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指向性天线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天线类型：对数周期偶极阵（LPDA）天线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工作频带：500MHz - 900MHz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工作电压：8V DC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增益：6dB（典型）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阻抗：50Ω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电压驻波比：1.5∶1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指向性：椭圆形 180°（典型）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指向极性：垂直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导波器段数：11段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连接端子：TNC母座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天线分配放大器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天线分配器：一分四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 工作频带： 500MHz-900MHz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 增益：6～10dB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 工作电源：220V AC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 输出外接电源：DC 12V  1mA</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6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安装调试</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推荐品牌：满足设计使用标准、现场安装需要安装调试</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895" w:hRule="atLeast"/>
          <w:jc w:val="center"/>
        </w:trPr>
        <w:tc>
          <w:tcPr>
            <w:tcW w:w="10204"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四、新城外国语学校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895" w:hRule="atLeast"/>
          <w:jc w:val="center"/>
        </w:trPr>
        <w:tc>
          <w:tcPr>
            <w:tcW w:w="10204"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1、初中部会议室音响设备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679"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全频音箱</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系统类型：单10英寸，2分频，低频反射式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低音单元：1个10英寸51芯低频单元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高音单元：1个1.75英寸音圈钛振膜高频驱动器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频率范围（-10db）：60Hz-20KHz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频率响应（±3db）：65Hz-19Hz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灵敏度（1w/1m）：94db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额定阻抗：6 ohms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最大声压级输出：125db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额定功率：300W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覆盖范围：80*60（HxV）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外型尺寸：300mm**500mm*338mm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净重：14Kg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箱体材料：15mm厚优质多层夹板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 表面处理：黑色水性沙点环保树脂漆喷涂处理</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374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功放</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电源：环形变压器电源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8Ω输出功率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2X600W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4Ω输出功率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2X800W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频率响应： 20Hz~20KHz（+/- 3dB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5. 输入灵敏度： 0.775V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6. 输入阻抗 ： 20KΩ平衡输入,10KΩ/不平衡输入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7. 信噪比（A计权）： ≥94dB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失真度/THD： ≤0.02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声道分离度： 72dB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阻尼系数： ≥290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转换速率： 30V/Us</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53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调音台</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1.输入：6个话筒/JACK6.35输入,1组CD/TAPE（1组2*RCA）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2.输出：主输出*2个，1个辅助输出，1个效果输出，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3.USB口*1，支持MP3播放/录音</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30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一拖二无线会议话筒</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1.红外对频无线手持话筒*2个，接收机*1台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2.DPLL数字锁相环技术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3.载波频率范围</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UHF640-690MHz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4.调制方式：调频4. 可调信道数： 200 通道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5.射频功率：10～30mW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6.音频频响：40～16000Hz 11.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7.失真度：≤0.5％12. 动态范围：100dB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8.电池规格：2X1.5V AA 碱性电电池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9.音频输出：（XLR）卡侬独立平衡输出和Φ6.35插座混合不平衡输出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10.话筒耗电量：100mA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11.载波频率：UHF 500MHz～900MHz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12.频率稳定度：±25KHz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13.信噪比：&gt;105dB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14.邻频干扰比(F/N Ratio)：&gt;80dB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15.动态范围：≥100dB</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310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辅助材料</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1、音响线 2*2.5mm² , 材质：铜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2、音频线（咪线）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3.控制线 网线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4.电源线 RVV3*2.5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布线管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6.其他辅料 另购大三芯、莲花头、3.5 耳机接头、BNC 头、六类水晶头、焊锡、松香、扎带、线 号、防水胶布、电工胶布、 电源插头、标签、插排等辅助材料。包含老的拆除移到小学部安装材料</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6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人工、安装调试</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国标现场安装需要安装调试、包含老的拆除移到小学部安装</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637" w:hRule="atLeast"/>
          <w:jc w:val="center"/>
        </w:trPr>
        <w:tc>
          <w:tcPr>
            <w:tcW w:w="10204"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五、福山正达外国语学校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637" w:hRule="atLeast"/>
          <w:jc w:val="center"/>
        </w:trPr>
        <w:tc>
          <w:tcPr>
            <w:tcW w:w="10204"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福山正达外国语学校</w:t>
            </w:r>
            <w:r>
              <w:rPr>
                <w:rFonts w:hint="eastAsia" w:ascii="宋体" w:hAnsi="宋体" w:cs="宋体"/>
                <w:b w:val="0"/>
                <w:bCs w:val="0"/>
                <w:i w:val="0"/>
                <w:iCs w:val="0"/>
                <w:color w:val="auto"/>
                <w:kern w:val="0"/>
                <w:sz w:val="24"/>
                <w:szCs w:val="24"/>
                <w:highlight w:val="none"/>
                <w:u w:val="none"/>
                <w:lang w:val="en-US" w:eastAsia="zh-CN" w:bidi="ar"/>
              </w:rPr>
              <w:t>音响系统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9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同轴全频音箱</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系统类型：单10英寸，2分频，低频反射式，同轴设计。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低音单元：1个10英寸51芯低频单元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高音单元：1个3英寸(75mm音圈）高频驱动器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频率范围（-10db）：55Hz-20KHz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频率响应（±3db）：65Hz-18Hz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灵敏度（1w/1m）：96db SPL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额定阻抗：8ohms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最大声压级输出：127db SPL peak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额定功率：350W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覆盖范围：80*80（HxV）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外型尺寸：420mm**310mm*310mm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净重：18Kg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箱体材料：15mm厚优质多层夹板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 表面处理：黑色水性沙点环保树脂漆喷涂处理</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374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功放</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电源：环形变压器电源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8Ω输出功率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2X600W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4Ω输出功率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2X800W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频率响应： 20Hz~20KHz（+/- 3dB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5. 输入灵敏度： 0.775V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6. 输入阻抗 ： 20KΩ平衡输入,10KΩ/不平衡输入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7. 信噪比（A计权）： ≥94dB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失真度/THD： ≤0.02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声道分离度： 72dB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阻尼系数： ≥290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转换速率： 30V/Us</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279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调音台</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1.输入：8个话筒/JACK6.35输入,2组立体声（2组2*RCA）,1组CD/TAPE（1组2*RCA），2个辅助（2*JACK6.35）,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2.输出：主输出*2个，编组输出*2个，1个辅助输出，1个效果输出，1组CD/TAPE（1组2*RCA），耳机监听*1个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3.内置99种DSP数码效果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4.USB口*1，支持MP3播放/录音</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94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音频矩阵处理器</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1、4进×8出音频处理器，24-bit DSP技术，高性能AD/DA，人性化设计，性能更出色，操作更便捷。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2.灵活组合的4输入8输出(2输入6输出/2输入4输出），多种分频模式。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3.输入输出音量调节，范围从-40dB到+12dB，最小步进0.1dB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4.每个输入/输出通道有7段参数均衡（PEQ)，每段参数均衡（PEQ）有参数（Parametric),Low-Shelf 6dB,Low-Shelf12dB,High-Shelf6dB,High-Shelf12dB多种EQ类型选择。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5.参数均衡（PEQ）频率范围从19.7Hz到21.9kHz，增益范围从-30dB到+15dB，带宽范围从0.017到4.750倍频程（Oct)。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6.输出高通、低通滤波器，每个滤波器有多种斜率和类型供选择，滤波器斜率有：-12dB,-24dB,-36dB,-48dB,滤波器类型有：巴特沃斯（Butterworth),贝塞尔（Bessel),宁可锐（Linkwitz-Riley)。</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7.每个输入/输出通道可设置最长延时达1000.00ms,带延时开关。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8.每个输入/输出通道均有压缩器，可调节各压缩器的门限值，压缩比，上冲时间和释放时间，关闭/硬拐点/5级软拐点可调。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9.每个输出通道带相位反转功能。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10.通道复制功能，令调节更省便。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11.多通道链接功能，可同时设置多个通道参数。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12.可以通过WIFI/RS485/USB，端口对本级进行远程控制，PC端操作更加直观快捷</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13.132*32点阵LCD液晶屏显示。</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337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4天线真分集一拖二无线鹅颈话筒</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4天线真分集接收机*1台，无线会议话筒*2支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自动跟踪调谐技术，保证系统在任何频率工作时保持最佳的选择性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OLED点阵屏幕显示，下拉式菜单控制。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采用电子音量开关，操作快速方便。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6段式发射机电池电量指示功能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联机自动扫描选择频率。频率范围 580~870MHz（默认740-790MHZ)最大频道数 200最大频率个数 1600频带宽度 50MHz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接收灵敏度 &lt;-95dBm for 30dB S/N Ratio最大频偏 +/-60KHz频率响应 50~20000Hz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信噪比 110dBm(A)失真度 &lt;0.5%动态范围 &gt;102Db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音频插座 XLR+jack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天线插座 2 BNC,50Ω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音频输出电平 +8dBu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电源 12~18V DC/1000mA"</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95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4天线真分集一拖二无线手持话筒</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天线真分集接收机*1台，无线手持话筒*2支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自动跟踪调谐技术，保证系统在任何频率工作时保持最佳的选择性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OLED点阵屏幕显示，下拉式菜单控制。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采用电子音量开关，操作快速方便。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6段式发射机电池电量指示功能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联机自动扫描选择频率。频率范围 580~870MHz（默认740-790MHZ)最大频道数 200最大频率个数 1600频带宽度 50MHz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接收灵敏度 &lt;-95dBm for 30dB S/N Ratio最大频偏 +/-60KHz频率响应 50~20000Hz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信噪比 110dBm(A)失真度 &lt;0.5%动态范围 &gt;102Db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音频插座 XLR+jack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天线插座 2 BNC,50Ω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音频输出电平 +8dBu max</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97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反馈抑制器</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采用自适应环境啸叫抑制算法，采用高速浮点数字音频处理器和先进的子带（Sub-Band)回声消除(Echo Cancellation)技术，可高速全自动完全消除啸叫和回声，同时让现场音频精准清晰实时送出，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置自适应动态噪声滤波器，可滤掉现场环境的背景噪声但不影响语音信号高质量的传送。系统智能电平控制技术，可以获的到清晰、持续的、信号电平无明显波动的语音信号。内置AGC双向控制，具有区分加强信号和轻柔信号的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保持对讲话声调的连贯和语音易于听清楚，维持听感上的舒适性，提升增益达6-15dB.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内置24Bit  A/D、D/A转换；24位DSP处理器，48KHz高速采样。采用高速浮点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全自动化操作的工作方式，免人工调试，无论房间环境中位置、温度、湿度、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装饰的改变，系统安装都无需进行声场调试，精准可靠使用简单。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内置自适应动态噪声滤波器，可滤掉现场环境的背景噪声但不影响语音信号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高质量的传送。提高信噪比，改善音质。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内置AGC自动增益控制，可以获得到清晰、持续平稳的语音信号。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内置数字压限器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可提高拾音的距离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输入通道：2个，输出通道1个，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信号接口类型：输入K3P/JACK6.35*2个，RCA*1个，输出K3P/JACK6.35*1个，RCA*1个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输入拨片式开关：48V幻象电源开关*2个，可设置48V电源关闭及开启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输出拨片式开关：高、中、低、三挡电平可调。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调节旋即：旋钮式调节开关*1个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前面板：7个LED电平状态灯，2个接入/旁通LED状态灯，1个频率校准LED状态灯，1个自动混合状态灯，1个按键式接入/旁通开关，1个频率校准/退出LED状态灯</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633"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8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台式话筒架</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定制</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89"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9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电源时序器</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负荷容量/功率限制：3520W/7040W，额定输入/输出电压：110V-240V，输出，最大输出电流：16A/32A，输出连接：8位16A国际万用插口。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内部web服务器，无需专用计算机操作，可通过集中管理软件来集中管理。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内部实时时钟，断电时间保持。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上电延时时间，设备加电后延时给开关供电，保证电压稳定。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延时顺序开机，避免设备同时加电给电源和设备本身带来冲击。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定时功能，编排定时开关设备电源的计划。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LED数码管显示时间和传感器数值，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局域网内实现远程开、关机，8个电源输出端口名称显示（跟自行更改端口名称，显示直观）、电压、电流状态。</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25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机柜</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规格：1米,主要材料</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SPCC优质冷扎钢板制作；厚度：方孔条2.0mm，安装梁1.5mm，其它1.2mm。</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24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11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辅助材料</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推荐品牌：国标1、音响线 2*2.5mm² , 材质：铜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2、音频线（咪线）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3.控制线 网线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4.电源线 RVV3*2.5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布线管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6.其他辅料 另购大三芯、莲花头、3.5 耳机接头、BNC 头、六类水晶头、焊锡、松香、扎带、线 号、防水胶布、电工胶布、 电源插头、标签、插排等辅助材料。</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6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12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安装调试</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满足设计使用标准、现场安装需要安装调试</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637" w:hRule="atLeast"/>
          <w:jc w:val="center"/>
        </w:trPr>
        <w:tc>
          <w:tcPr>
            <w:tcW w:w="10204"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六、育才实验学校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637" w:hRule="atLeast"/>
          <w:jc w:val="center"/>
        </w:trPr>
        <w:tc>
          <w:tcPr>
            <w:tcW w:w="10204"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报告厅</w:t>
            </w:r>
            <w:r>
              <w:rPr>
                <w:rFonts w:hint="eastAsia" w:ascii="宋体" w:hAnsi="宋体" w:cs="宋体"/>
                <w:b w:val="0"/>
                <w:bCs w:val="0"/>
                <w:i w:val="0"/>
                <w:iCs w:val="0"/>
                <w:color w:val="auto"/>
                <w:kern w:val="0"/>
                <w:sz w:val="24"/>
                <w:szCs w:val="24"/>
                <w:highlight w:val="none"/>
                <w:u w:val="none"/>
                <w:lang w:val="en-US" w:eastAsia="zh-CN" w:bidi="ar"/>
              </w:rPr>
              <w:t>音响系统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9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主音箱</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系统类型：单15英寸，2分频，低频反射式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低音单元：1个15英寸75芯低频单元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高音单元：1个3英寸音圈钛振膜高频驱动器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频率范围（-10db）：50Hz-20KHz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频率响应（±3db）：55Hz-19kHz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灵敏度（1w/1m）：101db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额定阻抗：6 ohms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最大声压级输出：128db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额定功率：600W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覆盖范围：90*50（HxV）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外型尺寸：675mm*434mm*369mm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箱体材料：18mm厚优质多层夹板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表面处理：黑色水性沙点环保树脂漆喷涂处理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面网：黑色粉末涂层钢网，外包声学吸音网布棉</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52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音箱</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系统类型：单12英寸，2分频，低频反射式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低音单元：1个12英寸(75mm音圈)低频单元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高音单元：1x44mm压缩高音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4. 频率范围（-10db）：50Hz-20kHz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频率响应（±3db）：60Hz-18kHz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灵敏度（1w/1m）：96dB/SPL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额定阻抗：8ohms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8.压级输出：122 dB/128 dB SPL peak</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额定功率：400W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覆盖范围：90*50（HxV）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外型尺寸：576×372×384 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净重：23Kg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箱体材料：118mm,24mm多层夹板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 表面处理：黑色水性油漆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 面网：黑色环氧多孔钢网和透声的音箱棉</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459"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音箱</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系统类型：单10英寸，2分频，低频反射式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低音单元：1个10英寸51芯低频单元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高音单元：1个1.75英寸音圈钛振膜高频驱动器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频率范围（-10db）：60Hz-20KHz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频率响应（±3db）：65Hz-19Hz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灵敏度（1w/1m）：94db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额定阻抗：6 ohms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最大声压级输出：125db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额定功率：300W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覆盖范围：80*60（HxV）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外型尺寸：300mm**500mm*338mm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净重：14Kg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箱体材料：15mm厚优质多层夹板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 表面处理：黑色水性沙点环保树脂漆喷涂处理</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2189"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功放</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电源：环形变压器电源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8Ω输出功率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2X600W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4Ω输出功率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2X800W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频率响应： 20Hz~20KHz（+/- 3dB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5. 输入灵敏度： 0.775V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输入阻抗 ： 20KΩ平衡输入,10KΩ/不平衡输入</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374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功放</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电源：变压器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8Ω输出功率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2X800W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4Ω输出功率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2X1200W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频率响应： 20Hz~20KHz（+/- 3dB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输入灵敏度： 0.775V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输入阻抗 ： 20KΩ平衡输入,10KΩ/不平衡输入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信噪比（A计权）：   ≥94dB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失真度/THD： ≤0.02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声道分离度： 72dB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阻尼系数： ≥290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转换速率： 30V/Us</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693"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音频处理器</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4进8出音频系统处理器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1.24-bit DSP技术，高性能AD/DA，人性化设计，性能更出色，操作更便捷。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2.灵活组合的2输入4输出，多种分频模式。             3.输入输出音量调节，范围从-40dB到+12dB，最小步进0.1dB。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4.每个输入/输出通道有7段参数均衡（PEQ)，每段参数均衡（PEQ）有参数（Parametric),Low-Shelf 6dB,Low-Shelf12dB,High-Shelf6dB,High-Shelf12dB多种EQ类型选择。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5.参数均衡（PEQ）频率范围从19.7Hz到21.9kHz，增益范围从-30dB到+15dB，带宽范围从0.017到4.750倍频程（Oct)。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6.输出高通、低通滤波器，每个滤波器有多种斜率和类型供选择，滤波器斜率有：-12dB,-24dB,-36dB,-48dB,滤波器类型有：巴特沃斯（Butterworth),贝塞尔（Bessel),宁可锐（Linkwitz-Riley)。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7.每个输入/输出通道可设置最长延时达1000.00ms,带延时开关。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8.每个输入/输出通道均有压缩器，可调节各压缩器的门限值，压缩比，上冲时间和释放时间，关闭/硬拐点/5级软拐点可调。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9.每个输出通道带相位反转功能。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10.通道复制功能，令调节更省便。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11.多通道链接功能，可同时设置多个通道参数。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12.直观友好的用户界面，USB，RS485等多种方式与上位机连接。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13.多台机器连网功能，一台电脑可同时连接3种类型机器（DS418E，DS214E，DS216E），同一类型机器最多达32台。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14.132*32点阵LCD液晶屏显示。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15.7段输入/输出电平显示LED。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16.静音显示LED灯，按键指示LED灯。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17.开关电源：AC90V~250V,50Hz/60Hz</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279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调音台</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推荐品牌：YAMAHA、A&amp;H、SOUNDCRAFT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10个话筒 / 16个线路输入 (8个单声道 + 4个立体声)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4编组母线 + 1立体声母线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4 AUX (包括FX)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“D-PRE”话放，带有倒向晶体管电路。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单旋钮压缩器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效果器：SPX，含24组预置效果器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+48V幻象供电</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236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8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真分集一拖二无线手持话筒</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天线真分集接收机*1台，无线手持话筒*2支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自动跟踪调谐技术，保证系统在任何频率工作时保持最佳的选择性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OLED点阵屏幕显示，下拉式菜单控制。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采用电子音量开关，操作快速方便。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6段式发射机电池电量指示功能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联机自动扫描选择频率。频率范围 580~870MHz（默认740-790MHZ)最大频道数 200最大频率个数 1600频带宽度 50MHz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接收灵敏度 &lt;-95dBm for 30dB S/N Ratio最大频偏 +/-60KHz频率响应 50~20000Hz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信噪比 110dBm(A)失真度 &lt;0.5%动态范围 &gt;102Db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音频插座 XLR+jack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天线插座 2 BNC,50Ω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音频输出电平 +8dBu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含容量2000MAH，AAA充电电池*3节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12.含USB充电器*1个</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526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9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真分集一拖二无线头戴话筒</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4天线真分集接收机*1台，无线头戴话筒*2支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自动跟踪调谐技术，保证系统在任何频率工作时保持最佳的选择性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OLED点阵屏幕显示，下拉式菜单控制。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采用电子音量开关，操作快速方便。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6段式发射机电池电量指示功能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联机自动扫描选择频率。频率范围 580~870MHz（默认740-790MHZ)最大频道数 200最大频率个数 1600频带宽度 50MHz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接收灵敏度 &lt;-95dBm for 30dB S/N Ratio最大频偏 +/-60KHz频率响应 50~20000Hz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信噪比 110dBm(A)失真度 &lt;0.5%动态范围 &gt;102Db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音频插座 XLR+jack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天线插座 2 BNC,50Ω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音频输出电平 +8dBu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电源 12~18V DC/1000mA"</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02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真分集一拖二无线会议话筒</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4天线真分集接收机*1台，无线会议话筒*2支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自动跟踪调谐技术，保证系统在任何频率工作时保持最佳的选择性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OLED点阵屏幕显示，下拉式菜单控制。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采用电子音量开关，操作快速方便。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6段式发射机电池电量指示功能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联机自动扫描选择频率。频率范围 580~870MHz（默认740-790MHZ)最大频道数 200最大频率个数 1600频带宽度 50MHz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接收灵敏度 &lt;-95dBm for 30dB S/N Ratio最大频偏 +/-60KHz频率响应 50~20000Hz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信噪比 110dBm(A)失真度 &lt;0.5%动态范围 &gt;102Db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音频插座 XLR+jack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天线插座 2 BNC,50Ω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音频输出电平 +8dBu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电源 12~18V DC/1000mA"</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43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11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反馈抑制器</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采用自适应环境啸叫抑制算法，采用高速浮点数字音频处理器和先进的子带（Sub-Band)回声消除(Echo Cancellation)技术，可高速全自动完全消除啸叫和回声，同时让现场音频精准清晰实时送出，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置自适应动态噪声滤波器，可滤掉现场环境的背景噪声但不影响语音信号高质量的传送。系统智能电平控制技术，可以获的到清晰、持续的、信号电平无明显波动的语音信号。内置AGC双向控制，具有区分加强信号和轻柔信号的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保持对讲话声调的连贯和语音易于听清楚，维持听感上的舒适性，提升增益达6-15dB.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内置24Bit  A/D、D/A转换；24位DSP处理器，48KHz高速采样。采用高速浮点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全自动化操作的工作方式，免人工调试，无论房间环境中位置、温度、湿度、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装饰的改变，系统安装都无需进行声场调试，精准可靠使用简单。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内置自适应动态噪声滤波器，可滤掉现场环境的背景噪声但不影响语音信号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高质量的传送。提高信噪比，改善音质。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内置AGC自动增益控制，可以获得到清晰、持续平稳的语音信号。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内置数字压限器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可提高拾音的距离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输入通道：2个，输出通道1个，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信号接口类型：输入K3P/JACK6.35*2个，RCA*1个，输出K3P/JACK6.35*1个，RCA*1个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输入拨片式开关：48V幻象电源开关*2个，可设置48V电源关闭及开启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输出拨片式开关：高、中、低、三挡电平可调。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调节旋即：旋钮式调节开关*1个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前面板：7个LED电平状态灯，2个接入/旁通LED状态灯，1个频率校准LED状态灯，1个自动混合状态灯，1个按键式接入/旁通开关，1个频率校准/退出LED状态灯</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11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12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抗干扰音频传输器</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输入阻抗：600Ω（交流阻抗），输出阻抗：600Ω（交流阻抗）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，频率响应：20HZ～55KHZ（-0.22db +0DB），直流耐压DC 1000V</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82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13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电源时序器</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负荷容量/功率限制：3520W/7040W，额定输入/输出电压：110V-240V，输出，最大输出电流：16A/32A，输出连接：8位16A国际万用插口。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内部web服务器，无需专用计算机操作，可通过集中管理软件来集中管理。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内部实时时钟，断电时间保持。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上电延时时间，设备加电后延时给开关供电，保证电压稳定。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延时顺序开机，避免设备同时加电给电源和设备本身带来冲击。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定时功能，编排定时开关设备电源的计划。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LED数码管显示时间和传感器数值，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局域网内实现远程开、关机，8个电源输出端口名称显示（跟自行更改端口名称，显示直观）、电压、电流状态。</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6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14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机柜</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规格：600*600*1800mm</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主要材料</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SPCC优质冷扎钢板制作；厚度：方孔条2.0mm，安装梁1.5mm，其它1.2mm。</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90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15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无线投屏器</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推荐品牌：宝疆、冠艺、毕亚兹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1.嵌入式硬件架构，瑞芯微多媒体芯片，A7 1.4GHz四核CPU，支持1路4K或2路1080P解码，支持1路1080P编码，内置LINUX操作系统，性能稳定，可长时间不关机使用，支持7X24小时运行。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2.支持操作系统：支持Windows 7/8.1/10 32和64位；MAC OS X 10.10及以上；支持智能手机/平板无线投屏：支持airplay投屏，推荐使用iOS9及以上，OS X 10.10及以上；支持miracast投屏；支持安卓APP投屏（Android 5.0及以上)。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3.硬件规格：1 x HDMI 2.0接口，1 x网络接口（百兆网口），1 x 3.5mm音频接口，2 x TYPEA USB2.0接口，1 x TYPEC USB2.0接口，1 x 12V/1A电源接口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4.HDMI输出分辨率：4K60Hz    解码格式：H.265、H.264   解码能力：最大4K30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帧数：可达30帧/每秒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5.HDMI分辨率：3840x2160P60、3840x2160P30、1920x1080P60、1280x720P60、1024x768P60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6.支持三种发射器：USB发射器（1080P编码）、HDMI发射器（支持4K编码）和TYPEC发射器（支持4K编码）。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7.支持WIN 纯软件投屏，通过WIN Sender应用软件。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8.支持miracast投屏，不需要切换主机WiFi配置。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9.显示内容：支持电脑和移动端混合显示、支持多路移动端同时显示。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10.各种发射端（硬件发射器、AirPlay、miracast等等）投屏可相互切换，不需要等待。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11.显示比例：可显示等比，4：3，16：9，16：10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12.支持投屏过程分辨率和显示比例可修改、支持同一网段下手机自动搜索多台接收端设备并投屏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13.同时显示源端数量：1路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14.同时接入源端数量：可支持16路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15.单画面投屏时，清晰度为4K，即真4K投屏：4K输入、4K编码、4K解码、4K60Hz输出。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16.音频输出：44.1KHz/16bit 立体声、通过HDMI内嵌音频和3.5mm模拟线路音频输出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17.支持双WiFi：热点AP为5G/2.4G双频模组；网卡STA也是5G/2.4G双频模组。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18.支持无线桥接。支持有线桥接。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19.无线传输协议：支持IEEE 802.11ac/802.11n,WIFI有20个信道可选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20.无线传输距离： 30米视距 (一键联主机和一键联按键之间无遮挡)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21.无线传输频段：可支持2.4 GHz或5 GHz，默认5G。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22.无线加密协议：支持WPA2-PSK</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23.传输延时：平均延时小于150mS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24.支持开机,待机画面客制化、支持WEB管理介面、支持修改频段及信道、支持修改视频输出分辨率、支持修改WiFi名称及密码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25.支持安卓controller主持模式控制，支持集控管理软件WIN Controller。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26.可选择的信道数量：9(5G)/11(2.4G)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27.支持有线组播功能，通过组播功能可以实现多屏同显，即多个显示端显示同样的投屏画面，有线组播多屏同显最多可支持到254屏同显。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28.支持无线多屏同显功能，最大1发+4收，不需要部署路由器，自组网。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29.支持触摸回传：USB发射器、HDMI发射器、TYPEC发射器和WIN Sender都支持。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30.支持扩展桌面投屏。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31.支持投屏码功能。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32.支持AP、有线和无线网卡三种投屏接入方式，并且这三种方式投屏可以任意组合。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33.支持竖屏显示功能。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34.支持显示自动满屏设置。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35.AirPlay投屏清晰度可达1080P旋转的清晰度，支持2路AirPlay同时投屏，2路清晰度都可达1080P旋转清晰度。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36.电源/功耗：平均功耗不高于2.5W；</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94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16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线材等其他辅助材料</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标准</w:t>
            </w:r>
            <w:r>
              <w:rPr>
                <w:rFonts w:hint="eastAsia" w:ascii="宋体" w:hAnsi="宋体" w:eastAsia="宋体" w:cs="宋体"/>
                <w:i w:val="0"/>
                <w:iCs w:val="0"/>
                <w:color w:val="auto"/>
                <w:kern w:val="0"/>
                <w:sz w:val="24"/>
                <w:szCs w:val="24"/>
                <w:highlight w:val="none"/>
                <w:u w:val="none"/>
                <w:lang w:val="en-US" w:eastAsia="zh-CN" w:bidi="ar"/>
              </w:rPr>
              <w:t>音频线</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944" w:hRule="atLeast"/>
          <w:jc w:val="center"/>
        </w:trPr>
        <w:tc>
          <w:tcPr>
            <w:tcW w:w="1020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七、江北中心学校音乐听舞台灯光音响系统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944" w:hRule="atLeast"/>
          <w:jc w:val="center"/>
        </w:trPr>
        <w:tc>
          <w:tcPr>
            <w:tcW w:w="1020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1、扩音系统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279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数字音频矩阵</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1.数字音频处理器支持8路平衡式话筒/线路输入通道，采用裸线接口端子，平衡接法；支持8路平衡式线路输出，采用裸线接口端子，平衡接法。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2.输入通道支持前级放大、信号发生器、扩展器、压缩器、5段参量均衡、AM自动混音功能、AFC自适应反馈消除、AEC回声消除、ANC噪声消除。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3.输出通道支持3均衡器、延时器、分频器、高低通滤波器、限幅器。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4.支持输入通道48V幻象供电。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5.支持显示设备网络信息、实时电平、通道静音状态、矩阵混音状态。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6.支持通过iOS、iPad、Android的手机/平板APP软件进行操作控制，面板具备USB接口，支持多媒体存储，可进行播放或存储录播。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7.配置双向RS-232接口，可用于控制外部设备；配置RS-485接口，可实现自动摄像跟踪功能。配置8通道可编程GPIO控制接口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8.支持断电自动保护记忆功能。支持通道拷贝、粘贴、联控功能。支持通过浏览器访问设备，下载自带管理控制软件；可工作在XP/Windows7、8、10等系统环境下。</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279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调音台</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推荐品牌：YAMAHA、A&amp;H、SOUNDCRAFT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16通道调音台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多10个话筒 / 16个线路输入 (8个单声道 + 4个立体声)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4编组母线 + 1立体声母线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4 AUX (包括FX)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“D-PRE”话放，带有倒向晶体管电路。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单旋钮压缩器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效果器：SPX，含24组预置效果器</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219"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反馈抑制器</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采用自适应环境啸叫抑制算法，采用高速浮点数字音频处理器和先进的子带（Sub-Band)回声消除(Echo Cancellation)技术，可高速全自动完全消除啸叫和回声，同时让现场音频精准清晰实时送出，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置自适应动态噪声滤波器，可滤掉现场环境的背景噪声但不影响语音信号高质量的传送。系统智能电平控制技术，可以获的到清晰、持续的、信号电平无明显波动的语音信号。内置AGC双向控制，具有区分加强信号和轻柔信号的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保持对讲话声调的连贯和语音易于听清楚，维持听感上的舒适性，提升增益达6-15dB.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内置24Bit  A/D、D/A转换；24位DSP处理器，48KHz高速采样。采用高速浮点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全自动化操作的工作方式，免人工调试，无论房间环境中位置、温度、湿度、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装饰的改变，系统安装都无需进行声场调试，精准可靠使用简单。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内置自适应动态噪声滤波器，可滤掉现场环境的背景噪声但不影响语音信号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高质量的传送。提高信噪比，改善音质。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内置AGC自动增益控制，可以获得到清晰、持续平稳的语音信号。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内置数字压限器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可提高拾音的距离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输入通道：2个，输出通道1个，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信号接口类型：输入K3P/JACK6.35*2个，RCA*1个，输出K3P/JACK6.35*1个，RCA*1个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输入拨片式开关：48V幻象电源开关*2个，可设置48V电源关闭及开启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输出拨片式开关：高、中、低、三挡电平可调。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调节旋即：旋钮式调节开关*1个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前面板：7个LED电平状态灯，2个接入/旁通LED状态灯，1个频率校准LED状态灯，1个自动混合状态灯，1个按键式接入/旁通开关，1个频率校准/退出LED状态灯</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923"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4天线真分集一拖二无线会议话筒</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4天线真分集接收机*1台，无线会议话筒*2支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自动跟踪调谐技术，保证系统在任何频率工作时保持最佳的选择性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OLED点阵屏幕显示，下拉式菜单控制。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采用电子音量开关，操作快速方便。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6段式发射机电池电量指示功能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联机自动扫描选择频率。频率范围 580~870MHz（默认740-790MHZ)最大频道数 200最大频率个数 1600频带宽度 50MHz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接收灵敏度 &lt;-95dBm for 30dB S/N Ratio最大频偏 +/-60KHz频率响应 50~20000Hz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信噪比 110dBm(A)失真度 &lt;0.5%动态范围 &gt;102Db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音频插座 XLR+jack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天线插座 2 BNC,50Ω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音频输出电平 +8dBu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电源 12~18V DC/1000mA"</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799"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反馈抑制器</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采用自适应环境啸叫抑制算法，采用高速浮点数字音频处理器和先进的子带（Sub-Band)回声消除(Echo Cancellation)技术，可高速全自动完全消除啸叫和回声，同时让现场音频精准清晰实时送出，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置自适应动态噪声滤波器，可滤掉现场环境的背景噪声但不影响语音信号高质量的传送。系统智能电平控制技术，可以获的到清晰、持续的、信号电平无明显波动的语音信号。内置AGC双向控制，具有区分加强信号和轻柔信号的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保持对讲话声调的连贯和语音易于听清楚，维持听感上的舒适性，提升增益达6-15dB.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内置24Bit  A/D、D/A转换；24位DSP处理器，48KHz高速采样。采用高速浮点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全自动化操作的工作方式，免人工调试，无论房间环境中位置、温度、湿度、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装饰的改变，系统安装都无需进行声场调试，精准可靠使用简单。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内置自适应动态噪声滤波器，可滤掉现场环境的背景噪声但不影响语音信号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高质量的传送。提高信噪比，改善音质。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内置AGC自动增益控制，可以获得到清晰、持续平稳的语音信号。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内置数字压限器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可提高拾音的距离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输入通道：2个，输出通道1个，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信号接口类型：输入K3P/JACK6.35*2个，RCA*1个，输出K3P/JACK6.35*1个，RCA*1个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输入拨片式开关：48V幻象电源开关*2个，可设置48V电源关闭及开启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输出拨片式开关：高、中、低、三挡电平可调。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调节旋即：旋钮式调节开关*1个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前面板：7个LED电平状态灯，2个接入/旁通LED状态灯，1个频率校准LED状态灯，1个自动混合状态灯，1个按键式接入/旁通开关，1个频率校准/退出LED状态灯</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5613"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天线放大器</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指向性天线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天线类型：对数周期偶极阵（LPDA）天线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工作频带：500MHz - 900MHz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工作电压：8V DC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增益：6dB（典型）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阻抗：50Ω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电压驻波比：1.5∶1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指向性：椭圆形 180°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指向极性：垂直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导波器段数：11段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连接端子：TNC母座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天线分配放大器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天线分配器：一分四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 工作频带： 500MHz-900MHz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 增益：6～10dB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 工作电源：220V AC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 输出外接电源：DC 12V  1mA</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94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9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线阵音箱田字吊架</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与原有线阵音箱配套使用</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231"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电源时序器</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1.电源限制总功率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&lt;100-240V/63A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2.电源输入接线方式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空气开关压线端≤6mm线径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3.电源开关和过流保护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单相63A空气开关带过流和短路保护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4.时序控制输出通道数目</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8个兼容型电源插座(后面板)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5.无时序控制输出通道数目</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2个兼容型电源插座(前面板)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6.每通道可以提供的最大输出电流</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音频设备负载&lt;20A;线性纯阻负载&lt;10A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7.时序开/关控制方式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面板开关控制、外接机械开关控制、PC端软件、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8.多台联机控制</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由第一台的时序控制开关控制其它联机的开/关状态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9.时序间隔”出厂设置为15s/tep,可通过pC软件修改。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10.电压显示</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面板电压显示表实时显示当前市电交流电压(显示精度1%)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11.辅助功能</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面板配备1个USB接口(最大输出5V/1A)可供小电流设备充电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12.支持：RS232协议</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56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11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抗干扰音频传输器</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输入阻抗：600Ω（交流阻抗），输出阻抗：600Ω（交流阻抗）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，频率响应：20HZ～55KHZ（-0.22db +0DB），直流耐压DC 1000V</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25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机柜</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规格：1.8米,主要材料</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SPCC优质冷扎钢板制作；厚度：方孔条2.0mm，安装梁1.5mm，其它1.2mm。</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217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13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音箱线</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规格：2*2.0mm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1.绞型护套音响线采用无氧铜束绞，能较好降低辐射杂波，绝缘体降低电导率及补偿频响特征。   2.线芯导体为4N无氧铜，抗氧化，衰减小。                   3.特制阻燃PVC护套，耐弯折、抗扭绞、适用于工程安装穿管。</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25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音频线</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推荐品牌：国标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1.规格：2*0.37mm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2.芯线：采用多股99.99%无氧铜，抗氧化，衰减小绝缘层采用经放射处理的聚乙烯</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25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15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其他辅助材料</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其他辅料 另购大三芯、莲花头、3.5 耳机接头、BNC 头、焊锡、松香、扎带、线 号、防水胶布、电工胶布、 电源插头、标签、插排等辅助材料。</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6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安装调试</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推荐品牌：国标原有线阵音箱移位、吊装、机柜设备移位、现场安装需要安装调试</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637" w:hRule="atLeast"/>
          <w:jc w:val="center"/>
        </w:trPr>
        <w:tc>
          <w:tcPr>
            <w:tcW w:w="1020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2、灯光系统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1391"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LED 聚光灯</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1、光    源</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300W高显指LEDCOB灯珠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2、电源电压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AC100~240V，50/60Hz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3、额定功率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350W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4、光源寿命</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可达50000小时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5、显色指数</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Ra（CRI）≥95，R9≥90,TLCI≥95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6、中心照度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5米4760LUX（5600K，15°）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7、色    温</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3200K,5600K可选（可按要求定制色温）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8、调    光</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0~100%线性调光，让调光过程中，无闪烁、抖动，跳变，调光换色更柔和，摄像更清晰真实</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9、通道模式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1CH/2CH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10、控制面板</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LCD数码显示屏+四按键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11、光    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15-60度线性电子变焦，24K无闪烁光源管理系统，不刺眼防眩目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●12、散热方式：具有铜管散热器 +智能静音风机散热系统 。</w:t>
            </w:r>
            <w:r>
              <w:rPr>
                <w:rFonts w:hint="eastAsia" w:ascii="宋体" w:hAnsi="宋体" w:eastAsia="宋体" w:cs="宋体"/>
                <w:b/>
                <w:bCs/>
                <w:i w:val="0"/>
                <w:iCs w:val="0"/>
                <w:color w:val="auto"/>
                <w:kern w:val="0"/>
                <w:sz w:val="24"/>
                <w:szCs w:val="24"/>
                <w:highlight w:val="none"/>
                <w:u w:val="none"/>
                <w:lang w:val="en-US" w:eastAsia="zh-CN" w:bidi="ar"/>
              </w:rPr>
              <w:t>提供LED影视聚光灯高效散热控制系统计算机软件软著证书(复印件加盖公章)。</w:t>
            </w:r>
            <w:r>
              <w:rPr>
                <w:rFonts w:hint="eastAsia" w:ascii="宋体" w:hAnsi="宋体" w:eastAsia="宋体" w:cs="宋体"/>
                <w:i w:val="0"/>
                <w:iCs w:val="0"/>
                <w:color w:val="auto"/>
                <w:kern w:val="0"/>
                <w:sz w:val="24"/>
                <w:szCs w:val="24"/>
                <w:highlight w:val="none"/>
                <w:u w:val="none"/>
                <w:lang w:val="en-US" w:eastAsia="zh-CN" w:bidi="ar"/>
              </w:rPr>
              <w:t>噪音</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1米噪音≤30db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13、温度监控</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内置温度保护传感器,通过自动调节灯具功率来进行过温保护，显示面板实时查看灯具工作温度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14、控制模式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DMX有线.无线信号可选/手动控制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15、防护等级</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IP20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16、配    件</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遮扉，电源线，信号线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17、净重/毛重</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8kg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18、灯体尺寸</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455*265*292MM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●19、灯具光源有无蓝光危害设计。</w:t>
            </w:r>
            <w:r>
              <w:rPr>
                <w:rFonts w:hint="eastAsia" w:ascii="宋体" w:hAnsi="宋体" w:cs="宋体"/>
                <w:b/>
                <w:bCs/>
                <w:i w:val="0"/>
                <w:iCs w:val="0"/>
                <w:color w:val="auto"/>
                <w:kern w:val="0"/>
                <w:sz w:val="24"/>
                <w:szCs w:val="24"/>
                <w:highlight w:val="none"/>
                <w:u w:val="none"/>
                <w:lang w:val="en-US" w:eastAsia="zh-CN" w:bidi="ar"/>
              </w:rPr>
              <w:t>提供权威第三方检测机构出具的检测报告</w:t>
            </w:r>
            <w:r>
              <w:rPr>
                <w:rFonts w:hint="eastAsia" w:ascii="宋体" w:hAnsi="宋体" w:eastAsia="宋体" w:cs="宋体"/>
                <w:b/>
                <w:bCs/>
                <w:i w:val="0"/>
                <w:iCs w:val="0"/>
                <w:color w:val="auto"/>
                <w:kern w:val="0"/>
                <w:sz w:val="24"/>
                <w:szCs w:val="24"/>
                <w:highlight w:val="none"/>
                <w:u w:val="none"/>
                <w:lang w:val="en-US" w:eastAsia="zh-CN" w:bidi="ar"/>
              </w:rPr>
              <w:t>(复印件加盖投标人公章)</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16 </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3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LED平板灯</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1、光源</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≥1480颗0.5W贴片高显指LED阵列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2、电源电压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AC100~240V，50/60Hz，恒功率≥290W输出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3、显色指数</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Ra(CRI)≥95，R9≥90,TLCI≥95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●4、中心照度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1米≥7900LUX(5600K)，</w:t>
            </w:r>
            <w:r>
              <w:rPr>
                <w:rFonts w:hint="eastAsia" w:ascii="宋体" w:hAnsi="宋体" w:cs="宋体"/>
                <w:i w:val="0"/>
                <w:iCs w:val="0"/>
                <w:color w:val="auto"/>
                <w:kern w:val="0"/>
                <w:sz w:val="24"/>
                <w:szCs w:val="24"/>
                <w:highlight w:val="none"/>
                <w:u w:val="none"/>
                <w:lang w:val="en-US" w:eastAsia="zh-CN" w:bidi="ar"/>
              </w:rPr>
              <w:t>提供权威第三方检测机构出具的检测报告</w:t>
            </w:r>
            <w:r>
              <w:rPr>
                <w:rFonts w:hint="eastAsia" w:ascii="宋体" w:hAnsi="宋体" w:eastAsia="宋体" w:cs="宋体"/>
                <w:i w:val="0"/>
                <w:iCs w:val="0"/>
                <w:color w:val="auto"/>
                <w:kern w:val="0"/>
                <w:sz w:val="24"/>
                <w:szCs w:val="24"/>
                <w:highlight w:val="none"/>
                <w:u w:val="none"/>
                <w:lang w:val="en-US" w:eastAsia="zh-CN" w:bidi="ar"/>
              </w:rPr>
              <w:t>中体现检测结果(</w:t>
            </w:r>
            <w:r>
              <w:rPr>
                <w:rFonts w:hint="eastAsia" w:ascii="宋体" w:hAnsi="宋体" w:eastAsia="宋体" w:cs="宋体"/>
                <w:b/>
                <w:bCs/>
                <w:i w:val="0"/>
                <w:iCs w:val="0"/>
                <w:color w:val="auto"/>
                <w:kern w:val="0"/>
                <w:sz w:val="24"/>
                <w:szCs w:val="24"/>
                <w:highlight w:val="none"/>
                <w:u w:val="none"/>
                <w:lang w:val="en-US" w:eastAsia="zh-CN" w:bidi="ar"/>
              </w:rPr>
              <w:t>复印件加盖投标人公章</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5、色温</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满足3200K-5600K色温可调；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6、调光</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具有0~100%线性调光，调光过程中，无闪烁、抖动，跳变，调光换色更柔和，摄像更清晰真实；</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7、控制面板</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≥2.4寸液晶显示屏，手动调光旋钮，可实现512信号和手动调光智能无缝切换。灯调光控制系统计算机软件软著证书(</w:t>
            </w:r>
            <w:r>
              <w:rPr>
                <w:rFonts w:hint="eastAsia" w:ascii="宋体" w:hAnsi="宋体" w:eastAsia="宋体" w:cs="宋体"/>
                <w:b/>
                <w:bCs/>
                <w:i w:val="0"/>
                <w:iCs w:val="0"/>
                <w:color w:val="auto"/>
                <w:kern w:val="0"/>
                <w:sz w:val="24"/>
                <w:szCs w:val="24"/>
                <w:highlight w:val="none"/>
                <w:u w:val="none"/>
                <w:lang w:val="en-US" w:eastAsia="zh-CN" w:bidi="ar"/>
              </w:rPr>
              <w:t>复印件加盖投标人公章</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8、通道模式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≥4CH/5CH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9、光学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具有120度出光角度，24K无闪烁光源管理系统，不刺眼防眩目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10、散热方式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满足空气对流自然散热，超静音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11、温度监控</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具有内置温度保护传感器,通过自动调节灯具功率来进行过温保护，显示面板实时查看灯具工作温度。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12、控制模式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具有DMX有线/无线信号可选，RDM双向控制技术，DMX版本升级，可直接手动控制；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1</w:t>
            </w:r>
            <w:r>
              <w:rPr>
                <w:rFonts w:hint="eastAsia" w:ascii="宋体" w:hAnsi="宋体" w:cs="宋体"/>
                <w:b/>
                <w:bCs/>
                <w:i w:val="0"/>
                <w:iCs w:val="0"/>
                <w:color w:val="auto"/>
                <w:kern w:val="0"/>
                <w:sz w:val="24"/>
                <w:szCs w:val="24"/>
                <w:highlight w:val="none"/>
                <w:u w:val="none"/>
                <w:lang w:val="en-US" w:eastAsia="zh-CN" w:bidi="ar"/>
              </w:rPr>
              <w:t>3</w:t>
            </w:r>
            <w:r>
              <w:rPr>
                <w:rFonts w:hint="eastAsia" w:ascii="宋体" w:hAnsi="宋体" w:eastAsia="宋体" w:cs="宋体"/>
                <w:b/>
                <w:bCs/>
                <w:i w:val="0"/>
                <w:iCs w:val="0"/>
                <w:color w:val="auto"/>
                <w:kern w:val="0"/>
                <w:sz w:val="24"/>
                <w:szCs w:val="24"/>
                <w:highlight w:val="none"/>
                <w:u w:val="none"/>
                <w:lang w:val="en-US" w:eastAsia="zh-CN" w:bidi="ar"/>
              </w:rPr>
              <w:t>、灯具光源有无蓝光危害设计，</w:t>
            </w:r>
            <w:r>
              <w:rPr>
                <w:rFonts w:hint="eastAsia" w:ascii="宋体" w:hAnsi="宋体" w:cs="宋体"/>
                <w:b/>
                <w:bCs/>
                <w:i w:val="0"/>
                <w:iCs w:val="0"/>
                <w:color w:val="auto"/>
                <w:kern w:val="0"/>
                <w:sz w:val="24"/>
                <w:szCs w:val="24"/>
                <w:highlight w:val="none"/>
                <w:u w:val="none"/>
                <w:lang w:val="en-US" w:eastAsia="zh-CN" w:bidi="ar"/>
              </w:rPr>
              <w:t>提供权威第三方检测机构出具的检测报告</w:t>
            </w:r>
            <w:r>
              <w:rPr>
                <w:rFonts w:hint="eastAsia" w:ascii="宋体" w:hAnsi="宋体" w:eastAsia="宋体" w:cs="宋体"/>
                <w:b/>
                <w:bCs/>
                <w:i w:val="0"/>
                <w:iCs w:val="0"/>
                <w:color w:val="auto"/>
                <w:kern w:val="0"/>
                <w:sz w:val="24"/>
                <w:szCs w:val="24"/>
                <w:highlight w:val="none"/>
                <w:u w:val="none"/>
                <w:lang w:val="en-US" w:eastAsia="zh-CN" w:bidi="ar"/>
              </w:rPr>
              <w:t>(复印件加盖投标人公章)</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4" w:type="dxa"/>
          <w:trHeight w:val="48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四合一LED染色灯</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电源电压：AC100～240V，50/60Hz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额定功率：200W，功率因素PF&gt;0.95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光    源：单颗10W*18颗LED灯珠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光源寿命：50000小时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出光角度：15°/25°/45°/60°可选。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颜色系统：RGBW线性混色，1670万种颜色变化，内置宏功能,无限的RGBW虚拟颜色混色系统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效果配置：0—100%独立线性调光，0—100%独立饱和度调节。3200K-10000K色温线性调节。独立高速频闪。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控制面板：数码显示屏+四按键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控制同道：4CH/9CH两种通道控制模式。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协     议：标准DMX512协议主从控制模式。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菜单显示：LED显示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灯体结构：铝合金压铸外壳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电控技术：菜单或控台控制灯具复位，0-100%调光。恒功率控制，温度传感检测智能调整光源功率，DMX通道电平监视，DMX信号提示，灯具信息查询。各颜色起始亮度设置，过流，过压，过热保护。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防护等级：IP20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散热方式：智能风机散热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控制模式：DMX512控制/手动模式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环境温度：-25℃～+45℃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配   件：电源线，信号线  净重/毛重</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3kg/3.5kg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灯体尺寸</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315*295*248MM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●灯具光源有无蓝光危害设计，</w:t>
            </w:r>
            <w:r>
              <w:rPr>
                <w:rFonts w:hint="eastAsia" w:ascii="宋体" w:hAnsi="宋体" w:cs="宋体"/>
                <w:b/>
                <w:bCs/>
                <w:i w:val="0"/>
                <w:iCs w:val="0"/>
                <w:color w:val="auto"/>
                <w:kern w:val="0"/>
                <w:sz w:val="24"/>
                <w:szCs w:val="24"/>
                <w:highlight w:val="none"/>
                <w:u w:val="none"/>
                <w:lang w:val="en-US" w:eastAsia="zh-CN" w:bidi="ar"/>
              </w:rPr>
              <w:t>提供权威第三方检测机构出具的检测报告</w:t>
            </w:r>
            <w:r>
              <w:rPr>
                <w:rFonts w:hint="eastAsia" w:ascii="宋体" w:hAnsi="宋体" w:eastAsia="宋体" w:cs="宋体"/>
                <w:b/>
                <w:bCs/>
                <w:i w:val="0"/>
                <w:iCs w:val="0"/>
                <w:color w:val="auto"/>
                <w:kern w:val="0"/>
                <w:sz w:val="24"/>
                <w:szCs w:val="24"/>
                <w:highlight w:val="none"/>
                <w:u w:val="none"/>
                <w:lang w:val="en-US" w:eastAsia="zh-CN" w:bidi="ar"/>
              </w:rPr>
              <w:t>(复印件加盖投标人公章)</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6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光束灯</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1、电压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110 -240V,50/60Hz，光源</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OSRAM 371光源，功率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450W，光源寿命</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1500小时。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2、光学系统：光束角度2.5°-62°。纯光束角度2.5度，图案角度48度，染色角度62度。</w:t>
            </w:r>
            <w:r>
              <w:rPr>
                <w:rFonts w:hint="eastAsia" w:ascii="宋体" w:hAnsi="宋体" w:cs="宋体"/>
                <w:b/>
                <w:bCs/>
                <w:i w:val="0"/>
                <w:iCs w:val="0"/>
                <w:color w:val="auto"/>
                <w:kern w:val="0"/>
                <w:sz w:val="24"/>
                <w:szCs w:val="24"/>
                <w:highlight w:val="none"/>
                <w:u w:val="none"/>
                <w:lang w:val="en-US" w:eastAsia="zh-CN" w:bidi="ar"/>
              </w:rPr>
              <w:t>提供权威第三方检测机构出具的检测报告</w:t>
            </w:r>
            <w:r>
              <w:rPr>
                <w:rFonts w:hint="eastAsia" w:ascii="宋体" w:hAnsi="宋体" w:eastAsia="宋体" w:cs="宋体"/>
                <w:b/>
                <w:bCs/>
                <w:i w:val="0"/>
                <w:iCs w:val="0"/>
                <w:color w:val="auto"/>
                <w:kern w:val="0"/>
                <w:sz w:val="24"/>
                <w:szCs w:val="24"/>
                <w:highlight w:val="none"/>
                <w:u w:val="none"/>
                <w:lang w:val="en-US" w:eastAsia="zh-CN" w:bidi="ar"/>
              </w:rPr>
              <w:t>中体现检测结果(复印件加盖投标人公章).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3、颜色</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≥12个色片+白光可线性色彩转换及彩虹效果。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4、固定图案盘</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11个固定图案+白光，可变速抖动/双向旋转效果旋转图案盘</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7个旋转图案+白光(图案可选购，拆装更换方便，角度一至性保持好)可变速抖动/双向旋转效果；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5、棱镜</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独立的25和16棱镜，棱镜打光束可重叠，带角度调节和旋转功能；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6、频 闪：双频闪结构,0-12次/秒。带随机频闪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7、水平/垂直：水平扫描角度540°，垂直扫描角度270°，XY轴带自动纠错系统，采用光电复位系统，当偶然发生误动后，可自动检索复位；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8、散热方式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智能风机自动散热控制，点灯泡风机智能启动，闭光半功率自动调节</w:t>
            </w:r>
          </w:p>
        </w:tc>
        <w:tc>
          <w:tcPr>
            <w:tcW w:w="9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61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电脑型灯光集控台</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1、通过 PC软件实现灯光的所有控制；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2、可通过 PC软件实现灯光亮度变化控制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3、可通过 PC软件实现灯光颜色变化控制；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4、通过软件由用户自定义场景控制程序，并由用户自行选择调用；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5、用户可自定义键盘快捷键对应相应的场景控制程序，方便用户管制；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6、软件的用户交互界面简单直观，面向对象可视化的场景编辑，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含舞台灯光控制系统软件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8、硬盘容量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500GB显卡类型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集成显卡显存容量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共享系统，含显示器、键盘、鼠标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9、提供《计算机软件著作权登记证书》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复印件加盖投标人公章</w:t>
            </w:r>
            <w:r>
              <w:rPr>
                <w:rFonts w:hint="eastAsia" w:ascii="宋体" w:hAnsi="宋体" w:cs="宋体"/>
                <w:i w:val="0"/>
                <w:iCs w:val="0"/>
                <w:color w:val="auto"/>
                <w:kern w:val="0"/>
                <w:sz w:val="24"/>
                <w:szCs w:val="24"/>
                <w:highlight w:val="none"/>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信号放大器</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1路DMX512数码输入，1路DMX512直接输出。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输入/输出光电隔离。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8路独立放大驱动输出。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信号放大整形功能，延长信号传输距离。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增强数据总线接入设备数量的能力。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保护灯光控制台DMX512输出接口，故障现场隔离，提高数字式灯光控制系统的安全运行可靠性。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AC100V-240V / 50-60Hz  </w:t>
            </w:r>
          </w:p>
        </w:tc>
        <w:tc>
          <w:tcPr>
            <w:tcW w:w="9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1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电源直通箱</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供电：三相五线制AC380V±10％，频率50Hz±5％.</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额定功率：12路×4KW; 可适用于任何负载.</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过载与短路双重保护高分断空气开关.</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A.B.C三相工作指示灯. 设两脚和三脚万能插座，进口接线端输入，单40A胶木插输出。</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外形尺寸(mm):L515×W485×H133. 单机重量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12KG.</w:t>
            </w:r>
          </w:p>
        </w:tc>
        <w:tc>
          <w:tcPr>
            <w:tcW w:w="9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1台</w:t>
            </w:r>
          </w:p>
        </w:tc>
        <w:tc>
          <w:tcPr>
            <w:tcW w:w="61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追光灯</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输入电源：AC100V-240V, 50Hz/60Hz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额定功率：450W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色    温：8000-8500k</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灯    珠：LED350W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光 通 量：20000lm-24000lm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灯珠寿命：≥50000小时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通道模式：5个通道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颜 色 盘：5色+白光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色 温 盘：3200K+4500K+5600K手动变焦放大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手动变焦，放大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出光角度：7°-13°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电子频闪：1-20次/秒</w:t>
            </w:r>
          </w:p>
        </w:tc>
        <w:tc>
          <w:tcPr>
            <w:tcW w:w="9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61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灯光电源线</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电源线 RVV3*2.5</w:t>
            </w:r>
          </w:p>
        </w:tc>
        <w:tc>
          <w:tcPr>
            <w:tcW w:w="9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1600 </w:t>
            </w:r>
          </w:p>
        </w:tc>
        <w:tc>
          <w:tcPr>
            <w:tcW w:w="61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灯光信号线</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1.规格：2*0.37mm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2.芯线：采用多股99.99%无氧铜，抗氧化，衰减小绝缘层采用经放射处理的聚乙烯</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w:t>
            </w:r>
          </w:p>
        </w:tc>
        <w:tc>
          <w:tcPr>
            <w:tcW w:w="6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其他辅助材料</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其他辅料 另购大三芯、莲花头、3.5 耳机接头、BNC 头、焊锡、松香、扎带、线 号、防水胶布、电工胶布、 电源插头、标签、插排等辅助材料。</w:t>
            </w:r>
          </w:p>
        </w:tc>
        <w:tc>
          <w:tcPr>
            <w:tcW w:w="9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1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安装调试</w:t>
            </w:r>
          </w:p>
        </w:tc>
        <w:tc>
          <w:tcPr>
            <w:tcW w:w="6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满足设计使用标准、现场安装需要安装调试</w:t>
            </w:r>
          </w:p>
        </w:tc>
        <w:tc>
          <w:tcPr>
            <w:tcW w:w="9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61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bl>
    <w:p>
      <w:pPr>
        <w:pStyle w:val="24"/>
        <w:rPr>
          <w:rFonts w:hint="eastAsia"/>
          <w:color w:val="auto"/>
          <w:highlight w:val="none"/>
          <w:lang w:val="en-US" w:eastAsia="zh-CN"/>
        </w:rPr>
      </w:pPr>
    </w:p>
    <w:p>
      <w:pPr>
        <w:pStyle w:val="24"/>
        <w:rPr>
          <w:rFonts w:hint="default"/>
          <w:color w:val="auto"/>
          <w:highlight w:val="none"/>
          <w:lang w:val="en-US" w:eastAsia="zh-CN"/>
        </w:rPr>
        <w:sectPr>
          <w:pgSz w:w="11907" w:h="16840"/>
          <w:pgMar w:top="1134" w:right="1134" w:bottom="1134" w:left="1134" w:header="850" w:footer="992" w:gutter="0"/>
          <w:pgNumType w:fmt="decimal"/>
          <w:cols w:space="720" w:num="1"/>
          <w:docGrid w:linePitch="286" w:charSpace="0"/>
        </w:sectPr>
      </w:pPr>
      <w:r>
        <w:rPr>
          <w:rFonts w:hint="eastAsia"/>
          <w:color w:val="auto"/>
          <w:highlight w:val="none"/>
          <w:lang w:val="en-US" w:eastAsia="zh-CN"/>
        </w:rPr>
        <w:t>注：除采购文件明确的品牌外，欢迎其他能满足本项目技术需求且性能与所明确品牌相当的产品参加。</w:t>
      </w:r>
    </w:p>
    <w:p>
      <w:pPr>
        <w:rPr>
          <w:rFonts w:cs="仿宋_GB2312" w:asciiTheme="minorEastAsia" w:hAnsiTheme="minorEastAsia" w:eastAsiaTheme="minorEastAsia"/>
          <w:b/>
          <w:color w:val="auto"/>
          <w:sz w:val="36"/>
          <w:szCs w:val="36"/>
          <w:highlight w:val="none"/>
        </w:rPr>
      </w:pP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w:t>
      </w:r>
      <w:r>
        <w:rPr>
          <w:rFonts w:cs="仿宋_GB2312" w:asciiTheme="minorEastAsia" w:hAnsiTheme="minorEastAsia" w:eastAsiaTheme="minorEastAsia"/>
          <w:b/>
          <w:color w:val="auto"/>
          <w:sz w:val="36"/>
          <w:szCs w:val="36"/>
          <w:highlight w:val="none"/>
        </w:rPr>
        <w:t xml:space="preserve"> </w:t>
      </w:r>
      <w:bookmarkStart w:id="31" w:name="_Toc184313295"/>
      <w:bookmarkEnd w:id="31"/>
      <w:bookmarkStart w:id="32" w:name="_Toc184314479"/>
      <w:bookmarkEnd w:id="32"/>
      <w:bookmarkStart w:id="33" w:name="_Toc184310285"/>
      <w:bookmarkEnd w:id="33"/>
      <w:bookmarkStart w:id="34" w:name="_Toc184312139"/>
      <w:bookmarkEnd w:id="34"/>
      <w:bookmarkStart w:id="35" w:name="_Toc184310313"/>
      <w:bookmarkEnd w:id="35"/>
      <w:bookmarkStart w:id="36" w:name="_Toc184308101"/>
      <w:bookmarkEnd w:id="36"/>
      <w:bookmarkStart w:id="37" w:name="_Toc184312069"/>
      <w:bookmarkEnd w:id="37"/>
      <w:bookmarkStart w:id="38" w:name="_Toc184308089"/>
      <w:bookmarkEnd w:id="38"/>
      <w:bookmarkStart w:id="39" w:name="_Toc184312106"/>
      <w:bookmarkEnd w:id="39"/>
      <w:bookmarkStart w:id="40" w:name="_Toc184308083"/>
      <w:bookmarkEnd w:id="40"/>
      <w:bookmarkStart w:id="41" w:name="_Toc184312085"/>
      <w:bookmarkEnd w:id="41"/>
      <w:bookmarkStart w:id="42" w:name="_Toc184313279"/>
      <w:bookmarkEnd w:id="42"/>
      <w:bookmarkStart w:id="43" w:name="_Toc184310297"/>
      <w:bookmarkEnd w:id="43"/>
      <w:bookmarkStart w:id="44" w:name="_Toc184308050"/>
      <w:bookmarkEnd w:id="44"/>
      <w:bookmarkStart w:id="45" w:name="_Toc184310283"/>
      <w:bookmarkEnd w:id="45"/>
      <w:bookmarkStart w:id="46" w:name="_Toc184312110"/>
      <w:bookmarkEnd w:id="46"/>
      <w:bookmarkStart w:id="47" w:name="_Toc184313306"/>
      <w:bookmarkEnd w:id="47"/>
      <w:bookmarkStart w:id="48" w:name="_Toc184314423"/>
      <w:bookmarkEnd w:id="48"/>
      <w:bookmarkStart w:id="49" w:name="_Toc184314456"/>
      <w:bookmarkEnd w:id="49"/>
      <w:bookmarkStart w:id="50" w:name="_Toc184310292"/>
      <w:bookmarkEnd w:id="50"/>
      <w:bookmarkStart w:id="51" w:name="_Toc184314469"/>
      <w:bookmarkEnd w:id="51"/>
      <w:bookmarkStart w:id="52" w:name="_Toc184314440"/>
      <w:bookmarkEnd w:id="52"/>
      <w:bookmarkStart w:id="53" w:name="_Toc184313266"/>
      <w:bookmarkEnd w:id="53"/>
      <w:bookmarkStart w:id="54" w:name="_Toc184308071"/>
      <w:bookmarkEnd w:id="54"/>
      <w:bookmarkStart w:id="55" w:name="_Toc184312076"/>
      <w:bookmarkEnd w:id="55"/>
      <w:bookmarkStart w:id="56" w:name="_Toc184310337"/>
      <w:bookmarkEnd w:id="56"/>
      <w:bookmarkStart w:id="57" w:name="_Toc184308105"/>
      <w:bookmarkEnd w:id="57"/>
      <w:bookmarkStart w:id="58" w:name="_Toc184308057"/>
      <w:bookmarkEnd w:id="58"/>
      <w:bookmarkStart w:id="59" w:name="_Toc184312098"/>
      <w:bookmarkEnd w:id="59"/>
      <w:bookmarkStart w:id="60" w:name="_Toc184310328"/>
      <w:bookmarkEnd w:id="60"/>
      <w:bookmarkStart w:id="61" w:name="_Toc184313242"/>
      <w:bookmarkEnd w:id="61"/>
      <w:bookmarkStart w:id="62" w:name="_Toc184310310"/>
      <w:bookmarkEnd w:id="62"/>
      <w:bookmarkStart w:id="63" w:name="_Toc184314471"/>
      <w:bookmarkEnd w:id="63"/>
      <w:bookmarkStart w:id="64" w:name="_Toc184313300"/>
      <w:bookmarkEnd w:id="64"/>
      <w:bookmarkStart w:id="65" w:name="_Toc184314442"/>
      <w:bookmarkEnd w:id="65"/>
      <w:bookmarkStart w:id="66" w:name="_Toc184310340"/>
      <w:bookmarkEnd w:id="66"/>
      <w:bookmarkStart w:id="67" w:name="_Toc184312114"/>
      <w:bookmarkEnd w:id="67"/>
      <w:bookmarkStart w:id="68" w:name="_Toc184308090"/>
      <w:bookmarkEnd w:id="68"/>
      <w:bookmarkStart w:id="69" w:name="_Toc184313241"/>
      <w:bookmarkEnd w:id="69"/>
      <w:bookmarkStart w:id="70" w:name="_Toc184313244"/>
      <w:bookmarkEnd w:id="70"/>
      <w:bookmarkStart w:id="71" w:name="_Toc184313264"/>
      <w:bookmarkEnd w:id="71"/>
      <w:bookmarkStart w:id="72" w:name="_Toc184312072"/>
      <w:bookmarkEnd w:id="72"/>
      <w:bookmarkStart w:id="73" w:name="_Toc184313307"/>
      <w:bookmarkEnd w:id="73"/>
      <w:bookmarkStart w:id="74" w:name="_Toc184314424"/>
      <w:bookmarkEnd w:id="74"/>
      <w:bookmarkStart w:id="75" w:name="_Toc184313265"/>
      <w:bookmarkEnd w:id="75"/>
      <w:bookmarkStart w:id="76" w:name="_Toc184312132"/>
      <w:bookmarkEnd w:id="76"/>
      <w:bookmarkStart w:id="77" w:name="_Toc184310344"/>
      <w:bookmarkEnd w:id="77"/>
      <w:bookmarkStart w:id="78" w:name="_Toc184308059"/>
      <w:bookmarkEnd w:id="78"/>
      <w:bookmarkStart w:id="79" w:name="_Toc184310324"/>
      <w:bookmarkEnd w:id="79"/>
      <w:bookmarkStart w:id="80" w:name="_Toc184314412"/>
      <w:bookmarkEnd w:id="80"/>
      <w:bookmarkStart w:id="81" w:name="_Toc184308081"/>
      <w:bookmarkEnd w:id="81"/>
      <w:bookmarkStart w:id="82" w:name="_Toc184308061"/>
      <w:bookmarkEnd w:id="82"/>
      <w:bookmarkStart w:id="83" w:name="_Toc184312093"/>
      <w:bookmarkEnd w:id="83"/>
      <w:bookmarkStart w:id="84" w:name="_Toc184308039"/>
      <w:bookmarkEnd w:id="84"/>
      <w:bookmarkStart w:id="85" w:name="_Toc184312115"/>
      <w:bookmarkEnd w:id="85"/>
      <w:bookmarkStart w:id="86" w:name="_Toc184314443"/>
      <w:bookmarkEnd w:id="86"/>
      <w:bookmarkStart w:id="87" w:name="_Toc184314417"/>
      <w:bookmarkEnd w:id="87"/>
      <w:bookmarkStart w:id="88" w:name="_Toc184310301"/>
      <w:bookmarkEnd w:id="88"/>
      <w:bookmarkStart w:id="89" w:name="_Toc184312096"/>
      <w:bookmarkEnd w:id="89"/>
      <w:bookmarkStart w:id="90" w:name="_Toc184314447"/>
      <w:bookmarkEnd w:id="90"/>
      <w:bookmarkStart w:id="91" w:name="_Toc184308042"/>
      <w:bookmarkEnd w:id="91"/>
      <w:bookmarkStart w:id="92" w:name="_Toc184308040"/>
      <w:bookmarkEnd w:id="92"/>
      <w:bookmarkStart w:id="93" w:name="_Toc184310326"/>
      <w:bookmarkEnd w:id="93"/>
      <w:bookmarkStart w:id="94" w:name="_Toc184310341"/>
      <w:bookmarkEnd w:id="94"/>
      <w:bookmarkStart w:id="95" w:name="_Toc184310298"/>
      <w:bookmarkEnd w:id="95"/>
      <w:bookmarkStart w:id="96" w:name="_Toc184308082"/>
      <w:bookmarkEnd w:id="96"/>
      <w:bookmarkStart w:id="97" w:name="_Toc184313281"/>
      <w:bookmarkEnd w:id="97"/>
      <w:bookmarkStart w:id="98" w:name="_Toc184312134"/>
      <w:bookmarkEnd w:id="98"/>
      <w:bookmarkStart w:id="99" w:name="_Toc184310307"/>
      <w:bookmarkEnd w:id="99"/>
      <w:bookmarkStart w:id="100" w:name="_Toc184312111"/>
      <w:bookmarkEnd w:id="100"/>
      <w:bookmarkStart w:id="101" w:name="_Toc184313252"/>
      <w:bookmarkEnd w:id="101"/>
      <w:bookmarkStart w:id="102" w:name="_Toc184308084"/>
      <w:bookmarkEnd w:id="102"/>
      <w:bookmarkStart w:id="103" w:name="_Toc184310278"/>
      <w:bookmarkEnd w:id="103"/>
      <w:bookmarkStart w:id="104" w:name="_Toc184308086"/>
      <w:bookmarkEnd w:id="104"/>
      <w:bookmarkStart w:id="105" w:name="_Toc184314458"/>
      <w:bookmarkEnd w:id="105"/>
      <w:bookmarkStart w:id="106" w:name="_Toc184308056"/>
      <w:bookmarkEnd w:id="106"/>
      <w:bookmarkStart w:id="107" w:name="_Toc184313258"/>
      <w:bookmarkEnd w:id="107"/>
      <w:bookmarkStart w:id="108" w:name="_Toc184313275"/>
      <w:bookmarkEnd w:id="108"/>
      <w:bookmarkStart w:id="109" w:name="_Toc184310339"/>
      <w:bookmarkEnd w:id="109"/>
      <w:bookmarkStart w:id="110" w:name="_Toc184314468"/>
      <w:bookmarkEnd w:id="110"/>
      <w:bookmarkStart w:id="111" w:name="_Toc184310293"/>
      <w:bookmarkEnd w:id="111"/>
      <w:bookmarkStart w:id="112" w:name="_Toc184312123"/>
      <w:bookmarkEnd w:id="112"/>
      <w:bookmarkStart w:id="113" w:name="_Toc184314467"/>
      <w:bookmarkEnd w:id="113"/>
      <w:bookmarkStart w:id="114" w:name="_Toc184314462"/>
      <w:bookmarkEnd w:id="114"/>
      <w:bookmarkStart w:id="115" w:name="_Toc184313284"/>
      <w:bookmarkEnd w:id="115"/>
      <w:bookmarkStart w:id="116" w:name="_Toc184312103"/>
      <w:bookmarkEnd w:id="116"/>
      <w:bookmarkStart w:id="117" w:name="_Toc184313257"/>
      <w:bookmarkEnd w:id="117"/>
      <w:bookmarkStart w:id="118" w:name="_Toc184312112"/>
      <w:bookmarkEnd w:id="118"/>
      <w:bookmarkStart w:id="119" w:name="_Toc184313256"/>
      <w:bookmarkEnd w:id="119"/>
      <w:bookmarkStart w:id="120" w:name="_Toc184314452"/>
      <w:bookmarkEnd w:id="120"/>
      <w:bookmarkStart w:id="121" w:name="_Toc184308048"/>
      <w:bookmarkEnd w:id="121"/>
      <w:bookmarkStart w:id="122" w:name="_Toc184310327"/>
      <w:bookmarkEnd w:id="122"/>
      <w:bookmarkStart w:id="123" w:name="_Toc184313269"/>
      <w:bookmarkEnd w:id="123"/>
      <w:bookmarkStart w:id="124" w:name="_Toc184313292"/>
      <w:bookmarkEnd w:id="124"/>
      <w:bookmarkStart w:id="125" w:name="_Toc184308093"/>
      <w:bookmarkEnd w:id="125"/>
      <w:bookmarkStart w:id="126" w:name="_Toc184314435"/>
      <w:bookmarkEnd w:id="126"/>
      <w:bookmarkStart w:id="127" w:name="_Toc184313283"/>
      <w:bookmarkEnd w:id="127"/>
      <w:bookmarkStart w:id="128" w:name="_Toc184308108"/>
      <w:bookmarkEnd w:id="128"/>
      <w:bookmarkStart w:id="129" w:name="_Toc184314428"/>
      <w:bookmarkEnd w:id="129"/>
      <w:bookmarkStart w:id="130" w:name="_Toc184308077"/>
      <w:bookmarkEnd w:id="130"/>
      <w:bookmarkStart w:id="131" w:name="_Toc184313304"/>
      <w:bookmarkEnd w:id="131"/>
      <w:bookmarkStart w:id="132" w:name="_Toc184308046"/>
      <w:bookmarkEnd w:id="132"/>
      <w:bookmarkStart w:id="133" w:name="_Toc184308100"/>
      <w:bookmarkEnd w:id="133"/>
      <w:bookmarkStart w:id="134" w:name="_Toc184310311"/>
      <w:bookmarkEnd w:id="134"/>
      <w:bookmarkStart w:id="135" w:name="_Toc184314474"/>
      <w:bookmarkEnd w:id="135"/>
      <w:bookmarkStart w:id="136" w:name="_Toc184314415"/>
      <w:bookmarkEnd w:id="136"/>
      <w:bookmarkStart w:id="137" w:name="_Toc184312102"/>
      <w:bookmarkEnd w:id="137"/>
      <w:bookmarkStart w:id="138" w:name="_Toc184308072"/>
      <w:bookmarkEnd w:id="138"/>
      <w:bookmarkStart w:id="139" w:name="_Toc184313260"/>
      <w:bookmarkEnd w:id="139"/>
      <w:bookmarkStart w:id="140" w:name="_Toc184310306"/>
      <w:bookmarkEnd w:id="140"/>
      <w:bookmarkStart w:id="141" w:name="_Toc184314449"/>
      <w:bookmarkEnd w:id="141"/>
      <w:bookmarkStart w:id="142" w:name="_Toc184314420"/>
      <w:bookmarkEnd w:id="142"/>
      <w:bookmarkStart w:id="143" w:name="_Toc184308047"/>
      <w:bookmarkEnd w:id="143"/>
      <w:bookmarkStart w:id="144" w:name="_Toc184308073"/>
      <w:bookmarkEnd w:id="144"/>
      <w:bookmarkStart w:id="145" w:name="_Toc184313272"/>
      <w:bookmarkEnd w:id="145"/>
      <w:bookmarkStart w:id="146" w:name="_Toc184313259"/>
      <w:bookmarkEnd w:id="146"/>
      <w:bookmarkStart w:id="147" w:name="_Toc184313309"/>
      <w:bookmarkEnd w:id="147"/>
      <w:bookmarkStart w:id="148" w:name="_Toc184313243"/>
      <w:bookmarkEnd w:id="148"/>
      <w:bookmarkStart w:id="149" w:name="_Toc184310304"/>
      <w:bookmarkEnd w:id="149"/>
      <w:bookmarkStart w:id="150" w:name="_Toc184308103"/>
      <w:bookmarkEnd w:id="150"/>
      <w:bookmarkStart w:id="151" w:name="_Toc184308053"/>
      <w:bookmarkEnd w:id="151"/>
      <w:bookmarkStart w:id="152" w:name="_Toc184312125"/>
      <w:bookmarkEnd w:id="152"/>
      <w:bookmarkStart w:id="153" w:name="_Toc184308087"/>
      <w:bookmarkEnd w:id="153"/>
      <w:bookmarkStart w:id="154" w:name="_Toc184312137"/>
      <w:bookmarkEnd w:id="154"/>
      <w:bookmarkStart w:id="155" w:name="_Toc184308107"/>
      <w:bookmarkEnd w:id="155"/>
      <w:bookmarkStart w:id="156" w:name="_Toc184312090"/>
      <w:bookmarkEnd w:id="156"/>
      <w:bookmarkStart w:id="157" w:name="_Toc184310288"/>
      <w:bookmarkEnd w:id="157"/>
      <w:bookmarkStart w:id="158" w:name="_Toc184314416"/>
      <w:bookmarkEnd w:id="158"/>
      <w:bookmarkStart w:id="159" w:name="_Toc184314477"/>
      <w:bookmarkEnd w:id="159"/>
      <w:bookmarkStart w:id="160" w:name="_Toc184312071"/>
      <w:bookmarkEnd w:id="160"/>
      <w:bookmarkStart w:id="161" w:name="_Toc184312119"/>
      <w:bookmarkEnd w:id="161"/>
      <w:bookmarkStart w:id="162" w:name="_Toc184310338"/>
      <w:bookmarkEnd w:id="162"/>
      <w:bookmarkStart w:id="163" w:name="_Toc184313251"/>
      <w:bookmarkEnd w:id="163"/>
      <w:bookmarkStart w:id="164" w:name="_Toc184312118"/>
      <w:bookmarkEnd w:id="164"/>
      <w:bookmarkStart w:id="165" w:name="_Toc184313239"/>
      <w:bookmarkEnd w:id="165"/>
      <w:bookmarkStart w:id="166" w:name="_Toc184314430"/>
      <w:bookmarkEnd w:id="166"/>
      <w:bookmarkStart w:id="167" w:name="_Toc184310335"/>
      <w:bookmarkEnd w:id="167"/>
      <w:bookmarkStart w:id="168" w:name="_Toc184310336"/>
      <w:bookmarkEnd w:id="168"/>
      <w:bookmarkStart w:id="169" w:name="_Toc184310325"/>
      <w:bookmarkEnd w:id="169"/>
      <w:bookmarkStart w:id="170" w:name="_Toc184308085"/>
      <w:bookmarkEnd w:id="170"/>
      <w:bookmarkStart w:id="171" w:name="_Toc184312084"/>
      <w:bookmarkEnd w:id="171"/>
      <w:bookmarkStart w:id="172" w:name="_Toc184308062"/>
      <w:bookmarkEnd w:id="172"/>
      <w:bookmarkStart w:id="173" w:name="_Toc184312138"/>
      <w:bookmarkEnd w:id="173"/>
      <w:bookmarkStart w:id="174" w:name="_Toc184310284"/>
      <w:bookmarkEnd w:id="174"/>
      <w:bookmarkStart w:id="175" w:name="_Toc184313261"/>
      <w:bookmarkEnd w:id="175"/>
      <w:bookmarkStart w:id="176" w:name="_Toc184314414"/>
      <w:bookmarkEnd w:id="176"/>
      <w:bookmarkStart w:id="177" w:name="_Toc184314460"/>
      <w:bookmarkEnd w:id="177"/>
      <w:bookmarkStart w:id="178" w:name="_Toc184308045"/>
      <w:bookmarkEnd w:id="178"/>
      <w:bookmarkStart w:id="179" w:name="_Toc184310331"/>
      <w:bookmarkEnd w:id="179"/>
      <w:bookmarkStart w:id="180" w:name="_Toc184310318"/>
      <w:bookmarkEnd w:id="180"/>
      <w:bookmarkStart w:id="181" w:name="_Toc184310305"/>
      <w:bookmarkEnd w:id="181"/>
      <w:bookmarkStart w:id="182" w:name="_Toc184314444"/>
      <w:bookmarkEnd w:id="182"/>
      <w:bookmarkStart w:id="183" w:name="_Toc184313267"/>
      <w:bookmarkEnd w:id="183"/>
      <w:bookmarkStart w:id="184" w:name="_Toc184313298"/>
      <w:bookmarkEnd w:id="184"/>
      <w:bookmarkStart w:id="185" w:name="_Toc184312083"/>
      <w:bookmarkEnd w:id="185"/>
      <w:bookmarkStart w:id="186" w:name="_Toc184312113"/>
      <w:bookmarkEnd w:id="186"/>
      <w:bookmarkStart w:id="187" w:name="_Toc184314431"/>
      <w:bookmarkEnd w:id="187"/>
      <w:bookmarkStart w:id="188" w:name="_Toc184312126"/>
      <w:bookmarkEnd w:id="188"/>
      <w:bookmarkStart w:id="189" w:name="_Toc184310319"/>
      <w:bookmarkEnd w:id="189"/>
      <w:bookmarkStart w:id="190" w:name="_Toc184310308"/>
      <w:bookmarkEnd w:id="190"/>
      <w:bookmarkStart w:id="191" w:name="_Toc184313293"/>
      <w:bookmarkEnd w:id="191"/>
      <w:bookmarkStart w:id="192" w:name="_Toc184310315"/>
      <w:bookmarkEnd w:id="192"/>
      <w:bookmarkStart w:id="193" w:name="_Toc184313297"/>
      <w:bookmarkEnd w:id="193"/>
      <w:bookmarkStart w:id="194" w:name="_Toc184310274"/>
      <w:bookmarkEnd w:id="194"/>
      <w:bookmarkStart w:id="195" w:name="_Toc184308043"/>
      <w:bookmarkEnd w:id="195"/>
      <w:bookmarkStart w:id="196" w:name="_Toc184310282"/>
      <w:bookmarkEnd w:id="196"/>
      <w:bookmarkStart w:id="197" w:name="_Toc184313254"/>
      <w:bookmarkEnd w:id="197"/>
      <w:bookmarkStart w:id="198" w:name="_Toc184314473"/>
      <w:bookmarkEnd w:id="198"/>
      <w:bookmarkStart w:id="199" w:name="_Toc184313247"/>
      <w:bookmarkEnd w:id="199"/>
      <w:bookmarkStart w:id="200" w:name="_Toc184310332"/>
      <w:bookmarkEnd w:id="200"/>
      <w:bookmarkStart w:id="201" w:name="_Toc184312089"/>
      <w:bookmarkEnd w:id="201"/>
      <w:bookmarkStart w:id="202" w:name="_Toc184314448"/>
      <w:bookmarkEnd w:id="202"/>
      <w:bookmarkStart w:id="203" w:name="_Toc184313291"/>
      <w:bookmarkEnd w:id="203"/>
      <w:bookmarkStart w:id="204" w:name="_Toc184312120"/>
      <w:bookmarkEnd w:id="204"/>
      <w:bookmarkStart w:id="205" w:name="_Toc184312130"/>
      <w:bookmarkEnd w:id="205"/>
      <w:bookmarkStart w:id="206" w:name="_Toc184313273"/>
      <w:bookmarkEnd w:id="206"/>
      <w:bookmarkStart w:id="207" w:name="_Toc184310273"/>
      <w:bookmarkEnd w:id="207"/>
      <w:bookmarkStart w:id="208" w:name="_Toc184310302"/>
      <w:bookmarkEnd w:id="208"/>
      <w:bookmarkStart w:id="209" w:name="_Toc184310299"/>
      <w:bookmarkEnd w:id="209"/>
      <w:bookmarkStart w:id="210" w:name="_Toc184310287"/>
      <w:bookmarkEnd w:id="210"/>
      <w:bookmarkStart w:id="211" w:name="_Toc184314419"/>
      <w:bookmarkEnd w:id="211"/>
      <w:bookmarkStart w:id="212" w:name="_Toc184314475"/>
      <w:bookmarkEnd w:id="212"/>
      <w:bookmarkStart w:id="213" w:name="_Toc184310280"/>
      <w:bookmarkEnd w:id="213"/>
      <w:bookmarkStart w:id="214" w:name="_Toc184310276"/>
      <w:bookmarkEnd w:id="214"/>
      <w:bookmarkStart w:id="215" w:name="_Toc184312127"/>
      <w:bookmarkEnd w:id="215"/>
      <w:bookmarkStart w:id="216" w:name="_Toc184313302"/>
      <w:bookmarkEnd w:id="216"/>
      <w:bookmarkStart w:id="217" w:name="_Toc184314439"/>
      <w:bookmarkEnd w:id="217"/>
      <w:bookmarkStart w:id="218" w:name="_Toc184313271"/>
      <w:bookmarkEnd w:id="218"/>
      <w:bookmarkStart w:id="219" w:name="_Toc184313296"/>
      <w:bookmarkEnd w:id="219"/>
      <w:bookmarkStart w:id="220" w:name="_Toc184314425"/>
      <w:bookmarkEnd w:id="220"/>
      <w:bookmarkStart w:id="221" w:name="_Toc184308080"/>
      <w:bookmarkEnd w:id="221"/>
      <w:bookmarkStart w:id="222" w:name="_Toc184313289"/>
      <w:bookmarkEnd w:id="222"/>
      <w:bookmarkStart w:id="223" w:name="_Toc184308098"/>
      <w:bookmarkEnd w:id="223"/>
      <w:bookmarkStart w:id="224" w:name="_Toc184313240"/>
      <w:bookmarkEnd w:id="224"/>
      <w:bookmarkStart w:id="225" w:name="_Toc184308070"/>
      <w:bookmarkEnd w:id="225"/>
      <w:bookmarkStart w:id="226" w:name="_Toc184312073"/>
      <w:bookmarkEnd w:id="226"/>
      <w:bookmarkStart w:id="227" w:name="_Toc184314436"/>
      <w:bookmarkEnd w:id="227"/>
      <w:bookmarkStart w:id="228" w:name="_Toc184313288"/>
      <w:bookmarkEnd w:id="228"/>
      <w:bookmarkStart w:id="229" w:name="_Toc184310320"/>
      <w:bookmarkEnd w:id="229"/>
      <w:bookmarkStart w:id="230" w:name="_Toc184310309"/>
      <w:bookmarkEnd w:id="230"/>
      <w:bookmarkStart w:id="231" w:name="_Toc184314465"/>
      <w:bookmarkEnd w:id="231"/>
      <w:bookmarkStart w:id="232" w:name="_Toc184314453"/>
      <w:bookmarkEnd w:id="232"/>
      <w:bookmarkStart w:id="233" w:name="_Toc184313250"/>
      <w:bookmarkEnd w:id="233"/>
      <w:bookmarkStart w:id="234" w:name="_Toc184312109"/>
      <w:bookmarkEnd w:id="234"/>
      <w:bookmarkStart w:id="235" w:name="_Toc184308063"/>
      <w:bookmarkEnd w:id="235"/>
      <w:bookmarkStart w:id="236" w:name="_Toc184308044"/>
      <w:bookmarkEnd w:id="236"/>
      <w:bookmarkStart w:id="237" w:name="_Toc184308094"/>
      <w:bookmarkEnd w:id="237"/>
      <w:bookmarkStart w:id="238" w:name="_Toc184308066"/>
      <w:bookmarkEnd w:id="238"/>
      <w:bookmarkStart w:id="239" w:name="_Toc184313246"/>
      <w:bookmarkEnd w:id="239"/>
      <w:bookmarkStart w:id="240" w:name="_Toc184313280"/>
      <w:bookmarkEnd w:id="240"/>
      <w:bookmarkStart w:id="241" w:name="_Toc184312121"/>
      <w:bookmarkEnd w:id="241"/>
      <w:bookmarkStart w:id="242" w:name="_Toc184312117"/>
      <w:bookmarkEnd w:id="242"/>
      <w:bookmarkStart w:id="243" w:name="_Toc184313238"/>
      <w:bookmarkEnd w:id="243"/>
      <w:bookmarkStart w:id="244" w:name="_Toc184312088"/>
      <w:bookmarkEnd w:id="244"/>
      <w:bookmarkStart w:id="245" w:name="_Toc184313276"/>
      <w:bookmarkEnd w:id="245"/>
      <w:bookmarkStart w:id="246" w:name="_Toc184313268"/>
      <w:bookmarkEnd w:id="246"/>
      <w:bookmarkStart w:id="247" w:name="_Toc184308052"/>
      <w:bookmarkEnd w:id="247"/>
      <w:bookmarkStart w:id="248" w:name="_Toc184310296"/>
      <w:bookmarkEnd w:id="248"/>
      <w:bookmarkStart w:id="249" w:name="_Toc184310279"/>
      <w:bookmarkEnd w:id="249"/>
      <w:bookmarkStart w:id="250" w:name="_Toc184308068"/>
      <w:bookmarkEnd w:id="250"/>
      <w:bookmarkStart w:id="251" w:name="_Toc184314441"/>
      <w:bookmarkEnd w:id="251"/>
      <w:bookmarkStart w:id="252" w:name="_Toc184310322"/>
      <w:bookmarkEnd w:id="252"/>
      <w:bookmarkStart w:id="253" w:name="_Toc184308036"/>
      <w:bookmarkEnd w:id="253"/>
      <w:bookmarkStart w:id="254" w:name="_Toc184312136"/>
      <w:bookmarkEnd w:id="254"/>
      <w:bookmarkStart w:id="255" w:name="_Toc184308065"/>
      <w:bookmarkEnd w:id="255"/>
      <w:bookmarkStart w:id="256" w:name="_Toc184310342"/>
      <w:bookmarkEnd w:id="256"/>
      <w:bookmarkStart w:id="257" w:name="_Toc184314459"/>
      <w:bookmarkEnd w:id="257"/>
      <w:bookmarkStart w:id="258" w:name="_Toc184314445"/>
      <w:bookmarkEnd w:id="258"/>
      <w:bookmarkStart w:id="259" w:name="_Toc184312101"/>
      <w:bookmarkEnd w:id="259"/>
      <w:bookmarkStart w:id="260" w:name="_Toc184310303"/>
      <w:bookmarkEnd w:id="260"/>
      <w:bookmarkStart w:id="261" w:name="_Toc184313303"/>
      <w:bookmarkEnd w:id="261"/>
      <w:bookmarkStart w:id="262" w:name="_Toc184310294"/>
      <w:bookmarkEnd w:id="262"/>
      <w:bookmarkStart w:id="263" w:name="_Toc184314480"/>
      <w:bookmarkEnd w:id="263"/>
      <w:bookmarkStart w:id="264" w:name="_Toc184310286"/>
      <w:bookmarkEnd w:id="264"/>
      <w:bookmarkStart w:id="265" w:name="_Toc184313278"/>
      <w:bookmarkEnd w:id="265"/>
      <w:bookmarkStart w:id="266" w:name="_Toc184313308"/>
      <w:bookmarkEnd w:id="266"/>
      <w:bookmarkStart w:id="267" w:name="_Toc184310321"/>
      <w:bookmarkEnd w:id="267"/>
      <w:bookmarkStart w:id="268" w:name="_Toc184310277"/>
      <w:bookmarkEnd w:id="268"/>
      <w:bookmarkStart w:id="269" w:name="_Toc184308075"/>
      <w:bookmarkEnd w:id="269"/>
      <w:bookmarkStart w:id="270" w:name="_Toc184314427"/>
      <w:bookmarkEnd w:id="270"/>
      <w:bookmarkStart w:id="271" w:name="_Toc184312116"/>
      <w:bookmarkEnd w:id="271"/>
      <w:bookmarkStart w:id="272" w:name="_Toc184314438"/>
      <w:bookmarkEnd w:id="272"/>
      <w:bookmarkStart w:id="273" w:name="_Toc184310275"/>
      <w:bookmarkEnd w:id="273"/>
      <w:bookmarkStart w:id="274" w:name="_Toc184310323"/>
      <w:bookmarkEnd w:id="274"/>
      <w:bookmarkStart w:id="275" w:name="_Toc184308102"/>
      <w:bookmarkEnd w:id="275"/>
      <w:bookmarkStart w:id="276" w:name="_Toc184314457"/>
      <w:bookmarkEnd w:id="276"/>
      <w:bookmarkStart w:id="277" w:name="_Toc184310281"/>
      <w:bookmarkEnd w:id="277"/>
      <w:bookmarkStart w:id="278" w:name="_Toc184308099"/>
      <w:bookmarkEnd w:id="278"/>
      <w:bookmarkStart w:id="279" w:name="_Toc184308104"/>
      <w:bookmarkEnd w:id="279"/>
      <w:bookmarkStart w:id="280" w:name="_Toc184313287"/>
      <w:bookmarkEnd w:id="280"/>
      <w:bookmarkStart w:id="281" w:name="_Toc184310290"/>
      <w:bookmarkEnd w:id="281"/>
      <w:bookmarkStart w:id="282" w:name="_Toc184308106"/>
      <w:bookmarkEnd w:id="282"/>
      <w:bookmarkStart w:id="283" w:name="_Toc184312122"/>
      <w:bookmarkEnd w:id="283"/>
      <w:bookmarkStart w:id="284" w:name="_Toc184312105"/>
      <w:bookmarkEnd w:id="284"/>
      <w:bookmarkStart w:id="285" w:name="_Toc184312077"/>
      <w:bookmarkEnd w:id="285"/>
      <w:bookmarkStart w:id="286" w:name="_Toc184314466"/>
      <w:bookmarkEnd w:id="286"/>
      <w:bookmarkStart w:id="287" w:name="_Toc184313301"/>
      <w:bookmarkEnd w:id="287"/>
      <w:bookmarkStart w:id="288" w:name="_Toc184310316"/>
      <w:bookmarkEnd w:id="288"/>
      <w:bookmarkStart w:id="289" w:name="_Toc184312097"/>
      <w:bookmarkEnd w:id="289"/>
      <w:bookmarkStart w:id="290" w:name="_Toc184310272"/>
      <w:bookmarkEnd w:id="290"/>
      <w:bookmarkStart w:id="291" w:name="_Toc184308076"/>
      <w:bookmarkEnd w:id="291"/>
      <w:bookmarkStart w:id="292" w:name="_Toc184314472"/>
      <w:bookmarkEnd w:id="292"/>
      <w:bookmarkStart w:id="293" w:name="_Toc184312135"/>
      <w:bookmarkEnd w:id="293"/>
      <w:bookmarkStart w:id="294" w:name="_Toc184308054"/>
      <w:bookmarkEnd w:id="294"/>
      <w:bookmarkStart w:id="295" w:name="_Toc184314437"/>
      <w:bookmarkEnd w:id="295"/>
      <w:bookmarkStart w:id="296" w:name="_Toc184308097"/>
      <w:bookmarkEnd w:id="296"/>
      <w:bookmarkStart w:id="297" w:name="_Toc184313282"/>
      <w:bookmarkEnd w:id="297"/>
      <w:bookmarkStart w:id="298" w:name="_Toc184312129"/>
      <w:bookmarkEnd w:id="298"/>
      <w:bookmarkStart w:id="299" w:name="_Toc184313255"/>
      <w:bookmarkEnd w:id="299"/>
      <w:bookmarkStart w:id="300" w:name="_Toc184314451"/>
      <w:bookmarkEnd w:id="300"/>
      <w:bookmarkStart w:id="301" w:name="_Toc184308041"/>
      <w:bookmarkEnd w:id="301"/>
      <w:bookmarkStart w:id="302" w:name="_Toc184308069"/>
      <w:bookmarkEnd w:id="302"/>
      <w:bookmarkStart w:id="303" w:name="_Toc184313253"/>
      <w:bookmarkEnd w:id="303"/>
      <w:bookmarkStart w:id="304" w:name="_Toc184314433"/>
      <w:bookmarkEnd w:id="304"/>
      <w:bookmarkStart w:id="305" w:name="_Toc184312104"/>
      <w:bookmarkEnd w:id="305"/>
      <w:bookmarkStart w:id="306" w:name="_Toc184308079"/>
      <w:bookmarkEnd w:id="306"/>
      <w:bookmarkStart w:id="307" w:name="_Toc184308067"/>
      <w:bookmarkEnd w:id="307"/>
      <w:bookmarkStart w:id="308" w:name="_Toc184308049"/>
      <w:bookmarkEnd w:id="308"/>
      <w:bookmarkStart w:id="309" w:name="_Toc184310317"/>
      <w:bookmarkEnd w:id="309"/>
      <w:bookmarkStart w:id="310" w:name="_Toc184312082"/>
      <w:bookmarkEnd w:id="310"/>
      <w:bookmarkStart w:id="311" w:name="_Toc184314454"/>
      <w:bookmarkEnd w:id="311"/>
      <w:bookmarkStart w:id="312" w:name="_Toc184313294"/>
      <w:bookmarkEnd w:id="312"/>
      <w:bookmarkStart w:id="313" w:name="_Toc184314470"/>
      <w:bookmarkEnd w:id="313"/>
      <w:bookmarkStart w:id="314" w:name="_Toc184308051"/>
      <w:bookmarkEnd w:id="314"/>
      <w:bookmarkStart w:id="315" w:name="_Toc184313263"/>
      <w:bookmarkEnd w:id="315"/>
      <w:bookmarkStart w:id="316" w:name="_Toc184313248"/>
      <w:bookmarkEnd w:id="316"/>
      <w:bookmarkStart w:id="317" w:name="_Toc184314434"/>
      <w:bookmarkEnd w:id="317"/>
      <w:bookmarkStart w:id="318" w:name="_Toc184314421"/>
      <w:bookmarkEnd w:id="318"/>
      <w:bookmarkStart w:id="319" w:name="_Toc184313262"/>
      <w:bookmarkEnd w:id="319"/>
      <w:bookmarkStart w:id="320" w:name="_Toc184312095"/>
      <w:bookmarkEnd w:id="320"/>
      <w:bookmarkStart w:id="321" w:name="_Toc184314410"/>
      <w:bookmarkEnd w:id="321"/>
      <w:bookmarkStart w:id="322" w:name="_Toc184312108"/>
      <w:bookmarkEnd w:id="322"/>
      <w:bookmarkStart w:id="323" w:name="_Toc184312074"/>
      <w:bookmarkEnd w:id="323"/>
      <w:bookmarkStart w:id="324" w:name="_Toc184312094"/>
      <w:bookmarkEnd w:id="324"/>
      <w:bookmarkStart w:id="325" w:name="_Toc184308037"/>
      <w:bookmarkEnd w:id="325"/>
      <w:bookmarkStart w:id="326" w:name="_Toc184313245"/>
      <w:bookmarkEnd w:id="326"/>
      <w:bookmarkStart w:id="327" w:name="_Toc184314429"/>
      <w:bookmarkEnd w:id="327"/>
      <w:bookmarkStart w:id="328" w:name="_Toc184312087"/>
      <w:bookmarkEnd w:id="328"/>
      <w:bookmarkStart w:id="329" w:name="_Toc184313277"/>
      <w:bookmarkEnd w:id="329"/>
      <w:bookmarkStart w:id="330" w:name="_Toc184314461"/>
      <w:bookmarkEnd w:id="330"/>
      <w:bookmarkStart w:id="331" w:name="_Toc184312124"/>
      <w:bookmarkEnd w:id="331"/>
      <w:bookmarkStart w:id="332" w:name="_Toc184313270"/>
      <w:bookmarkEnd w:id="332"/>
      <w:bookmarkStart w:id="333" w:name="_Toc184310300"/>
      <w:bookmarkEnd w:id="333"/>
      <w:bookmarkStart w:id="334" w:name="_Toc184314476"/>
      <w:bookmarkEnd w:id="334"/>
      <w:bookmarkStart w:id="335" w:name="_Toc184308074"/>
      <w:bookmarkEnd w:id="335"/>
      <w:bookmarkStart w:id="336" w:name="_Toc184313305"/>
      <w:bookmarkEnd w:id="336"/>
      <w:bookmarkStart w:id="337" w:name="_Toc184312067"/>
      <w:bookmarkEnd w:id="337"/>
      <w:bookmarkStart w:id="338" w:name="_Toc184308058"/>
      <w:bookmarkEnd w:id="338"/>
      <w:bookmarkStart w:id="339" w:name="_Toc184312075"/>
      <w:bookmarkEnd w:id="339"/>
      <w:bookmarkStart w:id="340" w:name="_Toc184310314"/>
      <w:bookmarkEnd w:id="340"/>
      <w:bookmarkStart w:id="341" w:name="_Toc184313286"/>
      <w:bookmarkEnd w:id="341"/>
      <w:bookmarkStart w:id="342" w:name="_Toc184314463"/>
      <w:bookmarkEnd w:id="342"/>
      <w:bookmarkStart w:id="343" w:name="_Toc184313274"/>
      <w:bookmarkEnd w:id="343"/>
      <w:bookmarkStart w:id="344" w:name="_Toc184314464"/>
      <w:bookmarkEnd w:id="344"/>
      <w:bookmarkStart w:id="345" w:name="_Toc184314450"/>
      <w:bookmarkEnd w:id="345"/>
      <w:bookmarkStart w:id="346" w:name="_Toc184308091"/>
      <w:bookmarkEnd w:id="346"/>
      <w:bookmarkStart w:id="347" w:name="_Toc184313310"/>
      <w:bookmarkEnd w:id="347"/>
      <w:bookmarkStart w:id="348" w:name="_Toc184313299"/>
      <w:bookmarkEnd w:id="348"/>
      <w:bookmarkStart w:id="349" w:name="_Toc184312091"/>
      <w:bookmarkEnd w:id="349"/>
      <w:bookmarkStart w:id="350" w:name="_Toc184312070"/>
      <w:bookmarkEnd w:id="350"/>
      <w:bookmarkStart w:id="351" w:name="_Toc184313249"/>
      <w:bookmarkEnd w:id="351"/>
      <w:bookmarkStart w:id="352" w:name="_Toc184310334"/>
      <w:bookmarkEnd w:id="352"/>
      <w:bookmarkStart w:id="353" w:name="_Toc184314411"/>
      <w:bookmarkEnd w:id="353"/>
      <w:bookmarkStart w:id="354" w:name="_Toc184308038"/>
      <w:bookmarkEnd w:id="354"/>
      <w:bookmarkStart w:id="355" w:name="_Toc184314478"/>
      <w:bookmarkEnd w:id="355"/>
      <w:bookmarkStart w:id="356" w:name="_Toc184310333"/>
      <w:bookmarkEnd w:id="356"/>
      <w:bookmarkStart w:id="357" w:name="_Toc184314446"/>
      <w:bookmarkEnd w:id="357"/>
      <w:bookmarkStart w:id="358" w:name="_Toc184314413"/>
      <w:bookmarkEnd w:id="358"/>
      <w:bookmarkStart w:id="359" w:name="_Toc184312080"/>
      <w:bookmarkEnd w:id="359"/>
      <w:bookmarkStart w:id="360" w:name="_Toc184314432"/>
      <w:bookmarkEnd w:id="360"/>
      <w:bookmarkStart w:id="361" w:name="_Toc184312092"/>
      <w:bookmarkEnd w:id="361"/>
      <w:bookmarkStart w:id="362" w:name="_Toc184310295"/>
      <w:bookmarkEnd w:id="362"/>
      <w:bookmarkStart w:id="363" w:name="_Toc184312086"/>
      <w:bookmarkEnd w:id="363"/>
      <w:bookmarkStart w:id="364" w:name="_Toc184313290"/>
      <w:bookmarkEnd w:id="364"/>
      <w:bookmarkStart w:id="365" w:name="_Toc184308064"/>
      <w:bookmarkEnd w:id="365"/>
      <w:bookmarkStart w:id="366" w:name="_Toc184314482"/>
      <w:bookmarkEnd w:id="366"/>
      <w:bookmarkStart w:id="367" w:name="_Toc184313285"/>
      <w:bookmarkEnd w:id="367"/>
      <w:bookmarkStart w:id="368" w:name="_Toc184312081"/>
      <w:bookmarkEnd w:id="368"/>
      <w:bookmarkStart w:id="369" w:name="_Toc184312099"/>
      <w:bookmarkEnd w:id="369"/>
      <w:bookmarkStart w:id="370" w:name="_Toc184308092"/>
      <w:bookmarkEnd w:id="370"/>
      <w:bookmarkStart w:id="371" w:name="_Toc184312100"/>
      <w:bookmarkEnd w:id="371"/>
      <w:bookmarkStart w:id="372" w:name="_Toc184314418"/>
      <w:bookmarkEnd w:id="372"/>
      <w:bookmarkStart w:id="373" w:name="_Toc184312068"/>
      <w:bookmarkEnd w:id="373"/>
      <w:bookmarkStart w:id="374" w:name="_Toc184314455"/>
      <w:bookmarkEnd w:id="374"/>
      <w:bookmarkStart w:id="375" w:name="_Toc184310330"/>
      <w:bookmarkEnd w:id="375"/>
      <w:bookmarkStart w:id="376" w:name="_Toc184312079"/>
      <w:bookmarkEnd w:id="376"/>
      <w:bookmarkStart w:id="377" w:name="_Toc184314481"/>
      <w:bookmarkEnd w:id="377"/>
      <w:bookmarkStart w:id="378" w:name="_Toc184314422"/>
      <w:bookmarkEnd w:id="378"/>
      <w:bookmarkStart w:id="379" w:name="_Toc184312128"/>
      <w:bookmarkEnd w:id="379"/>
      <w:bookmarkStart w:id="380" w:name="_Toc184308088"/>
      <w:bookmarkEnd w:id="380"/>
      <w:bookmarkStart w:id="381" w:name="_Toc184312078"/>
      <w:bookmarkEnd w:id="381"/>
      <w:bookmarkStart w:id="382" w:name="_Toc184312133"/>
      <w:bookmarkEnd w:id="382"/>
      <w:bookmarkStart w:id="383" w:name="_Toc184308055"/>
      <w:bookmarkEnd w:id="383"/>
      <w:bookmarkStart w:id="384" w:name="_Toc184310289"/>
      <w:bookmarkEnd w:id="384"/>
      <w:bookmarkStart w:id="385" w:name="_Toc184310329"/>
      <w:bookmarkEnd w:id="385"/>
      <w:bookmarkStart w:id="386" w:name="_Toc184314426"/>
      <w:bookmarkEnd w:id="386"/>
      <w:bookmarkStart w:id="387" w:name="_Toc184308060"/>
      <w:bookmarkEnd w:id="387"/>
      <w:bookmarkStart w:id="388" w:name="_Toc184310291"/>
      <w:bookmarkEnd w:id="388"/>
      <w:bookmarkStart w:id="389" w:name="_Toc184310312"/>
      <w:bookmarkEnd w:id="389"/>
      <w:bookmarkStart w:id="390" w:name="_Toc184308095"/>
      <w:bookmarkEnd w:id="390"/>
      <w:bookmarkStart w:id="391" w:name="_Toc184308096"/>
      <w:bookmarkEnd w:id="391"/>
      <w:bookmarkStart w:id="392" w:name="_Toc184310343"/>
      <w:bookmarkEnd w:id="392"/>
      <w:bookmarkStart w:id="393" w:name="_Toc184308078"/>
      <w:bookmarkEnd w:id="393"/>
      <w:bookmarkStart w:id="394" w:name="_Toc184312107"/>
      <w:bookmarkEnd w:id="394"/>
      <w:bookmarkStart w:id="395" w:name="_Toc184312131"/>
      <w:bookmarkEnd w:id="395"/>
      <w:r>
        <w:rPr>
          <w:rFonts w:hint="eastAsia" w:cs="仿宋_GB2312" w:asciiTheme="minorEastAsia" w:hAnsiTheme="minorEastAsia" w:eastAsiaTheme="minorEastAsia"/>
          <w:b/>
          <w:color w:val="auto"/>
          <w:sz w:val="36"/>
          <w:szCs w:val="36"/>
          <w:highlight w:val="none"/>
        </w:rPr>
        <w:t>评标办法</w:t>
      </w:r>
      <w:bookmarkEnd w:id="29"/>
    </w:p>
    <w:p>
      <w:pPr>
        <w:adjustRightInd/>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评标办法前附表</w:t>
      </w:r>
    </w:p>
    <w:tbl>
      <w:tblPr>
        <w:tblStyle w:val="63"/>
        <w:tblW w:w="96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1"/>
        <w:gridCol w:w="838"/>
        <w:gridCol w:w="73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Cs/>
                <w:color w:val="auto"/>
                <w:sz w:val="24"/>
                <w:highlight w:val="none"/>
              </w:rPr>
            </w:pPr>
            <w:r>
              <w:rPr>
                <w:rFonts w:hint="eastAsia" w:ascii="宋体" w:hAnsi="宋体" w:cs="仿宋"/>
                <w:bCs/>
                <w:color w:val="auto"/>
                <w:sz w:val="24"/>
                <w:highlight w:val="none"/>
              </w:rPr>
              <w:t>评审</w:t>
            </w:r>
          </w:p>
          <w:p>
            <w:pPr>
              <w:spacing w:line="360" w:lineRule="auto"/>
              <w:jc w:val="center"/>
              <w:rPr>
                <w:rFonts w:ascii="宋体" w:hAnsi="宋体" w:cs="仿宋"/>
                <w:bCs/>
                <w:color w:val="auto"/>
                <w:sz w:val="24"/>
                <w:highlight w:val="none"/>
              </w:rPr>
            </w:pPr>
            <w:r>
              <w:rPr>
                <w:rFonts w:hint="eastAsia" w:ascii="宋体" w:hAnsi="宋体" w:cs="仿宋"/>
                <w:bCs/>
                <w:color w:val="auto"/>
                <w:sz w:val="24"/>
                <w:highlight w:val="none"/>
              </w:rPr>
              <w:t>内容</w:t>
            </w:r>
          </w:p>
        </w:tc>
        <w:tc>
          <w:tcPr>
            <w:tcW w:w="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Cs/>
                <w:color w:val="auto"/>
                <w:sz w:val="24"/>
                <w:highlight w:val="none"/>
              </w:rPr>
            </w:pPr>
            <w:r>
              <w:rPr>
                <w:rFonts w:hint="eastAsia" w:ascii="宋体" w:hAnsi="宋体" w:cs="仿宋"/>
                <w:bCs/>
                <w:color w:val="auto"/>
                <w:sz w:val="24"/>
                <w:highlight w:val="none"/>
              </w:rPr>
              <w:t>分值</w:t>
            </w:r>
          </w:p>
        </w:tc>
        <w:tc>
          <w:tcPr>
            <w:tcW w:w="7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Cs/>
                <w:color w:val="auto"/>
                <w:sz w:val="24"/>
                <w:highlight w:val="none"/>
              </w:rPr>
            </w:pPr>
            <w:r>
              <w:rPr>
                <w:rFonts w:hint="eastAsia" w:ascii="宋体" w:hAnsi="宋体" w:cs="仿宋"/>
                <w:bCs/>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8" w:hRule="atLeast"/>
          <w:jc w:val="center"/>
        </w:trPr>
        <w:tc>
          <w:tcPr>
            <w:tcW w:w="1381" w:type="dxa"/>
            <w:tcBorders>
              <w:top w:val="single" w:color="auto" w:sz="4" w:space="0"/>
              <w:left w:val="single" w:color="auto" w:sz="4" w:space="0"/>
              <w:right w:val="single" w:color="auto" w:sz="4" w:space="0"/>
            </w:tcBorders>
            <w:vAlign w:val="center"/>
          </w:tcPr>
          <w:p>
            <w:pPr>
              <w:spacing w:line="360" w:lineRule="auto"/>
              <w:jc w:val="center"/>
              <w:rPr>
                <w:rFonts w:ascii="宋体" w:hAnsi="宋体" w:cs="仿宋"/>
                <w:bCs/>
                <w:color w:val="auto"/>
                <w:sz w:val="24"/>
                <w:highlight w:val="none"/>
              </w:rPr>
            </w:pPr>
            <w:r>
              <w:rPr>
                <w:rFonts w:hint="eastAsia" w:ascii="宋体" w:hAnsi="宋体" w:cs="仿宋"/>
                <w:bCs/>
                <w:color w:val="auto"/>
                <w:sz w:val="24"/>
                <w:highlight w:val="none"/>
              </w:rPr>
              <w:t>投标</w:t>
            </w:r>
          </w:p>
          <w:p>
            <w:pPr>
              <w:spacing w:line="360" w:lineRule="auto"/>
              <w:jc w:val="center"/>
              <w:rPr>
                <w:rFonts w:ascii="宋体" w:hAnsi="宋体" w:cs="仿宋"/>
                <w:bCs/>
                <w:color w:val="auto"/>
                <w:sz w:val="24"/>
                <w:highlight w:val="none"/>
              </w:rPr>
            </w:pPr>
            <w:r>
              <w:rPr>
                <w:rFonts w:hint="eastAsia" w:ascii="宋体" w:hAnsi="宋体" w:cs="仿宋"/>
                <w:bCs/>
                <w:color w:val="auto"/>
                <w:sz w:val="24"/>
                <w:highlight w:val="none"/>
              </w:rPr>
              <w:t>报价分</w:t>
            </w:r>
          </w:p>
        </w:tc>
        <w:tc>
          <w:tcPr>
            <w:tcW w:w="838" w:type="dxa"/>
            <w:tcBorders>
              <w:top w:val="single" w:color="auto" w:sz="4" w:space="0"/>
              <w:left w:val="single" w:color="auto" w:sz="4" w:space="0"/>
              <w:right w:val="single" w:color="auto" w:sz="4" w:space="0"/>
            </w:tcBorders>
            <w:vAlign w:val="center"/>
          </w:tcPr>
          <w:p>
            <w:pPr>
              <w:spacing w:line="360" w:lineRule="auto"/>
              <w:jc w:val="center"/>
              <w:rPr>
                <w:rFonts w:ascii="宋体" w:hAnsi="宋体" w:cs="仿宋"/>
                <w:bCs/>
                <w:color w:val="auto"/>
                <w:sz w:val="24"/>
                <w:highlight w:val="none"/>
              </w:rPr>
            </w:pPr>
            <w:r>
              <w:rPr>
                <w:rFonts w:hint="eastAsia" w:ascii="宋体" w:hAnsi="宋体" w:cs="仿宋"/>
                <w:bCs/>
                <w:color w:val="auto"/>
                <w:sz w:val="24"/>
                <w:highlight w:val="none"/>
              </w:rPr>
              <w:t>40</w:t>
            </w:r>
          </w:p>
        </w:tc>
        <w:tc>
          <w:tcPr>
            <w:tcW w:w="73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
                <w:bCs/>
                <w:color w:val="auto"/>
                <w:sz w:val="24"/>
                <w:highlight w:val="none"/>
              </w:rPr>
            </w:pPr>
            <w:r>
              <w:rPr>
                <w:rFonts w:hint="eastAsia" w:ascii="宋体" w:hAnsi="宋体" w:cs="仿宋"/>
                <w:bCs/>
                <w:color w:val="auto"/>
                <w:sz w:val="24"/>
                <w:highlight w:val="none"/>
              </w:rPr>
              <w:t>满足招标文件要求且最低的参与评审的价格为评标基准价，其价格分为满分。其他投标人的价格分统一按照下列公式计算：</w:t>
            </w:r>
          </w:p>
          <w:p>
            <w:pPr>
              <w:spacing w:line="360" w:lineRule="auto"/>
              <w:rPr>
                <w:rFonts w:ascii="宋体" w:hAnsi="宋体" w:cs="仿宋"/>
                <w:bCs/>
                <w:color w:val="auto"/>
                <w:sz w:val="24"/>
                <w:highlight w:val="none"/>
              </w:rPr>
            </w:pPr>
            <w:r>
              <w:rPr>
                <w:rFonts w:hint="eastAsia" w:ascii="宋体" w:hAnsi="宋体" w:cs="仿宋"/>
                <w:bCs/>
                <w:color w:val="auto"/>
                <w:sz w:val="24"/>
                <w:highlight w:val="none"/>
              </w:rPr>
              <w:t>投标报价得分=(评标基准价／各投标人的投标报价)×40%×100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6" w:hRule="atLeast"/>
          <w:jc w:val="center"/>
        </w:trPr>
        <w:tc>
          <w:tcPr>
            <w:tcW w:w="1381"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hint="default" w:ascii="宋体" w:hAnsi="宋体" w:eastAsia="宋体" w:cs="仿宋"/>
                <w:bCs/>
                <w:color w:val="auto"/>
                <w:sz w:val="24"/>
                <w:highlight w:val="none"/>
                <w:lang w:val="en-US" w:eastAsia="zh-CN"/>
              </w:rPr>
            </w:pPr>
            <w:r>
              <w:rPr>
                <w:rFonts w:hint="eastAsia" w:ascii="宋体" w:hAnsi="宋体" w:cs="仿宋"/>
                <w:bCs/>
                <w:color w:val="auto"/>
                <w:sz w:val="24"/>
                <w:highlight w:val="none"/>
                <w:lang w:val="en-US" w:eastAsia="zh-CN"/>
              </w:rPr>
              <w:t>技术参数响应性</w:t>
            </w:r>
          </w:p>
        </w:tc>
        <w:tc>
          <w:tcPr>
            <w:tcW w:w="838"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hint="default" w:ascii="宋体" w:hAnsi="宋体" w:eastAsia="宋体" w:cs="仿宋"/>
                <w:bCs/>
                <w:color w:val="auto"/>
                <w:sz w:val="24"/>
                <w:highlight w:val="none"/>
                <w:lang w:val="en-US" w:eastAsia="zh-CN"/>
              </w:rPr>
            </w:pPr>
            <w:r>
              <w:rPr>
                <w:rFonts w:hint="eastAsia" w:ascii="宋体" w:hAnsi="宋体" w:cs="仿宋"/>
                <w:bCs/>
                <w:color w:val="auto"/>
                <w:sz w:val="24"/>
                <w:highlight w:val="none"/>
                <w:lang w:val="en-US" w:eastAsia="zh-CN"/>
              </w:rPr>
              <w:t>26</w:t>
            </w:r>
          </w:p>
        </w:tc>
        <w:tc>
          <w:tcPr>
            <w:tcW w:w="738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 w:val="24"/>
                <w:highlight w:val="none"/>
                <w:shd w:val="clear" w:color="auto" w:fill="FFFFFF"/>
                <w:lang w:val="en-US" w:eastAsia="zh-CN"/>
              </w:rPr>
            </w:pPr>
            <w:r>
              <w:rPr>
                <w:rFonts w:hint="eastAsia" w:ascii="宋体" w:hAnsi="宋体" w:cs="宋体"/>
                <w:color w:val="auto"/>
                <w:sz w:val="24"/>
                <w:highlight w:val="none"/>
                <w:shd w:val="clear" w:color="auto" w:fill="FFFFFF"/>
              </w:rPr>
              <w:t>投标人所投</w:t>
            </w:r>
            <w:r>
              <w:rPr>
                <w:rFonts w:ascii="宋体" w:hAnsi="宋体" w:cs="宋体"/>
                <w:color w:val="auto"/>
                <w:sz w:val="24"/>
                <w:highlight w:val="none"/>
                <w:shd w:val="clear" w:color="auto" w:fill="FFFFFF"/>
              </w:rPr>
              <w:t>产品技术指标</w:t>
            </w:r>
            <w:r>
              <w:rPr>
                <w:rFonts w:hint="eastAsia" w:ascii="宋体" w:hAnsi="宋体" w:cs="宋体"/>
                <w:color w:val="auto"/>
                <w:sz w:val="24"/>
                <w:highlight w:val="none"/>
                <w:shd w:val="clear" w:color="auto" w:fill="FFFFFF"/>
                <w:lang w:val="en-US" w:eastAsia="zh-CN"/>
              </w:rPr>
              <w:t>完全符合采购文件《第三章采购需求》（一）产品技术要求附件中‘技术参数’要求的满分，标“●”技术参数为重要，每项负偏离扣</w:t>
            </w:r>
            <w:r>
              <w:rPr>
                <w:rFonts w:hint="eastAsia" w:ascii="宋体" w:hAnsi="宋体" w:cs="宋体"/>
                <w:b w:val="0"/>
                <w:bCs w:val="0"/>
                <w:color w:val="auto"/>
                <w:sz w:val="24"/>
                <w:highlight w:val="none"/>
                <w:shd w:val="clear" w:color="auto" w:fill="FFFFFF"/>
                <w:lang w:val="en-US" w:eastAsia="zh-CN"/>
              </w:rPr>
              <w:t>1分；</w:t>
            </w:r>
            <w:r>
              <w:rPr>
                <w:rFonts w:hint="eastAsia" w:ascii="宋体" w:hAnsi="宋体" w:cs="宋体"/>
                <w:color w:val="auto"/>
                <w:sz w:val="24"/>
                <w:highlight w:val="none"/>
                <w:shd w:val="clear" w:color="auto" w:fill="FFFFFF"/>
                <w:lang w:val="en-US" w:eastAsia="zh-CN"/>
              </w:rPr>
              <w:t>其余技术参数每项负偏离扣0.5分，扣完为止。</w:t>
            </w:r>
          </w:p>
          <w:p>
            <w:pPr>
              <w:spacing w:line="360" w:lineRule="auto"/>
              <w:rPr>
                <w:rFonts w:hint="default" w:ascii="宋体" w:hAnsi="宋体" w:eastAsia="宋体" w:cs="仿宋"/>
                <w:bCs/>
                <w:color w:val="auto"/>
                <w:sz w:val="24"/>
                <w:highlight w:val="none"/>
                <w:lang w:val="en-US" w:eastAsia="zh-CN"/>
              </w:rPr>
            </w:pPr>
            <w:r>
              <w:rPr>
                <w:rFonts w:hint="eastAsia" w:ascii="宋体" w:hAnsi="宋体" w:cs="宋体"/>
                <w:color w:val="auto"/>
                <w:sz w:val="24"/>
                <w:highlight w:val="none"/>
                <w:shd w:val="clear" w:color="auto" w:fill="FFFFFF"/>
                <w:lang w:val="en-US" w:eastAsia="zh-CN"/>
              </w:rPr>
              <w:t>注：同一种产品同一个参数只扣分1次，不重复扣分。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381" w:type="dxa"/>
            <w:tcBorders>
              <w:top w:val="single" w:color="auto" w:sz="4" w:space="0"/>
              <w:left w:val="single" w:color="auto" w:sz="4" w:space="0"/>
              <w:right w:val="single" w:color="auto" w:sz="4" w:space="0"/>
            </w:tcBorders>
            <w:vAlign w:val="center"/>
          </w:tcPr>
          <w:p>
            <w:pPr>
              <w:spacing w:line="360" w:lineRule="auto"/>
              <w:jc w:val="center"/>
              <w:rPr>
                <w:rFonts w:ascii="宋体" w:hAnsi="宋体" w:cs="仿宋"/>
                <w:bCs/>
                <w:color w:val="auto"/>
                <w:sz w:val="24"/>
                <w:highlight w:val="none"/>
              </w:rPr>
            </w:pPr>
            <w:r>
              <w:rPr>
                <w:rFonts w:hint="eastAsia" w:ascii="宋体" w:hAnsi="宋体" w:cs="仿宋"/>
                <w:bCs/>
                <w:color w:val="auto"/>
                <w:sz w:val="24"/>
                <w:highlight w:val="none"/>
              </w:rPr>
              <w:t>类似</w:t>
            </w:r>
          </w:p>
          <w:p>
            <w:pPr>
              <w:autoSpaceDE w:val="0"/>
              <w:autoSpaceDN w:val="0"/>
              <w:spacing w:line="360" w:lineRule="auto"/>
              <w:jc w:val="center"/>
              <w:rPr>
                <w:rFonts w:hint="eastAsia" w:cs="仿宋" w:asciiTheme="majorEastAsia" w:hAnsiTheme="majorEastAsia" w:eastAsiaTheme="majorEastAsia"/>
                <w:bCs/>
                <w:color w:val="auto"/>
                <w:kern w:val="2"/>
                <w:sz w:val="24"/>
                <w:szCs w:val="24"/>
                <w:highlight w:val="none"/>
                <w:lang w:val="en-US" w:eastAsia="zh-CN" w:bidi="ar-SA"/>
              </w:rPr>
            </w:pPr>
            <w:r>
              <w:rPr>
                <w:rFonts w:hint="eastAsia" w:ascii="宋体" w:hAnsi="宋体" w:cs="仿宋"/>
                <w:bCs/>
                <w:color w:val="auto"/>
                <w:sz w:val="24"/>
                <w:highlight w:val="none"/>
              </w:rPr>
              <w:t>业绩</w:t>
            </w:r>
          </w:p>
        </w:tc>
        <w:tc>
          <w:tcPr>
            <w:tcW w:w="838"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hint="default" w:cs="仿宋" w:asciiTheme="majorEastAsia" w:hAnsiTheme="majorEastAsia" w:eastAsiaTheme="majorEastAsia"/>
                <w:bCs/>
                <w:color w:val="auto"/>
                <w:kern w:val="2"/>
                <w:sz w:val="24"/>
                <w:szCs w:val="24"/>
                <w:highlight w:val="none"/>
                <w:lang w:val="en-US" w:eastAsia="zh-CN" w:bidi="ar-SA"/>
              </w:rPr>
            </w:pPr>
            <w:r>
              <w:rPr>
                <w:rFonts w:hint="eastAsia" w:cs="仿宋" w:asciiTheme="majorEastAsia" w:hAnsiTheme="majorEastAsia" w:eastAsiaTheme="majorEastAsia"/>
                <w:bCs/>
                <w:color w:val="auto"/>
                <w:kern w:val="2"/>
                <w:sz w:val="24"/>
                <w:szCs w:val="24"/>
                <w:highlight w:val="none"/>
                <w:lang w:val="en-US" w:eastAsia="zh-CN" w:bidi="ar-SA"/>
              </w:rPr>
              <w:t>3</w:t>
            </w:r>
          </w:p>
        </w:tc>
        <w:tc>
          <w:tcPr>
            <w:tcW w:w="73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
                <w:bCs/>
                <w:color w:val="auto"/>
                <w:sz w:val="24"/>
                <w:highlight w:val="none"/>
              </w:rPr>
            </w:pPr>
            <w:r>
              <w:rPr>
                <w:rFonts w:hint="eastAsia" w:ascii="宋体" w:hAnsi="宋体" w:cs="仿宋"/>
                <w:bCs/>
                <w:color w:val="auto"/>
                <w:sz w:val="24"/>
                <w:highlight w:val="none"/>
              </w:rPr>
              <w:t>202</w:t>
            </w:r>
            <w:r>
              <w:rPr>
                <w:rFonts w:hint="eastAsia" w:ascii="宋体" w:hAnsi="宋体" w:cs="仿宋"/>
                <w:bCs/>
                <w:color w:val="auto"/>
                <w:sz w:val="24"/>
                <w:highlight w:val="none"/>
                <w:lang w:val="en-US" w:eastAsia="zh-CN"/>
              </w:rPr>
              <w:t>2</w:t>
            </w:r>
            <w:r>
              <w:rPr>
                <w:rFonts w:hint="eastAsia" w:ascii="宋体" w:hAnsi="宋体" w:cs="仿宋"/>
                <w:bCs/>
                <w:color w:val="auto"/>
                <w:sz w:val="24"/>
                <w:highlight w:val="none"/>
              </w:rPr>
              <w:t>年1月1日至今，投标人完成过类似设备供货业绩。每完成过1个得1分，满分3分。</w:t>
            </w:r>
          </w:p>
          <w:p>
            <w:pPr>
              <w:spacing w:line="360" w:lineRule="auto"/>
              <w:rPr>
                <w:rFonts w:hint="eastAsia" w:cs="仿宋" w:asciiTheme="majorEastAsia" w:hAnsiTheme="majorEastAsia" w:eastAsiaTheme="majorEastAsia"/>
                <w:bCs/>
                <w:color w:val="auto"/>
                <w:kern w:val="2"/>
                <w:sz w:val="24"/>
                <w:szCs w:val="24"/>
                <w:highlight w:val="none"/>
                <w:lang w:val="en-US" w:eastAsia="zh-CN" w:bidi="ar-SA"/>
              </w:rPr>
            </w:pPr>
            <w:r>
              <w:rPr>
                <w:rFonts w:hint="eastAsia" w:ascii="宋体" w:hAnsi="宋体" w:cs="仿宋"/>
                <w:bCs/>
                <w:color w:val="auto"/>
                <w:sz w:val="24"/>
                <w:highlight w:val="none"/>
              </w:rPr>
              <w:t>注：投标文件中提供合同（协议）复印件加盖公章，未提供或不符合的不得分。合同（协议）须体现相关评审内容，否则业绩不予认可。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381"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hint="eastAsia" w:cs="仿宋" w:asciiTheme="majorEastAsia" w:hAnsiTheme="majorEastAsia" w:eastAsiaTheme="majorEastAsia"/>
                <w:bCs/>
                <w:color w:val="auto"/>
                <w:kern w:val="2"/>
                <w:sz w:val="24"/>
                <w:szCs w:val="24"/>
                <w:highlight w:val="none"/>
                <w:lang w:val="en-US" w:eastAsia="zh-CN" w:bidi="ar-SA"/>
              </w:rPr>
            </w:pPr>
            <w:r>
              <w:rPr>
                <w:rFonts w:hint="eastAsia" w:cs="仿宋" w:asciiTheme="majorEastAsia" w:hAnsiTheme="majorEastAsia" w:eastAsiaTheme="majorEastAsia"/>
                <w:bCs/>
                <w:color w:val="auto"/>
                <w:kern w:val="2"/>
                <w:sz w:val="24"/>
                <w:szCs w:val="24"/>
                <w:highlight w:val="none"/>
                <w:lang w:val="en-US" w:eastAsia="zh-CN" w:bidi="ar-SA"/>
              </w:rPr>
              <w:t>项目总体方案</w:t>
            </w:r>
          </w:p>
        </w:tc>
        <w:tc>
          <w:tcPr>
            <w:tcW w:w="838"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hint="default" w:cs="仿宋" w:asciiTheme="majorEastAsia" w:hAnsiTheme="majorEastAsia" w:eastAsiaTheme="majorEastAsia"/>
                <w:bCs/>
                <w:color w:val="auto"/>
                <w:kern w:val="2"/>
                <w:sz w:val="24"/>
                <w:szCs w:val="24"/>
                <w:highlight w:val="none"/>
                <w:lang w:val="en-US" w:eastAsia="zh-CN" w:bidi="ar-SA"/>
              </w:rPr>
            </w:pPr>
            <w:r>
              <w:rPr>
                <w:rFonts w:hint="eastAsia" w:cs="仿宋" w:asciiTheme="majorEastAsia" w:hAnsiTheme="majorEastAsia" w:eastAsiaTheme="majorEastAsia"/>
                <w:bCs/>
                <w:color w:val="auto"/>
                <w:kern w:val="2"/>
                <w:sz w:val="24"/>
                <w:szCs w:val="24"/>
                <w:highlight w:val="none"/>
                <w:lang w:val="en-US" w:eastAsia="zh-CN" w:bidi="ar-SA"/>
              </w:rPr>
              <w:t>5</w:t>
            </w:r>
          </w:p>
        </w:tc>
        <w:tc>
          <w:tcPr>
            <w:tcW w:w="738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s="仿宋" w:asciiTheme="majorEastAsia" w:hAnsiTheme="majorEastAsia" w:eastAsiaTheme="majorEastAsia"/>
                <w:bCs/>
                <w:color w:val="auto"/>
                <w:kern w:val="2"/>
                <w:sz w:val="24"/>
                <w:szCs w:val="24"/>
                <w:highlight w:val="none"/>
                <w:lang w:val="en-US" w:eastAsia="zh-CN" w:bidi="ar-SA"/>
              </w:rPr>
            </w:pPr>
            <w:r>
              <w:rPr>
                <w:rFonts w:hint="eastAsia" w:cs="仿宋" w:asciiTheme="majorEastAsia" w:hAnsiTheme="majorEastAsia" w:eastAsiaTheme="majorEastAsia"/>
                <w:bCs/>
                <w:color w:val="auto"/>
                <w:kern w:val="2"/>
                <w:sz w:val="24"/>
                <w:szCs w:val="24"/>
                <w:highlight w:val="none"/>
                <w:lang w:val="en-US" w:eastAsia="zh-CN" w:bidi="ar-SA"/>
              </w:rPr>
              <w:t>评委根据投标人项目总体方案（总体实施规划、整体进度控制）进行打分：</w:t>
            </w:r>
          </w:p>
          <w:p>
            <w:pPr>
              <w:spacing w:line="360" w:lineRule="auto"/>
              <w:rPr>
                <w:rFonts w:hint="eastAsia" w:cs="仿宋" w:asciiTheme="majorEastAsia" w:hAnsiTheme="majorEastAsia" w:eastAsiaTheme="majorEastAsia"/>
                <w:bCs/>
                <w:color w:val="auto"/>
                <w:kern w:val="2"/>
                <w:sz w:val="24"/>
                <w:szCs w:val="24"/>
                <w:highlight w:val="none"/>
                <w:lang w:val="en-US" w:eastAsia="zh-CN" w:bidi="ar-SA"/>
              </w:rPr>
            </w:pPr>
            <w:r>
              <w:rPr>
                <w:rFonts w:hint="eastAsia" w:cs="仿宋" w:asciiTheme="majorEastAsia" w:hAnsiTheme="majorEastAsia" w:eastAsiaTheme="majorEastAsia"/>
                <w:bCs/>
                <w:color w:val="auto"/>
                <w:kern w:val="2"/>
                <w:sz w:val="24"/>
                <w:szCs w:val="24"/>
                <w:highlight w:val="none"/>
                <w:lang w:val="en-US" w:eastAsia="zh-CN" w:bidi="ar-SA"/>
              </w:rPr>
              <w:t>总体实施规划完全结合项目实际，整体进度计划细化明确合理，进度保障措施合理，进度满足招标文件要求的得5分；</w:t>
            </w:r>
          </w:p>
          <w:p>
            <w:pPr>
              <w:spacing w:line="360" w:lineRule="auto"/>
              <w:rPr>
                <w:rFonts w:hint="eastAsia" w:cs="仿宋" w:asciiTheme="majorEastAsia" w:hAnsiTheme="majorEastAsia" w:eastAsiaTheme="majorEastAsia"/>
                <w:bCs/>
                <w:color w:val="auto"/>
                <w:kern w:val="2"/>
                <w:sz w:val="24"/>
                <w:szCs w:val="24"/>
                <w:highlight w:val="none"/>
                <w:lang w:val="en-US" w:eastAsia="zh-CN" w:bidi="ar-SA"/>
              </w:rPr>
            </w:pPr>
            <w:r>
              <w:rPr>
                <w:rFonts w:hint="eastAsia" w:cs="仿宋" w:asciiTheme="majorEastAsia" w:hAnsiTheme="majorEastAsia" w:eastAsiaTheme="majorEastAsia"/>
                <w:bCs/>
                <w:color w:val="auto"/>
                <w:kern w:val="2"/>
                <w:sz w:val="24"/>
                <w:szCs w:val="24"/>
                <w:highlight w:val="none"/>
                <w:lang w:val="en-US" w:eastAsia="zh-CN" w:bidi="ar-SA"/>
              </w:rPr>
              <w:t>总体实施规划部分结合项目实际，整体进度有不够细化，进度保障措施较合理，进度计划具有一定的操作性且满足招标文件要求的得3分；</w:t>
            </w:r>
          </w:p>
          <w:p>
            <w:pPr>
              <w:spacing w:line="360" w:lineRule="auto"/>
              <w:rPr>
                <w:rFonts w:hint="eastAsia" w:cs="仿宋" w:asciiTheme="majorEastAsia" w:hAnsiTheme="majorEastAsia" w:eastAsiaTheme="majorEastAsia"/>
                <w:bCs/>
                <w:color w:val="auto"/>
                <w:kern w:val="2"/>
                <w:sz w:val="24"/>
                <w:szCs w:val="24"/>
                <w:highlight w:val="none"/>
                <w:lang w:val="en-US" w:eastAsia="zh-CN" w:bidi="ar-SA"/>
              </w:rPr>
            </w:pPr>
            <w:r>
              <w:rPr>
                <w:rFonts w:hint="eastAsia" w:cs="仿宋" w:asciiTheme="majorEastAsia" w:hAnsiTheme="majorEastAsia" w:eastAsiaTheme="majorEastAsia"/>
                <w:bCs/>
                <w:color w:val="auto"/>
                <w:kern w:val="2"/>
                <w:sz w:val="24"/>
                <w:szCs w:val="24"/>
                <w:highlight w:val="none"/>
                <w:lang w:val="en-US" w:eastAsia="zh-CN" w:bidi="ar-SA"/>
              </w:rPr>
              <w:t>总体实施规划脱离实际情况，整体进度计划笼统、不合理，进度保障措施不合理，进度计划不具有操作性的得1分；</w:t>
            </w:r>
          </w:p>
          <w:p>
            <w:pPr>
              <w:spacing w:line="360" w:lineRule="auto"/>
              <w:rPr>
                <w:rFonts w:hint="default" w:cs="仿宋" w:asciiTheme="majorEastAsia" w:hAnsiTheme="majorEastAsia" w:eastAsiaTheme="majorEastAsia"/>
                <w:bCs/>
                <w:color w:val="auto"/>
                <w:kern w:val="2"/>
                <w:sz w:val="24"/>
                <w:szCs w:val="24"/>
                <w:highlight w:val="none"/>
                <w:lang w:val="en-US" w:eastAsia="zh-CN" w:bidi="ar-SA"/>
              </w:rPr>
            </w:pPr>
            <w:r>
              <w:rPr>
                <w:rFonts w:hint="eastAsia" w:ascii="宋体" w:hAnsi="宋体" w:eastAsia="宋体" w:cs="仿宋"/>
                <w:bCs/>
                <w:color w:val="auto"/>
                <w:kern w:val="2"/>
                <w:sz w:val="24"/>
                <w:szCs w:val="24"/>
                <w:highlight w:val="none"/>
                <w:u w:color="000000"/>
                <w:rtl w:val="0"/>
                <w:lang w:val="en-US" w:eastAsia="zh-CN" w:bidi="ar-SA"/>
              </w:rPr>
              <w:t>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381"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仿宋"/>
                <w:bCs/>
                <w:color w:val="auto"/>
                <w:kern w:val="2"/>
                <w:sz w:val="24"/>
                <w:szCs w:val="24"/>
                <w:highlight w:val="none"/>
                <w:lang w:val="en-US" w:eastAsia="zh-CN" w:bidi="ar-SA"/>
              </w:rPr>
            </w:pPr>
            <w:r>
              <w:rPr>
                <w:rFonts w:hint="eastAsia" w:ascii="宋体" w:hAnsi="宋体" w:cs="仿宋"/>
                <w:bCs/>
                <w:color w:val="auto"/>
                <w:kern w:val="2"/>
                <w:sz w:val="24"/>
                <w:szCs w:val="24"/>
                <w:highlight w:val="none"/>
                <w:lang w:val="en-US" w:eastAsia="zh-CN" w:bidi="ar-SA"/>
              </w:rPr>
              <w:t>供货方案</w:t>
            </w:r>
          </w:p>
        </w:tc>
        <w:tc>
          <w:tcPr>
            <w:tcW w:w="838" w:type="dxa"/>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仿宋"/>
                <w:bCs/>
                <w:color w:val="auto"/>
                <w:kern w:val="2"/>
                <w:sz w:val="24"/>
                <w:szCs w:val="24"/>
                <w:highlight w:val="none"/>
                <w:lang w:val="en-US" w:eastAsia="zh-CN" w:bidi="ar-SA"/>
              </w:rPr>
            </w:pPr>
            <w:r>
              <w:rPr>
                <w:rFonts w:hint="eastAsia" w:ascii="宋体" w:hAnsi="宋体" w:cs="仿宋"/>
                <w:bCs/>
                <w:color w:val="auto"/>
                <w:kern w:val="2"/>
                <w:sz w:val="24"/>
                <w:szCs w:val="24"/>
                <w:highlight w:val="none"/>
                <w:lang w:val="en-US" w:eastAsia="zh-CN" w:bidi="ar-SA"/>
              </w:rPr>
              <w:t>5</w:t>
            </w:r>
          </w:p>
        </w:tc>
        <w:tc>
          <w:tcPr>
            <w:tcW w:w="738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仿宋"/>
                <w:bCs/>
                <w:color w:val="auto"/>
                <w:kern w:val="2"/>
                <w:sz w:val="24"/>
                <w:szCs w:val="24"/>
                <w:highlight w:val="none"/>
                <w:u w:color="000000"/>
                <w:rtl w:val="0"/>
                <w:lang w:val="en-US" w:eastAsia="zh-CN" w:bidi="ar-SA"/>
              </w:rPr>
            </w:pPr>
            <w:r>
              <w:rPr>
                <w:rFonts w:hint="eastAsia" w:ascii="宋体" w:hAnsi="宋体" w:eastAsia="宋体" w:cs="仿宋"/>
                <w:bCs/>
                <w:color w:val="auto"/>
                <w:kern w:val="2"/>
                <w:sz w:val="24"/>
                <w:szCs w:val="24"/>
                <w:highlight w:val="none"/>
                <w:u w:color="000000"/>
                <w:rtl w:val="0"/>
                <w:lang w:val="en-US" w:eastAsia="zh-CN" w:bidi="ar-SA"/>
              </w:rPr>
              <w:t>根据投标人提供的</w:t>
            </w:r>
            <w:r>
              <w:rPr>
                <w:rFonts w:hint="eastAsia" w:ascii="宋体" w:hAnsi="宋体" w:cs="仿宋"/>
                <w:bCs/>
                <w:color w:val="auto"/>
                <w:kern w:val="2"/>
                <w:sz w:val="24"/>
                <w:szCs w:val="24"/>
                <w:highlight w:val="none"/>
                <w:lang w:val="en-US" w:eastAsia="zh-CN" w:bidi="ar-SA"/>
              </w:rPr>
              <w:t>供货方案（制造、运输、成品保护、交货计划）进行打分：</w:t>
            </w:r>
          </w:p>
          <w:p>
            <w:pPr>
              <w:spacing w:line="360" w:lineRule="auto"/>
              <w:rPr>
                <w:rFonts w:hint="eastAsia" w:ascii="宋体" w:hAnsi="宋体" w:eastAsia="宋体" w:cs="仿宋"/>
                <w:bCs/>
                <w:color w:val="auto"/>
                <w:kern w:val="2"/>
                <w:sz w:val="24"/>
                <w:szCs w:val="24"/>
                <w:highlight w:val="none"/>
                <w:u w:color="000000"/>
                <w:rtl w:val="0"/>
                <w:lang w:val="en-US" w:eastAsia="zh-CN" w:bidi="ar-SA"/>
              </w:rPr>
            </w:pPr>
            <w:r>
              <w:rPr>
                <w:rFonts w:hint="eastAsia" w:ascii="宋体" w:hAnsi="宋体" w:eastAsia="宋体" w:cs="仿宋"/>
                <w:bCs/>
                <w:color w:val="auto"/>
                <w:kern w:val="2"/>
                <w:sz w:val="24"/>
                <w:szCs w:val="24"/>
                <w:highlight w:val="none"/>
                <w:u w:color="000000"/>
                <w:rtl w:val="0"/>
                <w:lang w:val="en-US" w:eastAsia="zh-CN" w:bidi="ar-SA"/>
              </w:rPr>
              <w:t>供货方案详细完善，针对性强，时间节点时间安排合理，操作性强的得</w:t>
            </w:r>
            <w:r>
              <w:rPr>
                <w:rFonts w:hint="eastAsia" w:ascii="宋体" w:hAnsi="宋体" w:cs="仿宋"/>
                <w:bCs/>
                <w:color w:val="auto"/>
                <w:kern w:val="2"/>
                <w:sz w:val="24"/>
                <w:szCs w:val="24"/>
                <w:highlight w:val="none"/>
                <w:u w:color="000000"/>
                <w:rtl w:val="0"/>
                <w:lang w:val="en-US" w:eastAsia="zh-CN" w:bidi="ar-SA"/>
              </w:rPr>
              <w:t>5</w:t>
            </w:r>
            <w:r>
              <w:rPr>
                <w:rFonts w:hint="eastAsia" w:ascii="宋体" w:hAnsi="宋体" w:eastAsia="宋体" w:cs="仿宋"/>
                <w:bCs/>
                <w:color w:val="auto"/>
                <w:kern w:val="2"/>
                <w:sz w:val="24"/>
                <w:szCs w:val="24"/>
                <w:highlight w:val="none"/>
                <w:u w:color="000000"/>
                <w:rtl w:val="0"/>
                <w:lang w:val="en-US" w:eastAsia="zh-CN" w:bidi="ar-SA"/>
              </w:rPr>
              <w:t>分；</w:t>
            </w:r>
          </w:p>
          <w:p>
            <w:pPr>
              <w:spacing w:line="360" w:lineRule="auto"/>
              <w:rPr>
                <w:rFonts w:hint="eastAsia" w:ascii="宋体" w:hAnsi="宋体" w:eastAsia="宋体" w:cs="仿宋"/>
                <w:bCs/>
                <w:color w:val="auto"/>
                <w:kern w:val="2"/>
                <w:sz w:val="24"/>
                <w:szCs w:val="24"/>
                <w:highlight w:val="none"/>
                <w:u w:color="000000"/>
                <w:rtl w:val="0"/>
                <w:lang w:val="en-US" w:eastAsia="zh-CN" w:bidi="ar-SA"/>
              </w:rPr>
            </w:pPr>
            <w:r>
              <w:rPr>
                <w:rFonts w:hint="eastAsia" w:ascii="宋体" w:hAnsi="宋体" w:eastAsia="宋体" w:cs="仿宋"/>
                <w:bCs/>
                <w:color w:val="auto"/>
                <w:kern w:val="2"/>
                <w:sz w:val="24"/>
                <w:szCs w:val="24"/>
                <w:highlight w:val="none"/>
                <w:u w:color="000000"/>
                <w:rtl w:val="0"/>
                <w:lang w:val="en-US" w:eastAsia="zh-CN" w:bidi="ar-SA"/>
              </w:rPr>
              <w:t>供货方案较详细、有一定针对性、时间节点安排较合理、具有操作性的得</w:t>
            </w:r>
            <w:r>
              <w:rPr>
                <w:rFonts w:hint="eastAsia" w:ascii="宋体" w:hAnsi="宋体" w:cs="仿宋"/>
                <w:bCs/>
                <w:color w:val="auto"/>
                <w:kern w:val="2"/>
                <w:sz w:val="24"/>
                <w:szCs w:val="24"/>
                <w:highlight w:val="none"/>
                <w:u w:color="000000"/>
                <w:rtl w:val="0"/>
                <w:lang w:val="en-US" w:eastAsia="zh-CN" w:bidi="ar-SA"/>
              </w:rPr>
              <w:t>3</w:t>
            </w:r>
            <w:r>
              <w:rPr>
                <w:rFonts w:hint="eastAsia" w:ascii="宋体" w:hAnsi="宋体" w:eastAsia="宋体" w:cs="仿宋"/>
                <w:bCs/>
                <w:color w:val="auto"/>
                <w:kern w:val="2"/>
                <w:sz w:val="24"/>
                <w:szCs w:val="24"/>
                <w:highlight w:val="none"/>
                <w:u w:color="000000"/>
                <w:rtl w:val="0"/>
                <w:lang w:val="en-US" w:eastAsia="zh-CN" w:bidi="ar-SA"/>
              </w:rPr>
              <w:t>分；</w:t>
            </w:r>
          </w:p>
          <w:p>
            <w:pPr>
              <w:spacing w:line="360" w:lineRule="auto"/>
              <w:rPr>
                <w:rFonts w:hint="eastAsia" w:ascii="宋体" w:hAnsi="宋体" w:eastAsia="宋体" w:cs="仿宋"/>
                <w:bCs/>
                <w:color w:val="auto"/>
                <w:kern w:val="2"/>
                <w:sz w:val="24"/>
                <w:szCs w:val="24"/>
                <w:highlight w:val="none"/>
                <w:u w:color="000000"/>
                <w:rtl w:val="0"/>
                <w:lang w:val="en-US" w:eastAsia="zh-CN" w:bidi="ar-SA"/>
              </w:rPr>
            </w:pPr>
            <w:r>
              <w:rPr>
                <w:rFonts w:hint="eastAsia" w:ascii="宋体" w:hAnsi="宋体" w:eastAsia="宋体" w:cs="仿宋"/>
                <w:bCs/>
                <w:color w:val="auto"/>
                <w:kern w:val="2"/>
                <w:sz w:val="24"/>
                <w:szCs w:val="24"/>
                <w:highlight w:val="none"/>
                <w:u w:color="000000"/>
                <w:rtl w:val="0"/>
                <w:lang w:val="en-US" w:eastAsia="zh-CN" w:bidi="ar-SA"/>
              </w:rPr>
              <w:t>供货方案内容简单、缺乏针对性、时间安排不合理、操作性差的得1分；</w:t>
            </w:r>
          </w:p>
          <w:p>
            <w:pPr>
              <w:spacing w:line="360" w:lineRule="auto"/>
              <w:rPr>
                <w:rFonts w:hint="eastAsia" w:ascii="Times New Roman" w:hAnsi="Times New Roman" w:eastAsia="宋体" w:cs="Times New Roman"/>
                <w:color w:val="auto"/>
                <w:kern w:val="2"/>
                <w:sz w:val="21"/>
                <w:szCs w:val="24"/>
                <w:highlight w:val="none"/>
                <w:rtl w:val="0"/>
                <w:lang w:val="en-US" w:eastAsia="zh-CN" w:bidi="ar-SA"/>
              </w:rPr>
            </w:pPr>
            <w:r>
              <w:rPr>
                <w:rFonts w:hint="eastAsia" w:ascii="宋体" w:hAnsi="宋体" w:eastAsia="宋体" w:cs="仿宋"/>
                <w:bCs/>
                <w:color w:val="auto"/>
                <w:kern w:val="2"/>
                <w:sz w:val="24"/>
                <w:szCs w:val="24"/>
                <w:highlight w:val="none"/>
                <w:u w:color="000000"/>
                <w:rtl w:val="0"/>
                <w:lang w:val="en-US" w:eastAsia="zh-CN" w:bidi="ar-SA"/>
              </w:rPr>
              <w:t>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381"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仿宋"/>
                <w:bCs/>
                <w:color w:val="auto"/>
                <w:kern w:val="2"/>
                <w:sz w:val="24"/>
                <w:szCs w:val="24"/>
                <w:highlight w:val="none"/>
                <w:lang w:val="en-US" w:eastAsia="zh-CN" w:bidi="ar-SA"/>
              </w:rPr>
            </w:pPr>
            <w:r>
              <w:rPr>
                <w:rFonts w:hint="eastAsia" w:ascii="宋体" w:hAnsi="宋体" w:eastAsia="宋体" w:cs="仿宋"/>
                <w:bCs/>
                <w:color w:val="auto"/>
                <w:sz w:val="24"/>
                <w:highlight w:val="none"/>
                <w:lang w:val="en-US" w:eastAsia="zh-CN"/>
              </w:rPr>
              <w:t>安装调试及验收</w:t>
            </w:r>
          </w:p>
        </w:tc>
        <w:tc>
          <w:tcPr>
            <w:tcW w:w="838" w:type="dxa"/>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仿宋"/>
                <w:bCs/>
                <w:color w:val="auto"/>
                <w:kern w:val="2"/>
                <w:sz w:val="24"/>
                <w:szCs w:val="24"/>
                <w:highlight w:val="none"/>
                <w:lang w:val="en-US" w:eastAsia="zh-CN" w:bidi="ar-SA"/>
              </w:rPr>
            </w:pPr>
            <w:r>
              <w:rPr>
                <w:rFonts w:hint="eastAsia" w:ascii="宋体" w:hAnsi="宋体" w:cs="仿宋"/>
                <w:bCs/>
                <w:color w:val="auto"/>
                <w:kern w:val="2"/>
                <w:sz w:val="24"/>
                <w:szCs w:val="24"/>
                <w:highlight w:val="none"/>
                <w:lang w:val="en-US" w:eastAsia="zh-CN" w:bidi="ar-SA"/>
              </w:rPr>
              <w:t>5</w:t>
            </w:r>
          </w:p>
        </w:tc>
        <w:tc>
          <w:tcPr>
            <w:tcW w:w="7383"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仿宋"/>
                <w:bCs/>
                <w:color w:val="auto"/>
                <w:kern w:val="2"/>
                <w:sz w:val="24"/>
                <w:szCs w:val="24"/>
                <w:highlight w:val="none"/>
                <w:u w:color="000000"/>
                <w:rtl w:val="0"/>
                <w:lang w:val="en-US" w:eastAsia="zh-CN" w:bidi="ar-SA"/>
              </w:rPr>
            </w:pPr>
            <w:r>
              <w:rPr>
                <w:rFonts w:hint="eastAsia" w:ascii="宋体" w:hAnsi="宋体" w:eastAsia="宋体" w:cs="仿宋"/>
                <w:bCs/>
                <w:color w:val="auto"/>
                <w:kern w:val="2"/>
                <w:sz w:val="24"/>
                <w:szCs w:val="24"/>
                <w:highlight w:val="none"/>
                <w:u w:color="000000"/>
                <w:rtl w:val="0"/>
                <w:lang w:val="en-US" w:eastAsia="zh-CN" w:bidi="ar-SA"/>
              </w:rPr>
              <w:t>根据投标人提供的安装调试方案（设备的安装流程及规范，调试流程及调试计划，设备的验收指标体系和试运行计划及验收）进行评分：</w:t>
            </w:r>
          </w:p>
          <w:p>
            <w:pPr>
              <w:spacing w:line="360" w:lineRule="auto"/>
              <w:rPr>
                <w:rFonts w:hint="eastAsia" w:ascii="宋体" w:hAnsi="宋体" w:eastAsia="宋体" w:cs="仿宋"/>
                <w:bCs/>
                <w:color w:val="auto"/>
                <w:kern w:val="2"/>
                <w:sz w:val="24"/>
                <w:szCs w:val="24"/>
                <w:highlight w:val="none"/>
                <w:u w:color="000000"/>
                <w:rtl w:val="0"/>
                <w:lang w:val="en-US" w:eastAsia="zh-CN" w:bidi="ar-SA"/>
              </w:rPr>
            </w:pPr>
            <w:r>
              <w:rPr>
                <w:rFonts w:hint="eastAsia" w:ascii="宋体" w:hAnsi="宋体" w:eastAsia="宋体" w:cs="仿宋"/>
                <w:bCs/>
                <w:color w:val="auto"/>
                <w:kern w:val="2"/>
                <w:sz w:val="24"/>
                <w:szCs w:val="24"/>
                <w:highlight w:val="none"/>
                <w:u w:color="000000"/>
                <w:rtl w:val="0"/>
                <w:lang w:val="en-US" w:eastAsia="zh-CN" w:bidi="ar-SA"/>
              </w:rPr>
              <w:t>方案考虑充分，措施有效的得</w:t>
            </w:r>
            <w:r>
              <w:rPr>
                <w:rFonts w:hint="eastAsia" w:ascii="宋体" w:hAnsi="宋体" w:cs="仿宋"/>
                <w:bCs/>
                <w:color w:val="auto"/>
                <w:kern w:val="2"/>
                <w:sz w:val="24"/>
                <w:szCs w:val="24"/>
                <w:highlight w:val="none"/>
                <w:u w:color="000000"/>
                <w:rtl w:val="0"/>
                <w:lang w:val="en-US" w:eastAsia="zh-CN" w:bidi="ar-SA"/>
              </w:rPr>
              <w:t>5</w:t>
            </w:r>
            <w:r>
              <w:rPr>
                <w:rFonts w:hint="eastAsia" w:ascii="宋体" w:hAnsi="宋体" w:eastAsia="宋体" w:cs="仿宋"/>
                <w:bCs/>
                <w:color w:val="auto"/>
                <w:kern w:val="2"/>
                <w:sz w:val="24"/>
                <w:szCs w:val="24"/>
                <w:highlight w:val="none"/>
                <w:u w:color="000000"/>
                <w:rtl w:val="0"/>
                <w:lang w:val="en-US" w:eastAsia="zh-CN" w:bidi="ar-SA"/>
              </w:rPr>
              <w:t>分；</w:t>
            </w:r>
          </w:p>
          <w:p>
            <w:pPr>
              <w:spacing w:line="360" w:lineRule="auto"/>
              <w:rPr>
                <w:rFonts w:hint="eastAsia" w:ascii="宋体" w:hAnsi="宋体" w:eastAsia="宋体" w:cs="仿宋"/>
                <w:bCs/>
                <w:color w:val="auto"/>
                <w:kern w:val="2"/>
                <w:sz w:val="24"/>
                <w:szCs w:val="24"/>
                <w:highlight w:val="none"/>
                <w:u w:color="000000"/>
                <w:rtl w:val="0"/>
                <w:lang w:val="en-US" w:eastAsia="zh-CN" w:bidi="ar-SA"/>
              </w:rPr>
            </w:pPr>
            <w:r>
              <w:rPr>
                <w:rFonts w:hint="eastAsia" w:ascii="宋体" w:hAnsi="宋体" w:eastAsia="宋体" w:cs="仿宋"/>
                <w:bCs/>
                <w:color w:val="auto"/>
                <w:kern w:val="2"/>
                <w:sz w:val="24"/>
                <w:szCs w:val="24"/>
                <w:highlight w:val="none"/>
                <w:u w:color="000000"/>
                <w:rtl w:val="0"/>
                <w:lang w:val="en-US" w:eastAsia="zh-CN" w:bidi="ar-SA"/>
              </w:rPr>
              <w:t>方案合理，措施一般的得</w:t>
            </w:r>
            <w:r>
              <w:rPr>
                <w:rFonts w:hint="eastAsia" w:ascii="宋体" w:hAnsi="宋体" w:cs="仿宋"/>
                <w:bCs/>
                <w:color w:val="auto"/>
                <w:kern w:val="2"/>
                <w:sz w:val="24"/>
                <w:szCs w:val="24"/>
                <w:highlight w:val="none"/>
                <w:u w:color="000000"/>
                <w:rtl w:val="0"/>
                <w:lang w:val="en-US" w:eastAsia="zh-CN" w:bidi="ar-SA"/>
              </w:rPr>
              <w:t>3</w:t>
            </w:r>
            <w:r>
              <w:rPr>
                <w:rFonts w:hint="eastAsia" w:ascii="宋体" w:hAnsi="宋体" w:eastAsia="宋体" w:cs="仿宋"/>
                <w:bCs/>
                <w:color w:val="auto"/>
                <w:kern w:val="2"/>
                <w:sz w:val="24"/>
                <w:szCs w:val="24"/>
                <w:highlight w:val="none"/>
                <w:u w:color="000000"/>
                <w:rtl w:val="0"/>
                <w:lang w:val="en-US" w:eastAsia="zh-CN" w:bidi="ar-SA"/>
              </w:rPr>
              <w:t>分；</w:t>
            </w:r>
          </w:p>
          <w:p>
            <w:pPr>
              <w:spacing w:line="360" w:lineRule="auto"/>
              <w:rPr>
                <w:rFonts w:hint="eastAsia" w:ascii="宋体" w:hAnsi="宋体" w:eastAsia="宋体" w:cs="仿宋"/>
                <w:bCs/>
                <w:color w:val="auto"/>
                <w:kern w:val="2"/>
                <w:sz w:val="24"/>
                <w:szCs w:val="24"/>
                <w:highlight w:val="none"/>
                <w:u w:color="000000"/>
                <w:rtl w:val="0"/>
                <w:lang w:val="en-US" w:eastAsia="zh-CN" w:bidi="ar-SA"/>
              </w:rPr>
            </w:pPr>
            <w:r>
              <w:rPr>
                <w:rFonts w:hint="eastAsia" w:ascii="宋体" w:hAnsi="宋体" w:eastAsia="宋体" w:cs="仿宋"/>
                <w:bCs/>
                <w:color w:val="auto"/>
                <w:kern w:val="2"/>
                <w:sz w:val="24"/>
                <w:szCs w:val="24"/>
                <w:highlight w:val="none"/>
                <w:u w:color="000000"/>
                <w:rtl w:val="0"/>
                <w:lang w:val="en-US" w:eastAsia="zh-CN" w:bidi="ar-SA"/>
              </w:rPr>
              <w:t>方案有缺陷的得1分；</w:t>
            </w:r>
          </w:p>
          <w:p>
            <w:pPr>
              <w:spacing w:line="360" w:lineRule="auto"/>
              <w:rPr>
                <w:rFonts w:hint="eastAsia" w:ascii="宋体" w:hAnsi="宋体" w:eastAsia="宋体" w:cs="仿宋"/>
                <w:bCs/>
                <w:color w:val="auto"/>
                <w:kern w:val="2"/>
                <w:sz w:val="24"/>
                <w:szCs w:val="24"/>
                <w:highlight w:val="none"/>
                <w:u w:color="000000"/>
                <w:rtl w:val="0"/>
                <w:lang w:val="en-US" w:eastAsia="zh-CN" w:bidi="ar-SA"/>
              </w:rPr>
            </w:pPr>
            <w:r>
              <w:rPr>
                <w:rFonts w:hint="eastAsia" w:ascii="宋体" w:hAnsi="宋体" w:eastAsia="宋体" w:cs="仿宋"/>
                <w:bCs/>
                <w:color w:val="auto"/>
                <w:kern w:val="2"/>
                <w:sz w:val="24"/>
                <w:szCs w:val="24"/>
                <w:highlight w:val="none"/>
                <w:rtl w:val="0"/>
                <w:lang w:val="en-US" w:eastAsia="zh-CN" w:bidi="ar-SA"/>
              </w:rPr>
              <w:t>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仿宋"/>
                <w:bCs/>
                <w:color w:val="auto"/>
                <w:kern w:val="2"/>
                <w:sz w:val="24"/>
                <w:szCs w:val="24"/>
                <w:highlight w:val="none"/>
                <w:lang w:val="en-US" w:eastAsia="zh-CN" w:bidi="ar-SA"/>
              </w:rPr>
            </w:pPr>
            <w:r>
              <w:rPr>
                <w:rFonts w:hint="eastAsia" w:ascii="宋体" w:hAnsi="宋体" w:cs="仿宋"/>
                <w:bCs/>
                <w:color w:val="auto"/>
                <w:kern w:val="2"/>
                <w:sz w:val="24"/>
                <w:szCs w:val="24"/>
                <w:highlight w:val="none"/>
                <w:lang w:val="en-US" w:eastAsia="zh-CN" w:bidi="ar-SA"/>
              </w:rPr>
              <w:t>实施团队</w:t>
            </w:r>
          </w:p>
        </w:tc>
        <w:tc>
          <w:tcPr>
            <w:tcW w:w="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仿宋"/>
                <w:bCs/>
                <w:color w:val="auto"/>
                <w:kern w:val="2"/>
                <w:sz w:val="24"/>
                <w:szCs w:val="24"/>
                <w:highlight w:val="none"/>
                <w:lang w:val="en-US" w:eastAsia="zh-CN" w:bidi="ar-SA"/>
              </w:rPr>
            </w:pPr>
            <w:r>
              <w:rPr>
                <w:rFonts w:hint="eastAsia" w:ascii="宋体" w:hAnsi="宋体" w:cs="仿宋"/>
                <w:bCs/>
                <w:color w:val="auto"/>
                <w:kern w:val="2"/>
                <w:sz w:val="24"/>
                <w:szCs w:val="24"/>
                <w:highlight w:val="none"/>
                <w:lang w:val="en-US" w:eastAsia="zh-CN" w:bidi="ar-SA"/>
              </w:rPr>
              <w:t>5</w:t>
            </w:r>
          </w:p>
        </w:tc>
        <w:tc>
          <w:tcPr>
            <w:tcW w:w="738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仿宋"/>
                <w:bCs/>
                <w:color w:val="auto"/>
                <w:kern w:val="2"/>
                <w:sz w:val="24"/>
                <w:szCs w:val="24"/>
                <w:highlight w:val="none"/>
                <w:rtl w:val="0"/>
                <w:lang w:val="en-US" w:eastAsia="zh-CN" w:bidi="ar-SA"/>
              </w:rPr>
            </w:pPr>
            <w:r>
              <w:rPr>
                <w:rFonts w:hint="eastAsia" w:ascii="宋体" w:hAnsi="宋体" w:eastAsia="宋体" w:cs="仿宋"/>
                <w:bCs/>
                <w:color w:val="auto"/>
                <w:kern w:val="2"/>
                <w:sz w:val="24"/>
                <w:szCs w:val="24"/>
                <w:highlight w:val="none"/>
                <w:rtl w:val="0"/>
                <w:lang w:val="en-US" w:eastAsia="zh-CN" w:bidi="ar-SA"/>
              </w:rPr>
              <w:t>根据投标人项目</w:t>
            </w:r>
            <w:r>
              <w:rPr>
                <w:rFonts w:hint="eastAsia" w:ascii="宋体" w:hAnsi="宋体" w:cs="仿宋"/>
                <w:bCs/>
                <w:color w:val="auto"/>
                <w:kern w:val="2"/>
                <w:sz w:val="24"/>
                <w:szCs w:val="24"/>
                <w:highlight w:val="none"/>
                <w:lang w:val="en-US" w:eastAsia="zh-CN" w:bidi="ar-SA"/>
              </w:rPr>
              <w:t>实施团队（人员配置、人员素质、人员投入是否服务进度要求）</w:t>
            </w:r>
            <w:r>
              <w:rPr>
                <w:rFonts w:hint="eastAsia" w:ascii="宋体" w:hAnsi="宋体" w:eastAsia="宋体" w:cs="仿宋"/>
                <w:bCs/>
                <w:color w:val="auto"/>
                <w:kern w:val="2"/>
                <w:sz w:val="24"/>
                <w:szCs w:val="24"/>
                <w:highlight w:val="none"/>
                <w:rtl w:val="0"/>
                <w:lang w:val="en-US" w:eastAsia="zh-CN" w:bidi="ar-SA"/>
              </w:rPr>
              <w:t>进行打分：</w:t>
            </w:r>
          </w:p>
          <w:p>
            <w:pPr>
              <w:spacing w:line="360" w:lineRule="auto"/>
              <w:rPr>
                <w:rFonts w:hint="eastAsia" w:ascii="宋体" w:hAnsi="宋体" w:eastAsia="宋体" w:cs="仿宋"/>
                <w:bCs/>
                <w:color w:val="auto"/>
                <w:kern w:val="2"/>
                <w:sz w:val="24"/>
                <w:szCs w:val="24"/>
                <w:highlight w:val="none"/>
                <w:rtl w:val="0"/>
                <w:lang w:val="en-US" w:eastAsia="zh-CN" w:bidi="ar-SA"/>
              </w:rPr>
            </w:pPr>
            <w:r>
              <w:rPr>
                <w:rFonts w:hint="eastAsia" w:ascii="宋体" w:hAnsi="宋体" w:cs="仿宋"/>
                <w:bCs/>
                <w:color w:val="auto"/>
                <w:kern w:val="2"/>
                <w:sz w:val="24"/>
                <w:szCs w:val="24"/>
                <w:highlight w:val="none"/>
                <w:lang w:val="en-US" w:eastAsia="zh-CN" w:bidi="ar-SA"/>
              </w:rPr>
              <w:t>实施</w:t>
            </w:r>
            <w:r>
              <w:rPr>
                <w:rFonts w:hint="eastAsia" w:ascii="宋体" w:hAnsi="宋体" w:eastAsia="宋体" w:cs="仿宋"/>
                <w:bCs/>
                <w:color w:val="auto"/>
                <w:kern w:val="2"/>
                <w:sz w:val="24"/>
                <w:szCs w:val="24"/>
                <w:highlight w:val="none"/>
                <w:rtl w:val="0"/>
                <w:lang w:val="en-US" w:eastAsia="zh-CN" w:bidi="ar-SA"/>
              </w:rPr>
              <w:t>团队配置合理、专业性强，有明确分工，能完全满足项目要求的得5分；</w:t>
            </w:r>
          </w:p>
          <w:p>
            <w:pPr>
              <w:spacing w:line="360" w:lineRule="auto"/>
              <w:rPr>
                <w:rFonts w:hint="default" w:ascii="宋体" w:hAnsi="宋体" w:eastAsia="宋体" w:cs="仿宋"/>
                <w:bCs/>
                <w:color w:val="auto"/>
                <w:kern w:val="2"/>
                <w:sz w:val="24"/>
                <w:szCs w:val="24"/>
                <w:highlight w:val="none"/>
                <w:rtl w:val="0"/>
                <w:lang w:val="en-US" w:eastAsia="zh-CN" w:bidi="ar-SA"/>
              </w:rPr>
            </w:pPr>
            <w:r>
              <w:rPr>
                <w:rFonts w:hint="eastAsia" w:ascii="宋体" w:hAnsi="宋体" w:cs="仿宋"/>
                <w:bCs/>
                <w:color w:val="auto"/>
                <w:kern w:val="2"/>
                <w:sz w:val="24"/>
                <w:szCs w:val="24"/>
                <w:highlight w:val="none"/>
                <w:lang w:val="en-US" w:eastAsia="zh-CN" w:bidi="ar-SA"/>
              </w:rPr>
              <w:t>实施</w:t>
            </w:r>
            <w:r>
              <w:rPr>
                <w:rFonts w:hint="eastAsia" w:ascii="宋体" w:hAnsi="宋体" w:eastAsia="宋体" w:cs="仿宋"/>
                <w:bCs/>
                <w:color w:val="auto"/>
                <w:kern w:val="2"/>
                <w:sz w:val="24"/>
                <w:szCs w:val="24"/>
                <w:highlight w:val="none"/>
                <w:rtl w:val="0"/>
                <w:lang w:val="en-US" w:eastAsia="zh-CN" w:bidi="ar-SA"/>
              </w:rPr>
              <w:t>团队专业性一般，基本满足项目要求的得3分；</w:t>
            </w:r>
          </w:p>
          <w:p>
            <w:pPr>
              <w:spacing w:line="360" w:lineRule="auto"/>
              <w:rPr>
                <w:rFonts w:hint="default" w:ascii="宋体" w:hAnsi="宋体" w:eastAsia="宋体" w:cs="仿宋"/>
                <w:bCs/>
                <w:color w:val="auto"/>
                <w:kern w:val="2"/>
                <w:sz w:val="24"/>
                <w:szCs w:val="24"/>
                <w:highlight w:val="none"/>
                <w:rtl w:val="0"/>
                <w:lang w:val="en-US" w:eastAsia="zh-CN" w:bidi="ar-SA"/>
              </w:rPr>
            </w:pPr>
            <w:r>
              <w:rPr>
                <w:rFonts w:hint="eastAsia" w:ascii="宋体" w:hAnsi="宋体" w:cs="仿宋"/>
                <w:bCs/>
                <w:color w:val="auto"/>
                <w:kern w:val="2"/>
                <w:sz w:val="24"/>
                <w:szCs w:val="24"/>
                <w:highlight w:val="none"/>
                <w:lang w:val="en-US" w:eastAsia="zh-CN" w:bidi="ar-SA"/>
              </w:rPr>
              <w:t>实施</w:t>
            </w:r>
            <w:r>
              <w:rPr>
                <w:rFonts w:hint="eastAsia" w:ascii="宋体" w:hAnsi="宋体" w:eastAsia="宋体" w:cs="仿宋"/>
                <w:bCs/>
                <w:color w:val="auto"/>
                <w:kern w:val="2"/>
                <w:sz w:val="24"/>
                <w:szCs w:val="24"/>
                <w:highlight w:val="none"/>
                <w:rtl w:val="0"/>
                <w:lang w:val="en-US" w:eastAsia="zh-CN" w:bidi="ar-SA"/>
              </w:rPr>
              <w:t>团队配置不合理、缺乏专业性，没有分工，不能满足项目要求的得1分；</w:t>
            </w:r>
          </w:p>
          <w:p>
            <w:pPr>
              <w:spacing w:line="360" w:lineRule="auto"/>
              <w:rPr>
                <w:rFonts w:hint="default" w:ascii="宋体" w:hAnsi="宋体" w:eastAsia="宋体" w:cs="仿宋"/>
                <w:bCs/>
                <w:color w:val="auto"/>
                <w:kern w:val="2"/>
                <w:sz w:val="24"/>
                <w:szCs w:val="24"/>
                <w:highlight w:val="none"/>
                <w:rtl w:val="0"/>
                <w:lang w:val="en-US" w:eastAsia="zh-CN" w:bidi="ar-SA"/>
              </w:rPr>
            </w:pPr>
            <w:r>
              <w:rPr>
                <w:rFonts w:hint="eastAsia" w:ascii="宋体" w:hAnsi="宋体" w:eastAsia="宋体" w:cs="仿宋"/>
                <w:bCs/>
                <w:color w:val="auto"/>
                <w:kern w:val="2"/>
                <w:sz w:val="24"/>
                <w:szCs w:val="24"/>
                <w:highlight w:val="none"/>
                <w:rtl w:val="0"/>
                <w:lang w:val="en-US" w:eastAsia="zh-CN" w:bidi="ar-SA"/>
              </w:rPr>
              <w:t>未提供不得分。</w:t>
            </w:r>
          </w:p>
          <w:p>
            <w:pPr>
              <w:spacing w:line="360" w:lineRule="auto"/>
              <w:rPr>
                <w:rFonts w:hint="eastAsia" w:ascii="宋体" w:hAnsi="宋体" w:eastAsia="宋体" w:cs="仿宋"/>
                <w:bCs/>
                <w:color w:val="auto"/>
                <w:kern w:val="2"/>
                <w:sz w:val="24"/>
                <w:szCs w:val="24"/>
                <w:highlight w:val="none"/>
                <w:rtl w:val="0"/>
                <w:lang w:val="en-US" w:eastAsia="zh-CN" w:bidi="ar-SA"/>
              </w:rPr>
            </w:pPr>
            <w:r>
              <w:rPr>
                <w:rFonts w:hint="eastAsia" w:ascii="宋体" w:hAnsi="宋体" w:eastAsia="宋体" w:cs="仿宋"/>
                <w:bCs/>
                <w:color w:val="auto"/>
                <w:kern w:val="2"/>
                <w:sz w:val="24"/>
                <w:szCs w:val="24"/>
                <w:highlight w:val="none"/>
                <w:rtl w:val="0"/>
                <w:lang w:val="en-US" w:eastAsia="zh-CN" w:bidi="ar-SA"/>
              </w:rPr>
              <w:t>注：提供人员相关证书及社保复印件并加盖公章作为评审因素。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仿宋"/>
                <w:bCs/>
                <w:color w:val="auto"/>
                <w:kern w:val="2"/>
                <w:sz w:val="24"/>
                <w:szCs w:val="24"/>
                <w:highlight w:val="none"/>
                <w:lang w:val="en-US" w:eastAsia="zh-CN" w:bidi="ar-SA"/>
              </w:rPr>
            </w:pPr>
            <w:r>
              <w:rPr>
                <w:rFonts w:hint="eastAsia" w:ascii="宋体" w:hAnsi="宋体" w:cs="仿宋"/>
                <w:bCs/>
                <w:color w:val="auto"/>
                <w:kern w:val="2"/>
                <w:sz w:val="24"/>
                <w:szCs w:val="24"/>
                <w:highlight w:val="none"/>
                <w:lang w:val="en-US" w:eastAsia="zh-CN" w:bidi="ar-SA"/>
              </w:rPr>
              <w:t>质量与安全保障</w:t>
            </w:r>
          </w:p>
        </w:tc>
        <w:tc>
          <w:tcPr>
            <w:tcW w:w="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仿宋"/>
                <w:bCs/>
                <w:color w:val="auto"/>
                <w:kern w:val="2"/>
                <w:sz w:val="24"/>
                <w:szCs w:val="24"/>
                <w:highlight w:val="none"/>
                <w:lang w:val="en-US" w:eastAsia="zh-CN" w:bidi="ar-SA"/>
              </w:rPr>
            </w:pPr>
            <w:r>
              <w:rPr>
                <w:rFonts w:hint="eastAsia" w:ascii="宋体" w:hAnsi="宋体" w:cs="仿宋"/>
                <w:bCs/>
                <w:color w:val="auto"/>
                <w:kern w:val="2"/>
                <w:sz w:val="24"/>
                <w:szCs w:val="24"/>
                <w:highlight w:val="none"/>
                <w:lang w:val="en-US" w:eastAsia="zh-CN" w:bidi="ar-SA"/>
              </w:rPr>
              <w:t>5</w:t>
            </w:r>
          </w:p>
        </w:tc>
        <w:tc>
          <w:tcPr>
            <w:tcW w:w="738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仿宋"/>
                <w:bCs/>
                <w:color w:val="auto"/>
                <w:kern w:val="2"/>
                <w:sz w:val="24"/>
                <w:szCs w:val="24"/>
                <w:highlight w:val="none"/>
                <w:lang w:val="en-US" w:eastAsia="zh-CN" w:bidi="ar-SA"/>
              </w:rPr>
            </w:pPr>
            <w:r>
              <w:rPr>
                <w:rFonts w:hint="eastAsia" w:ascii="宋体" w:hAnsi="宋体" w:cs="仿宋"/>
                <w:bCs/>
                <w:color w:val="auto"/>
                <w:kern w:val="2"/>
                <w:sz w:val="24"/>
                <w:szCs w:val="24"/>
                <w:highlight w:val="none"/>
                <w:rtl w:val="0"/>
                <w:lang w:val="en-US" w:eastAsia="zh-CN" w:bidi="ar-SA"/>
              </w:rPr>
              <w:t>根据投标人</w:t>
            </w:r>
            <w:r>
              <w:rPr>
                <w:rFonts w:hint="eastAsia" w:ascii="宋体" w:hAnsi="宋体" w:cs="仿宋"/>
                <w:bCs/>
                <w:color w:val="auto"/>
                <w:kern w:val="2"/>
                <w:sz w:val="24"/>
                <w:szCs w:val="24"/>
                <w:highlight w:val="none"/>
                <w:lang w:val="en-US" w:eastAsia="zh-CN" w:bidi="ar-SA"/>
              </w:rPr>
              <w:t>质量与安全保障措施进行打分：</w:t>
            </w:r>
          </w:p>
          <w:p>
            <w:pPr>
              <w:spacing w:line="360" w:lineRule="auto"/>
              <w:rPr>
                <w:rFonts w:hint="eastAsia" w:ascii="宋体" w:hAnsi="宋体" w:eastAsia="宋体" w:cs="仿宋"/>
                <w:bCs/>
                <w:color w:val="auto"/>
                <w:kern w:val="2"/>
                <w:sz w:val="24"/>
                <w:szCs w:val="24"/>
                <w:highlight w:val="none"/>
                <w:rtl w:val="0"/>
                <w:lang w:val="en-US" w:eastAsia="zh-CN" w:bidi="ar-SA"/>
              </w:rPr>
            </w:pPr>
            <w:r>
              <w:rPr>
                <w:rFonts w:hint="eastAsia" w:ascii="宋体" w:hAnsi="宋体" w:eastAsia="宋体" w:cs="仿宋"/>
                <w:bCs/>
                <w:color w:val="auto"/>
                <w:kern w:val="2"/>
                <w:sz w:val="24"/>
                <w:szCs w:val="24"/>
                <w:highlight w:val="none"/>
                <w:rtl w:val="0"/>
                <w:lang w:val="en-US" w:eastAsia="zh-CN" w:bidi="ar-SA"/>
              </w:rPr>
              <w:t>保障措施可行有效、详细细致，严谨合理的得</w:t>
            </w:r>
            <w:r>
              <w:rPr>
                <w:rFonts w:hint="eastAsia" w:ascii="宋体" w:hAnsi="宋体" w:cs="仿宋"/>
                <w:bCs/>
                <w:color w:val="auto"/>
                <w:kern w:val="2"/>
                <w:sz w:val="24"/>
                <w:szCs w:val="24"/>
                <w:highlight w:val="none"/>
                <w:rtl w:val="0"/>
                <w:lang w:val="en-US" w:eastAsia="zh-CN" w:bidi="ar-SA"/>
              </w:rPr>
              <w:t>5</w:t>
            </w:r>
            <w:r>
              <w:rPr>
                <w:rFonts w:hint="eastAsia" w:ascii="宋体" w:hAnsi="宋体" w:eastAsia="宋体" w:cs="仿宋"/>
                <w:bCs/>
                <w:color w:val="auto"/>
                <w:kern w:val="2"/>
                <w:sz w:val="24"/>
                <w:szCs w:val="24"/>
                <w:highlight w:val="none"/>
                <w:rtl w:val="0"/>
                <w:lang w:val="en-US" w:eastAsia="zh-CN" w:bidi="ar-SA"/>
              </w:rPr>
              <w:t>分；</w:t>
            </w:r>
          </w:p>
          <w:p>
            <w:pPr>
              <w:spacing w:line="360" w:lineRule="auto"/>
              <w:rPr>
                <w:rFonts w:hint="eastAsia" w:ascii="宋体" w:hAnsi="宋体" w:eastAsia="宋体" w:cs="仿宋"/>
                <w:bCs/>
                <w:color w:val="auto"/>
                <w:kern w:val="2"/>
                <w:sz w:val="24"/>
                <w:szCs w:val="24"/>
                <w:highlight w:val="none"/>
                <w:rtl w:val="0"/>
                <w:lang w:val="en-US" w:eastAsia="zh-CN" w:bidi="ar-SA"/>
              </w:rPr>
            </w:pPr>
            <w:r>
              <w:rPr>
                <w:rFonts w:hint="eastAsia" w:ascii="宋体" w:hAnsi="宋体" w:eastAsia="宋体" w:cs="仿宋"/>
                <w:bCs/>
                <w:color w:val="auto"/>
                <w:kern w:val="2"/>
                <w:sz w:val="24"/>
                <w:szCs w:val="24"/>
                <w:highlight w:val="none"/>
                <w:rtl w:val="0"/>
                <w:lang w:val="en-US" w:eastAsia="zh-CN" w:bidi="ar-SA"/>
              </w:rPr>
              <w:t>保障措施可行性、合理性略有欠缺的</w:t>
            </w:r>
            <w:r>
              <w:rPr>
                <w:rFonts w:hint="eastAsia" w:ascii="宋体" w:hAnsi="宋体" w:cs="仿宋"/>
                <w:bCs/>
                <w:color w:val="auto"/>
                <w:kern w:val="2"/>
                <w:sz w:val="24"/>
                <w:szCs w:val="24"/>
                <w:highlight w:val="none"/>
                <w:rtl w:val="0"/>
                <w:lang w:val="en-US" w:eastAsia="zh-CN" w:bidi="ar-SA"/>
              </w:rPr>
              <w:t>得3</w:t>
            </w:r>
            <w:r>
              <w:rPr>
                <w:rFonts w:hint="eastAsia" w:ascii="宋体" w:hAnsi="宋体" w:eastAsia="宋体" w:cs="仿宋"/>
                <w:bCs/>
                <w:color w:val="auto"/>
                <w:kern w:val="2"/>
                <w:sz w:val="24"/>
                <w:szCs w:val="24"/>
                <w:highlight w:val="none"/>
                <w:rtl w:val="0"/>
                <w:lang w:val="en-US" w:eastAsia="zh-CN" w:bidi="ar-SA"/>
              </w:rPr>
              <w:t>分；</w:t>
            </w:r>
          </w:p>
          <w:p>
            <w:pPr>
              <w:spacing w:line="360" w:lineRule="auto"/>
              <w:rPr>
                <w:rFonts w:hint="eastAsia" w:ascii="宋体" w:hAnsi="宋体" w:eastAsia="宋体" w:cs="仿宋"/>
                <w:bCs/>
                <w:color w:val="auto"/>
                <w:kern w:val="2"/>
                <w:sz w:val="24"/>
                <w:szCs w:val="24"/>
                <w:highlight w:val="none"/>
                <w:rtl w:val="0"/>
                <w:lang w:val="en-US" w:eastAsia="zh-CN" w:bidi="ar-SA"/>
              </w:rPr>
            </w:pPr>
            <w:r>
              <w:rPr>
                <w:rFonts w:hint="eastAsia" w:ascii="宋体" w:hAnsi="宋体" w:eastAsia="宋体" w:cs="仿宋"/>
                <w:bCs/>
                <w:color w:val="auto"/>
                <w:kern w:val="2"/>
                <w:sz w:val="24"/>
                <w:szCs w:val="24"/>
                <w:highlight w:val="none"/>
                <w:rtl w:val="0"/>
                <w:lang w:val="en-US" w:eastAsia="zh-CN" w:bidi="ar-SA"/>
              </w:rPr>
              <w:t>保障措施不可行，不能保证按质量、安全的得</w:t>
            </w:r>
            <w:r>
              <w:rPr>
                <w:rFonts w:hint="eastAsia" w:ascii="宋体" w:hAnsi="宋体" w:cs="仿宋"/>
                <w:bCs/>
                <w:color w:val="auto"/>
                <w:kern w:val="2"/>
                <w:sz w:val="24"/>
                <w:szCs w:val="24"/>
                <w:highlight w:val="none"/>
                <w:rtl w:val="0"/>
                <w:lang w:val="en-US" w:eastAsia="zh-CN" w:bidi="ar-SA"/>
              </w:rPr>
              <w:t>1</w:t>
            </w:r>
            <w:r>
              <w:rPr>
                <w:rFonts w:hint="eastAsia" w:ascii="宋体" w:hAnsi="宋体" w:eastAsia="宋体" w:cs="仿宋"/>
                <w:bCs/>
                <w:color w:val="auto"/>
                <w:kern w:val="2"/>
                <w:sz w:val="24"/>
                <w:szCs w:val="24"/>
                <w:highlight w:val="none"/>
                <w:rtl w:val="0"/>
                <w:lang w:val="en-US" w:eastAsia="zh-CN" w:bidi="ar-SA"/>
              </w:rPr>
              <w:t>分；</w:t>
            </w:r>
          </w:p>
          <w:p>
            <w:pPr>
              <w:spacing w:line="360" w:lineRule="auto"/>
              <w:rPr>
                <w:rFonts w:hint="eastAsia" w:ascii="宋体" w:hAnsi="宋体" w:eastAsia="宋体" w:cs="仿宋"/>
                <w:bCs/>
                <w:color w:val="auto"/>
                <w:kern w:val="2"/>
                <w:sz w:val="24"/>
                <w:szCs w:val="24"/>
                <w:highlight w:val="none"/>
                <w:rtl w:val="0"/>
                <w:lang w:val="en-US" w:eastAsia="zh-CN" w:bidi="ar-SA"/>
              </w:rPr>
            </w:pPr>
            <w:r>
              <w:rPr>
                <w:rFonts w:hint="eastAsia" w:ascii="宋体" w:hAnsi="宋体" w:eastAsia="宋体" w:cs="仿宋"/>
                <w:bCs/>
                <w:color w:val="auto"/>
                <w:kern w:val="2"/>
                <w:sz w:val="24"/>
                <w:szCs w:val="24"/>
                <w:highlight w:val="none"/>
                <w:rtl w:val="0"/>
                <w:lang w:val="en-US" w:eastAsia="zh-CN" w:bidi="ar-SA"/>
              </w:rPr>
              <w:t>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仿宋"/>
                <w:bCs/>
                <w:color w:val="auto"/>
                <w:kern w:val="2"/>
                <w:sz w:val="24"/>
                <w:szCs w:val="24"/>
                <w:highlight w:val="none"/>
                <w:lang w:val="en-US" w:eastAsia="zh-CN" w:bidi="ar-SA"/>
              </w:rPr>
            </w:pPr>
            <w:r>
              <w:rPr>
                <w:rFonts w:hint="eastAsia" w:ascii="宋体" w:hAnsi="宋体" w:cs="仿宋"/>
                <w:bCs/>
                <w:color w:val="auto"/>
                <w:kern w:val="2"/>
                <w:sz w:val="24"/>
                <w:szCs w:val="24"/>
                <w:highlight w:val="none"/>
                <w:lang w:val="en-US" w:eastAsia="zh-CN" w:bidi="ar-SA"/>
              </w:rPr>
              <w:t>售后服务</w:t>
            </w:r>
          </w:p>
        </w:tc>
        <w:tc>
          <w:tcPr>
            <w:tcW w:w="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仿宋"/>
                <w:bCs/>
                <w:color w:val="auto"/>
                <w:kern w:val="2"/>
                <w:sz w:val="24"/>
                <w:szCs w:val="24"/>
                <w:highlight w:val="none"/>
                <w:lang w:val="en-US" w:eastAsia="zh-CN" w:bidi="ar-SA"/>
              </w:rPr>
            </w:pPr>
            <w:r>
              <w:rPr>
                <w:rFonts w:hint="eastAsia" w:ascii="宋体" w:hAnsi="宋体" w:eastAsia="宋体" w:cs="仿宋"/>
                <w:bCs/>
                <w:color w:val="auto"/>
                <w:kern w:val="2"/>
                <w:sz w:val="24"/>
                <w:szCs w:val="24"/>
                <w:highlight w:val="none"/>
                <w:lang w:val="en-US" w:eastAsia="zh-CN" w:bidi="ar-SA"/>
              </w:rPr>
              <w:t>5</w:t>
            </w:r>
          </w:p>
        </w:tc>
        <w:tc>
          <w:tcPr>
            <w:tcW w:w="738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仿宋"/>
                <w:bCs/>
                <w:color w:val="auto"/>
                <w:kern w:val="2"/>
                <w:sz w:val="24"/>
                <w:szCs w:val="24"/>
                <w:highlight w:val="none"/>
                <w:rtl w:val="0"/>
                <w:lang w:val="en-US" w:eastAsia="zh-CN" w:bidi="ar-SA"/>
              </w:rPr>
            </w:pPr>
            <w:r>
              <w:rPr>
                <w:rFonts w:hint="eastAsia" w:ascii="宋体" w:hAnsi="宋体" w:eastAsia="宋体" w:cs="仿宋"/>
                <w:bCs/>
                <w:color w:val="auto"/>
                <w:kern w:val="2"/>
                <w:sz w:val="24"/>
                <w:szCs w:val="24"/>
                <w:highlight w:val="none"/>
                <w:rtl w:val="0"/>
                <w:lang w:val="en-US" w:eastAsia="zh-CN" w:bidi="ar-SA"/>
              </w:rPr>
              <w:t>评委根据投标人售后服务方案（售后人员、常故障排查、质保期及质保期内故障响应、应急响应、对招标人的培训、定期回访等）进行打分：</w:t>
            </w:r>
          </w:p>
          <w:p>
            <w:pPr>
              <w:spacing w:line="360" w:lineRule="auto"/>
              <w:rPr>
                <w:rFonts w:hint="eastAsia" w:ascii="宋体" w:hAnsi="宋体" w:eastAsia="宋体" w:cs="仿宋"/>
                <w:bCs/>
                <w:color w:val="auto"/>
                <w:kern w:val="2"/>
                <w:sz w:val="24"/>
                <w:szCs w:val="24"/>
                <w:highlight w:val="none"/>
                <w:rtl w:val="0"/>
                <w:lang w:val="en-US" w:eastAsia="zh-CN" w:bidi="ar-SA"/>
              </w:rPr>
            </w:pPr>
            <w:r>
              <w:rPr>
                <w:rFonts w:hint="eastAsia" w:ascii="宋体" w:hAnsi="宋体" w:eastAsia="宋体" w:cs="仿宋"/>
                <w:bCs/>
                <w:color w:val="auto"/>
                <w:kern w:val="2"/>
                <w:sz w:val="24"/>
                <w:szCs w:val="24"/>
                <w:highlight w:val="none"/>
                <w:rtl w:val="0"/>
                <w:lang w:val="en-US" w:eastAsia="zh-CN" w:bidi="ar-SA"/>
              </w:rPr>
              <w:t>售后服务方案可行有效、详细细致，严谨合理的得</w:t>
            </w:r>
            <w:r>
              <w:rPr>
                <w:rFonts w:hint="eastAsia" w:ascii="宋体" w:hAnsi="宋体" w:cs="仿宋"/>
                <w:bCs/>
                <w:color w:val="auto"/>
                <w:kern w:val="2"/>
                <w:sz w:val="24"/>
                <w:szCs w:val="24"/>
                <w:highlight w:val="none"/>
                <w:rtl w:val="0"/>
                <w:lang w:val="en-US" w:eastAsia="zh-CN" w:bidi="ar-SA"/>
              </w:rPr>
              <w:t>5</w:t>
            </w:r>
            <w:r>
              <w:rPr>
                <w:rFonts w:hint="eastAsia" w:ascii="宋体" w:hAnsi="宋体" w:eastAsia="宋体" w:cs="仿宋"/>
                <w:bCs/>
                <w:color w:val="auto"/>
                <w:kern w:val="2"/>
                <w:sz w:val="24"/>
                <w:szCs w:val="24"/>
                <w:highlight w:val="none"/>
                <w:rtl w:val="0"/>
                <w:lang w:val="en-US" w:eastAsia="zh-CN" w:bidi="ar-SA"/>
              </w:rPr>
              <w:t>分；</w:t>
            </w:r>
          </w:p>
          <w:p>
            <w:pPr>
              <w:spacing w:line="360" w:lineRule="auto"/>
              <w:rPr>
                <w:rFonts w:hint="eastAsia" w:ascii="宋体" w:hAnsi="宋体" w:eastAsia="宋体" w:cs="仿宋"/>
                <w:bCs/>
                <w:color w:val="auto"/>
                <w:kern w:val="2"/>
                <w:sz w:val="24"/>
                <w:szCs w:val="24"/>
                <w:highlight w:val="none"/>
                <w:rtl w:val="0"/>
                <w:lang w:val="en-US" w:eastAsia="zh-CN" w:bidi="ar-SA"/>
              </w:rPr>
            </w:pPr>
            <w:r>
              <w:rPr>
                <w:rFonts w:hint="eastAsia" w:ascii="宋体" w:hAnsi="宋体" w:eastAsia="宋体" w:cs="仿宋"/>
                <w:bCs/>
                <w:color w:val="auto"/>
                <w:kern w:val="2"/>
                <w:sz w:val="24"/>
                <w:szCs w:val="24"/>
                <w:highlight w:val="none"/>
                <w:rtl w:val="0"/>
                <w:lang w:val="en-US" w:eastAsia="zh-CN" w:bidi="ar-SA"/>
              </w:rPr>
              <w:t>售后服务方案可行性、合理性略有欠缺的</w:t>
            </w:r>
            <w:r>
              <w:rPr>
                <w:rFonts w:hint="eastAsia" w:ascii="宋体" w:hAnsi="宋体" w:cs="仿宋"/>
                <w:bCs/>
                <w:color w:val="auto"/>
                <w:kern w:val="2"/>
                <w:sz w:val="24"/>
                <w:szCs w:val="24"/>
                <w:highlight w:val="none"/>
                <w:rtl w:val="0"/>
                <w:lang w:val="en-US" w:eastAsia="zh-CN" w:bidi="ar-SA"/>
              </w:rPr>
              <w:t>得3</w:t>
            </w:r>
            <w:r>
              <w:rPr>
                <w:rFonts w:hint="eastAsia" w:ascii="宋体" w:hAnsi="宋体" w:eastAsia="宋体" w:cs="仿宋"/>
                <w:bCs/>
                <w:color w:val="auto"/>
                <w:kern w:val="2"/>
                <w:sz w:val="24"/>
                <w:szCs w:val="24"/>
                <w:highlight w:val="none"/>
                <w:rtl w:val="0"/>
                <w:lang w:val="en-US" w:eastAsia="zh-CN" w:bidi="ar-SA"/>
              </w:rPr>
              <w:t>分；</w:t>
            </w:r>
          </w:p>
          <w:p>
            <w:pPr>
              <w:spacing w:line="360" w:lineRule="auto"/>
              <w:rPr>
                <w:rFonts w:hint="eastAsia" w:ascii="宋体" w:hAnsi="宋体" w:eastAsia="宋体" w:cs="仿宋"/>
                <w:bCs/>
                <w:color w:val="auto"/>
                <w:kern w:val="2"/>
                <w:sz w:val="24"/>
                <w:szCs w:val="24"/>
                <w:highlight w:val="none"/>
                <w:rtl w:val="0"/>
                <w:lang w:val="en-US" w:eastAsia="zh-CN" w:bidi="ar-SA"/>
              </w:rPr>
            </w:pPr>
            <w:r>
              <w:rPr>
                <w:rFonts w:hint="eastAsia" w:ascii="宋体" w:hAnsi="宋体" w:eastAsia="宋体" w:cs="仿宋"/>
                <w:bCs/>
                <w:color w:val="auto"/>
                <w:kern w:val="2"/>
                <w:sz w:val="24"/>
                <w:szCs w:val="24"/>
                <w:highlight w:val="none"/>
                <w:rtl w:val="0"/>
                <w:lang w:val="en-US" w:eastAsia="zh-CN" w:bidi="ar-SA"/>
              </w:rPr>
              <w:t>售后服务方案不可行，不能保证按质量、安全的得</w:t>
            </w:r>
            <w:r>
              <w:rPr>
                <w:rFonts w:hint="eastAsia" w:ascii="宋体" w:hAnsi="宋体" w:cs="仿宋"/>
                <w:bCs/>
                <w:color w:val="auto"/>
                <w:kern w:val="2"/>
                <w:sz w:val="24"/>
                <w:szCs w:val="24"/>
                <w:highlight w:val="none"/>
                <w:rtl w:val="0"/>
                <w:lang w:val="en-US" w:eastAsia="zh-CN" w:bidi="ar-SA"/>
              </w:rPr>
              <w:t>1</w:t>
            </w:r>
            <w:r>
              <w:rPr>
                <w:rFonts w:hint="eastAsia" w:ascii="宋体" w:hAnsi="宋体" w:eastAsia="宋体" w:cs="仿宋"/>
                <w:bCs/>
                <w:color w:val="auto"/>
                <w:kern w:val="2"/>
                <w:sz w:val="24"/>
                <w:szCs w:val="24"/>
                <w:highlight w:val="none"/>
                <w:rtl w:val="0"/>
                <w:lang w:val="en-US" w:eastAsia="zh-CN" w:bidi="ar-SA"/>
              </w:rPr>
              <w:t>分；</w:t>
            </w:r>
          </w:p>
          <w:p>
            <w:pPr>
              <w:spacing w:line="360" w:lineRule="auto"/>
              <w:rPr>
                <w:rFonts w:hint="default" w:ascii="Times New Roman" w:hAnsi="Times New Roman" w:eastAsia="宋体" w:cs="Times New Roman"/>
                <w:color w:val="auto"/>
                <w:kern w:val="2"/>
                <w:sz w:val="21"/>
                <w:szCs w:val="24"/>
                <w:highlight w:val="none"/>
                <w:rtl w:val="0"/>
                <w:lang w:val="en-US" w:eastAsia="zh-CN" w:bidi="ar-SA"/>
              </w:rPr>
            </w:pPr>
            <w:r>
              <w:rPr>
                <w:rFonts w:hint="eastAsia" w:ascii="宋体" w:hAnsi="宋体" w:eastAsia="宋体" w:cs="仿宋"/>
                <w:bCs/>
                <w:color w:val="auto"/>
                <w:kern w:val="2"/>
                <w:sz w:val="24"/>
                <w:szCs w:val="24"/>
                <w:highlight w:val="none"/>
                <w:rtl w:val="0"/>
                <w:lang w:val="en-US" w:eastAsia="zh-CN" w:bidi="ar-SA"/>
              </w:rPr>
              <w:t>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1381" w:type="dxa"/>
            <w:tcBorders>
              <w:top w:val="single" w:color="auto" w:sz="4" w:space="0"/>
              <w:left w:val="single" w:color="auto" w:sz="4" w:space="0"/>
              <w:right w:val="single" w:color="auto" w:sz="4" w:space="0"/>
            </w:tcBorders>
            <w:vAlign w:val="center"/>
          </w:tcPr>
          <w:p>
            <w:pPr>
              <w:spacing w:line="360" w:lineRule="auto"/>
              <w:jc w:val="center"/>
              <w:rPr>
                <w:rFonts w:ascii="宋体" w:hAnsi="宋体" w:cs="仿宋"/>
                <w:bCs/>
                <w:color w:val="auto"/>
                <w:sz w:val="24"/>
                <w:highlight w:val="none"/>
              </w:rPr>
            </w:pPr>
            <w:r>
              <w:rPr>
                <w:rFonts w:hint="eastAsia" w:ascii="宋体" w:hAnsi="宋体" w:cs="仿宋"/>
                <w:bCs/>
                <w:color w:val="auto"/>
                <w:sz w:val="24"/>
                <w:highlight w:val="none"/>
              </w:rPr>
              <w:t>政策分</w:t>
            </w:r>
          </w:p>
        </w:tc>
        <w:tc>
          <w:tcPr>
            <w:tcW w:w="838" w:type="dxa"/>
            <w:tcBorders>
              <w:top w:val="single" w:color="auto" w:sz="4" w:space="0"/>
              <w:left w:val="single" w:color="auto" w:sz="4" w:space="0"/>
              <w:right w:val="single" w:color="auto" w:sz="4" w:space="0"/>
            </w:tcBorders>
            <w:vAlign w:val="center"/>
          </w:tcPr>
          <w:p>
            <w:pPr>
              <w:spacing w:line="360" w:lineRule="auto"/>
              <w:jc w:val="center"/>
              <w:rPr>
                <w:rFonts w:ascii="宋体" w:hAnsi="宋体" w:cs="仿宋"/>
                <w:bCs/>
                <w:color w:val="auto"/>
                <w:sz w:val="24"/>
                <w:highlight w:val="none"/>
              </w:rPr>
            </w:pPr>
            <w:r>
              <w:rPr>
                <w:rFonts w:ascii="宋体" w:hAnsi="宋体" w:cs="仿宋"/>
                <w:bCs/>
                <w:color w:val="auto"/>
                <w:sz w:val="24"/>
                <w:highlight w:val="none"/>
              </w:rPr>
              <w:t>1</w:t>
            </w:r>
          </w:p>
        </w:tc>
        <w:tc>
          <w:tcPr>
            <w:tcW w:w="73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
                <w:bCs/>
                <w:color w:val="auto"/>
                <w:sz w:val="24"/>
                <w:highlight w:val="none"/>
              </w:rPr>
            </w:pPr>
            <w:r>
              <w:rPr>
                <w:rFonts w:hint="eastAsia" w:ascii="宋体" w:hAnsi="宋体" w:cs="仿宋"/>
                <w:bCs/>
                <w:color w:val="auto"/>
                <w:sz w:val="24"/>
                <w:highlight w:val="none"/>
                <w:lang w:val="en-US" w:eastAsia="zh-CN"/>
              </w:rPr>
              <w:t>①</w:t>
            </w:r>
            <w:r>
              <w:rPr>
                <w:rFonts w:hint="eastAsia" w:ascii="宋体" w:hAnsi="宋体" w:cs="仿宋"/>
                <w:bCs/>
                <w:color w:val="auto"/>
                <w:sz w:val="24"/>
                <w:highlight w:val="none"/>
              </w:rPr>
              <w:t>所投产品属于《节能产品政府采购品目清单》范围的且具有国家确定的认证机构出具的、处于有效期之内的节能产品认证证书的得</w:t>
            </w:r>
            <w:r>
              <w:rPr>
                <w:rFonts w:ascii="宋体" w:hAnsi="宋体" w:cs="仿宋"/>
                <w:bCs/>
                <w:color w:val="auto"/>
                <w:sz w:val="24"/>
                <w:highlight w:val="none"/>
              </w:rPr>
              <w:t>0.5</w:t>
            </w:r>
            <w:r>
              <w:rPr>
                <w:rFonts w:hint="eastAsia" w:ascii="宋体" w:hAnsi="宋体" w:cs="仿宋"/>
                <w:bCs/>
                <w:color w:val="auto"/>
                <w:sz w:val="24"/>
                <w:highlight w:val="none"/>
              </w:rPr>
              <w:t>分；</w:t>
            </w:r>
          </w:p>
          <w:p>
            <w:pPr>
              <w:spacing w:line="360" w:lineRule="auto"/>
              <w:rPr>
                <w:rFonts w:ascii="宋体" w:hAnsi="宋体" w:cs="仿宋"/>
                <w:bCs/>
                <w:color w:val="auto"/>
                <w:sz w:val="24"/>
                <w:highlight w:val="none"/>
              </w:rPr>
            </w:pPr>
            <w:r>
              <w:rPr>
                <w:rFonts w:hint="eastAsia" w:ascii="宋体" w:hAnsi="宋体" w:cs="仿宋"/>
                <w:bCs/>
                <w:color w:val="auto"/>
                <w:sz w:val="24"/>
                <w:highlight w:val="none"/>
                <w:lang w:val="en-US" w:eastAsia="zh-CN"/>
              </w:rPr>
              <w:t>②</w:t>
            </w:r>
            <w:r>
              <w:rPr>
                <w:rFonts w:hint="eastAsia" w:ascii="宋体" w:hAnsi="宋体" w:cs="仿宋"/>
                <w:bCs/>
                <w:color w:val="auto"/>
                <w:sz w:val="24"/>
                <w:highlight w:val="none"/>
              </w:rPr>
              <w:t>所投产品属于《环境标志产品政府采购品目清单》范围的且具有国家确定的认证机构出具的、处于有效期之内的环境标志产品认证证书的得</w:t>
            </w:r>
            <w:r>
              <w:rPr>
                <w:rFonts w:ascii="宋体" w:hAnsi="宋体" w:cs="仿宋"/>
                <w:bCs/>
                <w:color w:val="auto"/>
                <w:sz w:val="24"/>
                <w:highlight w:val="none"/>
              </w:rPr>
              <w:t>0.5</w:t>
            </w:r>
            <w:r>
              <w:rPr>
                <w:rFonts w:hint="eastAsia" w:ascii="宋体" w:hAnsi="宋体" w:cs="仿宋"/>
                <w:bCs/>
                <w:color w:val="auto"/>
                <w:sz w:val="24"/>
                <w:highlight w:val="none"/>
              </w:rPr>
              <w:t>分。</w:t>
            </w:r>
          </w:p>
          <w:p>
            <w:pPr>
              <w:spacing w:line="360" w:lineRule="auto"/>
              <w:rPr>
                <w:rFonts w:ascii="宋体" w:hAnsi="宋体" w:cs="仿宋"/>
                <w:bCs/>
                <w:color w:val="auto"/>
                <w:sz w:val="24"/>
                <w:highlight w:val="none"/>
              </w:rPr>
            </w:pPr>
            <w:r>
              <w:rPr>
                <w:rFonts w:hint="eastAsia" w:ascii="宋体" w:hAnsi="宋体" w:cs="仿宋"/>
                <w:bCs/>
                <w:color w:val="auto"/>
                <w:sz w:val="24"/>
                <w:highlight w:val="none"/>
              </w:rPr>
              <w:t>注：投标文件中必须同时提供以下资料，不提供不得分：</w:t>
            </w:r>
          </w:p>
          <w:p>
            <w:pPr>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提供政府采购品目清单相关内容页（并对相关内容作圈记），采购品目清单详见《关于印发环境标志产品政府采购品目清单的通知》（财库〔2019〕18号）和《关于印发节能产品政府采购品目清单的通知》（财库〔2019〕19号）。</w:t>
            </w:r>
          </w:p>
          <w:p>
            <w:pPr>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《市场监管总局关于发布参与实施政府采购节能产品、环境标志产品认证机构名录的公告》中的认证机构出具的、处于有效期之内的节能产品/环境标志产品认证证书复印件并加盖投标人公章。</w:t>
            </w:r>
          </w:p>
        </w:tc>
      </w:tr>
    </w:tbl>
    <w:p>
      <w:pPr>
        <w:rPr>
          <w:color w:val="auto"/>
          <w:highlight w:val="none"/>
        </w:rPr>
      </w:pPr>
    </w:p>
    <w:p>
      <w:pPr>
        <w:adjustRightInd/>
        <w:spacing w:line="360" w:lineRule="auto"/>
        <w:ind w:firstLine="40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0"/>
          <w:szCs w:val="20"/>
          <w:highlight w:val="none"/>
          <w:shd w:val="clear" w:color="auto" w:fill="FFFFFF"/>
        </w:rPr>
        <w:t xml:space="preserve"> </w:t>
      </w:r>
      <w:r>
        <w:rPr>
          <w:rFonts w:hint="eastAsia" w:cs="仿宋_GB2312" w:asciiTheme="minorEastAsia" w:hAnsiTheme="minorEastAsia" w:eastAsiaTheme="minorEastAsia"/>
          <w:b/>
          <w:color w:val="auto"/>
          <w:sz w:val="24"/>
          <w:highlight w:val="none"/>
        </w:rPr>
        <w:t>备注：</w:t>
      </w:r>
      <w:r>
        <w:rPr>
          <w:rFonts w:hint="eastAsia" w:cs="仿宋_GB2312" w:asciiTheme="minorEastAsia" w:hAnsiTheme="minorEastAsia" w:eastAsiaTheme="minorEastAsia"/>
          <w:color w:val="auto"/>
          <w:sz w:val="24"/>
          <w:highlight w:val="none"/>
        </w:rPr>
        <w:t>投标人编制投标文件（商务技术文件部分）时，建议按此目录（序号和内容）提供评标标准相应的商务技术资料。</w:t>
      </w:r>
      <w:r>
        <w:rPr>
          <w:rFonts w:hint="eastAsia" w:cs="宋体" w:asciiTheme="minorEastAsia" w:hAnsiTheme="minorEastAsia" w:eastAsiaTheme="minorEastAsia"/>
          <w:color w:val="auto"/>
          <w:sz w:val="24"/>
          <w:highlight w:val="none"/>
        </w:rPr>
        <w:t> </w:t>
      </w:r>
    </w:p>
    <w:p>
      <w:pPr>
        <w:adjustRightInd/>
        <w:spacing w:line="360" w:lineRule="auto"/>
        <w:ind w:firstLine="482" w:firstLineChars="200"/>
        <w:outlineLvl w:val="1"/>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一、评标方法</w:t>
      </w:r>
    </w:p>
    <w:p>
      <w:pPr>
        <w:adjustRightInd/>
        <w:spacing w:line="360" w:lineRule="auto"/>
        <w:ind w:firstLine="482" w:firstLineChars="200"/>
        <w:rPr>
          <w:rFonts w:cs="Arial" w:asciiTheme="majorEastAsia" w:hAnsiTheme="majorEastAsia" w:eastAsiaTheme="majorEastAsia"/>
          <w:color w:val="auto"/>
          <w:kern w:val="0"/>
          <w:sz w:val="24"/>
          <w:highlight w:val="none"/>
        </w:rPr>
      </w:pPr>
      <w:r>
        <w:rPr>
          <w:rFonts w:cs="Arial" w:asciiTheme="majorEastAsia" w:hAnsiTheme="majorEastAsia" w:eastAsiaTheme="majorEastAsia"/>
          <w:b/>
          <w:color w:val="auto"/>
          <w:kern w:val="0"/>
          <w:sz w:val="24"/>
          <w:highlight w:val="none"/>
        </w:rPr>
        <w:t>1.</w:t>
      </w:r>
      <w:r>
        <w:rPr>
          <w:rFonts w:hint="eastAsia" w:cs="Arial" w:asciiTheme="majorEastAsia" w:hAnsiTheme="majorEastAsia" w:eastAsiaTheme="majorEastAsia"/>
          <w:b/>
          <w:color w:val="auto"/>
          <w:kern w:val="0"/>
          <w:sz w:val="24"/>
          <w:highlight w:val="none"/>
        </w:rPr>
        <w:t>本项目采用综合评分法。</w:t>
      </w:r>
      <w:r>
        <w:rPr>
          <w:rFonts w:hint="eastAsia" w:cs="Arial" w:asciiTheme="majorEastAsia" w:hAnsiTheme="majorEastAsia" w:eastAsiaTheme="majorEastAsia"/>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ind w:firstLine="482" w:firstLineChars="200"/>
        <w:outlineLvl w:val="1"/>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二、评标标准</w:t>
      </w:r>
    </w:p>
    <w:p>
      <w:pPr>
        <w:adjustRightInd/>
        <w:spacing w:line="360" w:lineRule="auto"/>
        <w:ind w:firstLine="482" w:firstLineChars="200"/>
        <w:rPr>
          <w:rFonts w:cs="仿宋_GB2312" w:asciiTheme="majorEastAsia" w:hAnsiTheme="majorEastAsia" w:eastAsiaTheme="majorEastAsia"/>
          <w:b/>
          <w:color w:val="auto"/>
          <w:sz w:val="24"/>
          <w:highlight w:val="none"/>
        </w:rPr>
      </w:pPr>
      <w:r>
        <w:rPr>
          <w:rFonts w:cs="仿宋_GB2312" w:asciiTheme="majorEastAsia" w:hAnsiTheme="majorEastAsia" w:eastAsiaTheme="majorEastAsia"/>
          <w:b/>
          <w:color w:val="auto"/>
          <w:sz w:val="24"/>
          <w:highlight w:val="none"/>
        </w:rPr>
        <w:t>2.</w:t>
      </w:r>
      <w:r>
        <w:rPr>
          <w:rFonts w:asciiTheme="majorEastAsia" w:hAnsiTheme="majorEastAsia" w:eastAsiaTheme="majorEastAsia"/>
          <w:color w:val="auto"/>
          <w:sz w:val="24"/>
          <w:highlight w:val="none"/>
        </w:rPr>
        <w:t xml:space="preserve"> </w:t>
      </w:r>
      <w:r>
        <w:rPr>
          <w:rFonts w:hint="eastAsia" w:cs="仿宋_GB2312" w:asciiTheme="majorEastAsia" w:hAnsiTheme="majorEastAsia" w:eastAsiaTheme="majorEastAsia"/>
          <w:b/>
          <w:color w:val="auto"/>
          <w:sz w:val="24"/>
          <w:highlight w:val="none"/>
        </w:rPr>
        <w:t>评标标准：</w:t>
      </w:r>
      <w:r>
        <w:rPr>
          <w:rFonts w:hint="eastAsia" w:cs="Arial" w:asciiTheme="majorEastAsia" w:hAnsiTheme="majorEastAsia" w:eastAsiaTheme="majorEastAsia"/>
          <w:color w:val="auto"/>
          <w:kern w:val="0"/>
          <w:sz w:val="24"/>
          <w:highlight w:val="none"/>
        </w:rPr>
        <w:t>见评标办法前附表。</w:t>
      </w:r>
    </w:p>
    <w:p>
      <w:pPr>
        <w:adjustRightInd/>
        <w:spacing w:line="360" w:lineRule="auto"/>
        <w:ind w:firstLine="482" w:firstLineChars="200"/>
        <w:outlineLvl w:val="1"/>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三、评标程序</w:t>
      </w:r>
    </w:p>
    <w:p>
      <w:pPr>
        <w:adjustRightInd/>
        <w:spacing w:line="360" w:lineRule="auto"/>
        <w:ind w:firstLine="482" w:firstLineChars="200"/>
        <w:rPr>
          <w:rFonts w:cs="Arial" w:asciiTheme="majorEastAsia" w:hAnsiTheme="majorEastAsia" w:eastAsiaTheme="majorEastAsia"/>
          <w:color w:val="auto"/>
          <w:kern w:val="0"/>
          <w:sz w:val="24"/>
          <w:highlight w:val="none"/>
        </w:rPr>
      </w:pPr>
      <w:r>
        <w:rPr>
          <w:rFonts w:cs="Arial" w:asciiTheme="majorEastAsia" w:hAnsiTheme="majorEastAsia" w:eastAsiaTheme="majorEastAsia"/>
          <w:b/>
          <w:color w:val="auto"/>
          <w:kern w:val="0"/>
          <w:sz w:val="24"/>
          <w:highlight w:val="none"/>
        </w:rPr>
        <w:t>3.1符合性审查。</w:t>
      </w:r>
      <w:r>
        <w:rPr>
          <w:rFonts w:cs="Arial" w:asciiTheme="majorEastAsia" w:hAnsiTheme="majorEastAsia" w:eastAsiaTheme="majorEastAsia"/>
          <w:color w:val="auto"/>
          <w:kern w:val="0"/>
          <w:sz w:val="24"/>
          <w:highlight w:val="none"/>
        </w:rPr>
        <w:t>评标委员会应当对符合资格的投标人的投标文件进行符合性审查，以确定其是否满足招标文件的实质性要求。</w:t>
      </w:r>
      <w:r>
        <w:rPr>
          <w:rFonts w:hint="eastAsia" w:cs="Arial" w:asciiTheme="majorEastAsia" w:hAnsiTheme="majorEastAsia" w:eastAsiaTheme="majorEastAsia"/>
          <w:color w:val="auto"/>
          <w:kern w:val="0"/>
          <w:sz w:val="24"/>
          <w:highlight w:val="none"/>
        </w:rPr>
        <w:t>不</w:t>
      </w:r>
      <w:r>
        <w:rPr>
          <w:rFonts w:cs="Arial" w:asciiTheme="majorEastAsia" w:hAnsiTheme="majorEastAsia" w:eastAsiaTheme="majorEastAsia"/>
          <w:color w:val="auto"/>
          <w:kern w:val="0"/>
          <w:sz w:val="24"/>
          <w:highlight w:val="none"/>
        </w:rPr>
        <w:t>满足招标文件的实质性要求</w:t>
      </w:r>
      <w:r>
        <w:rPr>
          <w:rFonts w:hint="eastAsia" w:cs="Arial" w:asciiTheme="majorEastAsia" w:hAnsiTheme="majorEastAsia" w:eastAsiaTheme="majorEastAsia"/>
          <w:color w:val="auto"/>
          <w:kern w:val="0"/>
          <w:sz w:val="24"/>
          <w:highlight w:val="none"/>
        </w:rPr>
        <w:t>的，投标无效。</w:t>
      </w:r>
    </w:p>
    <w:p>
      <w:pPr>
        <w:adjustRightInd/>
        <w:spacing w:line="360" w:lineRule="auto"/>
        <w:ind w:firstLine="482" w:firstLineChars="200"/>
        <w:rPr>
          <w:rFonts w:cs="Arial" w:asciiTheme="majorEastAsia" w:hAnsiTheme="majorEastAsia" w:eastAsiaTheme="majorEastAsia"/>
          <w:color w:val="auto"/>
          <w:kern w:val="0"/>
          <w:sz w:val="24"/>
          <w:highlight w:val="none"/>
        </w:rPr>
      </w:pPr>
      <w:r>
        <w:rPr>
          <w:rFonts w:cs="Arial" w:asciiTheme="majorEastAsia" w:hAnsiTheme="majorEastAsia" w:eastAsiaTheme="majorEastAsia"/>
          <w:b/>
          <w:color w:val="auto"/>
          <w:kern w:val="0"/>
          <w:sz w:val="24"/>
          <w:highlight w:val="none"/>
        </w:rPr>
        <w:t xml:space="preserve">3.2 </w:t>
      </w:r>
      <w:r>
        <w:rPr>
          <w:rFonts w:hint="eastAsia" w:cs="Arial" w:asciiTheme="majorEastAsia" w:hAnsiTheme="majorEastAsia" w:eastAsiaTheme="majorEastAsia"/>
          <w:b/>
          <w:color w:val="auto"/>
          <w:kern w:val="0"/>
          <w:sz w:val="24"/>
          <w:highlight w:val="none"/>
        </w:rPr>
        <w:t>比较与评价。</w:t>
      </w:r>
      <w:r>
        <w:rPr>
          <w:rFonts w:cs="Arial" w:asciiTheme="majorEastAsia" w:hAnsiTheme="majorEastAsia" w:eastAsiaTheme="majorEastAsia"/>
          <w:color w:val="auto"/>
          <w:kern w:val="0"/>
          <w:sz w:val="24"/>
          <w:highlight w:val="none"/>
        </w:rPr>
        <w:t>评标委员会应当按照招标文件中规定的评标方法和标准，对符合性审查合格的投标文件进行商务和技术评估，综合比较与评价。</w:t>
      </w:r>
    </w:p>
    <w:p>
      <w:pPr>
        <w:adjustRightInd/>
        <w:spacing w:line="360" w:lineRule="auto"/>
        <w:ind w:firstLine="482" w:firstLineChars="200"/>
        <w:rPr>
          <w:rFonts w:cs="Arial" w:asciiTheme="majorEastAsia" w:hAnsiTheme="majorEastAsia" w:eastAsiaTheme="majorEastAsia"/>
          <w:color w:val="auto"/>
          <w:kern w:val="0"/>
          <w:sz w:val="24"/>
          <w:highlight w:val="none"/>
        </w:rPr>
      </w:pPr>
      <w:r>
        <w:rPr>
          <w:rFonts w:cs="Arial" w:asciiTheme="majorEastAsia" w:hAnsiTheme="majorEastAsia" w:eastAsiaTheme="majorEastAsia"/>
          <w:b/>
          <w:color w:val="auto"/>
          <w:kern w:val="0"/>
          <w:sz w:val="24"/>
          <w:highlight w:val="none"/>
        </w:rPr>
        <w:t>3.3汇总商务技术得分。</w:t>
      </w:r>
      <w:r>
        <w:rPr>
          <w:rFonts w:hint="eastAsia" w:cs="Arial" w:asciiTheme="majorEastAsia" w:hAnsiTheme="majorEastAsia" w:eastAsiaTheme="majorEastAsia"/>
          <w:color w:val="auto"/>
          <w:kern w:val="0"/>
          <w:sz w:val="24"/>
          <w:highlight w:val="none"/>
        </w:rPr>
        <w:t>评标委员会各成员应当独立对每个投标人的商务和技术文件进行评价，并汇总商务技术得分情况。</w:t>
      </w:r>
    </w:p>
    <w:p>
      <w:pPr>
        <w:adjustRightInd/>
        <w:spacing w:line="360" w:lineRule="auto"/>
        <w:ind w:firstLine="482" w:firstLineChars="200"/>
        <w:rPr>
          <w:rFonts w:cs="Arial" w:asciiTheme="majorEastAsia" w:hAnsiTheme="majorEastAsia" w:eastAsiaTheme="majorEastAsia"/>
          <w:b/>
          <w:color w:val="auto"/>
          <w:kern w:val="0"/>
          <w:sz w:val="24"/>
          <w:highlight w:val="none"/>
        </w:rPr>
      </w:pPr>
      <w:r>
        <w:rPr>
          <w:rFonts w:cs="Arial" w:asciiTheme="majorEastAsia" w:hAnsiTheme="majorEastAsia" w:eastAsiaTheme="majorEastAsia"/>
          <w:b/>
          <w:color w:val="auto"/>
          <w:kern w:val="0"/>
          <w:sz w:val="24"/>
          <w:highlight w:val="none"/>
        </w:rPr>
        <w:t>3.4报价评审。</w:t>
      </w:r>
    </w:p>
    <w:p>
      <w:pPr>
        <w:pStyle w:val="132"/>
        <w:adjustRightInd/>
        <w:spacing w:before="0"/>
        <w:ind w:firstLine="480"/>
        <w:rPr>
          <w:rFonts w:cs="Arial" w:asciiTheme="majorEastAsia" w:hAnsiTheme="majorEastAsia" w:eastAsiaTheme="majorEastAsia"/>
          <w:color w:val="auto"/>
          <w:kern w:val="0"/>
          <w:szCs w:val="24"/>
          <w:highlight w:val="none"/>
        </w:rPr>
      </w:pPr>
      <w:r>
        <w:rPr>
          <w:rFonts w:cs="Arial" w:asciiTheme="majorEastAsia" w:hAnsiTheme="majorEastAsia" w:eastAsiaTheme="majorEastAsia"/>
          <w:color w:val="auto"/>
          <w:kern w:val="0"/>
          <w:szCs w:val="24"/>
          <w:highlight w:val="none"/>
        </w:rPr>
        <w:t>3.4.1投标文件报价出现前后不一致的，按照下列规定修正：</w:t>
      </w:r>
    </w:p>
    <w:p>
      <w:pPr>
        <w:pStyle w:val="132"/>
        <w:adjustRightInd/>
        <w:spacing w:before="0"/>
        <w:ind w:firstLine="480"/>
        <w:rPr>
          <w:rFonts w:cs="仿宋" w:asciiTheme="majorEastAsia" w:hAnsiTheme="majorEastAsia" w:eastAsiaTheme="majorEastAsia"/>
          <w:color w:val="auto"/>
          <w:kern w:val="0"/>
          <w:szCs w:val="24"/>
          <w:highlight w:val="none"/>
        </w:rPr>
      </w:pPr>
      <w:r>
        <w:rPr>
          <w:rFonts w:cs="仿宋" w:asciiTheme="majorEastAsia" w:hAnsiTheme="majorEastAsia" w:eastAsiaTheme="majorEastAsia"/>
          <w:color w:val="auto"/>
          <w:kern w:val="0"/>
          <w:szCs w:val="24"/>
          <w:highlight w:val="none"/>
        </w:rPr>
        <w:t>3.4.1.1投标文件中开标一览表(报价表)内容与投标文件中相应内容不一致的，以开标一览表(报价表)为准;</w:t>
      </w:r>
    </w:p>
    <w:p>
      <w:pPr>
        <w:pStyle w:val="132"/>
        <w:adjustRightInd/>
        <w:spacing w:before="0"/>
        <w:ind w:firstLine="480"/>
        <w:rPr>
          <w:rFonts w:cs="仿宋" w:asciiTheme="majorEastAsia" w:hAnsiTheme="majorEastAsia" w:eastAsiaTheme="majorEastAsia"/>
          <w:color w:val="auto"/>
          <w:kern w:val="0"/>
          <w:szCs w:val="24"/>
          <w:highlight w:val="none"/>
        </w:rPr>
      </w:pPr>
      <w:r>
        <w:rPr>
          <w:rFonts w:cs="仿宋" w:asciiTheme="majorEastAsia" w:hAnsiTheme="majorEastAsia" w:eastAsiaTheme="majorEastAsia"/>
          <w:color w:val="auto"/>
          <w:kern w:val="0"/>
          <w:szCs w:val="24"/>
          <w:highlight w:val="none"/>
        </w:rPr>
        <w:t>3.4.1.2大写金额和小写金额不一致的，以大写金额为准;</w:t>
      </w:r>
    </w:p>
    <w:p>
      <w:pPr>
        <w:pStyle w:val="132"/>
        <w:adjustRightInd/>
        <w:spacing w:before="0"/>
        <w:ind w:firstLine="480"/>
        <w:rPr>
          <w:rFonts w:cs="仿宋" w:asciiTheme="majorEastAsia" w:hAnsiTheme="majorEastAsia" w:eastAsiaTheme="majorEastAsia"/>
          <w:color w:val="auto"/>
          <w:kern w:val="0"/>
          <w:szCs w:val="24"/>
          <w:highlight w:val="none"/>
        </w:rPr>
      </w:pPr>
      <w:r>
        <w:rPr>
          <w:rFonts w:cs="仿宋" w:asciiTheme="majorEastAsia" w:hAnsiTheme="majorEastAsia" w:eastAsiaTheme="majorEastAsia"/>
          <w:color w:val="auto"/>
          <w:kern w:val="0"/>
          <w:szCs w:val="24"/>
          <w:highlight w:val="none"/>
        </w:rPr>
        <w:t>3.4.1.3单价金额小数点或者百分比有明显错位的，以开标一览表的总价为准，并修改单价;</w:t>
      </w:r>
    </w:p>
    <w:p>
      <w:pPr>
        <w:pStyle w:val="132"/>
        <w:adjustRightInd/>
        <w:spacing w:before="0"/>
        <w:ind w:firstLine="480"/>
        <w:rPr>
          <w:rFonts w:cs="仿宋" w:asciiTheme="majorEastAsia" w:hAnsiTheme="majorEastAsia" w:eastAsiaTheme="majorEastAsia"/>
          <w:color w:val="auto"/>
          <w:kern w:val="0"/>
          <w:szCs w:val="24"/>
          <w:highlight w:val="none"/>
        </w:rPr>
      </w:pPr>
      <w:r>
        <w:rPr>
          <w:rFonts w:cs="仿宋" w:asciiTheme="majorEastAsia" w:hAnsiTheme="majorEastAsia" w:eastAsiaTheme="majorEastAsia"/>
          <w:color w:val="auto"/>
          <w:kern w:val="0"/>
          <w:szCs w:val="24"/>
          <w:highlight w:val="none"/>
        </w:rPr>
        <w:t>3.4.1.4总价金额与按单价汇总金额不一致的，以单价金额计算结果为准。</w:t>
      </w:r>
    </w:p>
    <w:p>
      <w:pPr>
        <w:pStyle w:val="132"/>
        <w:adjustRightInd/>
        <w:spacing w:before="0"/>
        <w:ind w:firstLine="480"/>
        <w:rPr>
          <w:rFonts w:cs="仿宋" w:asciiTheme="majorEastAsia" w:hAnsiTheme="majorEastAsia" w:eastAsiaTheme="majorEastAsia"/>
          <w:color w:val="auto"/>
          <w:kern w:val="0"/>
          <w:szCs w:val="24"/>
          <w:highlight w:val="none"/>
        </w:rPr>
      </w:pPr>
      <w:r>
        <w:rPr>
          <w:rFonts w:cs="仿宋" w:asciiTheme="majorEastAsia" w:hAnsiTheme="majorEastAsia" w:eastAsiaTheme="majorEastAsia"/>
          <w:color w:val="auto"/>
          <w:kern w:val="0"/>
          <w:szCs w:val="24"/>
          <w:highlight w:val="none"/>
        </w:rPr>
        <w:t>3.4.1.5同时出现两种以上不一致的，按照3.4.1</w:t>
      </w:r>
      <w:r>
        <w:rPr>
          <w:rFonts w:hint="eastAsia" w:cs="仿宋" w:asciiTheme="majorEastAsia" w:hAnsiTheme="majorEastAsia" w:eastAsiaTheme="majorEastAsia"/>
          <w:color w:val="auto"/>
          <w:kern w:val="0"/>
          <w:szCs w:val="24"/>
          <w:highlight w:val="none"/>
        </w:rPr>
        <w:t>规定的顺序修正。修正后的报价按照财政部第</w:t>
      </w:r>
      <w:r>
        <w:rPr>
          <w:rFonts w:cs="仿宋" w:asciiTheme="majorEastAsia" w:hAnsiTheme="majorEastAsia" w:eastAsiaTheme="majorEastAsia"/>
          <w:color w:val="auto"/>
          <w:kern w:val="0"/>
          <w:szCs w:val="24"/>
          <w:highlight w:val="none"/>
        </w:rPr>
        <w:t>87号令</w:t>
      </w:r>
      <w:r>
        <w:rPr>
          <w:rFonts w:hint="eastAsia" w:cs="仿宋" w:asciiTheme="majorEastAsia" w:hAnsiTheme="majorEastAsia" w:eastAsiaTheme="majorEastAsia"/>
          <w:color w:val="auto"/>
          <w:kern w:val="0"/>
          <w:szCs w:val="24"/>
          <w:highlight w:val="none"/>
        </w:rPr>
        <w:t>《政府采购货物和服务招标投标管理办法》第五十一条第二款的规定经投标人确认后产生约束力。</w:t>
      </w:r>
    </w:p>
    <w:p>
      <w:pPr>
        <w:adjustRightInd/>
        <w:spacing w:line="360" w:lineRule="auto"/>
        <w:ind w:firstLine="480" w:firstLineChars="200"/>
        <w:jc w:val="left"/>
        <w:rPr>
          <w:rFonts w:cs="仿宋" w:asciiTheme="majorEastAsia" w:hAnsiTheme="majorEastAsia" w:eastAsiaTheme="majorEastAsia"/>
          <w:color w:val="auto"/>
          <w:kern w:val="0"/>
          <w:sz w:val="24"/>
          <w:highlight w:val="none"/>
        </w:rPr>
      </w:pPr>
      <w:r>
        <w:rPr>
          <w:rFonts w:cs="仿宋" w:asciiTheme="majorEastAsia" w:hAnsiTheme="majorEastAsia" w:eastAsiaTheme="majorEastAsia"/>
          <w:color w:val="auto"/>
          <w:kern w:val="0"/>
          <w:sz w:val="24"/>
          <w:highlight w:val="none"/>
        </w:rPr>
        <w:t>3.4.2</w:t>
      </w:r>
      <w:r>
        <w:rPr>
          <w:rFonts w:hint="eastAsia" w:cs="仿宋" w:asciiTheme="majorEastAsia" w:hAnsiTheme="majorEastAsia" w:eastAsiaTheme="majorEastAsia"/>
          <w:color w:val="auto"/>
          <w:kern w:val="0"/>
          <w:sz w:val="24"/>
          <w:highlight w:val="none"/>
        </w:rPr>
        <w:t>投标文件出现不是唯一的、有选择性投标报价的，投标无效。</w:t>
      </w:r>
    </w:p>
    <w:p>
      <w:pPr>
        <w:adjustRightInd/>
        <w:spacing w:line="360" w:lineRule="auto"/>
        <w:ind w:firstLine="480" w:firstLineChars="200"/>
        <w:jc w:val="left"/>
        <w:rPr>
          <w:rFonts w:cs="仿宋" w:asciiTheme="majorEastAsia" w:hAnsiTheme="majorEastAsia" w:eastAsiaTheme="majorEastAsia"/>
          <w:color w:val="auto"/>
          <w:kern w:val="0"/>
          <w:sz w:val="24"/>
          <w:highlight w:val="none"/>
        </w:rPr>
      </w:pPr>
      <w:r>
        <w:rPr>
          <w:rFonts w:cs="仿宋" w:asciiTheme="majorEastAsia" w:hAnsiTheme="majorEastAsia" w:eastAsiaTheme="majorEastAsia"/>
          <w:color w:val="auto"/>
          <w:kern w:val="0"/>
          <w:sz w:val="24"/>
          <w:highlight w:val="none"/>
        </w:rPr>
        <w:t>3.4.3</w:t>
      </w:r>
      <w:r>
        <w:rPr>
          <w:rFonts w:hint="eastAsia" w:cs="仿宋" w:asciiTheme="majorEastAsia" w:hAnsiTheme="majorEastAsia" w:eastAsiaTheme="majorEastAsia"/>
          <w:color w:val="auto"/>
          <w:kern w:val="0"/>
          <w:sz w:val="24"/>
          <w:highlight w:val="none"/>
        </w:rPr>
        <w:t>投标报价超过招标文件中规定的预算金额或者最高限价的，投标无效。</w:t>
      </w:r>
    </w:p>
    <w:p>
      <w:pPr>
        <w:pStyle w:val="132"/>
        <w:adjustRightInd/>
        <w:spacing w:before="0"/>
        <w:ind w:firstLine="480"/>
        <w:rPr>
          <w:rFonts w:cs="仿宋" w:asciiTheme="majorEastAsia" w:hAnsiTheme="majorEastAsia" w:eastAsiaTheme="majorEastAsia"/>
          <w:color w:val="auto"/>
          <w:kern w:val="0"/>
          <w:szCs w:val="24"/>
          <w:highlight w:val="none"/>
        </w:rPr>
      </w:pPr>
      <w:r>
        <w:rPr>
          <w:rFonts w:cs="仿宋" w:asciiTheme="majorEastAsia" w:hAnsiTheme="majorEastAsia" w:eastAsiaTheme="majorEastAsia"/>
          <w:color w:val="auto"/>
          <w:kern w:val="0"/>
          <w:szCs w:val="24"/>
          <w:highlight w:val="none"/>
        </w:rPr>
        <w:t>3.4.4</w:t>
      </w:r>
      <w:r>
        <w:rPr>
          <w:rFonts w:hint="eastAsia" w:cs="仿宋" w:asciiTheme="majorEastAsia" w:hAnsiTheme="majorEastAsia" w:eastAsiaTheme="majorEastAsia"/>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cs="仿宋" w:asciiTheme="majorEastAsia" w:hAnsiTheme="majorEastAsia" w:eastAsiaTheme="majorEastAsia"/>
          <w:color w:val="auto"/>
          <w:kern w:val="0"/>
          <w:szCs w:val="24"/>
          <w:highlight w:val="none"/>
        </w:rPr>
        <w:t>;投标人不能证明其报价合理性的，评标委员会应当将其作为无效投标处理。</w:t>
      </w:r>
    </w:p>
    <w:p>
      <w:pPr>
        <w:pStyle w:val="132"/>
        <w:adjustRightInd/>
        <w:spacing w:before="0"/>
        <w:ind w:firstLine="480"/>
        <w:rPr>
          <w:rFonts w:cs="仿宋" w:asciiTheme="majorEastAsia" w:hAnsiTheme="majorEastAsia" w:eastAsiaTheme="majorEastAsia"/>
          <w:color w:val="auto"/>
          <w:kern w:val="0"/>
          <w:szCs w:val="24"/>
          <w:highlight w:val="none"/>
        </w:rPr>
      </w:pPr>
      <w:r>
        <w:rPr>
          <w:rFonts w:cs="仿宋" w:asciiTheme="majorEastAsia" w:hAnsiTheme="majorEastAsia" w:eastAsiaTheme="majorEastAsia"/>
          <w:color w:val="auto"/>
          <w:kern w:val="0"/>
          <w:szCs w:val="24"/>
          <w:highlight w:val="none"/>
        </w:rPr>
        <w:t>3.4.5</w:t>
      </w:r>
      <w:r>
        <w:rPr>
          <w:rFonts w:hint="eastAsia" w:cs="仿宋" w:asciiTheme="majorEastAsia" w:hAnsiTheme="majorEastAsia" w:eastAsiaTheme="majorEastAsia"/>
          <w:color w:val="auto"/>
          <w:kern w:val="0"/>
          <w:szCs w:val="24"/>
          <w:highlight w:val="none"/>
        </w:rPr>
        <w:t>对于未预留份额专门面向中小企业的政府采购货物或服务项目，以及预留份额政府采购货物或服务项目中的非预留部分标项，对小型和微型企业的投标报价给予10</w:t>
      </w:r>
      <w:r>
        <w:rPr>
          <w:rFonts w:cs="仿宋" w:asciiTheme="majorEastAsia" w:hAnsiTheme="majorEastAsia" w:eastAsiaTheme="majorEastAsia"/>
          <w:color w:val="auto"/>
          <w:kern w:val="0"/>
          <w:szCs w:val="24"/>
          <w:highlight w:val="none"/>
        </w:rPr>
        <w:t>%的扣除，用扣除后的价格参与评审。接受大中型企业与小</w:t>
      </w:r>
      <w:r>
        <w:rPr>
          <w:rFonts w:hint="eastAsia" w:cs="仿宋" w:asciiTheme="majorEastAsia" w:hAnsiTheme="majorEastAsia" w:eastAsiaTheme="majorEastAsia"/>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cs="仿宋" w:asciiTheme="majorEastAsia" w:hAnsiTheme="majorEastAsia" w:eastAsiaTheme="majorEastAsia"/>
          <w:color w:val="auto"/>
          <w:kern w:val="0"/>
          <w:szCs w:val="24"/>
          <w:highlight w:val="none"/>
        </w:rPr>
        <w:t>30%以上的，对联合体或者大中型企业的报价给予</w:t>
      </w:r>
      <w:r>
        <w:rPr>
          <w:rFonts w:hint="eastAsia" w:cs="仿宋" w:asciiTheme="majorEastAsia" w:hAnsiTheme="majorEastAsia" w:eastAsiaTheme="majorEastAsia"/>
          <w:color w:val="auto"/>
          <w:kern w:val="0"/>
          <w:szCs w:val="24"/>
          <w:highlight w:val="none"/>
        </w:rPr>
        <w:t>4</w:t>
      </w:r>
      <w:r>
        <w:rPr>
          <w:rFonts w:cs="仿宋" w:asciiTheme="majorEastAsia" w:hAnsiTheme="majorEastAsia" w:eastAsiaTheme="majorEastAsia"/>
          <w:color w:val="auto"/>
          <w:kern w:val="0"/>
          <w:szCs w:val="24"/>
          <w:highlight w:val="none"/>
        </w:rPr>
        <w:t>%的扣除，用扣除后的价格参加评审。组成联合体或者接受分包的小</w:t>
      </w:r>
      <w:r>
        <w:rPr>
          <w:rFonts w:hint="eastAsia" w:cs="仿宋" w:asciiTheme="majorEastAsia" w:hAnsiTheme="majorEastAsia" w:eastAsiaTheme="majorEastAsia"/>
          <w:color w:val="auto"/>
          <w:kern w:val="0"/>
          <w:szCs w:val="24"/>
          <w:highlight w:val="none"/>
        </w:rPr>
        <w:t>微企业与联合体内其他企业、分包企业之间存在直接控股、管理关系的，不享受价格扣除优惠政策。</w:t>
      </w:r>
    </w:p>
    <w:p>
      <w:pPr>
        <w:adjustRightInd/>
        <w:spacing w:line="360" w:lineRule="auto"/>
        <w:ind w:firstLine="482" w:firstLineChars="200"/>
        <w:rPr>
          <w:rFonts w:cs="Arial" w:asciiTheme="majorEastAsia" w:hAnsiTheme="majorEastAsia" w:eastAsiaTheme="majorEastAsia"/>
          <w:color w:val="auto"/>
          <w:kern w:val="0"/>
          <w:sz w:val="24"/>
          <w:highlight w:val="none"/>
        </w:rPr>
      </w:pPr>
      <w:r>
        <w:rPr>
          <w:rFonts w:cs="Arial" w:asciiTheme="majorEastAsia" w:hAnsiTheme="majorEastAsia" w:eastAsiaTheme="majorEastAsia"/>
          <w:b/>
          <w:color w:val="auto"/>
          <w:kern w:val="0"/>
          <w:sz w:val="24"/>
          <w:highlight w:val="none"/>
        </w:rPr>
        <w:t>3.5</w:t>
      </w:r>
      <w:r>
        <w:rPr>
          <w:rFonts w:hint="eastAsia" w:cs="Arial" w:asciiTheme="majorEastAsia" w:hAnsiTheme="majorEastAsia" w:eastAsiaTheme="majorEastAsia"/>
          <w:b/>
          <w:color w:val="auto"/>
          <w:kern w:val="0"/>
          <w:sz w:val="24"/>
          <w:highlight w:val="none"/>
        </w:rPr>
        <w:t>排序与推荐。</w:t>
      </w:r>
      <w:r>
        <w:rPr>
          <w:rFonts w:cs="Arial" w:asciiTheme="majorEastAsia" w:hAnsiTheme="majorEastAsia" w:eastAsiaTheme="maj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cs="Arial" w:asciiTheme="majorEastAsia" w:hAnsiTheme="majorEastAsia" w:eastAsiaTheme="majorEastAsia"/>
          <w:color w:val="auto"/>
          <w:kern w:val="0"/>
          <w:sz w:val="24"/>
          <w:highlight w:val="none"/>
        </w:rPr>
        <w:t>。</w:t>
      </w:r>
    </w:p>
    <w:p>
      <w:pPr>
        <w:adjustRightInd/>
        <w:spacing w:line="360" w:lineRule="auto"/>
        <w:ind w:firstLine="480" w:firstLineChars="200"/>
        <w:rPr>
          <w:rFonts w:cs="Arial" w:asciiTheme="majorEastAsia" w:hAnsiTheme="majorEastAsia" w:eastAsiaTheme="majorEastAsia"/>
          <w:b/>
          <w:color w:val="auto"/>
          <w:kern w:val="0"/>
          <w:sz w:val="24"/>
          <w:highlight w:val="none"/>
        </w:rPr>
      </w:pPr>
      <w:r>
        <w:rPr>
          <w:rFonts w:hint="eastAsia" w:cs="Arial" w:asciiTheme="majorEastAsia" w:hAnsiTheme="majorEastAsia" w:eastAsiaTheme="maj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spacing w:line="360" w:lineRule="auto"/>
        <w:ind w:firstLine="482" w:firstLineChars="200"/>
        <w:rPr>
          <w:rFonts w:cs="Arial" w:asciiTheme="majorEastAsia" w:hAnsiTheme="majorEastAsia" w:eastAsiaTheme="majorEastAsia"/>
          <w:color w:val="auto"/>
          <w:kern w:val="0"/>
          <w:sz w:val="24"/>
          <w:highlight w:val="none"/>
        </w:rPr>
      </w:pPr>
      <w:r>
        <w:rPr>
          <w:rFonts w:cs="Arial" w:asciiTheme="majorEastAsia" w:hAnsiTheme="majorEastAsia" w:eastAsiaTheme="majorEastAsia"/>
          <w:b/>
          <w:color w:val="auto"/>
          <w:kern w:val="0"/>
          <w:sz w:val="24"/>
          <w:highlight w:val="none"/>
        </w:rPr>
        <w:t>3.6编写评标报告。</w:t>
      </w:r>
      <w:r>
        <w:rPr>
          <w:rFonts w:cs="Arial" w:asciiTheme="majorEastAsia" w:hAnsiTheme="majorEastAsia" w:eastAsiaTheme="majorEastAsia"/>
          <w:color w:val="auto"/>
          <w:kern w:val="0"/>
          <w:sz w:val="24"/>
          <w:highlight w:val="none"/>
        </w:rPr>
        <w:t>评标委员会根据全体评标成员签字的原始评标记录和评标结果编写评标报告。</w:t>
      </w:r>
      <w:r>
        <w:rPr>
          <w:rFonts w:hint="eastAsia" w:cs="Arial" w:asciiTheme="majorEastAsia" w:hAnsiTheme="majorEastAsia" w:eastAsiaTheme="majorEastAsia"/>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adjustRightInd/>
        <w:spacing w:line="360" w:lineRule="auto"/>
        <w:ind w:firstLine="482" w:firstLineChars="200"/>
        <w:outlineLvl w:val="1"/>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四、评标中的其他事项</w:t>
      </w:r>
    </w:p>
    <w:p>
      <w:pPr>
        <w:pStyle w:val="132"/>
        <w:adjustRightInd/>
        <w:spacing w:before="0"/>
        <w:ind w:firstLine="482"/>
        <w:rPr>
          <w:rFonts w:cs="Arial" w:asciiTheme="majorEastAsia" w:hAnsiTheme="majorEastAsia" w:eastAsiaTheme="majorEastAsia"/>
          <w:color w:val="auto"/>
          <w:kern w:val="0"/>
          <w:szCs w:val="24"/>
          <w:highlight w:val="none"/>
        </w:rPr>
      </w:pPr>
      <w:r>
        <w:rPr>
          <w:rFonts w:cs="Arial" w:asciiTheme="majorEastAsia" w:hAnsiTheme="majorEastAsia" w:eastAsiaTheme="majorEastAsia"/>
          <w:b/>
          <w:color w:val="auto"/>
          <w:kern w:val="0"/>
          <w:szCs w:val="24"/>
          <w:highlight w:val="none"/>
        </w:rPr>
        <w:t>4.1</w:t>
      </w:r>
      <w:r>
        <w:rPr>
          <w:rFonts w:hint="eastAsia" w:cs="Arial" w:asciiTheme="majorEastAsia" w:hAnsiTheme="majorEastAsia" w:eastAsiaTheme="majorEastAsia"/>
          <w:b/>
          <w:color w:val="auto"/>
          <w:kern w:val="0"/>
          <w:szCs w:val="24"/>
          <w:highlight w:val="none"/>
        </w:rPr>
        <w:t>投标人澄清、说明或者补正。</w:t>
      </w:r>
      <w:r>
        <w:rPr>
          <w:rFonts w:hint="eastAsia" w:cs="Arial" w:asciiTheme="majorEastAsia" w:hAnsiTheme="majorEastAsia" w:eastAsiaTheme="maj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adjustRightInd/>
        <w:spacing w:line="360" w:lineRule="auto"/>
        <w:ind w:firstLine="482"/>
        <w:rPr>
          <w:rFonts w:cs="仿宋_GB2312" w:asciiTheme="majorEastAsia" w:hAnsiTheme="majorEastAsia" w:eastAsiaTheme="majorEastAsia"/>
          <w:color w:val="auto"/>
          <w:highlight w:val="none"/>
        </w:rPr>
      </w:pPr>
      <w:r>
        <w:rPr>
          <w:rFonts w:cs="Arial" w:asciiTheme="majorEastAsia" w:hAnsiTheme="majorEastAsia" w:eastAsiaTheme="majorEastAsia"/>
          <w:b/>
          <w:color w:val="auto"/>
          <w:kern w:val="0"/>
          <w:highlight w:val="none"/>
        </w:rPr>
        <w:t>4.2投标无效。</w:t>
      </w:r>
      <w:r>
        <w:rPr>
          <w:rFonts w:hint="eastAsia" w:cs="仿宋_GB2312" w:asciiTheme="majorEastAsia" w:hAnsiTheme="majorEastAsia" w:eastAsiaTheme="majorEastAsia"/>
          <w:color w:val="auto"/>
          <w:highlight w:val="none"/>
        </w:rPr>
        <w:t>有下列情况之一的，投标无效：</w:t>
      </w:r>
    </w:p>
    <w:p>
      <w:pPr>
        <w:widowControl/>
        <w:spacing w:line="360" w:lineRule="auto"/>
        <w:ind w:left="400"/>
        <w:jc w:val="left"/>
        <w:rPr>
          <w:rFonts w:cs="Arial" w:asciiTheme="majorEastAsia" w:hAnsiTheme="majorEastAsia" w:eastAsiaTheme="majorEastAsia"/>
          <w:b/>
          <w:bCs/>
          <w:color w:val="auto"/>
          <w:kern w:val="0"/>
          <w:sz w:val="24"/>
          <w:highlight w:val="none"/>
        </w:rPr>
      </w:pPr>
      <w:r>
        <w:rPr>
          <w:rFonts w:hint="eastAsia" w:cs="Arial" w:asciiTheme="majorEastAsia" w:hAnsiTheme="majorEastAsia" w:eastAsiaTheme="majorEastAsia"/>
          <w:b/>
          <w:bCs/>
          <w:color w:val="auto"/>
          <w:kern w:val="0"/>
          <w:sz w:val="24"/>
          <w:highlight w:val="none"/>
        </w:rPr>
        <w:t>4.2.1在资格审查时，如发现下列情形之一的，将被视为无效投标文件：</w:t>
      </w:r>
    </w:p>
    <w:p>
      <w:pPr>
        <w:widowControl/>
        <w:spacing w:line="360" w:lineRule="auto"/>
        <w:ind w:firstLine="480" w:firstLineChars="200"/>
        <w:jc w:val="left"/>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4.2.1.1资格证明文件不全的或者不符合采购文件标明的资格要求的；</w:t>
      </w:r>
    </w:p>
    <w:p>
      <w:pPr>
        <w:widowControl/>
        <w:spacing w:line="360" w:lineRule="auto"/>
        <w:ind w:firstLine="480" w:firstLineChars="200"/>
        <w:jc w:val="left"/>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4.2.1.1供应商资格声明函无法定代表人或授权代表签名或盖章。</w:t>
      </w:r>
    </w:p>
    <w:p>
      <w:pPr>
        <w:widowControl/>
        <w:spacing w:line="360" w:lineRule="auto"/>
        <w:ind w:left="400"/>
        <w:jc w:val="left"/>
        <w:rPr>
          <w:rFonts w:cs="Arial" w:asciiTheme="majorEastAsia" w:hAnsiTheme="majorEastAsia" w:eastAsiaTheme="majorEastAsia"/>
          <w:b/>
          <w:bCs/>
          <w:color w:val="auto"/>
          <w:kern w:val="0"/>
          <w:sz w:val="24"/>
          <w:highlight w:val="none"/>
        </w:rPr>
      </w:pPr>
      <w:r>
        <w:rPr>
          <w:rFonts w:hint="eastAsia" w:cs="Arial" w:asciiTheme="majorEastAsia" w:hAnsiTheme="majorEastAsia" w:eastAsiaTheme="majorEastAsia"/>
          <w:b/>
          <w:bCs/>
          <w:color w:val="auto"/>
          <w:kern w:val="0"/>
          <w:sz w:val="24"/>
          <w:highlight w:val="none"/>
        </w:rPr>
        <w:t>4.2.2在符合性审查（商务技术文件）时，如发现下列情形之一的，将被视为无效投标文件：</w:t>
      </w:r>
    </w:p>
    <w:p>
      <w:pPr>
        <w:widowControl/>
        <w:spacing w:line="360" w:lineRule="auto"/>
        <w:ind w:firstLine="480" w:firstLineChars="200"/>
        <w:jc w:val="left"/>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4.2.2.1未提交投标函或投标函内容不符合采购文件要求；</w:t>
      </w:r>
    </w:p>
    <w:p>
      <w:pPr>
        <w:widowControl/>
        <w:spacing w:line="360" w:lineRule="auto"/>
        <w:ind w:firstLine="480" w:firstLineChars="200"/>
        <w:jc w:val="left"/>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4.2.2.2未按照采购文件规定要求签署或盖章；</w:t>
      </w:r>
    </w:p>
    <w:p>
      <w:pPr>
        <w:widowControl/>
        <w:spacing w:line="360" w:lineRule="auto"/>
        <w:ind w:firstLine="480" w:firstLineChars="200"/>
        <w:jc w:val="left"/>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 xml:space="preserve">4.2.2.3投标文件无法定代表人签署本人姓名（或印盖本人姓名章），或签署人未提供有效的法定代表人授权委托书或授权委托书填写项目不齐全的； </w:t>
      </w:r>
    </w:p>
    <w:p>
      <w:pPr>
        <w:widowControl/>
        <w:spacing w:line="360" w:lineRule="auto"/>
        <w:ind w:firstLine="480" w:firstLineChars="200"/>
        <w:jc w:val="left"/>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4.2.2.4投标文件标明的响应或偏离与事实不符或虚假投标的；</w:t>
      </w:r>
    </w:p>
    <w:p>
      <w:pPr>
        <w:widowControl/>
        <w:spacing w:line="360" w:lineRule="auto"/>
        <w:ind w:firstLine="480" w:firstLineChars="200"/>
        <w:jc w:val="left"/>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4.2.2.5投标文件的实质性内容未使用中文表述、意思表述不明确、前后矛盾或者使用计量单位不符合采购文件要求的（经评标委员会认定并允许其当场更正的笔误除外）；</w:t>
      </w:r>
    </w:p>
    <w:p>
      <w:pPr>
        <w:widowControl/>
        <w:spacing w:line="360" w:lineRule="auto"/>
        <w:ind w:firstLine="480" w:firstLineChars="200"/>
        <w:jc w:val="left"/>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4.2.2.6带“</w:t>
      </w:r>
      <w:r>
        <w:rPr>
          <w:rFonts w:hint="eastAsia" w:cs="宋体" w:asciiTheme="majorEastAsia" w:hAnsiTheme="majorEastAsia" w:eastAsiaTheme="majorEastAsia"/>
          <w:b/>
          <w:bCs/>
          <w:color w:val="auto"/>
          <w:sz w:val="24"/>
          <w:highlight w:val="none"/>
        </w:rPr>
        <w:t>★</w:t>
      </w:r>
      <w:r>
        <w:rPr>
          <w:rFonts w:hint="eastAsia" w:cs="Arial" w:asciiTheme="majorEastAsia" w:hAnsiTheme="majorEastAsia" w:eastAsiaTheme="majorEastAsia"/>
          <w:color w:val="auto"/>
          <w:kern w:val="0"/>
          <w:sz w:val="24"/>
          <w:highlight w:val="none"/>
        </w:rPr>
        <w:t>”的条款不能满足采购文件要求、未实质性响应采购文件要求或者投标文件有采购人不能接受的附加条件的；</w:t>
      </w:r>
    </w:p>
    <w:p>
      <w:pPr>
        <w:widowControl/>
        <w:spacing w:line="360" w:lineRule="auto"/>
        <w:ind w:firstLine="480" w:firstLineChars="200"/>
        <w:jc w:val="left"/>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4.2.2.7投标技术方案不明确，存在一个或一个以上备选（替代）投标方案的；</w:t>
      </w:r>
    </w:p>
    <w:p>
      <w:pPr>
        <w:widowControl/>
        <w:spacing w:line="360" w:lineRule="auto"/>
        <w:ind w:firstLine="420"/>
        <w:jc w:val="left"/>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4.2.2.8商务技术文件中出现报价或单价的；</w:t>
      </w:r>
    </w:p>
    <w:p>
      <w:pPr>
        <w:widowControl/>
        <w:spacing w:line="360" w:lineRule="auto"/>
        <w:ind w:firstLine="420"/>
        <w:jc w:val="left"/>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4.2.2.9法律法规和采购文件规定的其他无效情形；</w:t>
      </w:r>
    </w:p>
    <w:p>
      <w:pPr>
        <w:widowControl/>
        <w:spacing w:line="360" w:lineRule="auto"/>
        <w:ind w:firstLine="420"/>
        <w:jc w:val="left"/>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4.2.2.10投标文件的有效期不满足采购文件要求。</w:t>
      </w:r>
    </w:p>
    <w:p>
      <w:pPr>
        <w:widowControl/>
        <w:spacing w:line="360" w:lineRule="auto"/>
        <w:ind w:left="400"/>
        <w:jc w:val="left"/>
        <w:rPr>
          <w:rFonts w:cs="Arial" w:asciiTheme="majorEastAsia" w:hAnsiTheme="majorEastAsia" w:eastAsiaTheme="majorEastAsia"/>
          <w:b/>
          <w:bCs/>
          <w:color w:val="auto"/>
          <w:kern w:val="0"/>
          <w:sz w:val="24"/>
          <w:highlight w:val="none"/>
        </w:rPr>
      </w:pPr>
      <w:r>
        <w:rPr>
          <w:rFonts w:hint="eastAsia" w:cs="Arial" w:asciiTheme="majorEastAsia" w:hAnsiTheme="majorEastAsia" w:eastAsiaTheme="majorEastAsia"/>
          <w:b/>
          <w:bCs/>
          <w:color w:val="auto"/>
          <w:kern w:val="0"/>
          <w:sz w:val="24"/>
          <w:highlight w:val="none"/>
        </w:rPr>
        <w:t>4.2.3、在符合性审查（报价文件）时，如发现下列情形之一的，将被视为无效投标文件：</w:t>
      </w:r>
    </w:p>
    <w:p>
      <w:pPr>
        <w:widowControl/>
        <w:spacing w:line="360" w:lineRule="auto"/>
        <w:ind w:firstLine="480" w:firstLineChars="200"/>
        <w:jc w:val="left"/>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4.2.3.1未按照采购文件规定要求签署或盖章；</w:t>
      </w:r>
    </w:p>
    <w:p>
      <w:pPr>
        <w:widowControl/>
        <w:spacing w:line="360" w:lineRule="auto"/>
        <w:ind w:firstLine="480" w:firstLineChars="200"/>
        <w:jc w:val="left"/>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4.2.3.2未采用人民币报价或者未按照采购文件标明的币种报价的；</w:t>
      </w:r>
    </w:p>
    <w:p>
      <w:pPr>
        <w:widowControl/>
        <w:spacing w:line="360" w:lineRule="auto"/>
        <w:ind w:firstLine="480" w:firstLineChars="200"/>
        <w:jc w:val="left"/>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4.2.3.3报价超出最高限价，或者超出采购预算金额，采购人不能支付的；</w:t>
      </w:r>
    </w:p>
    <w:p>
      <w:pPr>
        <w:widowControl/>
        <w:spacing w:line="360" w:lineRule="auto"/>
        <w:ind w:firstLine="480" w:firstLineChars="200"/>
        <w:jc w:val="left"/>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4.2.3.4投标报价具有选择性的；</w:t>
      </w:r>
    </w:p>
    <w:p>
      <w:pPr>
        <w:widowControl/>
        <w:spacing w:line="360" w:lineRule="auto"/>
        <w:ind w:firstLine="480" w:firstLineChars="200"/>
        <w:jc w:val="left"/>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4.2.3.5投标报价中出现重大缺项、漏项；</w:t>
      </w:r>
    </w:p>
    <w:p>
      <w:pPr>
        <w:widowControl/>
        <w:spacing w:line="360" w:lineRule="auto"/>
        <w:ind w:firstLine="480" w:firstLineChars="200"/>
        <w:jc w:val="left"/>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4.2.3.6评标委员会认为供应商的报价明显低于其他通过符合性审查供应商的报价，有可能影响产品质量或者不能诚信履约的，且不能在评标现场合理时间内提供相关证明材料说明其报价的合理性的；</w:t>
      </w:r>
    </w:p>
    <w:p>
      <w:pPr>
        <w:widowControl/>
        <w:spacing w:line="360" w:lineRule="auto"/>
        <w:ind w:firstLine="480" w:firstLineChars="200"/>
        <w:jc w:val="left"/>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4.2.3.7投标文件（报价文件）内容与投标文件（商务技术文件）内容有重大差异的；</w:t>
      </w:r>
    </w:p>
    <w:p>
      <w:pPr>
        <w:widowControl/>
        <w:spacing w:line="360" w:lineRule="auto"/>
        <w:ind w:firstLine="480" w:firstLineChars="200"/>
        <w:jc w:val="left"/>
        <w:rPr>
          <w:rFonts w:ascii="宋体" w:hAnsi="宋体" w:cs="宋体"/>
          <w:color w:val="auto"/>
          <w:kern w:val="1"/>
          <w:szCs w:val="21"/>
          <w:highlight w:val="none"/>
        </w:rPr>
      </w:pPr>
      <w:r>
        <w:rPr>
          <w:rFonts w:hint="eastAsia" w:cs="Arial" w:asciiTheme="majorEastAsia" w:hAnsiTheme="majorEastAsia" w:eastAsiaTheme="majorEastAsia"/>
          <w:color w:val="auto"/>
          <w:kern w:val="0"/>
          <w:sz w:val="24"/>
          <w:highlight w:val="none"/>
        </w:rPr>
        <w:t>4.2.3.8法律法规和采购文件规定的其他无效情形</w:t>
      </w:r>
      <w:r>
        <w:rPr>
          <w:rFonts w:hint="eastAsia" w:ascii="宋体" w:hAnsi="宋体" w:cs="宋体"/>
          <w:color w:val="auto"/>
          <w:kern w:val="1"/>
          <w:szCs w:val="21"/>
          <w:highlight w:val="none"/>
        </w:rPr>
        <w:t>。</w:t>
      </w:r>
    </w:p>
    <w:p>
      <w:pPr>
        <w:pStyle w:val="25"/>
        <w:adjustRightInd/>
        <w:spacing w:line="360" w:lineRule="auto"/>
        <w:ind w:firstLine="482"/>
        <w:rPr>
          <w:rFonts w:cs="仿宋_GB2312" w:asciiTheme="majorEastAsia" w:hAnsiTheme="majorEastAsia" w:eastAsiaTheme="majorEastAsia"/>
          <w:color w:val="auto"/>
          <w:highlight w:val="none"/>
        </w:rPr>
      </w:pPr>
      <w:r>
        <w:rPr>
          <w:rFonts w:cs="仿宋_GB2312" w:asciiTheme="majorEastAsia" w:hAnsiTheme="majorEastAsia" w:eastAsiaTheme="majorEastAsia"/>
          <w:b/>
          <w:color w:val="auto"/>
          <w:highlight w:val="none"/>
        </w:rPr>
        <w:t>5.废标。</w:t>
      </w:r>
      <w:r>
        <w:rPr>
          <w:rFonts w:hint="eastAsia" w:cs="仿宋_GB2312" w:asciiTheme="majorEastAsia" w:hAnsiTheme="majorEastAsia" w:eastAsiaTheme="majorEastAsia"/>
          <w:color w:val="auto"/>
          <w:highlight w:val="none"/>
        </w:rPr>
        <w:t>根据《中华人民共和国政府采购法》第三十六条之规定，在采购中，出现下列情形之一的，应予废标：</w:t>
      </w:r>
    </w:p>
    <w:p>
      <w:pPr>
        <w:pStyle w:val="25"/>
        <w:adjustRightInd/>
        <w:spacing w:line="360" w:lineRule="auto"/>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5.1符合专业条件的供应商或者对招标文件作实质响应的供应商不足3家的；</w:t>
      </w:r>
    </w:p>
    <w:p>
      <w:pPr>
        <w:pStyle w:val="25"/>
        <w:adjustRightInd/>
        <w:spacing w:line="360" w:lineRule="auto"/>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5.2出现影响采购公正的违法、违规行为的；</w:t>
      </w:r>
    </w:p>
    <w:p>
      <w:pPr>
        <w:pStyle w:val="25"/>
        <w:adjustRightInd/>
        <w:spacing w:line="360" w:lineRule="auto"/>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5.3投标人的报价均超过了采购预算，采购人不能支付的；</w:t>
      </w:r>
    </w:p>
    <w:p>
      <w:pPr>
        <w:pStyle w:val="25"/>
        <w:adjustRightInd/>
        <w:spacing w:line="360" w:lineRule="auto"/>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5.4因重大变故，采购任务取消的。</w:t>
      </w:r>
    </w:p>
    <w:p>
      <w:pPr>
        <w:pStyle w:val="25"/>
        <w:adjustRightInd/>
        <w:spacing w:line="360" w:lineRule="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废标后，采购代理机构应当将废标理由通知所有投标人。</w:t>
      </w:r>
    </w:p>
    <w:p>
      <w:pPr>
        <w:pStyle w:val="25"/>
        <w:adjustRightInd/>
        <w:spacing w:line="360" w:lineRule="auto"/>
        <w:ind w:firstLine="482"/>
        <w:rPr>
          <w:rFonts w:cs="仿宋_GB2312" w:asciiTheme="majorEastAsia" w:hAnsiTheme="majorEastAsia" w:eastAsiaTheme="majorEastAsia"/>
          <w:color w:val="auto"/>
          <w:highlight w:val="none"/>
        </w:rPr>
      </w:pPr>
      <w:r>
        <w:rPr>
          <w:rFonts w:cs="仿宋_GB2312" w:asciiTheme="majorEastAsia" w:hAnsiTheme="majorEastAsia" w:eastAsiaTheme="majorEastAsia"/>
          <w:b/>
          <w:color w:val="auto"/>
          <w:highlight w:val="none"/>
        </w:rPr>
        <w:t>6.修改招标文件，重新组织采购活动。</w:t>
      </w:r>
      <w:r>
        <w:rPr>
          <w:rFonts w:hint="eastAsia" w:cs="仿宋_GB2312" w:asciiTheme="majorEastAsia" w:hAnsiTheme="majorEastAsia" w:eastAsiaTheme="maj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adjustRightInd/>
        <w:spacing w:line="360" w:lineRule="auto"/>
        <w:ind w:firstLine="482"/>
        <w:rPr>
          <w:rFonts w:cs="仿宋_GB2312" w:asciiTheme="majorEastAsia" w:hAnsiTheme="majorEastAsia" w:eastAsiaTheme="majorEastAsia"/>
          <w:color w:val="auto"/>
          <w:highlight w:val="none"/>
        </w:rPr>
      </w:pPr>
      <w:r>
        <w:rPr>
          <w:rFonts w:hint="eastAsia" w:cs="Helvetica" w:asciiTheme="majorEastAsia" w:hAnsiTheme="majorEastAsia" w:eastAsiaTheme="majorEastAsia"/>
          <w:b/>
          <w:color w:val="auto"/>
          <w:kern w:val="0"/>
          <w:highlight w:val="none"/>
        </w:rPr>
        <w:t>7.重新开展采购。</w:t>
      </w:r>
      <w:r>
        <w:rPr>
          <w:rFonts w:hint="eastAsia" w:cs="仿宋_GB2312" w:asciiTheme="majorEastAsia" w:hAnsiTheme="majorEastAsia" w:eastAsiaTheme="majorEastAsia"/>
          <w:color w:val="auto"/>
          <w:highlight w:val="none"/>
        </w:rPr>
        <w:t>有政府采购法第七十一条、第七十二条规定的违法行为之一，影响或者可能影响中标、成交结果的，依照下列规定处理：</w:t>
      </w:r>
    </w:p>
    <w:p>
      <w:pPr>
        <w:pStyle w:val="25"/>
        <w:adjustRightInd/>
        <w:spacing w:line="360" w:lineRule="auto"/>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7.1未确定中标或者中标人的，终止本次政府采购活动，重新开展政府采购</w:t>
      </w:r>
      <w:r>
        <w:rPr>
          <w:rFonts w:hint="eastAsia" w:cs="仿宋_GB2312" w:asciiTheme="majorEastAsia" w:hAnsiTheme="majorEastAsia" w:eastAsiaTheme="majorEastAsia"/>
          <w:color w:val="auto"/>
          <w:highlight w:val="none"/>
        </w:rPr>
        <w:t>活动。</w:t>
      </w:r>
    </w:p>
    <w:p>
      <w:pPr>
        <w:pStyle w:val="25"/>
        <w:adjustRightInd/>
        <w:spacing w:line="360" w:lineRule="auto"/>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adjustRightInd/>
        <w:spacing w:line="360" w:lineRule="auto"/>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5"/>
        <w:adjustRightInd/>
        <w:spacing w:line="360" w:lineRule="auto"/>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7.4政府采购合同已经履行，给采购人、供应</w:t>
      </w:r>
      <w:r>
        <w:rPr>
          <w:rFonts w:hint="eastAsia" w:cs="仿宋_GB2312" w:asciiTheme="majorEastAsia" w:hAnsiTheme="majorEastAsia" w:eastAsiaTheme="majorEastAsia"/>
          <w:color w:val="auto"/>
          <w:highlight w:val="none"/>
        </w:rPr>
        <w:t>商造成损失的，由责任人承担赔偿责任。</w:t>
      </w:r>
    </w:p>
    <w:p>
      <w:pPr>
        <w:pStyle w:val="25"/>
        <w:adjustRightInd/>
        <w:spacing w:line="360" w:lineRule="auto"/>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7.5政府采购当事人有其他违反政府采购</w:t>
      </w:r>
      <w:r>
        <w:rPr>
          <w:rFonts w:hint="eastAsia" w:cs="仿宋_GB2312" w:asciiTheme="majorEastAsia" w:hAnsiTheme="majorEastAsia" w:eastAsiaTheme="majorEastAsia"/>
          <w:color w:val="auto"/>
          <w:highlight w:val="none"/>
        </w:rPr>
        <w:t>法</w:t>
      </w:r>
      <w:r>
        <w:rPr>
          <w:rFonts w:hint="eastAsia" w:cs="Arial" w:asciiTheme="majorEastAsia" w:hAnsiTheme="majorEastAsia" w:eastAsiaTheme="majorEastAsia"/>
          <w:color w:val="auto"/>
          <w:kern w:val="0"/>
          <w:highlight w:val="none"/>
        </w:rPr>
        <w:t>或者政府采购法实施条例等法律法规规定</w:t>
      </w:r>
      <w:r>
        <w:rPr>
          <w:rFonts w:hint="eastAsia" w:cs="仿宋_GB2312" w:asciiTheme="majorEastAsia" w:hAnsiTheme="majorEastAsia" w:eastAsiaTheme="majorEastAsia"/>
          <w:color w:val="auto"/>
          <w:highlight w:val="none"/>
        </w:rPr>
        <w:t>的行为，经改正后仍然影响或者可能影响中标、成交结果或者依法被认定为中标、成交无效的，依照</w:t>
      </w:r>
      <w:r>
        <w:rPr>
          <w:rFonts w:cs="仿宋_GB2312" w:asciiTheme="majorEastAsia" w:hAnsiTheme="majorEastAsia" w:eastAsiaTheme="majorEastAsia"/>
          <w:color w:val="auto"/>
          <w:highlight w:val="none"/>
        </w:rPr>
        <w:t>7.1-7.4规定处理。</w:t>
      </w:r>
    </w:p>
    <w:bookmarkEnd w:id="28"/>
    <w:p>
      <w:pPr>
        <w:widowControl/>
        <w:adjustRightInd/>
        <w:jc w:val="left"/>
        <w:rPr>
          <w:rFonts w:cs="仿宋_GB2312" w:asciiTheme="minorEastAsia" w:hAnsiTheme="minorEastAsia" w:eastAsiaTheme="minorEastAsia"/>
          <w:b/>
          <w:color w:val="auto"/>
          <w:sz w:val="36"/>
          <w:szCs w:val="36"/>
          <w:highlight w:val="none"/>
        </w:rPr>
      </w:pPr>
      <w:bookmarkStart w:id="396" w:name="第五部分"/>
      <w:bookmarkStart w:id="397" w:name="_Toc86217003"/>
      <w:r>
        <w:rPr>
          <w:rFonts w:cs="仿宋_GB2312" w:asciiTheme="minorEastAsia" w:hAnsiTheme="minorEastAsia" w:eastAsiaTheme="minorEastAsia"/>
          <w:b/>
          <w:color w:val="auto"/>
          <w:sz w:val="36"/>
          <w:szCs w:val="36"/>
          <w:highlight w:val="none"/>
        </w:rPr>
        <w:br w:type="page"/>
      </w:r>
    </w:p>
    <w:p>
      <w:pPr>
        <w:spacing w:line="360" w:lineRule="auto"/>
        <w:jc w:val="center"/>
        <w:outlineLvl w:val="0"/>
        <w:rPr>
          <w:rFonts w:cs="仿宋_GB2312" w:asciiTheme="minorEastAsia" w:hAnsiTheme="minorEastAsia" w:eastAsiaTheme="minorEastAsia"/>
          <w:b/>
          <w:color w:val="auto"/>
          <w:sz w:val="36"/>
          <w:szCs w:val="36"/>
          <w:highlight w:val="none"/>
        </w:rPr>
      </w:pPr>
      <w:bookmarkStart w:id="398" w:name="_Toc9668"/>
      <w:r>
        <w:rPr>
          <w:rFonts w:hint="eastAsia" w:cs="仿宋_GB2312" w:asciiTheme="minorEastAsia" w:hAnsiTheme="minorEastAsia" w:eastAsiaTheme="minorEastAsia"/>
          <w:b/>
          <w:color w:val="auto"/>
          <w:sz w:val="36"/>
          <w:szCs w:val="36"/>
          <w:highlight w:val="none"/>
        </w:rPr>
        <w:t>第五部分</w:t>
      </w:r>
      <w:r>
        <w:rPr>
          <w:rFonts w:cs="仿宋_GB2312" w:asciiTheme="minorEastAsia" w:hAnsiTheme="minorEastAsia" w:eastAsiaTheme="minorEastAsia"/>
          <w:b/>
          <w:color w:val="auto"/>
          <w:sz w:val="36"/>
          <w:szCs w:val="36"/>
          <w:highlight w:val="none"/>
        </w:rPr>
        <w:t xml:space="preserve"> </w:t>
      </w:r>
      <w:r>
        <w:rPr>
          <w:rFonts w:hint="eastAsia" w:cs="仿宋_GB2312" w:asciiTheme="minorEastAsia" w:hAnsiTheme="minorEastAsia" w:eastAsiaTheme="minorEastAsia"/>
          <w:b/>
          <w:color w:val="auto"/>
          <w:sz w:val="36"/>
          <w:szCs w:val="36"/>
          <w:highlight w:val="none"/>
        </w:rPr>
        <w:t>拟签订的合同文本</w:t>
      </w:r>
      <w:bookmarkEnd w:id="398"/>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项目名称：                   项目编号：</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甲方：（买方）</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乙方：（卖方）</w:t>
      </w:r>
    </w:p>
    <w:p>
      <w:pPr>
        <w:pStyle w:val="33"/>
        <w:adjustRightInd/>
        <w:spacing w:line="360" w:lineRule="auto"/>
        <w:ind w:firstLine="480" w:firstLineChars="200"/>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color w:val="auto"/>
          <w:sz w:val="24"/>
          <w:szCs w:val="24"/>
          <w:highlight w:val="none"/>
        </w:rPr>
        <w:t>甲、乙双方根据</w:t>
      </w:r>
      <w:r>
        <w:rPr>
          <w:rFonts w:hint="eastAsia" w:cs="仿宋" w:asciiTheme="minorEastAsia" w:hAnsiTheme="minorEastAsia" w:eastAsiaTheme="minorEastAsia"/>
          <w:color w:val="auto"/>
          <w:sz w:val="24"/>
          <w:szCs w:val="24"/>
          <w:highlight w:val="none"/>
          <w:u w:val="single"/>
        </w:rPr>
        <w:t>（采购编号、项目名称）  公开招标  的</w:t>
      </w:r>
      <w:r>
        <w:rPr>
          <w:rFonts w:hint="eastAsia" w:cs="仿宋" w:asciiTheme="minorEastAsia" w:hAnsiTheme="minorEastAsia" w:eastAsiaTheme="minorEastAsia"/>
          <w:color w:val="auto"/>
          <w:sz w:val="24"/>
          <w:szCs w:val="24"/>
          <w:highlight w:val="none"/>
        </w:rPr>
        <w:t>结果，签署本合同。</w:t>
      </w:r>
    </w:p>
    <w:p>
      <w:pPr>
        <w:pStyle w:val="33"/>
        <w:adjustRightInd/>
        <w:spacing w:line="360" w:lineRule="auto"/>
        <w:ind w:firstLine="482" w:firstLineChars="200"/>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一、货物内容</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1.1 货物名称：</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1.2 型号规格：</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1.3 技术参数：</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1.4 数量（单位）：</w:t>
      </w:r>
    </w:p>
    <w:p>
      <w:pPr>
        <w:pStyle w:val="33"/>
        <w:adjustRightInd/>
        <w:spacing w:line="360" w:lineRule="auto"/>
        <w:ind w:firstLine="482" w:firstLineChars="200"/>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（可用合同附件形式体现）</w:t>
      </w:r>
    </w:p>
    <w:p>
      <w:pPr>
        <w:pStyle w:val="33"/>
        <w:adjustRightInd/>
        <w:spacing w:line="360" w:lineRule="auto"/>
        <w:ind w:firstLine="482" w:firstLineChars="200"/>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二、合同金额</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2.1 本合同金额为（大写）：________________元（￥____________元）人民币。</w:t>
      </w:r>
    </w:p>
    <w:p>
      <w:pPr>
        <w:pStyle w:val="33"/>
        <w:adjustRightInd/>
        <w:spacing w:line="360" w:lineRule="auto"/>
        <w:ind w:firstLine="482" w:firstLineChars="200"/>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三、技术资料</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3.1乙方应按招标文件规定的时间向甲方提供使用货物的有关技术资料。</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3"/>
        <w:adjustRightInd/>
        <w:spacing w:line="360" w:lineRule="auto"/>
        <w:ind w:firstLine="482" w:firstLineChars="200"/>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四、知识产权</w:t>
      </w:r>
    </w:p>
    <w:p>
      <w:pPr>
        <w:pStyle w:val="33"/>
        <w:adjustRightInd/>
        <w:spacing w:line="360" w:lineRule="auto"/>
        <w:ind w:firstLine="480" w:firstLineChars="200"/>
        <w:rPr>
          <w:rFonts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color w:val="auto"/>
          <w:sz w:val="24"/>
          <w:szCs w:val="24"/>
          <w:highlight w:val="none"/>
        </w:rPr>
        <w:t>4.1 乙方应保证所提供的货物或其任何一部分均不会侵犯任何第三方的知识产权</w:t>
      </w:r>
      <w:r>
        <w:rPr>
          <w:rFonts w:hint="eastAsia" w:cs="仿宋" w:asciiTheme="minorEastAsia" w:hAnsiTheme="minorEastAsia" w:eastAsiaTheme="minorEastAsia"/>
          <w:bCs/>
          <w:color w:val="auto"/>
          <w:sz w:val="24"/>
          <w:szCs w:val="24"/>
          <w:highlight w:val="none"/>
        </w:rPr>
        <w:t>。</w:t>
      </w:r>
    </w:p>
    <w:p>
      <w:pPr>
        <w:pStyle w:val="33"/>
        <w:adjustRightInd/>
        <w:spacing w:line="360" w:lineRule="auto"/>
        <w:ind w:firstLine="482" w:firstLineChars="200"/>
        <w:rPr>
          <w:rFonts w:cs="仿宋" w:asciiTheme="minorEastAsia" w:hAnsiTheme="minorEastAsia" w:eastAsiaTheme="minorEastAsia"/>
          <w:color w:val="auto"/>
          <w:sz w:val="24"/>
          <w:szCs w:val="24"/>
          <w:highlight w:val="none"/>
          <w:u w:val="single"/>
        </w:rPr>
      </w:pPr>
      <w:r>
        <w:rPr>
          <w:rFonts w:hint="eastAsia" w:cs="仿宋" w:asciiTheme="minorEastAsia" w:hAnsiTheme="minorEastAsia" w:eastAsiaTheme="minorEastAsia"/>
          <w:b/>
          <w:color w:val="auto"/>
          <w:sz w:val="24"/>
          <w:szCs w:val="24"/>
          <w:highlight w:val="none"/>
        </w:rPr>
        <w:t>五、产权担保</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u w:val="single"/>
        </w:rPr>
      </w:pPr>
      <w:r>
        <w:rPr>
          <w:rFonts w:hint="eastAsia" w:cs="仿宋" w:asciiTheme="minorEastAsia" w:hAnsiTheme="minorEastAsia" w:eastAsiaTheme="minorEastAsia"/>
          <w:color w:val="auto"/>
          <w:sz w:val="24"/>
          <w:szCs w:val="24"/>
          <w:highlight w:val="none"/>
        </w:rPr>
        <w:t>5.1 乙方保证所交付的货物的所有权完全属于乙方且无任何抵押、查封等产权瑕疵。</w:t>
      </w:r>
    </w:p>
    <w:p>
      <w:pPr>
        <w:pStyle w:val="33"/>
        <w:adjustRightInd/>
        <w:spacing w:line="360" w:lineRule="auto"/>
        <w:ind w:firstLine="482" w:firstLineChars="200"/>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六、履约保证金</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6.1 乙方交纳</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color w:val="auto"/>
          <w:sz w:val="24"/>
          <w:szCs w:val="24"/>
          <w:highlight w:val="none"/>
        </w:rPr>
        <w:t>人民币元作为本合同的履约保证金。</w:t>
      </w:r>
    </w:p>
    <w:p>
      <w:pPr>
        <w:widowControl/>
        <w:adjustRightInd/>
        <w:spacing w:line="360" w:lineRule="auto"/>
        <w:ind w:firstLine="482" w:firstLineChars="200"/>
        <w:jc w:val="left"/>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七、转包或分包</w:t>
      </w:r>
    </w:p>
    <w:p>
      <w:pPr>
        <w:widowControl/>
        <w:adjustRightInd/>
        <w:spacing w:line="360" w:lineRule="auto"/>
        <w:ind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7.1本合同范围的货物，应由供方直接供应，不得转让他人供应；</w:t>
      </w:r>
    </w:p>
    <w:p>
      <w:pPr>
        <w:widowControl/>
        <w:adjustRightInd/>
        <w:spacing w:line="360" w:lineRule="auto"/>
        <w:ind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7.2 除非得到需方的书面同意，供方不得部分分包给他人供应。</w:t>
      </w:r>
    </w:p>
    <w:p>
      <w:pPr>
        <w:widowControl/>
        <w:adjustRightInd/>
        <w:spacing w:line="360" w:lineRule="auto"/>
        <w:ind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7.3如有转让和未经需方同意的分包行为，需方有权给予终止合同。</w:t>
      </w:r>
    </w:p>
    <w:p>
      <w:pPr>
        <w:pStyle w:val="33"/>
        <w:adjustRightInd/>
        <w:spacing w:line="360" w:lineRule="auto"/>
        <w:ind w:firstLine="482"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b/>
          <w:color w:val="auto"/>
          <w:sz w:val="24"/>
          <w:szCs w:val="24"/>
          <w:highlight w:val="none"/>
        </w:rPr>
        <w:t>八、质保期</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8.1 质保期：</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color w:val="auto"/>
          <w:sz w:val="24"/>
          <w:szCs w:val="24"/>
          <w:highlight w:val="none"/>
        </w:rPr>
        <w:t xml:space="preserve"> 。（自所有货物交货验收合格之日起计）</w:t>
      </w:r>
    </w:p>
    <w:p>
      <w:pPr>
        <w:pStyle w:val="33"/>
        <w:adjustRightInd/>
        <w:spacing w:line="360" w:lineRule="auto"/>
        <w:ind w:firstLine="482" w:firstLineChars="200"/>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九、工期、交货方式及交货地点</w:t>
      </w:r>
    </w:p>
    <w:p>
      <w:pPr>
        <w:pStyle w:val="33"/>
        <w:adjustRightInd/>
        <w:spacing w:line="360" w:lineRule="auto"/>
        <w:ind w:firstLine="480" w:firstLineChars="200"/>
        <w:rPr>
          <w:rFonts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 xml:space="preserve">9.1 </w:t>
      </w:r>
      <w:r>
        <w:rPr>
          <w:rFonts w:hint="eastAsia" w:cs="仿宋" w:asciiTheme="minorEastAsia" w:hAnsiTheme="minorEastAsia" w:eastAsiaTheme="minorEastAsia"/>
          <w:bCs/>
          <w:color w:val="auto"/>
          <w:sz w:val="24"/>
          <w:szCs w:val="24"/>
          <w:highlight w:val="none"/>
          <w:lang w:eastAsia="zh-CN"/>
        </w:rPr>
        <w:t>交货日期</w:t>
      </w:r>
      <w:r>
        <w:rPr>
          <w:rFonts w:hint="eastAsia" w:cs="仿宋" w:asciiTheme="minorEastAsia" w:hAnsiTheme="minorEastAsia" w:eastAsiaTheme="minorEastAsia"/>
          <w:bCs/>
          <w:color w:val="auto"/>
          <w:sz w:val="24"/>
          <w:szCs w:val="24"/>
          <w:highlight w:val="none"/>
        </w:rPr>
        <w:t>：</w:t>
      </w:r>
    </w:p>
    <w:p>
      <w:pPr>
        <w:pStyle w:val="33"/>
        <w:adjustRightInd/>
        <w:spacing w:line="360" w:lineRule="auto"/>
        <w:ind w:firstLine="480" w:firstLineChars="200"/>
        <w:rPr>
          <w:rFonts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9.2交货方式：</w:t>
      </w:r>
    </w:p>
    <w:p>
      <w:pPr>
        <w:adjustRightInd/>
        <w:spacing w:line="360" w:lineRule="auto"/>
        <w:ind w:firstLine="480" w:firstLineChars="200"/>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9.3交货地点：</w:t>
      </w:r>
    </w:p>
    <w:p>
      <w:pPr>
        <w:pStyle w:val="33"/>
        <w:adjustRightInd/>
        <w:spacing w:line="360" w:lineRule="auto"/>
        <w:ind w:firstLine="480" w:firstLineChars="200"/>
        <w:rPr>
          <w:rFonts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9.4 服务期：</w:t>
      </w:r>
    </w:p>
    <w:p>
      <w:pPr>
        <w:pStyle w:val="33"/>
        <w:adjustRightInd/>
        <w:spacing w:line="360" w:lineRule="auto"/>
        <w:ind w:firstLine="480" w:firstLineChars="200"/>
        <w:rPr>
          <w:rFonts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9.4 服务地点：</w:t>
      </w:r>
    </w:p>
    <w:p>
      <w:pPr>
        <w:pStyle w:val="33"/>
        <w:adjustRightInd/>
        <w:spacing w:line="360" w:lineRule="auto"/>
        <w:ind w:firstLine="482" w:firstLineChars="200"/>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十、货款支付</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bCs/>
          <w:color w:val="auto"/>
          <w:sz w:val="24"/>
          <w:szCs w:val="24"/>
          <w:highlight w:val="none"/>
        </w:rPr>
        <w:t>10.1</w:t>
      </w:r>
      <w:r>
        <w:rPr>
          <w:rFonts w:hint="eastAsia" w:cs="仿宋" w:asciiTheme="minorEastAsia" w:hAnsiTheme="minorEastAsia" w:eastAsiaTheme="minorEastAsia"/>
          <w:bCs/>
          <w:color w:val="auto"/>
          <w:sz w:val="24"/>
          <w:szCs w:val="24"/>
          <w:highlight w:val="none"/>
          <w:lang w:eastAsia="zh-CN"/>
        </w:rPr>
        <w:t>货款需跟各个单位结算。中标后于教育局签订总合同，再与各个学校签订分合同。</w:t>
      </w:r>
      <w:r>
        <w:rPr>
          <w:rFonts w:hint="eastAsia" w:cs="仿宋" w:asciiTheme="minorEastAsia" w:hAnsiTheme="minorEastAsia" w:eastAsiaTheme="minorEastAsia"/>
          <w:color w:val="auto"/>
          <w:sz w:val="24"/>
          <w:szCs w:val="24"/>
          <w:highlight w:val="none"/>
        </w:rPr>
        <w:t>合同生效以及具备实施条件后7个工作日内，</w:t>
      </w:r>
      <w:r>
        <w:rPr>
          <w:rFonts w:hint="eastAsia" w:cs="仿宋" w:asciiTheme="minorEastAsia" w:hAnsiTheme="minorEastAsia" w:eastAsiaTheme="minorEastAsia"/>
          <w:color w:val="auto"/>
          <w:sz w:val="24"/>
          <w:szCs w:val="24"/>
          <w:highlight w:val="none"/>
          <w:lang w:eastAsia="zh-CN"/>
        </w:rPr>
        <w:t>各个学校</w:t>
      </w:r>
      <w:r>
        <w:rPr>
          <w:rFonts w:hint="eastAsia" w:cs="仿宋" w:asciiTheme="minorEastAsia" w:hAnsiTheme="minorEastAsia" w:eastAsiaTheme="minorEastAsia"/>
          <w:color w:val="auto"/>
          <w:sz w:val="24"/>
          <w:szCs w:val="24"/>
          <w:highlight w:val="none"/>
        </w:rPr>
        <w:t>向中标人（乙方）支付签约合同款的40%作为预付款。在签订合同时，供应商明确表示无需预付款或者主动要求降低预付款比例的，采购单位可不适用前述规定。</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10.2货到无任何质量问题、验收合格,且收到中标人（乙方）开具的正规发票后，采购人（甲方）在7个工作日内将合同余款支付到合同约定的中标人（乙方）账户。</w:t>
      </w:r>
    </w:p>
    <w:p>
      <w:pPr>
        <w:pStyle w:val="33"/>
        <w:adjustRightInd/>
        <w:spacing w:line="360" w:lineRule="auto"/>
        <w:ind w:firstLine="420" w:firstLineChars="200"/>
        <w:rPr>
          <w:rFonts w:cs="仿宋" w:asciiTheme="minorEastAsia" w:hAnsiTheme="minorEastAsia" w:eastAsiaTheme="minorEastAsia"/>
          <w:b/>
          <w:color w:val="auto"/>
          <w:sz w:val="24"/>
          <w:highlight w:val="none"/>
        </w:rPr>
      </w:pPr>
      <w:r>
        <w:rPr>
          <w:rFonts w:hint="eastAsia"/>
          <w:color w:val="auto"/>
          <w:highlight w:val="none"/>
        </w:rPr>
        <w:t xml:space="preserve"> </w:t>
      </w:r>
      <w:r>
        <w:rPr>
          <w:rFonts w:hint="eastAsia" w:cs="仿宋" w:asciiTheme="minorEastAsia" w:hAnsiTheme="minorEastAsia" w:eastAsiaTheme="minorEastAsia"/>
          <w:b/>
          <w:color w:val="auto"/>
          <w:sz w:val="24"/>
          <w:highlight w:val="none"/>
        </w:rPr>
        <w:t>十一、税金</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11.1本合同执行中相关的一切税费均由乙方负担。</w:t>
      </w:r>
    </w:p>
    <w:p>
      <w:pPr>
        <w:pStyle w:val="33"/>
        <w:adjustRightInd/>
        <w:spacing w:line="360" w:lineRule="auto"/>
        <w:ind w:firstLine="482"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b/>
          <w:color w:val="auto"/>
          <w:sz w:val="24"/>
          <w:szCs w:val="24"/>
          <w:highlight w:val="none"/>
        </w:rPr>
        <w:t>十二、质量保证及售后服务</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12.1 乙方应按招标文件规定的货物性能、技术要求、质量标准向甲方提供未经使用的全新产品。</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12.2 乙方提供的货物在质保期内（如有）因货物本身的质量问题发生故障，乙方应负责免费更换。</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12.3 如在使用过程中发生质量问题，接到采购人通知后2小时内响应，4小时内到达维修现场，一般问题12小时内修复，对于影响网络正常运行的严重故障，投标人工程师及其它相关技术人员必须在1小时内赶到现场，查找原因，提出解决方案，并工作直至故障</w:t>
      </w:r>
      <w:r>
        <w:rPr>
          <w:rFonts w:hint="eastAsia" w:cs="仿宋" w:asciiTheme="minorEastAsia" w:hAnsiTheme="minorEastAsia" w:eastAsiaTheme="minorEastAsia"/>
          <w:color w:val="auto"/>
          <w:sz w:val="24"/>
          <w:szCs w:val="24"/>
          <w:highlight w:val="none"/>
          <w:lang w:eastAsia="zh-CN"/>
        </w:rPr>
        <w:t>修复</w:t>
      </w:r>
      <w:r>
        <w:rPr>
          <w:rFonts w:hint="eastAsia" w:cs="仿宋" w:asciiTheme="minorEastAsia" w:hAnsiTheme="minorEastAsia" w:eastAsiaTheme="minorEastAsia"/>
          <w:color w:val="auto"/>
          <w:sz w:val="24"/>
          <w:szCs w:val="24"/>
          <w:highlight w:val="none"/>
        </w:rPr>
        <w:t>完全恢复正常服务为止，一般要求保证系统在12小时之内修复，并需要提供确保承诺实现的措施。</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12.4 在质保期（如有）内，乙方应对货物出现的质量及安全问题负责处理解决并承担一切费用。</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12.</w:t>
      </w:r>
      <w:r>
        <w:rPr>
          <w:rFonts w:cs="仿宋" w:asciiTheme="minorEastAsia" w:hAnsiTheme="minorEastAsia" w:eastAsiaTheme="minorEastAsia"/>
          <w:color w:val="auto"/>
          <w:sz w:val="24"/>
          <w:szCs w:val="24"/>
          <w:highlight w:val="none"/>
        </w:rPr>
        <w:t>5</w:t>
      </w:r>
      <w:r>
        <w:rPr>
          <w:rFonts w:hint="eastAsia" w:cs="仿宋" w:asciiTheme="minorEastAsia" w:hAnsiTheme="minorEastAsia" w:eastAsiaTheme="minorEastAsia"/>
          <w:color w:val="auto"/>
          <w:sz w:val="24"/>
          <w:szCs w:val="24"/>
          <w:highlight w:val="none"/>
        </w:rPr>
        <w:t>上述的货物免费保修期内，因人为因素出现的故障不在免费保修范围内。超过保修期的设备，终身维修，维修时只收部件成本费。</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12.</w:t>
      </w:r>
      <w:r>
        <w:rPr>
          <w:rFonts w:cs="仿宋" w:asciiTheme="minorEastAsia" w:hAnsiTheme="minorEastAsia" w:eastAsiaTheme="minorEastAsia"/>
          <w:color w:val="auto"/>
          <w:sz w:val="24"/>
          <w:szCs w:val="24"/>
          <w:highlight w:val="none"/>
        </w:rPr>
        <w:t>6</w:t>
      </w:r>
      <w:r>
        <w:rPr>
          <w:rFonts w:hint="eastAsia" w:cs="仿宋" w:asciiTheme="minorEastAsia" w:hAnsiTheme="minorEastAsia" w:eastAsiaTheme="minorEastAsia"/>
          <w:color w:val="auto"/>
          <w:sz w:val="24"/>
          <w:szCs w:val="24"/>
          <w:highlight w:val="none"/>
        </w:rPr>
        <w:t>上述的货物免费保修期为</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color w:val="auto"/>
          <w:sz w:val="24"/>
          <w:szCs w:val="24"/>
          <w:highlight w:val="none"/>
        </w:rPr>
        <w:t>年，因人为因素出现的故障不在免费保修范围内。</w:t>
      </w:r>
    </w:p>
    <w:p>
      <w:pPr>
        <w:pStyle w:val="33"/>
        <w:adjustRightInd/>
        <w:spacing w:line="360" w:lineRule="auto"/>
        <w:ind w:firstLine="482" w:firstLineChars="200"/>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十三、调试和验收</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13.1 甲方对乙方提交的货物依据招标文件上的技术规格要求和国家有关质量标准进行现场初步验收，外观、说明书符合招标文件技术要求的，给予签收，初步验收不合格的不予签收。货到后，甲方需在</w:t>
      </w:r>
      <w:r>
        <w:rPr>
          <w:rFonts w:hint="eastAsia" w:cs="仿宋" w:asciiTheme="minorEastAsia" w:hAnsiTheme="minorEastAsia" w:eastAsiaTheme="minorEastAsia"/>
          <w:color w:val="auto"/>
          <w:sz w:val="24"/>
          <w:szCs w:val="24"/>
          <w:highlight w:val="none"/>
          <w:u w:val="single"/>
        </w:rPr>
        <w:t>五</w:t>
      </w:r>
      <w:r>
        <w:rPr>
          <w:rFonts w:hint="eastAsia" w:cs="仿宋" w:asciiTheme="minorEastAsia" w:hAnsiTheme="minorEastAsia" w:eastAsiaTheme="minorEastAsia"/>
          <w:color w:val="auto"/>
          <w:sz w:val="24"/>
          <w:szCs w:val="24"/>
          <w:highlight w:val="none"/>
        </w:rPr>
        <w:t>个工作日内验收。</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13.2 乙方交货前应对产品作出全面检查和对验收文件进行整理，并列出清单，作为甲方收货验收和使用的技术条件依据，检验的结果应随货物交甲方。</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u w:val="single"/>
        </w:rPr>
      </w:pPr>
      <w:r>
        <w:rPr>
          <w:rFonts w:hint="eastAsia" w:cs="仿宋" w:asciiTheme="minorEastAsia" w:hAnsiTheme="minorEastAsia" w:eastAsiaTheme="minorEastAsia"/>
          <w:color w:val="auto"/>
          <w:sz w:val="24"/>
          <w:szCs w:val="24"/>
          <w:highlight w:val="none"/>
        </w:rPr>
        <w:t>13.3 甲方对乙方提供的货物在使用前进行调试时，乙方需负责安装并培训甲方的使用操作人员，并协助甲方一起调试，直到符合技术要求，甲方才做最终验收。</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13.4 对技术复杂的货物，甲方应请国家认可的专业检测机构参与初步验收及最终验收，并由其出具质量检测报告。</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13.5 验收时乙方必须在现场，验收完毕后作出验收结果报告。</w:t>
      </w:r>
    </w:p>
    <w:p>
      <w:pPr>
        <w:pStyle w:val="33"/>
        <w:adjustRightInd/>
        <w:spacing w:line="360" w:lineRule="auto"/>
        <w:ind w:firstLine="482" w:firstLineChars="200"/>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十四、货物包装、发运及运输</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14.1 乙方应在货物发运前对其进行满足运输距离、防潮、防震、防锈和防破损装卸等要求包装，以保证货物安全运达甲方指定地点。</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14.2 使用说明书、质量检验证明书、随配附件和工具以及清单一并附于货物内。</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14.3 乙方货到甲方48小时前通知甲方，以准备接货。</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14.4 货物在交付甲方前发生的风险均由乙方负责。</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14.5 货物在规定的交付期限内由乙方送达甲方指定的地点视为交付，乙方同时需通知甲方货物已送达。</w:t>
      </w:r>
    </w:p>
    <w:p>
      <w:pPr>
        <w:pStyle w:val="33"/>
        <w:adjustRightInd/>
        <w:spacing w:line="360" w:lineRule="auto"/>
        <w:ind w:firstLine="482" w:firstLineChars="200"/>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十五、违约责任</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15.1 甲方无正当理由拒收货物的，甲方向乙方偿付拒收货款总值的百分之五违约金。</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15.2 甲方无故逾期验收和办理货款支付手续的,甲方应按逾期付款总额每日万分之五向乙方支付违约金。</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3"/>
        <w:adjustRightInd/>
        <w:spacing w:line="360" w:lineRule="auto"/>
        <w:ind w:firstLine="482" w:firstLineChars="200"/>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十六、不可抗力事件处理</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16.1 在合同有效期内，任何一方因不可抗力事件导致不能履行合同，则合同履行期可延长，其延长期与不可抗力影响期相同。</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16.2 不可抗力事件发生后，应立即通知对方，并寄送有关权威机构出具的证明。</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16.3 不可抗力事件延续120天以上，双方应通过友好协商，确定是否继续履行合同。</w:t>
      </w:r>
    </w:p>
    <w:p>
      <w:pPr>
        <w:pStyle w:val="33"/>
        <w:adjustRightInd/>
        <w:spacing w:line="360" w:lineRule="auto"/>
        <w:ind w:firstLine="482" w:firstLineChars="200"/>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十七、诉讼</w:t>
      </w:r>
    </w:p>
    <w:p>
      <w:pPr>
        <w:pStyle w:val="33"/>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17.1 双方在执行合同中所发生的一切争议，应通过协商解决。如协商不成，可向合同签订地法院起诉，合同签订地在此约定为</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color w:val="auto"/>
          <w:sz w:val="24"/>
          <w:szCs w:val="24"/>
          <w:highlight w:val="none"/>
        </w:rPr>
        <w:t>。</w:t>
      </w:r>
    </w:p>
    <w:p>
      <w:pPr>
        <w:pStyle w:val="33"/>
        <w:adjustRightInd/>
        <w:spacing w:line="360" w:lineRule="auto"/>
        <w:ind w:firstLine="482" w:firstLineChars="200"/>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十八、合同生效及其它</w:t>
      </w:r>
    </w:p>
    <w:p>
      <w:pPr>
        <w:pStyle w:val="33"/>
        <w:widowControl/>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18.1 合同经双方法定代表人或授权委托代理人签字并加盖单位公章后生效。</w:t>
      </w:r>
    </w:p>
    <w:p>
      <w:pPr>
        <w:adjustRightInd/>
        <w:spacing w:line="360" w:lineRule="auto"/>
        <w:ind w:firstLine="480" w:firstLineChars="200"/>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sz w:val="24"/>
          <w:highlight w:val="none"/>
        </w:rPr>
        <w:t>18.2</w:t>
      </w:r>
      <w:r>
        <w:rPr>
          <w:rFonts w:hint="eastAsia" w:cs="仿宋" w:asciiTheme="minorEastAsia" w:hAnsiTheme="minorEastAsia" w:eastAsiaTheme="minorEastAsia"/>
          <w:color w:val="auto"/>
          <w:kern w:val="0"/>
          <w:sz w:val="24"/>
          <w:highlight w:val="none"/>
        </w:rPr>
        <w:t>如发生所供的商品与合同不符，采购人有权拒收或退货，由此产生的一切责任和后果由中标人承担。</w:t>
      </w:r>
    </w:p>
    <w:p>
      <w:pPr>
        <w:adjustRightInd/>
        <w:spacing w:line="360" w:lineRule="auto"/>
        <w:ind w:firstLine="480" w:firstLineChars="200"/>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18.3所有材料设备均须免费送货到采购单位指定地点并上门安装，提供一定量的备用零部件；且具有定期上门回访制度。</w:t>
      </w:r>
    </w:p>
    <w:p>
      <w:pPr>
        <w:pStyle w:val="33"/>
        <w:widowControl/>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18.7本合同未尽事宜，遵照《民法典》有关条文执行。</w:t>
      </w:r>
    </w:p>
    <w:p>
      <w:pPr>
        <w:pStyle w:val="33"/>
        <w:widowControl/>
        <w:adjustRightInd/>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18.8 本合同正本一式两份，具有同等法律效力，甲乙双方各执一份。</w:t>
      </w:r>
    </w:p>
    <w:p>
      <w:pPr>
        <w:pStyle w:val="33"/>
        <w:spacing w:line="360" w:lineRule="auto"/>
        <w:ind w:left="480" w:hanging="480" w:hanging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    </w:t>
      </w:r>
    </w:p>
    <w:p>
      <w:pPr>
        <w:pStyle w:val="33"/>
        <w:spacing w:line="360" w:lineRule="auto"/>
        <w:ind w:left="479" w:leftChars="228"/>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甲方：                                   乙方： </w:t>
      </w:r>
    </w:p>
    <w:p>
      <w:pPr>
        <w:pStyle w:val="33"/>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    地址：                                   地址： </w:t>
      </w:r>
    </w:p>
    <w:p>
      <w:pPr>
        <w:pStyle w:val="33"/>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    法定代表人：                             法定代表人：</w:t>
      </w:r>
    </w:p>
    <w:p>
      <w:pPr>
        <w:pStyle w:val="33"/>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    签订地点：                               签订日期：      年  月  日</w:t>
      </w:r>
    </w:p>
    <w:p>
      <w:pPr>
        <w:pStyle w:val="24"/>
        <w:ind w:firstLine="0"/>
        <w:rPr>
          <w:rFonts w:cs="仿宋" w:asciiTheme="minorEastAsia" w:hAnsiTheme="minorEastAsia" w:eastAsiaTheme="minorEastAsia"/>
          <w:b/>
          <w:color w:val="auto"/>
          <w:szCs w:val="24"/>
          <w:highlight w:val="none"/>
        </w:rPr>
        <w:sectPr>
          <w:pgSz w:w="11907" w:h="16840"/>
          <w:pgMar w:top="1134" w:right="1134" w:bottom="1134" w:left="1134" w:header="850" w:footer="992" w:gutter="0"/>
          <w:pgNumType w:fmt="decimal"/>
          <w:cols w:space="720" w:num="1"/>
          <w:docGrid w:linePitch="286" w:charSpace="0"/>
        </w:sectPr>
      </w:pPr>
    </w:p>
    <w:p>
      <w:pPr>
        <w:widowControl/>
        <w:adjustRightInd/>
        <w:jc w:val="left"/>
        <w:rPr>
          <w:rFonts w:cs="仿宋_GB2312" w:asciiTheme="minorEastAsia" w:hAnsiTheme="minorEastAsia" w:eastAsiaTheme="minorEastAsia"/>
          <w:b/>
          <w:color w:val="auto"/>
          <w:sz w:val="36"/>
          <w:szCs w:val="20"/>
          <w:highlight w:val="none"/>
        </w:rPr>
      </w:pPr>
    </w:p>
    <w:p>
      <w:pPr>
        <w:spacing w:line="360" w:lineRule="auto"/>
        <w:jc w:val="center"/>
        <w:outlineLvl w:val="0"/>
        <w:rPr>
          <w:rFonts w:cs="仿宋_GB2312" w:asciiTheme="minorEastAsia" w:hAnsiTheme="minorEastAsia" w:eastAsiaTheme="minorEastAsia"/>
          <w:b/>
          <w:color w:val="auto"/>
          <w:sz w:val="36"/>
          <w:szCs w:val="20"/>
          <w:highlight w:val="none"/>
        </w:rPr>
      </w:pPr>
      <w:bookmarkStart w:id="399" w:name="_Toc12876"/>
      <w:r>
        <w:rPr>
          <w:rFonts w:hint="eastAsia" w:cs="仿宋_GB2312" w:asciiTheme="minorEastAsia" w:hAnsiTheme="minorEastAsia" w:eastAsiaTheme="minorEastAsia"/>
          <w:b/>
          <w:color w:val="auto"/>
          <w:sz w:val="36"/>
          <w:szCs w:val="20"/>
          <w:highlight w:val="none"/>
        </w:rPr>
        <w:t>第六部分</w:t>
      </w:r>
      <w:bookmarkEnd w:id="396"/>
      <w:r>
        <w:rPr>
          <w:rFonts w:cs="仿宋_GB2312" w:asciiTheme="minorEastAsia" w:hAnsiTheme="minorEastAsia" w:eastAsiaTheme="minorEastAsia"/>
          <w:b/>
          <w:color w:val="auto"/>
          <w:sz w:val="36"/>
          <w:szCs w:val="20"/>
          <w:highlight w:val="none"/>
        </w:rPr>
        <w:t xml:space="preserve"> </w:t>
      </w:r>
      <w:bookmarkEnd w:id="397"/>
      <w:r>
        <w:rPr>
          <w:rFonts w:hint="eastAsia" w:cs="仿宋_GB2312" w:asciiTheme="minorEastAsia" w:hAnsiTheme="minorEastAsia" w:eastAsiaTheme="minorEastAsia"/>
          <w:b/>
          <w:color w:val="auto"/>
          <w:sz w:val="36"/>
          <w:szCs w:val="20"/>
          <w:highlight w:val="none"/>
        </w:rPr>
        <w:t>应提交的有关格式范例</w:t>
      </w:r>
      <w:bookmarkEnd w:id="399"/>
    </w:p>
    <w:p>
      <w:pPr>
        <w:spacing w:line="360" w:lineRule="auto"/>
        <w:ind w:left="-420" w:leftChars="-200" w:right="-420" w:rightChars="-200" w:firstLine="480" w:firstLineChars="200"/>
        <w:rPr>
          <w:rFonts w:asciiTheme="minorEastAsia" w:hAnsiTheme="minorEastAsia" w:eastAsiaTheme="minorEastAsia"/>
          <w:color w:val="auto"/>
          <w:sz w:val="24"/>
          <w:highlight w:val="none"/>
        </w:rPr>
      </w:pPr>
    </w:p>
    <w:p>
      <w:pPr>
        <w:spacing w:line="360" w:lineRule="auto"/>
        <w:jc w:val="center"/>
        <w:outlineLvl w:val="0"/>
        <w:rPr>
          <w:rFonts w:cs="仿宋_GB2312" w:asciiTheme="minorEastAsia" w:hAnsiTheme="minorEastAsia" w:eastAsiaTheme="minorEastAsia"/>
          <w:b/>
          <w:color w:val="auto"/>
          <w:kern w:val="0"/>
          <w:sz w:val="36"/>
          <w:szCs w:val="36"/>
          <w:highlight w:val="none"/>
        </w:rPr>
      </w:pPr>
      <w:bookmarkStart w:id="400" w:name="_Toc31982"/>
      <w:r>
        <w:rPr>
          <w:rFonts w:hint="eastAsia" w:cs="仿宋_GB2312" w:asciiTheme="minorEastAsia" w:hAnsiTheme="minorEastAsia" w:eastAsiaTheme="minorEastAsia"/>
          <w:b/>
          <w:color w:val="auto"/>
          <w:kern w:val="0"/>
          <w:sz w:val="36"/>
          <w:szCs w:val="36"/>
          <w:highlight w:val="none"/>
        </w:rPr>
        <w:t>资格文件部分</w:t>
      </w:r>
      <w:bookmarkEnd w:id="400"/>
    </w:p>
    <w:p>
      <w:pPr>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pPr>
        <w:spacing w:line="360" w:lineRule="auto"/>
        <w:ind w:left="-420" w:leftChars="-200" w:right="-420" w:rightChars="-200" w:firstLine="480" w:firstLineChars="200"/>
        <w:rPr>
          <w:rFonts w:asciiTheme="minorEastAsia" w:hAnsiTheme="minorEastAsia" w:eastAsiaTheme="minorEastAsia"/>
          <w:color w:val="auto"/>
          <w:sz w:val="24"/>
          <w:highlight w:val="none"/>
        </w:rPr>
      </w:pP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rPr>
        <w:t>具有独立承担民事责任能力的证明材料……………………………………（页码）</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r>
        <w:rPr>
          <w:rFonts w:cs="仿宋_GB2312" w:asciiTheme="minorEastAsia" w:hAnsiTheme="minorEastAsia" w:eastAsiaTheme="minorEastAsia"/>
          <w:color w:val="auto"/>
          <w:sz w:val="24"/>
          <w:highlight w:val="none"/>
        </w:rPr>
        <w:t>）符合参加政府采购活动应当具备的一般条件的承诺函</w:t>
      </w:r>
      <w:r>
        <w:rPr>
          <w:rFonts w:hint="eastAsia" w:cs="仿宋_GB2312" w:asciiTheme="minorEastAsia" w:hAnsiTheme="minorEastAsia" w:eastAsiaTheme="minorEastAsia"/>
          <w:color w:val="auto"/>
          <w:sz w:val="24"/>
          <w:highlight w:val="none"/>
        </w:rPr>
        <w:t>……………………（页码）</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r>
        <w:rPr>
          <w:rFonts w:cs="仿宋_GB2312" w:asciiTheme="minorEastAsia" w:hAnsiTheme="minorEastAsia" w:eastAsiaTheme="minorEastAsia"/>
          <w:color w:val="auto"/>
          <w:sz w:val="24"/>
          <w:highlight w:val="none"/>
        </w:rPr>
        <w:t>）落实政府采购政策需满足的资格要求……</w:t>
      </w:r>
      <w:r>
        <w:rPr>
          <w:rFonts w:hint="eastAsia" w:cs="仿宋_GB2312" w:asciiTheme="minorEastAsia" w:hAnsiTheme="minorEastAsia" w:eastAsiaTheme="minorEastAsia"/>
          <w:color w:val="auto"/>
          <w:sz w:val="24"/>
          <w:highlight w:val="none"/>
        </w:rPr>
        <w:t>……………………………………（页码）</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r>
        <w:rPr>
          <w:rFonts w:cs="仿宋_GB2312" w:asciiTheme="minorEastAsia" w:hAnsiTheme="minorEastAsia" w:eastAsiaTheme="minorEastAsia"/>
          <w:color w:val="auto"/>
          <w:sz w:val="24"/>
          <w:highlight w:val="none"/>
        </w:rPr>
        <w:t>）本项目的特定资格要求……</w:t>
      </w:r>
      <w:r>
        <w:rPr>
          <w:rFonts w:hint="eastAsia" w:cs="仿宋_GB2312" w:asciiTheme="minorEastAsia" w:hAnsiTheme="minorEastAsia" w:eastAsiaTheme="minorEastAsia"/>
          <w:color w:val="auto"/>
          <w:sz w:val="24"/>
          <w:highlight w:val="none"/>
        </w:rPr>
        <w:t>……………………………………………………（页码）</w:t>
      </w:r>
    </w:p>
    <w:p>
      <w:pPr>
        <w:spacing w:line="360" w:lineRule="auto"/>
        <w:ind w:right="-420" w:rightChars="-200"/>
        <w:rPr>
          <w:rFonts w:asciiTheme="minorEastAsia" w:hAnsiTheme="minorEastAsia" w:eastAsiaTheme="minorEastAsia"/>
          <w:color w:val="auto"/>
          <w:sz w:val="24"/>
          <w:highlight w:val="none"/>
        </w:rPr>
      </w:pPr>
    </w:p>
    <w:p>
      <w:pPr>
        <w:adjustRightInd/>
        <w:spacing w:line="360" w:lineRule="auto"/>
        <w:jc w:val="center"/>
        <w:outlineLvl w:val="1"/>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color w:val="auto"/>
          <w:kern w:val="0"/>
          <w:sz w:val="24"/>
          <w:highlight w:val="none"/>
        </w:rPr>
        <w:br w:type="page"/>
      </w:r>
      <w:r>
        <w:rPr>
          <w:rFonts w:cs="仿宋_GB2312" w:asciiTheme="minorEastAsia" w:hAnsiTheme="minorEastAsia" w:eastAsiaTheme="minorEastAsia"/>
          <w:b/>
          <w:color w:val="auto"/>
          <w:kern w:val="0"/>
          <w:sz w:val="32"/>
          <w:szCs w:val="32"/>
          <w:highlight w:val="none"/>
        </w:rPr>
        <w:t>一、</w:t>
      </w:r>
      <w:r>
        <w:rPr>
          <w:rFonts w:hint="eastAsia" w:cs="仿宋_GB2312" w:asciiTheme="minorEastAsia" w:hAnsiTheme="minorEastAsia" w:eastAsiaTheme="minorEastAsia"/>
          <w:b/>
          <w:color w:val="auto"/>
          <w:kern w:val="0"/>
          <w:sz w:val="32"/>
          <w:szCs w:val="32"/>
          <w:highlight w:val="none"/>
        </w:rPr>
        <w:t>具有独立承担民事责任能力的证明材料</w:t>
      </w:r>
    </w:p>
    <w:p>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投标人应在投标文件中出具符合以下情况的证明材料加盖公章（五选一）：</w:t>
      </w:r>
    </w:p>
    <w:p>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①如投标人是企业（包括营利法人、个人独资企业、合伙企业、中外合作经营企业、外资企业、乡镇企业、街道企业），提供在市场监督管理部门注册的有效“营业执照”；</w:t>
      </w:r>
    </w:p>
    <w:p>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②如投标人是非营利法人（包括事业单位、社会团体、基金会、社会服务机构等），提供有效的法人资格证书；</w:t>
      </w:r>
    </w:p>
    <w:p>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③如投标人是特别法人（包括农村集体经济组织法人、城镇农村的合作经济组织法人、基层群众性自治组织法人等），提供有效的法人资格证书；</w:t>
      </w:r>
    </w:p>
    <w:p>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④如投标人是个体工商户，提供有效的“个体工商户营业执照”；</w:t>
      </w:r>
    </w:p>
    <w:p>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⑤如投标人是自然人，提供有效的自然人身份证明（居民身份证正反面或公安机关出具的临时居民身份证正反面或港澳台胞证或护照）。</w:t>
      </w:r>
    </w:p>
    <w:p>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根据《浙江省财政厅关于规范政府采购供应商资格设定及资格审查的通知》（浙财采监〔2013〕24号）第六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上述单位参加政府采购活动时，应提供该单位负责人签署的相关文件材料。符合的允许参加本次采购活动。</w:t>
      </w:r>
    </w:p>
    <w:p>
      <w:pPr>
        <w:adjustRightInd/>
        <w:spacing w:line="360" w:lineRule="auto"/>
        <w:ind w:firstLine="480" w:firstLineChars="200"/>
        <w:jc w:val="center"/>
        <w:rPr>
          <w:rFonts w:cs="仿宋_GB2312" w:asciiTheme="minorEastAsia" w:hAnsiTheme="minorEastAsia" w:eastAsiaTheme="minorEastAsia"/>
          <w:color w:val="auto"/>
          <w:sz w:val="24"/>
          <w:highlight w:val="none"/>
        </w:rPr>
      </w:pPr>
    </w:p>
    <w:p>
      <w:pPr>
        <w:pStyle w:val="82"/>
        <w:rPr>
          <w:rFonts w:cs="仿宋_GB2312" w:asciiTheme="minorEastAsia" w:hAnsiTheme="minorEastAsia" w:eastAsiaTheme="minorEastAsia"/>
          <w:color w:val="auto"/>
          <w:highlight w:val="none"/>
        </w:rPr>
      </w:pPr>
    </w:p>
    <w:p>
      <w:pP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br w:type="page"/>
      </w:r>
    </w:p>
    <w:p>
      <w:pPr>
        <w:snapToGrid w:val="0"/>
        <w:spacing w:line="360" w:lineRule="auto"/>
        <w:jc w:val="center"/>
        <w:outlineLvl w:val="1"/>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二、</w:t>
      </w:r>
      <w:r>
        <w:rPr>
          <w:rFonts w:cs="仿宋_GB2312" w:asciiTheme="minorEastAsia" w:hAnsiTheme="minorEastAsia" w:eastAsiaTheme="minorEastAsia"/>
          <w:b/>
          <w:color w:val="auto"/>
          <w:kern w:val="0"/>
          <w:sz w:val="32"/>
          <w:szCs w:val="32"/>
          <w:highlight w:val="none"/>
        </w:rPr>
        <w:t>符合参加政府采购活动应当具备的一般条件的承诺函</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single"/>
          <w:lang w:eastAsia="zh-CN"/>
        </w:rPr>
        <w:t xml:space="preserve">宁波市江北区教育局教研室 </w:t>
      </w:r>
      <w:r>
        <w:rPr>
          <w:rFonts w:hint="eastAsia" w:cs="仿宋_GB2312" w:asciiTheme="minorEastAsia" w:hAnsiTheme="minorEastAsia" w:eastAsiaTheme="minorEastAsia"/>
          <w:color w:val="auto"/>
          <w:sz w:val="24"/>
          <w:highlight w:val="none"/>
          <w:u w:val="single"/>
        </w:rPr>
        <w:t>、宁波成套工程项目咨询管理有限公司</w:t>
      </w:r>
      <w:r>
        <w:rPr>
          <w:rFonts w:hint="eastAsia" w:cs="仿宋_GB2312" w:asciiTheme="minorEastAsia" w:hAnsiTheme="minorEastAsia" w:eastAsiaTheme="minorEastAsia"/>
          <w:color w:val="auto"/>
          <w:sz w:val="24"/>
          <w:highlight w:val="none"/>
        </w:rPr>
        <w:t>：</w:t>
      </w:r>
    </w:p>
    <w:p>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u w:val="single"/>
        </w:rPr>
        <w:t xml:space="preserve"> （项目名称）（项目编号）</w:t>
      </w:r>
      <w:r>
        <w:rPr>
          <w:rFonts w:hint="eastAsia" w:cs="仿宋_GB2312" w:asciiTheme="minorEastAsia" w:hAnsiTheme="minorEastAsia" w:eastAsiaTheme="minorEastAsia"/>
          <w:color w:val="auto"/>
          <w:sz w:val="24"/>
          <w:highlight w:val="none"/>
        </w:rPr>
        <w:t>政府采购活动，郑重承诺：</w:t>
      </w:r>
    </w:p>
    <w:p>
      <w:pPr>
        <w:snapToGrid w:val="0"/>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（一）具备《中华人民共和国政府采购法》第二十二条第一款规定的条件：</w:t>
      </w:r>
    </w:p>
    <w:p>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具有独立承担民事责任的能力；</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 xml:space="preserve">具有良好的商业信誉和健全的财务会计制度； </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具有履行合同所必需的设备和专业技术能力；</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有依法缴纳税收和社会保障资金的良好记录；</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参加政府采购活动前三年内，在经营活动中没有重大违法记录；</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具有法律、行政法规规定的其他条件。</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（二）未被信用中国（</w:t>
      </w:r>
      <w:r>
        <w:rPr>
          <w:rFonts w:asciiTheme="minorEastAsia" w:hAnsiTheme="minorEastAsia" w:eastAsiaTheme="minorEastAsia"/>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（三）不存在以下情况：</w:t>
      </w:r>
    </w:p>
    <w:p>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r>
        <w:rPr>
          <w:rFonts w:cs="仿宋_GB2312" w:asciiTheme="minorEastAsia" w:hAnsiTheme="minorEastAsia" w:eastAsiaTheme="minorEastAsia"/>
          <w:color w:val="auto"/>
          <w:sz w:val="24"/>
          <w:highlight w:val="none"/>
        </w:rPr>
        <w:t>为采购项目提供整体设计、规范编制或者项目管理、监理、检测等服务后再参加该采购项目的其他采购活动的。</w:t>
      </w:r>
    </w:p>
    <w:p>
      <w:pPr>
        <w:snapToGrid w:val="0"/>
        <w:spacing w:line="360" w:lineRule="auto"/>
        <w:ind w:firstLine="480" w:firstLineChars="200"/>
        <w:rPr>
          <w:rFonts w:cs="仿宋_GB2312" w:asciiTheme="minorEastAsia" w:hAnsiTheme="minorEastAsia" w:eastAsiaTheme="minorEastAsia"/>
          <w:color w:val="auto"/>
          <w:sz w:val="24"/>
          <w:highlight w:val="none"/>
        </w:rPr>
      </w:pPr>
    </w:p>
    <w:p>
      <w:pPr>
        <w:snapToGrid w:val="0"/>
        <w:spacing w:line="360" w:lineRule="auto"/>
        <w:ind w:firstLine="5520" w:firstLineChars="23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投标人名称</w:t>
      </w:r>
      <w:r>
        <w:rPr>
          <w:rFonts w:cs="仿宋_GB2312" w:asciiTheme="minorEastAsia" w:hAnsiTheme="minorEastAsia" w:eastAsiaTheme="minorEastAsia"/>
          <w:color w:val="auto"/>
          <w:kern w:val="0"/>
          <w:sz w:val="24"/>
          <w:highlight w:val="none"/>
          <w:lang w:val="zh-CN"/>
        </w:rPr>
        <w:t>(电子签名)：</w:t>
      </w:r>
    </w:p>
    <w:p>
      <w:pPr>
        <w:snapToGrid w:val="0"/>
        <w:spacing w:line="360" w:lineRule="auto"/>
        <w:rPr>
          <w:rFonts w:cs="仿宋_GB2312" w:asciiTheme="minorEastAsia" w:hAnsiTheme="minorEastAsia" w:eastAsiaTheme="minorEastAsia"/>
          <w:color w:val="auto"/>
          <w:kern w:val="0"/>
          <w:sz w:val="24"/>
          <w:highlight w:val="none"/>
        </w:rPr>
      </w:pPr>
      <w:r>
        <w:rPr>
          <w:rFonts w:cs="仿宋_GB2312" w:asciiTheme="minorEastAsia" w:hAnsiTheme="minorEastAsia" w:eastAsiaTheme="minorEastAsia"/>
          <w:color w:val="auto"/>
          <w:kern w:val="0"/>
          <w:sz w:val="24"/>
          <w:highlight w:val="none"/>
          <w:lang w:val="zh-CN"/>
        </w:rPr>
        <w:t xml:space="preserve">                        </w:t>
      </w:r>
      <w:r>
        <w:rPr>
          <w:rFonts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pPr>
        <w:widowControl/>
        <w:adjustRightInd/>
        <w:jc w:val="left"/>
        <w:rPr>
          <w:rFonts w:asciiTheme="minorEastAsia" w:hAnsiTheme="minorEastAsia" w:eastAsiaTheme="minorEastAsia"/>
          <w:color w:val="auto"/>
          <w:sz w:val="24"/>
          <w:highlight w:val="none"/>
        </w:rPr>
        <w:sectPr>
          <w:headerReference r:id="rId13" w:type="first"/>
          <w:footerReference r:id="rId15" w:type="first"/>
          <w:headerReference r:id="rId12" w:type="default"/>
          <w:footerReference r:id="rId14" w:type="default"/>
          <w:pgSz w:w="11906" w:h="16838"/>
          <w:pgMar w:top="1134" w:right="1134" w:bottom="1134" w:left="1134" w:header="851" w:footer="992" w:gutter="0"/>
          <w:pgNumType w:fmt="decimal"/>
          <w:cols w:space="720" w:num="1"/>
          <w:titlePg/>
          <w:docGrid w:linePitch="312" w:charSpace="0"/>
        </w:sectPr>
      </w:pPr>
      <w:r>
        <w:rPr>
          <w:rFonts w:asciiTheme="minorEastAsia" w:hAnsiTheme="minorEastAsia" w:eastAsiaTheme="minorEastAsia"/>
          <w:color w:val="auto"/>
          <w:sz w:val="24"/>
          <w:highlight w:val="none"/>
        </w:rPr>
        <w:br w:type="page"/>
      </w:r>
    </w:p>
    <w:p>
      <w:pPr>
        <w:snapToGrid w:val="0"/>
        <w:spacing w:line="360" w:lineRule="auto"/>
        <w:jc w:val="center"/>
        <w:outlineLvl w:val="1"/>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三、落实政府采购政策需满足的资格要求</w:t>
      </w:r>
    </w:p>
    <w:p>
      <w:pPr>
        <w:rPr>
          <w:color w:val="auto"/>
          <w:highlight w:val="none"/>
        </w:rPr>
      </w:pPr>
      <w:r>
        <w:rPr>
          <w:rFonts w:hint="eastAsia" w:cs="仿宋_GB2312" w:asciiTheme="minorEastAsia" w:hAnsiTheme="minorEastAsia" w:eastAsiaTheme="minorEastAsia"/>
          <w:color w:val="auto"/>
          <w:sz w:val="24"/>
          <w:highlight w:val="none"/>
        </w:rPr>
        <w:t>本项目专门面向中小企业采购（货物由中小企业制造，即货物由中小企业生产且使用该中小企业商号或者注册商标），提供中小企业声明函。</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napToGrid w:val="0"/>
        <w:spacing w:line="360" w:lineRule="auto"/>
        <w:jc w:val="center"/>
        <w:outlineLvl w:val="1"/>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四、本项目的特定资格要求</w:t>
      </w:r>
    </w:p>
    <w:p>
      <w:pPr>
        <w:spacing w:line="360" w:lineRule="auto"/>
        <w:jc w:val="center"/>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（根据招标公告本项目的特定资格要求</w:t>
      </w:r>
      <w:r>
        <w:rPr>
          <w:rFonts w:hint="eastAsia" w:asciiTheme="minorEastAsia" w:hAnsiTheme="minorEastAsia" w:eastAsiaTheme="minorEastAsia"/>
          <w:color w:val="auto"/>
          <w:sz w:val="24"/>
          <w:highlight w:val="none"/>
        </w:rPr>
        <w:t>提供相应的材料；未要求的，无需提供</w:t>
      </w:r>
      <w:r>
        <w:rPr>
          <w:rFonts w:hint="eastAsia" w:cs="仿宋_GB2312" w:asciiTheme="minorEastAsia" w:hAnsiTheme="minorEastAsia" w:eastAsiaTheme="minorEastAsia"/>
          <w:color w:val="auto"/>
          <w:sz w:val="24"/>
          <w:highlight w:val="none"/>
        </w:rPr>
        <w:t>）</w:t>
      </w:r>
    </w:p>
    <w:p>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widowControl/>
        <w:adjustRightInd/>
        <w:jc w:val="left"/>
        <w:rPr>
          <w:rFonts w:cs="仿宋_GB2312" w:asciiTheme="minorEastAsia" w:hAnsiTheme="minorEastAsia" w:eastAsiaTheme="minorEastAsia"/>
          <w:b/>
          <w:color w:val="auto"/>
          <w:kern w:val="0"/>
          <w:sz w:val="36"/>
          <w:szCs w:val="36"/>
          <w:highlight w:val="none"/>
        </w:rPr>
      </w:pPr>
    </w:p>
    <w:p>
      <w:pPr>
        <w:spacing w:line="360" w:lineRule="auto"/>
        <w:jc w:val="center"/>
        <w:outlineLvl w:val="0"/>
        <w:rPr>
          <w:rFonts w:cs="仿宋_GB2312" w:asciiTheme="minorEastAsia" w:hAnsiTheme="minorEastAsia" w:eastAsiaTheme="minorEastAsia"/>
          <w:b/>
          <w:color w:val="auto"/>
          <w:kern w:val="0"/>
          <w:sz w:val="36"/>
          <w:szCs w:val="36"/>
          <w:highlight w:val="none"/>
        </w:rPr>
      </w:pPr>
      <w:bookmarkStart w:id="401" w:name="_Toc30792"/>
      <w:r>
        <w:rPr>
          <w:rFonts w:hint="eastAsia" w:cs="仿宋_GB2312" w:asciiTheme="minorEastAsia" w:hAnsiTheme="minorEastAsia" w:eastAsiaTheme="minorEastAsia"/>
          <w:b/>
          <w:color w:val="auto"/>
          <w:kern w:val="0"/>
          <w:sz w:val="36"/>
          <w:szCs w:val="36"/>
          <w:highlight w:val="none"/>
        </w:rPr>
        <w:t>商务技术文件部分</w:t>
      </w:r>
      <w:bookmarkEnd w:id="401"/>
    </w:p>
    <w:p>
      <w:pPr>
        <w:widowControl/>
        <w:spacing w:line="360" w:lineRule="auto"/>
        <w:ind w:left="150"/>
        <w:jc w:val="center"/>
        <w:rPr>
          <w:rFonts w:cs="仿宋_GB2312" w:asciiTheme="minorEastAsia" w:hAnsiTheme="minorEastAsia" w:eastAsiaTheme="minorEastAsia"/>
          <w:b/>
          <w:color w:val="auto"/>
          <w:kern w:val="0"/>
          <w:sz w:val="32"/>
          <w:szCs w:val="32"/>
          <w:highlight w:val="none"/>
        </w:rPr>
      </w:pPr>
    </w:p>
    <w:p>
      <w:pPr>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pPr>
        <w:numPr>
          <w:ilvl w:val="0"/>
          <w:numId w:val="2"/>
        </w:numPr>
        <w:snapToGrid w:val="0"/>
        <w:spacing w:line="360" w:lineRule="auto"/>
        <w:ind w:left="479" w:leftChars="228"/>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sz w:val="24"/>
          <w:highlight w:val="none"/>
        </w:rPr>
        <w:t>投标函</w:t>
      </w:r>
      <w:r>
        <w:rPr>
          <w:rFonts w:hint="eastAsia" w:cs="仿宋_GB2312" w:asciiTheme="minorEastAsia" w:hAnsiTheme="minorEastAsia" w:eastAsiaTheme="minorEastAsia"/>
          <w:color w:val="auto"/>
          <w:highlight w:val="none"/>
        </w:rPr>
        <w:t>…………………………………………………………………………………（页码）</w:t>
      </w:r>
    </w:p>
    <w:p>
      <w:pPr>
        <w:numPr>
          <w:ilvl w:val="0"/>
          <w:numId w:val="2"/>
        </w:numPr>
        <w:snapToGrid w:val="0"/>
        <w:spacing w:line="360" w:lineRule="auto"/>
        <w:ind w:left="479" w:leftChars="228"/>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sz w:val="24"/>
          <w:highlight w:val="none"/>
        </w:rPr>
        <w:t>授权委托书或法定代表人（单位负责人、自然人本人）身份证明</w:t>
      </w:r>
      <w:r>
        <w:rPr>
          <w:rFonts w:hint="eastAsia" w:cs="仿宋_GB2312" w:asciiTheme="minorEastAsia" w:hAnsiTheme="minorEastAsia" w:eastAsiaTheme="minorEastAsia"/>
          <w:color w:val="auto"/>
          <w:highlight w:val="none"/>
        </w:rPr>
        <w:t>………（页码）</w:t>
      </w:r>
    </w:p>
    <w:p>
      <w:pPr>
        <w:snapToGrid w:val="0"/>
        <w:spacing w:line="360" w:lineRule="auto"/>
        <w:ind w:left="479" w:leftChars="228"/>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3）</w:t>
      </w:r>
      <w:r>
        <w:rPr>
          <w:rFonts w:hint="eastAsia" w:cs="仿宋_GB2312" w:asciiTheme="minorEastAsia" w:hAnsiTheme="minorEastAsia" w:eastAsiaTheme="minorEastAsia"/>
          <w:color w:val="auto"/>
          <w:sz w:val="24"/>
          <w:highlight w:val="none"/>
        </w:rPr>
        <w:t>技术方案</w:t>
      </w:r>
      <w:r>
        <w:rPr>
          <w:rFonts w:hint="eastAsia" w:cs="仿宋_GB2312" w:asciiTheme="minorEastAsia" w:hAnsiTheme="minorEastAsia" w:eastAsiaTheme="minorEastAsia"/>
          <w:color w:val="auto"/>
          <w:highlight w:val="none"/>
        </w:rPr>
        <w:t>………………………………………………………………………………（页码）</w:t>
      </w:r>
    </w:p>
    <w:p>
      <w:pPr>
        <w:snapToGrid w:val="0"/>
        <w:spacing w:line="360" w:lineRule="auto"/>
        <w:ind w:left="479" w:leftChars="228"/>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（4）</w:t>
      </w:r>
      <w:r>
        <w:rPr>
          <w:rFonts w:cs="仿宋_GB2312" w:asciiTheme="minorEastAsia" w:hAnsiTheme="minorEastAsia" w:eastAsiaTheme="minorEastAsia"/>
          <w:color w:val="auto"/>
          <w:sz w:val="24"/>
          <w:highlight w:val="none"/>
        </w:rPr>
        <w:t>评标标准相应的商务技术资料</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highlight w:val="none"/>
        </w:rPr>
        <w:t>……………（页码）</w:t>
      </w:r>
    </w:p>
    <w:p>
      <w:pPr>
        <w:snapToGrid w:val="0"/>
        <w:spacing w:line="360" w:lineRule="auto"/>
        <w:ind w:left="479" w:leftChars="228"/>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（5</w:t>
      </w:r>
      <w:r>
        <w:rPr>
          <w:rFonts w:cs="仿宋_GB2312" w:asciiTheme="minorEastAsia" w:hAnsiTheme="minorEastAsia" w:eastAsiaTheme="minorEastAsia"/>
          <w:color w:val="auto"/>
          <w:sz w:val="24"/>
          <w:highlight w:val="none"/>
        </w:rPr>
        <w:t>）商务技术偏离表</w:t>
      </w:r>
      <w:r>
        <w:rPr>
          <w:rFonts w:hint="eastAsia" w:cs="仿宋_GB2312" w:asciiTheme="minorEastAsia" w:hAnsiTheme="minorEastAsia" w:eastAsiaTheme="minorEastAsia"/>
          <w:color w:val="auto"/>
          <w:highlight w:val="none"/>
        </w:rPr>
        <w:t>………………………………………………………………………（页码）</w:t>
      </w:r>
    </w:p>
    <w:p>
      <w:pPr>
        <w:snapToGrid w:val="0"/>
        <w:spacing w:line="360" w:lineRule="auto"/>
        <w:ind w:left="479" w:leftChars="228"/>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lang w:val="zh-CN"/>
        </w:rPr>
        <w:t>（</w:t>
      </w:r>
      <w:r>
        <w:rPr>
          <w:rFonts w:hint="eastAsia" w:cs="仿宋_GB2312" w:asciiTheme="minorEastAsia" w:hAnsiTheme="minorEastAsia" w:eastAsiaTheme="minorEastAsia"/>
          <w:color w:val="auto"/>
          <w:sz w:val="24"/>
          <w:highlight w:val="none"/>
        </w:rPr>
        <w:t>6</w:t>
      </w:r>
      <w:r>
        <w:rPr>
          <w:rFonts w:hint="eastAsia" w:cs="仿宋_GB2312" w:asciiTheme="minorEastAsia" w:hAnsiTheme="minorEastAsia" w:eastAsiaTheme="minorEastAsia"/>
          <w:color w:val="auto"/>
          <w:sz w:val="24"/>
          <w:highlight w:val="none"/>
          <w:lang w:val="zh-CN"/>
        </w:rPr>
        <w:t>）政府采购供应商廉洁自律承诺书</w:t>
      </w:r>
      <w:r>
        <w:rPr>
          <w:rFonts w:hint="eastAsia" w:cs="仿宋_GB2312" w:asciiTheme="minorEastAsia" w:hAnsiTheme="minorEastAsia" w:eastAsiaTheme="minorEastAsia"/>
          <w:color w:val="auto"/>
          <w:highlight w:val="none"/>
        </w:rPr>
        <w:t>…………………………………………………（页码）</w:t>
      </w:r>
    </w:p>
    <w:p>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pPr>
        <w:snapToGrid w:val="0"/>
        <w:spacing w:line="360" w:lineRule="auto"/>
        <w:jc w:val="center"/>
        <w:outlineLvl w:val="1"/>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一、投标函</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single"/>
          <w:lang w:eastAsia="zh-CN"/>
        </w:rPr>
        <w:t xml:space="preserve">宁波市江北区教育局教研室 </w:t>
      </w:r>
      <w:r>
        <w:rPr>
          <w:rFonts w:hint="eastAsia" w:cs="仿宋_GB2312" w:asciiTheme="minorEastAsia" w:hAnsiTheme="minorEastAsia" w:eastAsiaTheme="minorEastAsia"/>
          <w:color w:val="auto"/>
          <w:sz w:val="24"/>
          <w:highlight w:val="none"/>
          <w:u w:val="single"/>
        </w:rPr>
        <w:t>、宁波成套工程项目咨询管理有限公司</w:t>
      </w:r>
      <w:r>
        <w:rPr>
          <w:rFonts w:hint="eastAsia" w:cs="仿宋_GB2312" w:asciiTheme="minorEastAsia" w:hAnsiTheme="minorEastAsia" w:eastAsiaTheme="minorEastAsia"/>
          <w:color w:val="auto"/>
          <w:sz w:val="24"/>
          <w:highlight w:val="none"/>
        </w:rPr>
        <w:t>：</w:t>
      </w:r>
    </w:p>
    <w:p>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我方参加你方组织的</w:t>
      </w:r>
      <w:r>
        <w:rPr>
          <w:rFonts w:hint="eastAsia" w:cs="仿宋_GB2312" w:asciiTheme="minorEastAsia" w:hAnsiTheme="minorEastAsia" w:eastAsiaTheme="minorEastAsia"/>
          <w:color w:val="auto"/>
          <w:sz w:val="24"/>
          <w:highlight w:val="none"/>
          <w:u w:val="single"/>
        </w:rPr>
        <w:t>（项目名称）（项目编号）</w:t>
      </w:r>
      <w:r>
        <w:rPr>
          <w:rFonts w:hint="eastAsia" w:cs="仿宋_GB2312" w:asciiTheme="minorEastAsia" w:hAnsiTheme="minorEastAsia" w:eastAsiaTheme="minorEastAsia"/>
          <w:color w:val="auto"/>
          <w:sz w:val="24"/>
          <w:highlight w:val="none"/>
        </w:rPr>
        <w:t>招标的有关活动，并对此项目进行投标。为此：</w:t>
      </w:r>
    </w:p>
    <w:p>
      <w:pPr>
        <w:pStyle w:val="259"/>
        <w:numPr>
          <w:ilvl w:val="0"/>
          <w:numId w:val="3"/>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我方承诺投标有效期从提交投标文件的截止之日起</w:t>
      </w:r>
      <w:r>
        <w:rPr>
          <w:rFonts w:hint="eastAsia" w:cs="仿宋_GB2312" w:asciiTheme="minorEastAsia" w:hAnsiTheme="minorEastAsia" w:eastAsiaTheme="minorEastAsia"/>
          <w:color w:val="auto"/>
          <w:highlight w:val="none"/>
          <w:u w:val="single"/>
        </w:rPr>
        <w:t xml:space="preserve">  90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rPr>
        <w:t>本投标文件在有效期满之前均具有约束力。</w:t>
      </w:r>
    </w:p>
    <w:p>
      <w:pPr>
        <w:numPr>
          <w:ilvl w:val="0"/>
          <w:numId w:val="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招标文件中</w:t>
      </w:r>
      <w:r>
        <w:rPr>
          <w:rFonts w:hint="eastAsia" w:cs="仿宋_GB2312" w:asciiTheme="minorEastAsia" w:hAnsiTheme="minorEastAsia" w:eastAsiaTheme="minorEastAsia"/>
          <w:color w:val="auto"/>
          <w:sz w:val="24"/>
          <w:highlight w:val="none"/>
        </w:rPr>
        <w:t>规定的全部投标文件。</w:t>
      </w:r>
    </w:p>
    <w:p>
      <w:pPr>
        <w:numPr>
          <w:ilvl w:val="0"/>
          <w:numId w:val="3"/>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我方承诺除投标文件列出的偏离外，我方响应招标文件的全部要求。</w:t>
      </w:r>
    </w:p>
    <w:p>
      <w:pPr>
        <w:numPr>
          <w:ilvl w:val="0"/>
          <w:numId w:val="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保证遵守招标文件中的其他有关规定。</w:t>
      </w:r>
    </w:p>
    <w:p>
      <w:pPr>
        <w:numPr>
          <w:ilvl w:val="0"/>
          <w:numId w:val="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pPr>
        <w:numPr>
          <w:ilvl w:val="0"/>
          <w:numId w:val="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我方已详细阅读全部招标文件，包括招标文件“更正（延期）公告”（如果有）、参考资料及有关附件，确认无误。</w:t>
      </w:r>
    </w:p>
    <w:p>
      <w:pPr>
        <w:numPr>
          <w:ilvl w:val="0"/>
          <w:numId w:val="3"/>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如我方中标，我方承诺：</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4.3按照招标文件要求提交履约保证金；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pPr>
        <w:spacing w:line="360" w:lineRule="auto"/>
        <w:ind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p>
    <w:p>
      <w:pPr>
        <w:spacing w:line="360" w:lineRule="auto"/>
        <w:ind w:firstLine="3600" w:firstLineChars="1500"/>
        <w:rPr>
          <w:rFonts w:cs="宋体" w:asciiTheme="minorEastAsia" w:hAnsiTheme="minorEastAsia" w:eastAsiaTheme="minorEastAsia"/>
          <w:color w:val="auto"/>
          <w:sz w:val="24"/>
          <w:highlight w:val="none"/>
        </w:rPr>
      </w:pPr>
    </w:p>
    <w:p>
      <w:pPr>
        <w:spacing w:line="360" w:lineRule="auto"/>
        <w:ind w:firstLine="3600" w:firstLineChars="1500"/>
        <w:rPr>
          <w:rFonts w:cs="仿宋_GB2312" w:asciiTheme="minorEastAsia" w:hAnsiTheme="minorEastAsia" w:eastAsiaTheme="minorEastAsia"/>
          <w:color w:val="auto"/>
          <w:sz w:val="24"/>
          <w:highlight w:val="none"/>
        </w:rPr>
      </w:pPr>
    </w:p>
    <w:p>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投标人名称（电子签名）：</w:t>
      </w:r>
      <w:r>
        <w:rPr>
          <w:rFonts w:cs="仿宋_GB2312" w:asciiTheme="minorEastAsia" w:hAnsiTheme="minorEastAsia" w:eastAsiaTheme="minorEastAsia"/>
          <w:color w:val="auto"/>
          <w:sz w:val="24"/>
          <w:highlight w:val="none"/>
        </w:rPr>
        <w:t xml:space="preserve">      </w:t>
      </w:r>
    </w:p>
    <w:p>
      <w:pPr>
        <w:spacing w:line="360" w:lineRule="auto"/>
        <w:ind w:firstLine="3600" w:firstLineChars="15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日期：  年   月   日</w:t>
      </w:r>
    </w:p>
    <w:p>
      <w:pP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br w:type="page"/>
      </w:r>
    </w:p>
    <w:p>
      <w:pPr>
        <w:snapToGrid w:val="0"/>
        <w:spacing w:line="360" w:lineRule="auto"/>
        <w:jc w:val="center"/>
        <w:outlineLvl w:val="1"/>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二、授权委托书或法定代表人（单位负责人、自然人本人）身份证明</w:t>
      </w:r>
    </w:p>
    <w:p>
      <w:pPr>
        <w:snapToGrid w:val="0"/>
        <w:spacing w:line="360" w:lineRule="auto"/>
        <w:rPr>
          <w:rFonts w:asciiTheme="minorEastAsia" w:hAnsiTheme="minorEastAsia" w:eastAsiaTheme="minorEastAsia"/>
          <w:color w:val="auto"/>
          <w:highlight w:val="none"/>
        </w:rPr>
      </w:pPr>
      <w:r>
        <w:rPr>
          <w:rFonts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b/>
          <w:color w:val="auto"/>
          <w:kern w:val="0"/>
          <w:sz w:val="32"/>
          <w:szCs w:val="32"/>
          <w:highlight w:val="none"/>
          <w:lang w:val="zh-CN"/>
        </w:rPr>
        <w:t>授权委托书</w:t>
      </w:r>
      <w:r>
        <w:rPr>
          <w:rFonts w:asciiTheme="minorEastAsia" w:hAnsiTheme="minorEastAsia" w:eastAsiaTheme="minorEastAsia"/>
          <w:color w:val="auto"/>
          <w:highlight w:val="none"/>
        </w:rPr>
        <w:t xml:space="preserve">                               </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u w:val="single"/>
          <w:lang w:eastAsia="zh-CN"/>
        </w:rPr>
        <w:t xml:space="preserve">宁波市江北区教育局教研室 </w:t>
      </w:r>
      <w:r>
        <w:rPr>
          <w:rFonts w:hint="eastAsia" w:cs="仿宋_GB2312" w:asciiTheme="minorEastAsia" w:hAnsiTheme="minorEastAsia" w:eastAsiaTheme="minorEastAsia"/>
          <w:color w:val="auto"/>
          <w:sz w:val="24"/>
          <w:highlight w:val="none"/>
          <w:u w:val="single"/>
        </w:rPr>
        <w:t>、宁波成套工程项目咨询管理有限公司</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现</w:t>
      </w:r>
      <w:r>
        <w:rPr>
          <w:rFonts w:hint="eastAsia" w:cs="仿宋_GB2312" w:asciiTheme="minorEastAsia" w:hAnsiTheme="minorEastAsia" w:eastAsiaTheme="minorEastAsia"/>
          <w:color w:val="auto"/>
          <w:kern w:val="0"/>
          <w:sz w:val="24"/>
          <w:highlight w:val="none"/>
          <w:lang w:val="zh-CN"/>
        </w:rPr>
        <w:t>委托</w:t>
      </w:r>
      <w:r>
        <w:rPr>
          <w:rFonts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（姓名）为我方代理人（身份证号码：</w:t>
      </w:r>
      <w:r>
        <w:rPr>
          <w:rFonts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u w:val="single"/>
        </w:rPr>
        <w:t>（项目名称）（项目编号）</w:t>
      </w:r>
      <w:r>
        <w:rPr>
          <w:rFonts w:hint="eastAsia" w:cs="仿宋_GB2312" w:asciiTheme="minorEastAsia" w:hAnsiTheme="minorEastAsia" w:eastAsiaTheme="minorEastAsia"/>
          <w:color w:val="auto"/>
          <w:kern w:val="0"/>
          <w:sz w:val="24"/>
          <w:highlight w:val="none"/>
          <w:lang w:val="zh-CN"/>
        </w:rPr>
        <w:t>政府采购投标的一切事项，其法律后果由我方承担。</w:t>
      </w:r>
    </w:p>
    <w:p>
      <w:pPr>
        <w:snapToGrid w:val="0"/>
        <w:spacing w:line="360" w:lineRule="auto"/>
        <w:rPr>
          <w:rFonts w:cs="仿宋_GB2312" w:asciiTheme="minorEastAsia" w:hAnsiTheme="minorEastAsia" w:eastAsiaTheme="minorEastAsia"/>
          <w:color w:val="auto"/>
          <w:kern w:val="0"/>
          <w:sz w:val="24"/>
          <w:highlight w:val="none"/>
        </w:rPr>
      </w:pPr>
      <w:r>
        <w:rPr>
          <w:rFonts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委托期限</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自</w:t>
      </w:r>
      <w:r>
        <w:rPr>
          <w:rFonts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年</w:t>
      </w:r>
      <w:r>
        <w:rPr>
          <w:rFonts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月</w:t>
      </w:r>
      <w:r>
        <w:rPr>
          <w:rFonts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日起至</w:t>
      </w:r>
      <w:r>
        <w:rPr>
          <w:rFonts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年</w:t>
      </w:r>
      <w:r>
        <w:rPr>
          <w:rFonts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月</w:t>
      </w:r>
      <w:r>
        <w:rPr>
          <w:rFonts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日止。</w:t>
      </w:r>
    </w:p>
    <w:p>
      <w:pPr>
        <w:snapToGrid w:val="0"/>
        <w:spacing w:line="360" w:lineRule="auto"/>
        <w:rPr>
          <w:rFonts w:cs="仿宋_GB2312" w:asciiTheme="minorEastAsia" w:hAnsiTheme="minorEastAsia" w:eastAsiaTheme="minorEastAsia"/>
          <w:color w:val="auto"/>
          <w:kern w:val="0"/>
          <w:sz w:val="24"/>
          <w:highlight w:val="none"/>
        </w:rPr>
      </w:pPr>
      <w:r>
        <w:rPr>
          <w:rFonts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特此告知。</w:t>
      </w:r>
    </w:p>
    <w:p>
      <w:pPr>
        <w:snapToGrid w:val="0"/>
        <w:spacing w:line="360" w:lineRule="auto"/>
        <w:rPr>
          <w:rFonts w:cs="仿宋_GB2312" w:asciiTheme="minorEastAsia" w:hAnsiTheme="minorEastAsia" w:eastAsiaTheme="minorEastAsia"/>
          <w:color w:val="auto"/>
          <w:kern w:val="0"/>
          <w:sz w:val="24"/>
          <w:highlight w:val="none"/>
        </w:rPr>
      </w:pPr>
      <w:r>
        <w:rPr>
          <w:rFonts w:cs="仿宋_GB2312" w:asciiTheme="minorEastAsia" w:hAnsiTheme="minorEastAsia" w:eastAsiaTheme="minorEastAsia"/>
          <w:color w:val="auto"/>
          <w:kern w:val="0"/>
          <w:sz w:val="24"/>
          <w:highlight w:val="none"/>
          <w:lang w:val="zh-CN"/>
        </w:rPr>
        <w:t xml:space="preserve">                                                 投标人名称(电子签名)：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lang w:val="zh-CN"/>
        </w:rPr>
        <w:t xml:space="preserve">                                                 签发日期：  年  月   日</w:t>
      </w:r>
    </w:p>
    <w:p>
      <w:pPr>
        <w:rPr>
          <w:rFonts w:asciiTheme="minorEastAsia" w:hAnsiTheme="minorEastAsia" w:eastAsiaTheme="minorEastAsia"/>
          <w:color w:val="auto"/>
          <w:highlight w:val="none"/>
          <w:lang w:val="zh-CN"/>
        </w:rPr>
      </w:pPr>
    </w:p>
    <w:p>
      <w:pPr>
        <w:pStyle w:val="15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代理人身份证件扫描件：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w:t>
            </w:r>
            <w:r>
              <w:rPr>
                <w:rFonts w:asciiTheme="minorEastAsia" w:hAnsiTheme="minorEastAsia" w:eastAsiaTheme="minorEastAsia"/>
                <w:bCs/>
                <w:color w:val="auto"/>
                <w:sz w:val="24"/>
                <w:highlight w:val="none"/>
              </w:rPr>
              <w:t xml:space="preserve">                                 </w:t>
            </w:r>
            <w:r>
              <w:rPr>
                <w:rFonts w:hint="eastAsia" w:asciiTheme="minorEastAsia" w:hAnsiTheme="minorEastAsia" w:eastAsiaTheme="minorEastAsia"/>
                <w:bCs/>
                <w:color w:val="auto"/>
                <w:sz w:val="24"/>
                <w:highlight w:val="none"/>
              </w:rPr>
              <w:t>反面：</w:t>
            </w:r>
          </w:p>
          <w:p>
            <w:pPr>
              <w:pStyle w:val="150"/>
              <w:adjustRightInd w:val="0"/>
              <w:spacing w:line="360" w:lineRule="auto"/>
              <w:rPr>
                <w:rFonts w:asciiTheme="minorEastAsia" w:hAnsiTheme="minorEastAsia" w:eastAsiaTheme="minorEastAsia"/>
                <w:bCs/>
                <w:color w:val="auto"/>
                <w:sz w:val="24"/>
                <w:highlight w:val="none"/>
              </w:rPr>
            </w:pPr>
          </w:p>
        </w:tc>
      </w:tr>
    </w:tbl>
    <w:p>
      <w:pPr>
        <w:spacing w:line="360" w:lineRule="auto"/>
        <w:jc w:val="center"/>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rPr>
        <w:t xml:space="preserve">                               </w:t>
      </w:r>
    </w:p>
    <w:p>
      <w:pPr>
        <w:rPr>
          <w:color w:val="auto"/>
          <w:highlight w:val="none"/>
        </w:rPr>
      </w:pPr>
    </w:p>
    <w:p>
      <w:pPr>
        <w:rPr>
          <w:color w:val="auto"/>
          <w:highlight w:val="none"/>
        </w:rPr>
      </w:pPr>
    </w:p>
    <w:p>
      <w:pP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br w:type="page"/>
      </w:r>
    </w:p>
    <w:p>
      <w:pPr>
        <w:autoSpaceDE w:val="0"/>
        <w:autoSpaceDN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kern w:val="0"/>
          <w:sz w:val="32"/>
          <w:szCs w:val="32"/>
          <w:highlight w:val="none"/>
          <w:lang w:val="zh-CN"/>
        </w:rPr>
        <w:t>法定代表人、单位负责人或自然人本人</w:t>
      </w:r>
      <w:r>
        <w:rPr>
          <w:rFonts w:hint="eastAsia" w:cs="仿宋_GB2312" w:asciiTheme="minorEastAsia" w:hAnsiTheme="minorEastAsia" w:eastAsiaTheme="minorEastAsia"/>
          <w:b/>
          <w:color w:val="auto"/>
          <w:sz w:val="30"/>
          <w:szCs w:val="30"/>
          <w:highlight w:val="none"/>
        </w:rPr>
        <w:t>的身份证明（适用于法定代表人、单位负责人或者自然人本人代表投标人参加投标）</w:t>
      </w:r>
    </w:p>
    <w:p>
      <w:pPr>
        <w:pStyle w:val="15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w:t>
            </w:r>
            <w:r>
              <w:rPr>
                <w:rFonts w:asciiTheme="minorEastAsia" w:hAnsiTheme="minorEastAsia" w:eastAsiaTheme="minorEastAsia"/>
                <w:bCs/>
                <w:color w:val="auto"/>
                <w:sz w:val="24"/>
                <w:highlight w:val="none"/>
              </w:rPr>
              <w:t xml:space="preserve">                                 </w:t>
            </w:r>
            <w:r>
              <w:rPr>
                <w:rFonts w:hint="eastAsia" w:asciiTheme="minorEastAsia" w:hAnsiTheme="minorEastAsia" w:eastAsiaTheme="minorEastAsia"/>
                <w:bCs/>
                <w:color w:val="auto"/>
                <w:sz w:val="24"/>
                <w:highlight w:val="none"/>
              </w:rPr>
              <w:t>反面：</w:t>
            </w:r>
          </w:p>
          <w:p>
            <w:pPr>
              <w:pStyle w:val="150"/>
              <w:adjustRightInd w:val="0"/>
              <w:spacing w:line="360" w:lineRule="auto"/>
              <w:rPr>
                <w:rFonts w:asciiTheme="minorEastAsia" w:hAnsiTheme="minorEastAsia" w:eastAsiaTheme="minorEastAsia"/>
                <w:bCs/>
                <w:color w:val="auto"/>
                <w:sz w:val="24"/>
                <w:highlight w:val="none"/>
              </w:rPr>
            </w:pPr>
          </w:p>
        </w:tc>
      </w:tr>
    </w:tbl>
    <w:p>
      <w:pPr>
        <w:snapToGrid w:val="0"/>
        <w:spacing w:line="360" w:lineRule="auto"/>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rPr>
        <w:t xml:space="preserve">                                  </w:t>
      </w:r>
      <w:r>
        <w:rPr>
          <w:rFonts w:cs="仿宋_GB2312" w:asciiTheme="minorEastAsia" w:hAnsiTheme="minorEastAsia" w:eastAsiaTheme="minorEastAsia"/>
          <w:color w:val="auto"/>
          <w:kern w:val="0"/>
          <w:sz w:val="24"/>
          <w:highlight w:val="none"/>
          <w:lang w:val="zh-CN"/>
        </w:rPr>
        <w:t xml:space="preserve"> </w:t>
      </w:r>
    </w:p>
    <w:p>
      <w:pPr>
        <w:snapToGrid w:val="0"/>
        <w:spacing w:line="360" w:lineRule="auto"/>
        <w:jc w:val="center"/>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lang w:val="zh-CN"/>
        </w:rPr>
        <w:t>投标人名称(电子签名)：</w:t>
      </w:r>
    </w:p>
    <w:p>
      <w:pPr>
        <w:spacing w:line="360" w:lineRule="auto"/>
        <w:jc w:val="center"/>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lang w:val="zh-CN"/>
        </w:rPr>
        <w:t xml:space="preserve">                   日期：  年  月  日</w:t>
      </w:r>
    </w:p>
    <w:p>
      <w:pPr>
        <w:pStyle w:val="54"/>
        <w:rPr>
          <w:color w:val="auto"/>
          <w:highlight w:val="none"/>
        </w:rPr>
      </w:pPr>
    </w:p>
    <w:p>
      <w:pP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br w:type="page"/>
      </w:r>
    </w:p>
    <w:p>
      <w:pPr>
        <w:snapToGrid w:val="0"/>
        <w:spacing w:line="360" w:lineRule="auto"/>
        <w:jc w:val="center"/>
        <w:outlineLvl w:val="1"/>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三、评标标准相应的商务技术资料</w:t>
      </w:r>
    </w:p>
    <w:p>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（按招标文件第四部分评标办法前附表提供资料）</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br w:type="page"/>
      </w:r>
    </w:p>
    <w:p>
      <w:pPr>
        <w:snapToGrid w:val="0"/>
        <w:spacing w:line="360" w:lineRule="auto"/>
        <w:jc w:val="center"/>
        <w:outlineLvl w:val="1"/>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四、商务技术偏离表</w:t>
      </w:r>
    </w:p>
    <w:tbl>
      <w:tblPr>
        <w:tblStyle w:val="6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59" w:type="dxa"/>
            <w:vAlign w:val="center"/>
          </w:tcPr>
          <w:p>
            <w:pPr>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序号</w:t>
            </w:r>
          </w:p>
        </w:tc>
        <w:tc>
          <w:tcPr>
            <w:tcW w:w="3683" w:type="dxa"/>
            <w:vAlign w:val="center"/>
          </w:tcPr>
          <w:p>
            <w:pPr>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招标文件章节及具体内容</w:t>
            </w:r>
          </w:p>
        </w:tc>
        <w:tc>
          <w:tcPr>
            <w:tcW w:w="3546" w:type="dxa"/>
            <w:vAlign w:val="center"/>
          </w:tcPr>
          <w:p>
            <w:pPr>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投标文件章节及具体内容</w:t>
            </w:r>
          </w:p>
        </w:tc>
        <w:tc>
          <w:tcPr>
            <w:tcW w:w="1559" w:type="dxa"/>
            <w:vAlign w:val="center"/>
          </w:tcPr>
          <w:p>
            <w:pPr>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color w:val="auto"/>
                <w:kern w:val="0"/>
                <w:sz w:val="24"/>
                <w:highlight w:val="none"/>
              </w:rPr>
            </w:pPr>
            <w:r>
              <w:rPr>
                <w:rFonts w:cs="仿宋_GB2312" w:asciiTheme="minorEastAsia" w:hAnsiTheme="minorEastAsia" w:eastAsiaTheme="minorEastAsia"/>
                <w:color w:val="auto"/>
                <w:kern w:val="0"/>
                <w:sz w:val="24"/>
                <w:highlight w:val="none"/>
              </w:rPr>
              <w:t>1</w:t>
            </w:r>
          </w:p>
        </w:tc>
        <w:tc>
          <w:tcPr>
            <w:tcW w:w="3683" w:type="dxa"/>
          </w:tcPr>
          <w:p>
            <w:pPr>
              <w:jc w:val="center"/>
              <w:rPr>
                <w:rFonts w:cs="仿宋_GB2312" w:asciiTheme="minorEastAsia" w:hAnsiTheme="minorEastAsia" w:eastAsiaTheme="minorEastAsia"/>
                <w:b/>
                <w:color w:val="auto"/>
                <w:kern w:val="0"/>
                <w:sz w:val="32"/>
                <w:szCs w:val="32"/>
                <w:highlight w:val="none"/>
              </w:rPr>
            </w:pPr>
          </w:p>
        </w:tc>
        <w:tc>
          <w:tcPr>
            <w:tcW w:w="3546" w:type="dxa"/>
          </w:tcPr>
          <w:p>
            <w:pPr>
              <w:jc w:val="center"/>
              <w:rPr>
                <w:rFonts w:cs="仿宋_GB2312" w:asciiTheme="minorEastAsia" w:hAnsiTheme="minorEastAsia" w:eastAsiaTheme="minorEastAsia"/>
                <w:b/>
                <w:color w:val="auto"/>
                <w:kern w:val="0"/>
                <w:sz w:val="32"/>
                <w:szCs w:val="32"/>
                <w:highlight w:val="none"/>
              </w:rPr>
            </w:pPr>
          </w:p>
        </w:tc>
        <w:tc>
          <w:tcPr>
            <w:tcW w:w="1559" w:type="dxa"/>
          </w:tcPr>
          <w:p>
            <w:pPr>
              <w:jc w:val="center"/>
              <w:rPr>
                <w:rFonts w:cs="仿宋_GB2312" w:asciiTheme="minorEastAsia" w:hAnsiTheme="minorEastAsia" w:eastAsia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color w:val="auto"/>
                <w:kern w:val="0"/>
                <w:sz w:val="24"/>
                <w:highlight w:val="none"/>
              </w:rPr>
            </w:pPr>
            <w:r>
              <w:rPr>
                <w:rFonts w:cs="仿宋_GB2312" w:asciiTheme="minorEastAsia" w:hAnsiTheme="minorEastAsia" w:eastAsiaTheme="minorEastAsia"/>
                <w:color w:val="auto"/>
                <w:kern w:val="0"/>
                <w:sz w:val="24"/>
                <w:highlight w:val="none"/>
              </w:rPr>
              <w:t>2</w:t>
            </w:r>
          </w:p>
        </w:tc>
        <w:tc>
          <w:tcPr>
            <w:tcW w:w="3683" w:type="dxa"/>
          </w:tcPr>
          <w:p>
            <w:pPr>
              <w:jc w:val="center"/>
              <w:rPr>
                <w:rFonts w:cs="仿宋_GB2312" w:asciiTheme="minorEastAsia" w:hAnsiTheme="minorEastAsia" w:eastAsiaTheme="minorEastAsia"/>
                <w:b/>
                <w:color w:val="auto"/>
                <w:kern w:val="0"/>
                <w:sz w:val="32"/>
                <w:szCs w:val="32"/>
                <w:highlight w:val="none"/>
              </w:rPr>
            </w:pPr>
          </w:p>
        </w:tc>
        <w:tc>
          <w:tcPr>
            <w:tcW w:w="3546" w:type="dxa"/>
          </w:tcPr>
          <w:p>
            <w:pPr>
              <w:jc w:val="center"/>
              <w:rPr>
                <w:rFonts w:cs="仿宋_GB2312" w:asciiTheme="minorEastAsia" w:hAnsiTheme="minorEastAsia" w:eastAsiaTheme="minorEastAsia"/>
                <w:b/>
                <w:color w:val="auto"/>
                <w:kern w:val="0"/>
                <w:sz w:val="32"/>
                <w:szCs w:val="32"/>
                <w:highlight w:val="none"/>
              </w:rPr>
            </w:pPr>
          </w:p>
        </w:tc>
        <w:tc>
          <w:tcPr>
            <w:tcW w:w="1559" w:type="dxa"/>
          </w:tcPr>
          <w:p>
            <w:pPr>
              <w:jc w:val="center"/>
              <w:rPr>
                <w:rFonts w:cs="仿宋_GB2312" w:asciiTheme="minorEastAsia" w:hAnsiTheme="minorEastAsia" w:eastAsia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p>
        </w:tc>
        <w:tc>
          <w:tcPr>
            <w:tcW w:w="3683" w:type="dxa"/>
          </w:tcPr>
          <w:p>
            <w:pPr>
              <w:jc w:val="center"/>
              <w:rPr>
                <w:rFonts w:cs="仿宋_GB2312" w:asciiTheme="minorEastAsia" w:hAnsiTheme="minorEastAsia" w:eastAsiaTheme="minorEastAsia"/>
                <w:b/>
                <w:color w:val="auto"/>
                <w:kern w:val="0"/>
                <w:sz w:val="32"/>
                <w:szCs w:val="32"/>
                <w:highlight w:val="none"/>
              </w:rPr>
            </w:pPr>
          </w:p>
        </w:tc>
        <w:tc>
          <w:tcPr>
            <w:tcW w:w="3546" w:type="dxa"/>
          </w:tcPr>
          <w:p>
            <w:pPr>
              <w:jc w:val="center"/>
              <w:rPr>
                <w:rFonts w:cs="仿宋_GB2312" w:asciiTheme="minorEastAsia" w:hAnsiTheme="minorEastAsia" w:eastAsiaTheme="minorEastAsia"/>
                <w:b/>
                <w:color w:val="auto"/>
                <w:kern w:val="0"/>
                <w:sz w:val="32"/>
                <w:szCs w:val="32"/>
                <w:highlight w:val="none"/>
              </w:rPr>
            </w:pPr>
          </w:p>
        </w:tc>
        <w:tc>
          <w:tcPr>
            <w:tcW w:w="1559" w:type="dxa"/>
          </w:tcPr>
          <w:p>
            <w:pPr>
              <w:jc w:val="center"/>
              <w:rPr>
                <w:rFonts w:cs="仿宋_GB2312" w:asciiTheme="minorEastAsia" w:hAnsiTheme="minorEastAsia" w:eastAsiaTheme="minorEastAsia"/>
                <w:b/>
                <w:color w:val="auto"/>
                <w:kern w:val="0"/>
                <w:sz w:val="32"/>
                <w:szCs w:val="32"/>
                <w:highlight w:val="none"/>
              </w:rPr>
            </w:pPr>
          </w:p>
        </w:tc>
      </w:tr>
    </w:tbl>
    <w:p>
      <w:pPr>
        <w:jc w:val="left"/>
        <w:rPr>
          <w:rFonts w:cs="仿宋_GB2312" w:asciiTheme="minorEastAsia" w:hAnsiTheme="minorEastAsia" w:eastAsiaTheme="minorEastAsia"/>
          <w:b/>
          <w:bCs/>
          <w:color w:val="auto"/>
          <w:kern w:val="0"/>
          <w:sz w:val="24"/>
          <w:highlight w:val="none"/>
        </w:rPr>
      </w:pPr>
    </w:p>
    <w:p>
      <w:pPr>
        <w:jc w:val="left"/>
        <w:rPr>
          <w:rFonts w:cs="仿宋_GB2312" w:asciiTheme="minorEastAsia" w:hAnsiTheme="minorEastAsia" w:eastAsiaTheme="minorEastAsia"/>
          <w:b/>
          <w:bCs/>
          <w:color w:val="auto"/>
          <w:kern w:val="0"/>
          <w:sz w:val="24"/>
          <w:highlight w:val="none"/>
        </w:rPr>
      </w:pPr>
      <w:r>
        <w:rPr>
          <w:rFonts w:hint="eastAsia" w:cs="仿宋_GB2312" w:asciiTheme="minorEastAsia" w:hAnsiTheme="minorEastAsia" w:eastAsiaTheme="minorEastAsia"/>
          <w:b/>
          <w:bCs/>
          <w:color w:val="auto"/>
          <w:kern w:val="0"/>
          <w:sz w:val="24"/>
          <w:highlight w:val="none"/>
        </w:rPr>
        <w:t>投标人保证：除商务技术偏离表列出的偏离外，投标人响应招标文件的全部要求。投标人提供的商务技术偏离表内容不实的，属于提供虚假材料谋取中标、成交，依照《中华人民共和国政府采购法》等国家有关规定追究相应责任。</w:t>
      </w:r>
    </w:p>
    <w:p>
      <w:pPr>
        <w:snapToGrid w:val="0"/>
        <w:spacing w:line="360" w:lineRule="auto"/>
        <w:jc w:val="right"/>
        <w:rPr>
          <w:rFonts w:cs="仿宋_GB2312" w:asciiTheme="minorEastAsia" w:hAnsiTheme="minorEastAsia" w:eastAsiaTheme="minorEastAsia"/>
          <w:color w:val="auto"/>
          <w:kern w:val="0"/>
          <w:sz w:val="24"/>
          <w:highlight w:val="none"/>
          <w:lang w:val="zh-CN"/>
        </w:rPr>
      </w:pPr>
    </w:p>
    <w:p>
      <w:pPr>
        <w:snapToGrid w:val="0"/>
        <w:spacing w:line="360" w:lineRule="auto"/>
        <w:jc w:val="right"/>
        <w:rPr>
          <w:rFonts w:cs="仿宋_GB2312" w:asciiTheme="minorEastAsia" w:hAnsiTheme="minorEastAsia" w:eastAsiaTheme="minorEastAsia"/>
          <w:color w:val="auto"/>
          <w:kern w:val="0"/>
          <w:sz w:val="24"/>
          <w:highlight w:val="none"/>
          <w:lang w:val="zh-CN"/>
        </w:rPr>
      </w:pPr>
    </w:p>
    <w:p>
      <w:pPr>
        <w:snapToGrid w:val="0"/>
        <w:spacing w:line="360" w:lineRule="auto"/>
        <w:jc w:val="right"/>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lang w:val="zh-CN"/>
        </w:rPr>
        <w:t xml:space="preserve">投标人名称(电子签名)：                              </w:t>
      </w:r>
    </w:p>
    <w:p>
      <w:pPr>
        <w:spacing w:line="360" w:lineRule="auto"/>
        <w:jc w:val="right"/>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lang w:val="zh-CN"/>
        </w:rPr>
        <w:t xml:space="preserve">                  日期：  年  月  日</w:t>
      </w:r>
    </w:p>
    <w:p>
      <w:pPr>
        <w:rPr>
          <w:rFonts w:cs="仿宋_GB2312" w:asciiTheme="minorEastAsia" w:hAnsiTheme="minorEastAsia" w:eastAsiaTheme="minorEastAsia"/>
          <w:b/>
          <w:color w:val="auto"/>
          <w:kern w:val="0"/>
          <w:sz w:val="36"/>
          <w:szCs w:val="36"/>
          <w:highlight w:val="none"/>
        </w:rPr>
        <w:sectPr>
          <w:pgSz w:w="11906" w:h="16838"/>
          <w:pgMar w:top="1134" w:right="1134" w:bottom="1134" w:left="1134" w:header="851" w:footer="992" w:gutter="0"/>
          <w:pgNumType w:fmt="decimal"/>
          <w:cols w:space="720" w:num="1"/>
          <w:titlePg/>
          <w:docGrid w:linePitch="312" w:charSpace="0"/>
        </w:sectPr>
      </w:pPr>
      <w:bookmarkStart w:id="402" w:name="_Toc12454"/>
    </w:p>
    <w:p>
      <w:pPr>
        <w:pStyle w:val="3"/>
        <w:rPr>
          <w:color w:val="auto"/>
          <w:highlight w:val="none"/>
          <w:lang w:val="en-US"/>
        </w:rPr>
      </w:pPr>
      <w:r>
        <w:rPr>
          <w:rFonts w:hint="eastAsia"/>
          <w:color w:val="auto"/>
          <w:highlight w:val="none"/>
          <w:lang w:val="en-US"/>
        </w:rPr>
        <w:t>商务技术偏离表附表</w:t>
      </w:r>
    </w:p>
    <w:p>
      <w:pPr>
        <w:jc w:val="center"/>
        <w:rPr>
          <w:color w:val="auto"/>
          <w:highlight w:val="none"/>
        </w:rPr>
      </w:pPr>
      <w:r>
        <w:rPr>
          <w:rFonts w:hint="eastAsia" w:cs="仿宋_GB2312" w:asciiTheme="minorEastAsia" w:hAnsiTheme="minorEastAsia" w:eastAsiaTheme="minorEastAsia"/>
          <w:b/>
          <w:color w:val="auto"/>
          <w:kern w:val="0"/>
          <w:sz w:val="32"/>
          <w:szCs w:val="32"/>
          <w:highlight w:val="none"/>
        </w:rPr>
        <w:t>技术要求点对点应答表</w:t>
      </w:r>
    </w:p>
    <w:p>
      <w:pPr>
        <w:rPr>
          <w:color w:val="auto"/>
          <w:highlight w:val="none"/>
        </w:rPr>
      </w:pPr>
    </w:p>
    <w:tbl>
      <w:tblPr>
        <w:tblStyle w:val="63"/>
        <w:tblW w:w="142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1416"/>
        <w:gridCol w:w="5950"/>
        <w:gridCol w:w="3862"/>
        <w:gridCol w:w="1230"/>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招标文件要求的</w:t>
            </w:r>
            <w:r>
              <w:rPr>
                <w:rFonts w:hint="eastAsia" w:ascii="宋体" w:hAnsi="宋体" w:eastAsia="宋体" w:cs="宋体"/>
                <w:i w:val="0"/>
                <w:iCs w:val="0"/>
                <w:color w:val="auto"/>
                <w:kern w:val="0"/>
                <w:sz w:val="24"/>
                <w:szCs w:val="24"/>
                <w:highlight w:val="none"/>
                <w:u w:val="none"/>
                <w:lang w:val="en-US" w:eastAsia="zh-CN" w:bidi="ar"/>
              </w:rPr>
              <w:t>技术参数</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投标人响应的技术参数</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偏离说明</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证明材料所在页码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421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一、江北区外国语3F多功能厅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421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1、报告厅舞台音响系统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线阵音箱</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1.频率响应：80 Hz ~ 16KHz (+/-3dB )50 Hz ~ 18KHz (-10dB )标称指向性：100°（H）垂直可调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2.灵敏度：(@1W/1m) HF/LF:110 dB SPL/:96 dB SPL 阻抗 HF/LF: 16/16 Ohm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3.最大功率(AES) HF/LF: 120W/500W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4.低频单元</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2×10〞纸盘低音 (50mm 音圈)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5.高频单元</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1×3〞压缩高音 (75mm 音圈)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6.最大声压级：HF: /136dBSPL LF:130dBSPL尺寸：(H×W×D) 285×730×420 (mm)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7.重量：35kg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8.●提供EASE Focus数据官网相关数据截图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w:t>
            </w:r>
            <w:r>
              <w:rPr>
                <w:rFonts w:hint="eastAsia" w:ascii="宋体" w:hAnsi="宋体" w:cs="宋体"/>
                <w:i w:val="0"/>
                <w:iCs w:val="0"/>
                <w:color w:val="auto"/>
                <w:kern w:val="0"/>
                <w:sz w:val="24"/>
                <w:szCs w:val="24"/>
                <w:highlight w:val="none"/>
                <w:u w:val="none"/>
                <w:lang w:val="en-US" w:eastAsia="zh-CN" w:bidi="ar"/>
              </w:rPr>
              <w:t>提供权威第三方检测机构出具的检测报告</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辅助音箱</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 系统类型：单10英寸，2分频，低频反射式，同轴设计。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低音单元：1个10英寸51芯低频单元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高音单元：1个3英寸(75mm音圈）高频驱动器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频率范围（-10db）：55Hz-20KHz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频率响应（±3db）：65Hz-18Hz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灵敏度（1w/1m）：96db SPL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额定阻抗：8ohms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最大声压级输出：127db SPL peak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额定功率：350W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覆盖范围：80*80（HxV）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外型尺寸：420mm**310mm*310mm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净重：18Kg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箱体材料：15mm厚优质多层夹板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14. 表面处理：黑色水性沙点环保树脂漆喷涂处理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w:t>
            </w:r>
            <w:r>
              <w:rPr>
                <w:rFonts w:hint="eastAsia" w:ascii="宋体" w:hAnsi="宋体" w:cs="宋体"/>
                <w:i w:val="0"/>
                <w:iCs w:val="0"/>
                <w:color w:val="auto"/>
                <w:kern w:val="0"/>
                <w:sz w:val="24"/>
                <w:szCs w:val="24"/>
                <w:highlight w:val="none"/>
                <w:u w:val="none"/>
                <w:lang w:val="en-US" w:eastAsia="zh-CN" w:bidi="ar"/>
              </w:rPr>
              <w:t>提供权威第三方检测机构出具的检测报告</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返听音箱</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 系统类型：单12英寸，2分频，低频反射式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低音单元：1个12英寸(75mm音圈)低频单元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高音单元：1x44mm压缩高音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4. 频率范围（-10db）：50Hz-20kHz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频率响应（±3db）：60Hz-18kHz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灵敏度（1w/1m）：96dB/SPL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额定阻抗：8ohms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8.压级输出：122 dB/128 dB SPL peak</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额定功率：400W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覆盖范围：90*50（HxV）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外型尺寸：576×372×384 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净重：23Kg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箱体材料：118mm,24mm多层夹板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 表面处理：黑色水性油漆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 面网：黑色环氧多孔钢网和透声的音箱棉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w:t>
            </w:r>
            <w:r>
              <w:rPr>
                <w:rFonts w:hint="eastAsia" w:ascii="宋体" w:hAnsi="宋体" w:cs="宋体"/>
                <w:i w:val="0"/>
                <w:iCs w:val="0"/>
                <w:color w:val="auto"/>
                <w:kern w:val="0"/>
                <w:sz w:val="24"/>
                <w:szCs w:val="24"/>
                <w:highlight w:val="none"/>
                <w:u w:val="none"/>
                <w:lang w:val="en-US" w:eastAsia="zh-CN" w:bidi="ar"/>
              </w:rPr>
              <w:t>提供权威第三方检测机构出具的检测报告</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4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超低音音箱</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低音单元：1个18英寸100芯低频单元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频率范围（-10db）：40Hz-220Hz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频率响应（±3db）：38Hz-200Hz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灵敏度（1w/1m）：101db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额定阻抗：8 ohms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最大声压级输出：136db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额定功率：600W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峰值功率：2400W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箱体材料：18mm厚优质多层夹板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表面处理：黑色水性沙点环保树脂漆喷涂处理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面网：黑色粉末涂层钢网，外包声学吸音网布棉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外型尺寸（H*W*D): 570mm*700mm*600mm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净重：41kg</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功放</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 电源：环形变压器电源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8Ω输出功率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2X600W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4Ω输出功率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2X800W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频率响应： 20Hz~20KHz（+/- 3dB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5. 输入灵敏度： 0.775V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6. 输入阻抗 ： 20KΩ平衡输入,10KΩ/不平衡输入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7. 信噪比（A计权）： ≥94dB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失真度/THD： ≤0.02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声道分离度： 72dB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阻尼系数： ≥290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转换速率： 30V/Us</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音频矩阵处理器</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1、4进×8出音频处理器，24-bit DSP技术，高性能AD/DA，人性化设计，性能更出色，操作更便捷。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2.灵活组合的4输入8输出(2输入6输出/2输入4输出），多种分频模式。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3.输入输出音量调节，范围从-40dB到+12dB，最小步进0.1dB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4.每个输入/输出通道有7段参数均衡（PEQ)，每段参数均衡（PEQ）有参数（Parametric),Low-Shelf 6dB,Low-Shelf12dB,High-Shelf6dB,High-Shelf12dB多种EQ类型选择。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5.参数均衡（PEQ）频率范围从19.7Hz到21.9kHz，增益范围从-30dB到+15dB，带宽范围从0.017到4.750倍频程（Oct)。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6.输出高通、低通滤波器，每个滤波器有多种斜率和类型供选择，滤波器斜率有：-12dB,-24dB,-36dB,-48dB,滤波器类型有：巴特沃斯（Butterworth),贝塞尔（Bessel),宁可锐（Linkwitz-Riley)。</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7.每个输入/输出通道可设置最长延时达1000.00ms,带延时开关。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8.每个输入/输出通道均有压缩器，可调节各压缩器的门限值，压缩比，上冲时间和释放时间，关闭/硬拐点/5级软拐点可调。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9.每个输出通道带相位反转功能。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10.通道复制功能，令调节更省便。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11.多通道链接功能，可同时设置多个通道参数。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12.可以通过WIFI/RS485/USB，端口对本级进行远程控制，PC端操作更加直观快捷</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13.132*32点阵LCD液晶屏显示。</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7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调音台</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1.12个话筒 / 16个线路输入 (12个单声道 + 2个立体声)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2.1个辅助输出，可用于效果和舞台监听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3.内置99种DSP数码效果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4.1组主输出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5.2个编组输出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6.48V DC 幻象电源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7.MP3录音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8、带蓝牙播放</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播放器</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采用4核64位的高性能CPU，含：3T硬盘，支持云歌库，21.5寸触摸屏， 输出接口：HDMI</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9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反馈抑制器</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采用自适应环境啸叫抑制算法，采用高速浮点数字音频处理器和先进的子带（Sub-Band)回声消除(Echo Cancellation)技术，可高速全自动完全消除啸叫和回声，同时让现场音频精准清晰实时送出，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置自适应动态噪声滤波器，可滤掉现场环境的背景噪声但不影响语音信号高质量的传送。系统智能电平控制技术，可以获的到清晰、持续的、信号电平无明显波动的语音信号。内置AGC双向控制，具有区分加强信号和轻柔信号的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保持对讲话声调的连贯和语音易于听清楚，维持听感上的舒适性，提升增益达6-15dB.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内置24Bit  A/D、D/A转换；24位DSP处理器，48KHz高速采样。采用高速浮点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全自动化操作的工作方式，免人工调试，无论房间环境中位置、温度、湿度、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装饰的改变，系统安装都无需进行声场调试，精准可靠使用简单。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内置自适应动态噪声滤波器，可滤掉现场环境的背景噪声但不影响语音信号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高质量的传送。提高信噪比，改善音质。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内置AGC自动增益控制，可以获得到清晰、持续平稳的语音信号。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内置数字压限器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可提高拾音的距离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输入通道：2个，输出通道1个，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信号接口类型：输入K3P/JACK6.35*2个，RCA*1个，输出K3P/JACK6.35*1个，RCA*1个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输入拨片式开关：48V幻象电源开关*2个，可设置48V电源关闭及开启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输出拨片式开关：高、中、低、三挡电平可调。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调节旋即：旋钮式调节开关*1个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前面板：7个LED电平状态灯，2个接入/旁通LED状态灯，1个频率校准LED状态灯，1个自动混合状态灯，1个按键式接入/旁通开关，1个频率校准/退出LED状态灯</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4天线真分集一拖二无线头戴话筒</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4天线真分集接收机*1台，无线头戴话筒*2支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自动跟踪调谐技术，保证系统在任何频率工作时保持最佳的选择性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OLED点阵屏幕显示，下拉式菜单控制。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采用电子音量开关，操作快速方便。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6段式发射机电池电量指示功能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联机自动扫描选择频率。频率范围 580~870MHz（默认740-790MHZ)最大频道数 200最大频率个数 1600频带宽度 50MHz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接收灵敏度 &lt;-95dBm for 30dB S/N Ratio最大频偏 +/-60KHz频率响应 50~20000Hz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信噪比 110dBm(A)失真度 &lt;0.5%动态范围 &gt;102Db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音频插座 XLR+jack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天线插座 2 BNC,50Ω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音频输出电平 +8dBu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电源 12~18V DC/1000mA"</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12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4天线真分集一拖二无线会议话筒</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4天线真分集接收机*1台，无线会议话筒*2支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自动跟踪调谐技术，保证系统在任何频率工作时保持最佳的选择性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OLED点阵屏幕显示，下拉式菜单控制。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采用电子音量开关，操作快速方便。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6段式发射机电池电量指示功能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联机自动扫描选择频率。频率范围 580~870MHz（默认740-790MHZ)最大频道数 200最大频率个数 1600频带宽度 50MHz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接收灵敏度 &lt;-95dBm for 30dB S/N Ratio最大频偏 +/-60KHz频率响应 50~20000Hz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信噪比 110dBm(A)失真度 &lt;0.5%动态范围 &gt;102Db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音频插座 XLR+jack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天线插座 2 BNC,50Ω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音频输出电平 +8dBu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电源 12~18V DC/1000mA"</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4天线真分集一拖二无线手持话筒</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天线真分集接收机*1台，无线手持话筒*2支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自动跟踪调谐技术，保证系统在任何频率工作时保持最佳的选择性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OLED点阵屏幕显示，下拉式菜单控制。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采用电子音量开关，操作快速方便。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6段式发射机电池电量指示功能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联机自动扫描选择频率。频率范围 580~870MHz（默认740-790MHZ)最大频道数 200最大频率个数 1600频带宽度 50MHz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接收灵敏度 &lt;-95dBm for 30dB S/N Ratio最大频偏 +/-60KHz频率响应 50~20000Hz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信噪比 110dBm(A)失真度 &lt;0.5%动态范围 &gt;102Db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音频插座 XLR+jack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天线插座 2 BNC,50Ω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音频输出电平 +8dBu max</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14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抗干扰音频传输器</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输入阻抗：600Ω（交流阻抗），输出阻抗：600Ω（交流阻抗）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，频率响应：20HZ～55KHZ（-0.22db +0DB），直流耐压DC 1000V</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线性阵列吊架</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线性阵列吊架系统</w:t>
            </w:r>
            <w:r>
              <w:rPr>
                <w:rFonts w:hint="eastAsia" w:ascii="宋体" w:hAnsi="宋体" w:cs="宋体"/>
                <w:i w:val="0"/>
                <w:iCs w:val="0"/>
                <w:color w:val="auto"/>
                <w:kern w:val="0"/>
                <w:sz w:val="24"/>
                <w:szCs w:val="24"/>
                <w:highlight w:val="none"/>
                <w:u w:val="none"/>
                <w:lang w:val="en-US" w:eastAsia="zh-CN" w:bidi="ar"/>
              </w:rPr>
              <w:t>，能完美适配</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9"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16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电源时序器</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 负荷容量/功率限制：3520W/7040W，额定输入/输出电压：110V-240V，输出，最大输出电流：16A/32A，输出连接：8位16A国际万用插口。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内部web服务器，无需专用计算机操作，可通过集中管理软件来集中管理。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内部实时时钟，断电时间保持。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上电延时时间，设备加电后延时给开关供电，保证电压稳定。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延时顺序开机，避免设备同时加电给电源和设备本身带来冲击。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定时功能，编排定时开关设备电源的计划。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LED数码管显示时间和传感器数值，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局域网内实现远程开、关机，8个电源输出端口名称显示（跟自行更改端口名称，显示直观）、电压、电流状态。</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操作台</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二个工位</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18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机柜</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规格：1.8米,主要材料</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SPCC优质冷扎钢板制作；厚度：方孔条2.0mm，安装梁1.5mm，其它1.2mm。</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多媒体地插</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推荐品牌：国标铜制面板，含HDMI等模块</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20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其他辅助材料</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音视频线采用秋叶原、百通、金三湖；音视频接插头采用甬生、日昇、金三湖。</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1299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2、舞台机械及灯光系统</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LED面光灯</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1、光    源</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300W高显指LEDCOB灯珠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2、电源电压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AC100~240V，50/60Hz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3、额定功率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350W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4、光源寿命</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可达50000小时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5、显色指数</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Ra（CRI）≥95，R9≥90,TLCI≥95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6、中心照度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5米4760LUX（5600K，15°）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7、色    温</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3200K,5600K可选（可按要求定制色温）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8、调    光</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0~100%线性调光，让调光过程中，无闪烁、抖动，跳变，调光换色更柔和，摄像更清晰真实</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9、通道模式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1CH/2CH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10、控制面板</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LCD数码显示屏+四按键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11、光    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15-60度线性电子变焦，24K无闪烁光源管理系统，不刺眼防眩目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●12、散热方式：具有铜管散热器 +智能静音风机散热系统 。</w:t>
            </w:r>
            <w:r>
              <w:rPr>
                <w:rFonts w:hint="eastAsia" w:ascii="宋体" w:hAnsi="宋体" w:eastAsia="宋体" w:cs="宋体"/>
                <w:b/>
                <w:bCs/>
                <w:i w:val="0"/>
                <w:iCs w:val="0"/>
                <w:color w:val="auto"/>
                <w:kern w:val="0"/>
                <w:sz w:val="24"/>
                <w:szCs w:val="24"/>
                <w:highlight w:val="none"/>
                <w:u w:val="none"/>
                <w:lang w:val="en-US" w:eastAsia="zh-CN" w:bidi="ar"/>
              </w:rPr>
              <w:t>提供LED影视聚光灯高效散热控制系统计算机软件软著证书(复印件加盖投标人公章)。</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13噪    音</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1米噪音≤30db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14、温度监控</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内置温度保护传感器,通过自动调节灯具功率来进行过温保护，显示面板实时查看灯具工作温度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15、控制模式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DMX有线.无线信号可选/手动控制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16、防护等级</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IP20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17、配    件</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遮扉，电源线，信号线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18、净重/毛重</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8kg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19、灯体尺寸</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455*265*292MM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●20、灯具光源有无蓝光危害设计。</w:t>
            </w:r>
            <w:r>
              <w:rPr>
                <w:rFonts w:hint="eastAsia" w:ascii="宋体" w:hAnsi="宋体" w:cs="宋体"/>
                <w:b/>
                <w:bCs/>
                <w:i w:val="0"/>
                <w:iCs w:val="0"/>
                <w:color w:val="auto"/>
                <w:kern w:val="0"/>
                <w:sz w:val="24"/>
                <w:szCs w:val="24"/>
                <w:highlight w:val="none"/>
                <w:u w:val="none"/>
                <w:lang w:val="en-US" w:eastAsia="zh-CN" w:bidi="ar"/>
              </w:rPr>
              <w:t>提供权威第三方检测机构出具的检测报告</w:t>
            </w:r>
            <w:r>
              <w:rPr>
                <w:rFonts w:hint="eastAsia" w:ascii="宋体" w:hAnsi="宋体" w:eastAsia="宋体" w:cs="宋体"/>
                <w:b/>
                <w:bCs/>
                <w:i w:val="0"/>
                <w:iCs w:val="0"/>
                <w:color w:val="auto"/>
                <w:kern w:val="0"/>
                <w:sz w:val="24"/>
                <w:szCs w:val="24"/>
                <w:highlight w:val="none"/>
                <w:u w:val="none"/>
                <w:lang w:val="en-US" w:eastAsia="zh-CN" w:bidi="ar"/>
              </w:rPr>
              <w:t>(复印件加</w:t>
            </w:r>
            <w:r>
              <w:rPr>
                <w:rFonts w:hint="eastAsia" w:ascii="宋体" w:hAnsi="宋体" w:cs="宋体"/>
                <w:b/>
                <w:bCs/>
                <w:i w:val="0"/>
                <w:iCs w:val="0"/>
                <w:color w:val="auto"/>
                <w:kern w:val="0"/>
                <w:sz w:val="24"/>
                <w:szCs w:val="24"/>
                <w:highlight w:val="none"/>
                <w:u w:val="none"/>
                <w:lang w:val="en-US" w:eastAsia="zh-CN" w:bidi="ar"/>
              </w:rPr>
              <w:t>投标人</w:t>
            </w:r>
            <w:r>
              <w:rPr>
                <w:rFonts w:hint="eastAsia" w:ascii="宋体" w:hAnsi="宋体" w:eastAsia="宋体" w:cs="宋体"/>
                <w:b/>
                <w:bCs/>
                <w:i w:val="0"/>
                <w:iCs w:val="0"/>
                <w:color w:val="auto"/>
                <w:kern w:val="0"/>
                <w:sz w:val="24"/>
                <w:szCs w:val="24"/>
                <w:highlight w:val="none"/>
                <w:u w:val="none"/>
                <w:lang w:val="en-US" w:eastAsia="zh-CN" w:bidi="ar"/>
              </w:rPr>
              <w:t>公章)</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电脑摇头光束灯</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1、电压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110 -240V,50/60Hz，光源</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OSRAM 371光源，功率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450W，光源寿命</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1500小时。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●2、光学系统：光束角度2.5°-62°。纯光束角度2.5度，图案角度48度，染色角度62度。</w:t>
            </w:r>
            <w:r>
              <w:rPr>
                <w:rFonts w:hint="eastAsia" w:ascii="宋体" w:hAnsi="宋体" w:cs="宋体"/>
                <w:b/>
                <w:bCs/>
                <w:i w:val="0"/>
                <w:iCs w:val="0"/>
                <w:color w:val="auto"/>
                <w:kern w:val="0"/>
                <w:sz w:val="24"/>
                <w:szCs w:val="24"/>
                <w:highlight w:val="none"/>
                <w:u w:val="none"/>
                <w:lang w:val="en-US" w:eastAsia="zh-CN" w:bidi="ar"/>
              </w:rPr>
              <w:t>提供权威第三方检测机构出具的检测报告</w:t>
            </w:r>
            <w:r>
              <w:rPr>
                <w:rFonts w:hint="eastAsia" w:ascii="宋体" w:hAnsi="宋体" w:eastAsia="宋体" w:cs="宋体"/>
                <w:b/>
                <w:bCs/>
                <w:i w:val="0"/>
                <w:iCs w:val="0"/>
                <w:color w:val="auto"/>
                <w:kern w:val="0"/>
                <w:sz w:val="24"/>
                <w:szCs w:val="24"/>
                <w:highlight w:val="none"/>
                <w:u w:val="none"/>
                <w:lang w:val="en-US" w:eastAsia="zh-CN" w:bidi="ar"/>
              </w:rPr>
              <w:t>中体现检测结果(复印件加投标人公章)。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3、颜色</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≥12个色片+白光可线性色彩转换及彩虹效果。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●4、固定图案盘</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11个固定图案+白光，可变速抖动/双向旋转效果旋转图案盘</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7个旋转图案+白光(图案可选购，拆装更换方便，角度一至性保持好)可变速抖动/双向旋转效果；</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  5、棱镜</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独立的25和16棱镜，棱镜打光束可重叠，带角度调节和旋转功能；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6、频 闪：双频闪结构,0-12次/秒。带随机频闪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7、水平/垂直：水平扫描角度540°，垂直扫描角度270°，XY轴带自动纠错系统，采用光电复位系统，当偶然发生误动后，可自动检索复位；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8、散热方式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智能风机自动散热控制，点灯泡风机智能启动，闭光半功率自动调节。</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9"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LED平板灯</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1、光源</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≥1480颗0.5W贴片高显指LED阵列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2、电源电压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AC100~240V，50/60Hz，恒功率≥290W输出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3、显色指数</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Ra(CRI)≥95，R9≥90,TLCI≥95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●4、中心照度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1米≥7900LUX(5600K)，</w:t>
            </w:r>
            <w:r>
              <w:rPr>
                <w:rFonts w:hint="eastAsia" w:ascii="宋体" w:hAnsi="宋体" w:cs="宋体"/>
                <w:b/>
                <w:bCs/>
                <w:i w:val="0"/>
                <w:iCs w:val="0"/>
                <w:color w:val="auto"/>
                <w:kern w:val="0"/>
                <w:sz w:val="24"/>
                <w:szCs w:val="24"/>
                <w:highlight w:val="none"/>
                <w:u w:val="none"/>
                <w:lang w:val="en-US" w:eastAsia="zh-CN" w:bidi="ar"/>
              </w:rPr>
              <w:t>提供权威第三方检测机构出具的检测报告</w:t>
            </w:r>
            <w:r>
              <w:rPr>
                <w:rFonts w:hint="eastAsia" w:ascii="宋体" w:hAnsi="宋体" w:eastAsia="宋体" w:cs="宋体"/>
                <w:b/>
                <w:bCs/>
                <w:i w:val="0"/>
                <w:iCs w:val="0"/>
                <w:color w:val="auto"/>
                <w:kern w:val="0"/>
                <w:sz w:val="24"/>
                <w:szCs w:val="24"/>
                <w:highlight w:val="none"/>
                <w:u w:val="none"/>
                <w:lang w:val="en-US" w:eastAsia="zh-CN" w:bidi="ar"/>
              </w:rPr>
              <w:t>中体现检测结果(复印件加投标人公章)。</w:t>
            </w:r>
          </w:p>
          <w:p>
            <w:pPr>
              <w:keepNext w:val="0"/>
              <w:keepLines w:val="0"/>
              <w:widowControl/>
              <w:numPr>
                <w:ilvl w:val="0"/>
                <w:numId w:val="1"/>
              </w:numPr>
              <w:suppressLineNumbers w:val="0"/>
              <w:spacing w:line="360" w:lineRule="auto"/>
              <w:ind w:left="24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色温</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满足3200K-5600K色温可调；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6、调光</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具有0~100%线性调光，调光过程中，无闪烁、抖动，跳变，调光换色更柔和，摄像更清晰真实；</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7、控制面板</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≥2.4寸液晶显示屏，手动调光旋钮，可实现512信号和手动调光智能无缝切换。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8、通道模式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≥4CH/5CH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9、光学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具有120度出光角度，24K无闪烁光源管理系统，不刺眼防眩目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10、散热方式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满足空气对流自然散热，超静音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11、温度监控</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具有内置温度保护传感器,通过自动调节灯具功率来进行过温保护，显示面板实时查看灯具工作温度。</w:t>
            </w:r>
          </w:p>
          <w:p>
            <w:pPr>
              <w:keepNext w:val="0"/>
              <w:keepLines w:val="0"/>
              <w:widowControl/>
              <w:numPr>
                <w:ilvl w:val="0"/>
                <w:numId w:val="0"/>
              </w:numPr>
              <w:suppressLineNumbers w:val="0"/>
              <w:spacing w:line="360" w:lineRule="auto"/>
              <w:ind w:left="240" w:leftChars="0" w:firstLine="0" w:firstLineChars="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  12、控制模式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具有DMX有线/无线信号可选，RDM双向控制技术，DMX版本升级，可直接手动控制；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13、提供产品的CE及ROHS安全认证(复印件加盖</w:t>
            </w:r>
            <w:r>
              <w:rPr>
                <w:rFonts w:hint="eastAsia" w:ascii="宋体" w:hAnsi="宋体" w:cs="宋体"/>
                <w:i w:val="0"/>
                <w:iCs w:val="0"/>
                <w:color w:val="auto"/>
                <w:kern w:val="0"/>
                <w:sz w:val="24"/>
                <w:szCs w:val="24"/>
                <w:highlight w:val="none"/>
                <w:u w:val="none"/>
                <w:lang w:val="en-US" w:eastAsia="zh-CN" w:bidi="ar"/>
              </w:rPr>
              <w:t>公</w:t>
            </w:r>
            <w:r>
              <w:rPr>
                <w:rFonts w:hint="eastAsia" w:ascii="宋体" w:hAnsi="宋体" w:eastAsia="宋体" w:cs="宋体"/>
                <w:i w:val="0"/>
                <w:iCs w:val="0"/>
                <w:color w:val="auto"/>
                <w:kern w:val="0"/>
                <w:sz w:val="24"/>
                <w:szCs w:val="24"/>
                <w:highlight w:val="none"/>
                <w:u w:val="none"/>
                <w:lang w:val="en-US" w:eastAsia="zh-CN" w:bidi="ar"/>
              </w:rPr>
              <w:t>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●14、灯具光源有无蓝光危害设计，</w:t>
            </w:r>
            <w:r>
              <w:rPr>
                <w:rFonts w:hint="eastAsia" w:ascii="宋体" w:hAnsi="宋体" w:cs="宋体"/>
                <w:b/>
                <w:bCs/>
                <w:i w:val="0"/>
                <w:iCs w:val="0"/>
                <w:color w:val="auto"/>
                <w:kern w:val="0"/>
                <w:sz w:val="24"/>
                <w:szCs w:val="24"/>
                <w:highlight w:val="none"/>
                <w:u w:val="none"/>
                <w:lang w:val="en-US" w:eastAsia="zh-CN" w:bidi="ar"/>
              </w:rPr>
              <w:t>提供权威第三方检测机构出具的检测报告</w:t>
            </w:r>
            <w:r>
              <w:rPr>
                <w:rFonts w:hint="eastAsia" w:ascii="宋体" w:hAnsi="宋体" w:eastAsia="宋体" w:cs="宋体"/>
                <w:b/>
                <w:bCs/>
                <w:i w:val="0"/>
                <w:iCs w:val="0"/>
                <w:color w:val="auto"/>
                <w:kern w:val="0"/>
                <w:sz w:val="24"/>
                <w:szCs w:val="24"/>
                <w:highlight w:val="none"/>
                <w:u w:val="none"/>
                <w:lang w:val="en-US" w:eastAsia="zh-CN" w:bidi="ar"/>
              </w:rPr>
              <w:t>(复印件加投标人公章))</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四合一LED染色灯</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电源电压：AC100～240V，50/60Hz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额定功率：200W，功率因素PF&gt;0.95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光    源：单颗10W*18颗LED灯珠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光源寿命：50000小时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出光角度：15°/25°/45°/60°可选。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颜色系统：RGBW线性混色，1670万种颜色变化，内置宏功能,无限的RGBW虚拟颜色混色系统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效果配置：0—100%独立线性调光，0—100%独立饱和度调节。3200K-10000K色温线性调节。独立高速频闪。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控制面板：数码显示屏+四按键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控制同道：4CH/9CH两种通道控制模式。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协     议：标准DMX512协议主从控制模式。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菜单显示：LED显示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灯体结构：铝合金压铸外壳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电控技术：菜单或控台控制灯具复位，0-100%调光。恒功率控制，温度传感检测智能调整光源功率，DMX通道电平监视，DMX信号提示，灯具信息查询。各颜色起始亮度设置，过流，过压，过热保护。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防护等级：IP20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散热方式：智能风机散热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控制模式：DMX512控制/手动模式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环境温度：-25℃～+45℃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配   件：电源线，信号线  净重/毛重</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3kg/3.5kg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灯体尺寸</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315*295*248MM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●灯具光源有无蓝光危害设计，</w:t>
            </w:r>
            <w:r>
              <w:rPr>
                <w:rFonts w:hint="eastAsia" w:ascii="宋体" w:hAnsi="宋体" w:cs="宋体"/>
                <w:b/>
                <w:bCs/>
                <w:i w:val="0"/>
                <w:iCs w:val="0"/>
                <w:color w:val="auto"/>
                <w:kern w:val="0"/>
                <w:sz w:val="24"/>
                <w:szCs w:val="24"/>
                <w:highlight w:val="none"/>
                <w:u w:val="none"/>
                <w:lang w:val="en-US" w:eastAsia="zh-CN" w:bidi="ar"/>
              </w:rPr>
              <w:t>提供权威第三方检测机构出具的检测报告</w:t>
            </w:r>
            <w:r>
              <w:rPr>
                <w:rFonts w:hint="eastAsia" w:ascii="宋体" w:hAnsi="宋体" w:eastAsia="宋体" w:cs="宋体"/>
                <w:b/>
                <w:bCs/>
                <w:i w:val="0"/>
                <w:iCs w:val="0"/>
                <w:color w:val="auto"/>
                <w:kern w:val="0"/>
                <w:sz w:val="24"/>
                <w:szCs w:val="24"/>
                <w:highlight w:val="none"/>
                <w:u w:val="none"/>
                <w:lang w:val="en-US" w:eastAsia="zh-CN" w:bidi="ar"/>
              </w:rPr>
              <w:t>(复印件加投标人公章))</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电源直通箱</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供电：三相五线制AC380V±10％，频率50Hz±5％.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额定功率：12路×4KW; 可适用于任何负载.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过载与短路双重保护高分断空气开关.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A.B.C三相工作指示灯. 设两脚和三脚万能插座，进口接线端输入，单40A胶木插输出。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外形尺寸(mm):L515×W485×H133. 单机重量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12KG.</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信号放大器</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 1路DMX512数码输入，1路DMX512直接输出。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输入/输出光电隔离。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8路独立放大驱动输出。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信号放大整形功能，延长信号传输距离。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增强数据总线接入设备数量的能力。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保护灯光控制台DMX512输出接口，故障现场隔离，提高数字式灯光控制系统的安全运行可靠性。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电源</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AC100V-240V / 50-60Hz</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电脑型灯光集控台</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1、通过 PC软件实现灯光的所有控制；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2、可通过 PC软件实现灯光亮度变化控制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3、可通过 PC软件实现灯光颜色变化控制；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4、通过软件由用户自定义场景控制程序，并由用户自行选择调用；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5、用户可自定义键盘快捷键对应相应的场景控制程序，方便用户管制；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6、软件的用户交互界面简单直观，面向对象可视化的场景编辑，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含舞台灯光控制系统软件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8、硬盘容量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500GB显卡类型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集成显卡显存容量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共享系统，含显示器、键盘、鼠标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9、●提供《计算机软件著作权登记证书》。</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舞台灯架</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根据实际</w:t>
            </w:r>
            <w:r>
              <w:rPr>
                <w:rFonts w:hint="eastAsia" w:ascii="宋体" w:hAnsi="宋体" w:eastAsia="宋体" w:cs="宋体"/>
                <w:i w:val="0"/>
                <w:iCs w:val="0"/>
                <w:color w:val="auto"/>
                <w:kern w:val="0"/>
                <w:sz w:val="24"/>
                <w:szCs w:val="24"/>
                <w:highlight w:val="none"/>
                <w:u w:val="none"/>
                <w:lang w:val="en-US" w:eastAsia="zh-CN" w:bidi="ar"/>
              </w:rPr>
              <w:t>现场定制</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电动升降面光灯架</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优质外壳、坚固耐用，4m/min、内置双滑轮刹车稳定、卷边设计不卡链条，镀锌链条G80、铝合金桁架</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控制器</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 可单台或多台同时升降</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灯光电源线</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推荐品牌：国标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RVV3*2.5</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灯光信号控制线</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推荐品牌：国标DMX512专用线</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舞台机械控制线</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4*1.5电源线</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辅助材料</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1、音响线 2*2.5mm² , 材质：铜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2、音频线（咪线）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3.控制线 网线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4.电源线 RVV3*2.5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布线管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6.其他辅料 另购大三芯、莲花头、3.5 耳机接头、BNC 头、六类水晶头、焊锡、松香、扎带、线 号、防水胶布、电工胶布、 电源插头、标签、插排等辅助材料。</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追光灯</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输入电源：AC100V-240V, 50Hz/60Hz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额定功率：450W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色    温：8000-8500k</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灯    珠：LED350W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光 通 量：20000lm-24000lm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灯珠寿命：≥50000小时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通道模式：5个通道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颜 色 盘：5色+白光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色 温 盘：3200K+4500K+5600K手动变焦放大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手动变焦，放大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出光角度：7°-13°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电子频闪：1-20次/秒</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机柜</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规格：1米,主要材料</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SPCC优质冷扎钢板制作；厚度：方孔条2.0mm，安装梁1.5mm，其它1.2mm。</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299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3、舞台天花板拆除及喷黑（配套服务）</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天花板拆除及吊顶喷黑</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舞台天花板拆除、顶部喷黑等施工</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eastAsia="zh-CN"/>
              </w:rPr>
              <w:t>安装调试及场地清理</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eastAsia="zh-CN"/>
              </w:rPr>
              <w:t>含学校所有设备安装调试及后期场地复原、清理</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1299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二、悦和幼儿园</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1299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1、多功能厅音响系统</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4天线真分集一拖二无线手持话筒</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4天线真分集接收机*1台，无线手持话筒*2支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自动跟踪调谐技术，保证系统在任何频率工作时保持最佳的选择性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OLED点阵屏幕显示，下拉式菜单控制。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采用电子音量开关，操作快速方便。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6段式发射机电池电量指示功能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联机自动扫描选择频率。频率范围 580~870MHz（默认740-790MHZ)最大频道数 200最大频率个数 1600频带宽度 50MHz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接收灵敏度 &lt;-95dBm for 30dB S/N Ratio最大频偏 +/-60KHz频率响应 50~20000Hz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信噪比 110dBm(A)失真度 &lt;0.5%动态范围 &gt;102Db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音频插座 XLR+jack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天线插座 2 BNC,50Ω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音频输出电平 +8dBu max</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1299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2、户外操场音响系统</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1"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4天线真分集一拖二无线手持话筒</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天线真分集接收机*1台，无线手持话筒*2支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自动跟踪调谐技术，保证系统在任何频率工作时保持最佳的选择性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OLED点阵屏幕显示，下拉式菜单控制。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采用电子音量开关，操作快速方便。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6段式发射机电池电量指示功能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联机自动扫描选择频率。频率范围 580~870MHz（默认740-790MHZ)最大频道数 200最大频率个数 1600频带宽度 50MHz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接收灵敏度 &lt;-95dBm for 30dB S/N Ratio最大频偏 +/-60KHz频率响应 50~20000Hz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信噪比 110dBm(A)失真度 &lt;0.5%动态范围 &gt;102Db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音频插座 XLR+jack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天线插座 2 BNC,50Ω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音频输出电平 +8dBu max</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299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三、悦和幼儿园（悦士庭院）</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299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悦士庭院音响系统</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4天线真分集一拖二无线手持话筒</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天线真分集接收机*1台，无线手持话筒*2支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自动跟踪调谐技术，保证系统在任何频率工作时保持最佳的选择性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OLED点阵屏幕显示，下拉式菜单控制。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采用电子音量开关，操作快速方便。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6段式发射机电池电量指示功能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联机自动扫描选择频率。频率范围 580~870MHz（默认740-790MHZ)最大频道数 200最大频率个数 1600频带宽度 50MHz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接收灵敏度 &lt;-95dBm for 30dB S/N Ratio最大频偏 +/-60KHz频率响应 50~20000Hz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信噪比 110dBm(A)失真度 &lt;0.5%动态范围 &gt;102Db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音频插座 XLR+jack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天线插座 2 BNC,50Ω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音频输出电平 +8dBu max</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天线放大器</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 指向性天线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天线类型：对数周期偶极阵（LPDA）天线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工作频带：500MHz - 900MHz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工作电压：8V DC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增益：6dB（典型）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阻抗：50Ω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电压驻波比：1.5∶1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指向性：椭圆形 180°（典型）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指向极性：垂直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导波器段数：11段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连接端子：TNC母座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天线分配放大器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天线分配器：一分四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 工作频带： 500MHz-900MHz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 增益：6～10dB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 工作电源：220V AC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 输出外接电源：DC 12V  1mA</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3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安装调试</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推荐品牌：满足设计使用标准、现场安装需要安装调试</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299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四、新城外国语学校</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299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1、初中部会议室音响设备</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全频音箱</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 系统类型：单10英寸，2分频，低频反射式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低音单元：1个10英寸51芯低频单元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高音单元：1个1.75英寸音圈钛振膜高频驱动器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频率范围（-10db）：60Hz-20KHz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频率响应（±3db）：65Hz-19Hz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灵敏度（1w/1m）：94db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额定阻抗：6 ohms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最大声压级输出：125db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额定功率：300W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覆盖范围：80*60（HxV）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外型尺寸：300mm**500mm*338mm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净重：14Kg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箱体材料：15mm厚优质多层夹板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 表面处理：黑色水性沙点环保树脂漆喷涂处理</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功放</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 电源：环形变压器电源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8Ω输出功率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2X600W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4Ω输出功率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2X800W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频率响应： 20Hz~20KHz（+/- 3dB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5. 输入灵敏度： 0.775V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6. 输入阻抗 ： 20KΩ平衡输入,10KΩ/不平衡输入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7. 信噪比（A计权）： ≥94dB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失真度/THD： ≤0.02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声道分离度： 72dB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阻尼系数： ≥290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转换速率： 30V/Us</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3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调音台</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1.输入：6个话筒/JACK6.35输入,1组CD/TAPE（1组2*RCA）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2.输出：主输出*2个，1个辅助输出，1个效果输出，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3.USB口*1，支持MP3播放/录音</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4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一拖二无线会议话筒</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1.红外对频无线手持话筒*2个，接收机*1台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2.DPLL数字锁相环技术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3.载波频率范围</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UHF640-690MHz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4.调制方式：调频4. 可调信道数： 200 通道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5.射频功率：10～30mW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6.音频频响：40～16000Hz 11.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7.失真度：≤0.5％12. 动态范围：100dB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8.电池规格：2X1.5V AA 碱性电电池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9.音频输出：（XLR）卡侬独立平衡输出和Φ6.35插座混合不平衡输出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10.话筒耗电量：100mA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11.载波频率：UHF 500MHz～900MHz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12.频率稳定度：±25KHz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13.信噪比：&gt;105dB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14.邻频干扰比(F/N Ratio)：&gt;80dB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15.动态范围：≥100dB</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5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辅助材料</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1、音响线 2*2.5mm² , 材质：铜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2、音频线（咪线）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3.控制线 网线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4.电源线 RVV3*2.5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布线管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6.其他辅料 另购大三芯、莲花头、3.5 耳机接头、BNC 头、六类水晶头、焊锡、松香、扎带、线 号、防水胶布、电工胶布、 电源插头、标签、插排等辅助材料。包含老的拆除移到小学部安装材料</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6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人工、安装调试</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国标现场安装需要安装调试、包含老的拆除移到小学部安装</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1299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五、福山正达外国语学校</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1299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福山正达外国语学校</w:t>
            </w:r>
            <w:r>
              <w:rPr>
                <w:rFonts w:hint="eastAsia" w:ascii="宋体" w:hAnsi="宋体" w:cs="宋体"/>
                <w:b w:val="0"/>
                <w:bCs w:val="0"/>
                <w:i w:val="0"/>
                <w:iCs w:val="0"/>
                <w:color w:val="auto"/>
                <w:kern w:val="0"/>
                <w:sz w:val="24"/>
                <w:szCs w:val="24"/>
                <w:highlight w:val="none"/>
                <w:u w:val="none"/>
                <w:lang w:val="en-US" w:eastAsia="zh-CN" w:bidi="ar"/>
              </w:rPr>
              <w:t>音响系统</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同轴全频音箱</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 系统类型：单10英寸，2分频，低频反射式，同轴设计。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低音单元：1个10英寸51芯低频单元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高音单元：1个3英寸(75mm音圈）高频驱动器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频率范围（-10db）：55Hz-20KHz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频率响应（±3db）：65Hz-18Hz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灵敏度（1w/1m）：96db SPL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额定阻抗：8ohms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最大声压级输出：127db SPL peak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额定功率：350W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覆盖范围：80*80（HxV）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外型尺寸：420mm**310mm*310mm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净重：18Kg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箱体材料：15mm厚优质多层夹板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 表面处理：黑色水性沙点环保树脂漆喷涂处理</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功放</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 电源：环形变压器电源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8Ω输出功率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2X600W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4Ω输出功率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2X800W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频率响应： 20Hz~20KHz（+/- 3dB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5. 输入灵敏度： 0.775V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6. 输入阻抗 ： 20KΩ平衡输入,10KΩ/不平衡输入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7. 信噪比（A计权）： ≥94dB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失真度/THD： ≤0.02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声道分离度： 72dB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阻尼系数： ≥290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转换速率： 30V/Us</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3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调音台</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1.输入：8个话筒/JACK6.35输入,2组立体声（2组2*RCA）,1组CD/TAPE（1组2*RCA），2个辅助（2*JACK6.35）,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2.输出：主输出*2个，编组输出*2个，1个辅助输出，1个效果输出，1组CD/TAPE（1组2*RCA），耳机监听*1个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3.内置99种DSP数码效果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4.USB口*1，支持MP3播放/录音</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4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音频矩阵处理器</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1、4进×8出音频处理器，24-bit DSP技术，高性能AD/DA，人性化设计，性能更出色，操作更便捷。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2.灵活组合的4输入8输出(2输入6输出/2输入4输出），多种分频模式。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3.输入输出音量调节，范围从-40dB到+12dB，最小步进0.1dB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4.每个输入/输出通道有7段参数均衡（PEQ)，每段参数均衡（PEQ）有参数（Parametric),Low-Shelf 6dB,Low-Shelf12dB,High-Shelf6dB,High-Shelf12dB多种EQ类型选择。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5.参数均衡（PEQ）频率范围从19.7Hz到21.9kHz，增益范围从-30dB到+15dB，带宽范围从0.017到4.750倍频程（Oct)。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6.输出高通、低通滤波器，每个滤波器有多种斜率和类型供选择，滤波器斜率有：-12dB,-24dB,-36dB,-48dB,滤波器类型有：巴特沃斯（Butterworth),贝塞尔（Bessel),宁可锐（Linkwitz-Riley)。</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7.每个输入/输出通道可设置最长延时达1000.00ms,带延时开关。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8.每个输入/输出通道均有压缩器，可调节各压缩器的门限值，压缩比，上冲时间和释放时间，关闭/硬拐点/5级软拐点可调。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9.每个输出通道带相位反转功能。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10.通道复制功能，令调节更省便。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11.多通道链接功能，可同时设置多个通道参数。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12.可以通过WIFI/RS485/USB，端口对本级进行远程控制，PC端操作更加直观快捷</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13.132*32点阵LCD液晶屏显示。</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5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4天线真分集一拖二无线鹅颈话筒</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4天线真分集接收机*1台，无线会议话筒*2支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自动跟踪调谐技术，保证系统在任何频率工作时保持最佳的选择性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OLED点阵屏幕显示，下拉式菜单控制。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采用电子音量开关，操作快速方便。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6段式发射机电池电量指示功能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联机自动扫描选择频率。频率范围 580~870MHz（默认740-790MHZ)最大频道数 200最大频率个数 1600频带宽度 50MHz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接收灵敏度 &lt;-95dBm for 30dB S/N Ratio最大频偏 +/-60KHz频率响应 50~20000Hz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信噪比 110dBm(A)失真度 &lt;0.5%动态范围 &gt;102Db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音频插座 XLR+jack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天线插座 2 BNC,50Ω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音频输出电平 +8dBu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电源 12~18V DC/1000mA"</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6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4天线真分集一拖二无线手持话筒</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天线真分集接收机*1台，无线手持话筒*2支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自动跟踪调谐技术，保证系统在任何频率工作时保持最佳的选择性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OLED点阵屏幕显示，下拉式菜单控制。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采用电子音量开关，操作快速方便。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6段式发射机电池电量指示功能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联机自动扫描选择频率。频率范围 580~870MHz（默认740-790MHZ)最大频道数 200最大频率个数 1600频带宽度 50MHz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接收灵敏度 &lt;-95dBm for 30dB S/N Ratio最大频偏 +/-60KHz频率响应 50~20000Hz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信噪比 110dBm(A)失真度 &lt;0.5%动态范围 &gt;102Db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音频插座 XLR+jack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天线插座 2 BNC,50Ω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音频输出电平 +8dBu max</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7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反馈抑制器</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采用自适应环境啸叫抑制算法，采用高速浮点数字音频处理器和先进的子带（Sub-Band)回声消除(Echo Cancellation)技术，可高速全自动完全消除啸叫和回声，同时让现场音频精准清晰实时送出，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置自适应动态噪声滤波器，可滤掉现场环境的背景噪声但不影响语音信号高质量的传送。系统智能电平控制技术，可以获的到清晰、持续的、信号电平无明显波动的语音信号。内置AGC双向控制，具有区分加强信号和轻柔信号的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保持对讲话声调的连贯和语音易于听清楚，维持听感上的舒适性，提升增益达6-15dB.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内置24Bit  A/D、D/A转换；24位DSP处理器，48KHz高速采样。采用高速浮点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全自动化操作的工作方式，免人工调试，无论房间环境中位置、温度、湿度、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装饰的改变，系统安装都无需进行声场调试，精准可靠使用简单。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内置自适应动态噪声滤波器，可滤掉现场环境的背景噪声但不影响语音信号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高质量的传送。提高信噪比，改善音质。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内置AGC自动增益控制，可以获得到清晰、持续平稳的语音信号。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内置数字压限器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可提高拾音的距离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输入通道：2个，输出通道1个，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信号接口类型：输入K3P/JACK6.35*2个，RCA*1个，输出K3P/JACK6.35*1个，RCA*1个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输入拨片式开关：48V幻象电源开关*2个，可设置48V电源关闭及开启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输出拨片式开关：高、中、低、三挡电平可调。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调节旋即：旋钮式调节开关*1个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前面板：7个LED电平状态灯，2个接入/旁通LED状态灯，1个频率校准LED状态灯，1个自动混合状态灯，1个按键式接入/旁通开关，1个频率校准/退出LED状态灯</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8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台式话筒架</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定制</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9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电源时序器</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负荷容量/功率限制：3520W/7040W，额定输入/输出电压：110V-240V，输出，最大输出电流：16A/32A，输出连接：8位16A国际万用插口。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内部web服务器，无需专用计算机操作，可通过集中管理软件来集中管理。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内部实时时钟，断电时间保持。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上电延时时间，设备加电后延时给开关供电，保证电压稳定。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延时顺序开机，避免设备同时加电给电源和设备本身带来冲击。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定时功能，编排定时开关设备电源的计划。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LED数码管显示时间和传感器数值，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局域网内实现远程开、关机，8个电源输出端口名称显示（跟自行更改端口名称，显示直观）、电压、电流状态。</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10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机柜</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规格：1米,主要材料</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SPCC优质冷扎钢板制作；厚度：方孔条2.0mm，安装梁1.5mm，其它1.2mm。</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11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辅助材料</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推荐品牌：国标1、音响线 2*2.5mm² , 材质：铜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2、音频线（咪线）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3.控制线 网线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4.电源线 RVV3*2.5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布线管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6.其他辅料 另购大三芯、莲花头、3.5 耳机接头、BNC 头、六类水晶头、焊锡、松香、扎带、线 号、防水胶布、电工胶布、 电源插头、标签、插排等辅助材料。</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12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安装调试</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满足设计使用标准、现场安装需要安装调试</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1299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六、育才实验学校</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1299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报告厅</w:t>
            </w:r>
            <w:r>
              <w:rPr>
                <w:rFonts w:hint="eastAsia" w:ascii="宋体" w:hAnsi="宋体" w:cs="宋体"/>
                <w:b w:val="0"/>
                <w:bCs w:val="0"/>
                <w:i w:val="0"/>
                <w:iCs w:val="0"/>
                <w:color w:val="auto"/>
                <w:kern w:val="0"/>
                <w:sz w:val="24"/>
                <w:szCs w:val="24"/>
                <w:highlight w:val="none"/>
                <w:u w:val="none"/>
                <w:lang w:val="en-US" w:eastAsia="zh-CN" w:bidi="ar"/>
              </w:rPr>
              <w:t>音响系统</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9"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主音箱</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系统类型：单15英寸，2分频，低频反射式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低音单元：1个15英寸75芯低频单元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高音单元：1个3英寸音圈钛振膜高频驱动器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频率范围（-10db）：50Hz-20KHz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频率响应（±3db）：55Hz-19kHz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灵敏度（1w/1m）：101db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额定阻抗：6 ohms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最大声压级输出：128db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额定功率：600W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覆盖范围：90*50（HxV）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外型尺寸：675mm*434mm*369mm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箱体材料：18mm厚优质多层夹板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表面处理：黑色水性沙点环保树脂漆喷涂处理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面网：黑色粉末涂层钢网，外包声学吸音网布棉</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音箱</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 系统类型：单12英寸，2分频，低频反射式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低音单元：1个12英寸(75mm音圈)低频单元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高音单元：1x44mm压缩高音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4. 频率范围（-10db）：50Hz-20kHz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频率响应（±3db）：60Hz-18kHz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灵敏度（1w/1m）：96dB/SPL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额定阻抗：8ohms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8.压级输出：122 dB/128 dB SPL peak</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额定功率：400W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覆盖范围：90*50（HxV）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外型尺寸：576×372×384 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净重：23Kg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箱体材料：118mm,24mm多层夹板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 表面处理：黑色水性油漆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 面网：黑色环氧多孔钢网和透声的音箱棉</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9"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3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音箱</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 系统类型：单10英寸，2分频，低频反射式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低音单元：1个10英寸51芯低频单元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高音单元：1个1.75英寸音圈钛振膜高频驱动器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频率范围（-10db）：60Hz-20KHz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频率响应（±3db）：65Hz-19Hz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灵敏度（1w/1m）：94db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额定阻抗：6 ohms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最大声压级输出：125db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额定功率：300W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覆盖范围：80*60（HxV）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外型尺寸：300mm**500mm*338mm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净重：14Kg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箱体材料：15mm厚优质多层夹板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 表面处理：黑色水性沙点环保树脂漆喷涂处理</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4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功放</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 电源：环形变压器电源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8Ω输出功率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2X600W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4Ω输出功率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2X800W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频率响应： 20Hz~20KHz（+/- 3dB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5. 输入灵敏度： 0.775V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输入阻抗 ： 20KΩ平衡输入,10KΩ/不平衡输入</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5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功放</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电源：变压器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8Ω输出功率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2X800W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4Ω输出功率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2X1200W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频率响应： 20Hz~20KHz（+/- 3dB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输入灵敏度： 0.775V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输入阻抗 ： 20KΩ平衡输入,10KΩ/不平衡输入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信噪比（A计权）：   ≥94dB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失真度/THD： ≤0.02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声道分离度： 72dB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阻尼系数： ≥290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转换速率： 30V/Us</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3"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6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音频处理器</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4进8出音频系统处理器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1.24-bit DSP技术，高性能AD/DA，人性化设计，性能更出色，操作更便捷。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2.灵活组合的2输入4输出，多种分频模式。             3.输入输出音量调节，范围从-40dB到+12dB，最小步进0.1dB。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4.每个输入/输出通道有7段参数均衡（PEQ)，每段参数均衡（PEQ）有参数（Parametric),Low-Shelf 6dB,Low-Shelf12dB,High-Shelf6dB,High-Shelf12dB多种EQ类型选择。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5.参数均衡（PEQ）频率范围从19.7Hz到21.9kHz，增益范围从-30dB到+15dB，带宽范围从0.017到4.750倍频程（Oct)。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6.输出高通、低通滤波器，每个滤波器有多种斜率和类型供选择，滤波器斜率有：-12dB,-24dB,-36dB,-48dB,滤波器类型有：巴特沃斯（Butterworth),贝塞尔（Bessel),宁可锐（Linkwitz-Riley)。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7.每个输入/输出通道可设置最长延时达1000.00ms,带延时开关。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8.每个输入/输出通道均有压缩器，可调节各压缩器的门限值，压缩比，上冲时间和释放时间，关闭/硬拐点/5级软拐点可调。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9.每个输出通道带相位反转功能。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10.通道复制功能，令调节更省便。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11.多通道链接功能，可同时设置多个通道参数。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12.直观友好的用户界面，USB，RS485等多种方式与上位机连接。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13.多台机器连网功能，一台电脑可同时连接3种类型机器（DS418E，DS214E，DS216E），同一类型机器最多达32台。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14.132*32点阵LCD液晶屏显示。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15.7段输入/输出电平显示LED。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16.静音显示LED灯，按键指示LED灯。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17.开关电源：AC90V~250V,50Hz/60Hz</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7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调音台</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推荐品牌：YAMAHA、A&amp;H、SOUNDCRAFT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10个话筒 / 16个线路输入 (8个单声道 + 4个立体声)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4编组母线 + 1立体声母线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4 AUX (包括FX)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“D-PRE”话放，带有倒向晶体管电路。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单旋钮压缩器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效果器：SPX，含24组预置效果器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+48V幻象供电</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8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真分集一拖二无线手持话筒</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天线真分集接收机*1台，无线手持话筒*2支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自动跟踪调谐技术，保证系统在任何频率工作时保持最佳的选择性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OLED点阵屏幕显示，下拉式菜单控制。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采用电子音量开关，操作快速方便。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6段式发射机电池电量指示功能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联机自动扫描选择频率。频率范围 580~870MHz（默认740-790MHZ)最大频道数 200最大频率个数 1600频带宽度 50MHz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接收灵敏度 &lt;-95dBm for 30dB S/N Ratio最大频偏 +/-60KHz频率响应 50~20000Hz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信噪比 110dBm(A)失真度 &lt;0.5%动态范围 &gt;102Db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音频插座 XLR+jack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天线插座 2 BNC,50Ω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音频输出电平 +8dBu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含容量2000MAH，AAA充电电池*3节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12.含USB充电器*1个</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9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真分集一拖二无线头戴话筒</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4天线真分集接收机*1台，无线头戴话筒*2支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自动跟踪调谐技术，保证系统在任何频率工作时保持最佳的选择性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OLED点阵屏幕显示，下拉式菜单控制。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采用电子音量开关，操作快速方便。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6段式发射机电池电量指示功能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联机自动扫描选择频率。频率范围 580~870MHz（默认740-790MHZ)最大频道数 200最大频率个数 1600频带宽度 50MHz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接收灵敏度 &lt;-95dBm for 30dB S/N Ratio最大频偏 +/-60KHz频率响应 50~20000Hz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信噪比 110dBm(A)失真度 &lt;0.5%动态范围 &gt;102Db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音频插座 XLR+jack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天线插座 2 BNC,50Ω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音频输出电平 +8dBu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电源 12~18V DC/1000mA"</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10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真分集一拖二无线会议话筒</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4天线真分集接收机*1台，无线会议话筒*2支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自动跟踪调谐技术，保证系统在任何频率工作时保持最佳的选择性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OLED点阵屏幕显示，下拉式菜单控制。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采用电子音量开关，操作快速方便。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6段式发射机电池电量指示功能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联机自动扫描选择频率。频率范围 580~870MHz（默认740-790MHZ)最大频道数 200最大频率个数 1600频带宽度 50MHz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接收灵敏度 &lt;-95dBm for 30dB S/N Ratio最大频偏 +/-60KHz频率响应 50~20000Hz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信噪比 110dBm(A)失真度 &lt;0.5%动态范围 &gt;102Db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音频插座 XLR+jack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天线插座 2 BNC,50Ω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音频输出电平 +8dBu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电源 12~18V DC/1000mA"</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11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反馈抑制器</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采用自适应环境啸叫抑制算法，采用高速浮点数字音频处理器和先进的子带（Sub-Band)回声消除(Echo Cancellation)技术，可高速全自动完全消除啸叫和回声，同时让现场音频精准清晰实时送出，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置自适应动态噪声滤波器，可滤掉现场环境的背景噪声但不影响语音信号高质量的传送。系统智能电平控制技术，可以获的到清晰、持续的、信号电平无明显波动的语音信号。内置AGC双向控制，具有区分加强信号和轻柔信号的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保持对讲话声调的连贯和语音易于听清楚，维持听感上的舒适性，提升增益达6-15dB.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内置24Bit  A/D、D/A转换；24位DSP处理器，48KHz高速采样。采用高速浮点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全自动化操作的工作方式，免人工调试，无论房间环境中位置、温度、湿度、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装饰的改变，系统安装都无需进行声场调试，精准可靠使用简单。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内置自适应动态噪声滤波器，可滤掉现场环境的背景噪声但不影响语音信号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高质量的传送。提高信噪比，改善音质。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内置AGC自动增益控制，可以获得到清晰、持续平稳的语音信号。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内置数字压限器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可提高拾音的距离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输入通道：2个，输出通道1个，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信号接口类型：输入K3P/JACK6.35*2个，RCA*1个，输出K3P/JACK6.35*1个，RCA*1个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输入拨片式开关：48V幻象电源开关*2个，可设置48V电源关闭及开启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输出拨片式开关：高、中、低、三挡电平可调。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调节旋即：旋钮式调节开关*1个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前面板：7个LED电平状态灯，2个接入/旁通LED状态灯，1个频率校准LED状态灯，1个自动混合状态灯，1个按键式接入/旁通开关，1个频率校准/退出LED状态灯</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12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抗干扰音频传输器</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输入阻抗：600Ω（交流阻抗），输出阻抗：600Ω（交流阻抗）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，频率响应：20HZ～55KHZ（-0.22db +0DB），直流耐压DC 1000V</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13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电源时序器</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 负荷容量/功率限制：3520W/7040W，额定输入/输出电压：110V-240V，输出，最大输出电流：16A/32A，输出连接：8位16A国际万用插口。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内部web服务器，无需专用计算机操作，可通过集中管理软件来集中管理。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内部实时时钟，断电时间保持。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上电延时时间，设备加电后延时给开关供电，保证电压稳定。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延时顺序开机，避免设备同时加电给电源和设备本身带来冲击。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定时功能，编排定时开关设备电源的计划。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LED数码管显示时间和传感器数值，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局域网内实现远程开、关机，8个电源输出端口名称显示（跟自行更改端口名称，显示直观）、电压、电流状态。</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14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机柜</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规格：600*600*1800mm</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主要材料</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SPCC优质冷扎钢板制作；厚度：方孔条2.0mm，安装梁1.5mm，其它1.2mm。</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15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无线投屏器</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推荐品牌：宝疆、冠艺、毕亚兹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1.嵌入式硬件架构，瑞芯微多媒体芯片，A7 1.4GHz四核CPU，支持1路4K或2路1080P解码，支持1路1080P编码，内置LINUX操作系统，性能稳定，可长时间不关机使用，支持7X24小时运行。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2.支持操作系统：支持Windows 7/8.1/10 32和64位；MAC OS X 10.10及以上；支持智能手机/平板无线投屏：支持airplay投屏，推荐使用iOS9及以上，OS X 10.10及以上；支持miracast投屏；支持安卓APP投屏（Android 5.0及以上)。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3.硬件规格：1 x HDMI 2.0接口，1 x网络接口（百兆网口），1 x 3.5mm音频接口，2 x TYPEA USB2.0接口，1 x TYPEC USB2.0接口，1 x 12V/1A电源接口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4.HDMI输出分辨率：4K60Hz    解码格式：H.265、H.264   解码能力：最大4K30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帧数：可达30帧/每秒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5.HDMI分辨率：3840x2160P60、3840x2160P30、1920x1080P60、1280x720P60、1024x768P60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6.支持三种发射器：USB发射器（1080P编码）、HDMI发射器（支持4K编码）和TYPEC发射器（支持4K编码）。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7.支持WIN 纯软件投屏，通过WIN Sender应用软件。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8.支持miracast投屏，不需要切换主机WiFi配置。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9.显示内容：支持电脑和移动端混合显示、支持多路移动端同时显示。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10.各种发射端（硬件发射器、AirPlay、miracast等等）投屏可相互切换，不需要等待。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11.显示比例：可显示等比，4：3，16：9，16：10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12.支持投屏过程分辨率和显示比例可修改、支持同一网段下手机自动搜索多台接收端设备并投屏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13.同时显示源端数量：1路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14.同时接入源端数量：可支持16路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15.单画面投屏时，清晰度为4K，即真4K投屏：4K输入、4K编码、4K解码、4K60Hz输出。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16.音频输出：44.1KHz/16bit 立体声、通过HDMI内嵌音频和3.5mm模拟线路音频输出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17.支持双WiFi：热点AP为5G/2.4G双频模组；网卡STA也是5G/2.4G双频模组。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18.支持无线桥接。支持有线桥接。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19.无线传输协议：支持IEEE 802.11ac/802.11n,WIFI有20个信道可选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20.无线传输距离： 30米视距 (一键联主机和一键联按键之间无遮挡)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21.无线传输频段：可支持2.4 GHz或5 GHz，默认5G。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22.无线加密协议：支持WPA2-PSK</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23.传输延时：平均延时小于150mS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24.支持开机,待机画面客制化、支持WEB管理介面、支持修改频段及信道、支持修改视频输出分辨率、支持修改WiFi名称及密码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25.支持安卓controller主持模式控制，支持集控管理软件WIN Controller。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26.可选择的信道数量：9(5G)/11(2.4G)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27.支持有线组播功能，通过组播功能可以实现多屏同显，即多个显示端显示同样的投屏画面，有线组播多屏同显最多可支持到254屏同显。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28.支持无线多屏同显功能，最大1发+4收，不需要部署路由器，自组网。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29.支持触摸回传：USB发射器、HDMI发射器、TYPEC发射器和WIN Sender都支持。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30.支持扩展桌面投屏。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31.支持投屏码功能。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32.支持AP、有线和无线网卡三种投屏接入方式，并且这三种方式投屏可以任意组合。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33.支持竖屏显示功能。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34.支持显示自动满屏设置。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35.AirPlay投屏清晰度可达1080P旋转的清晰度，支持2路AirPlay同时投屏，2路清晰度都可达1080P旋转清晰度。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36.电源/功耗：平均功耗不高于2.5W；</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16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线材等其他辅助材料</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标准</w:t>
            </w:r>
            <w:r>
              <w:rPr>
                <w:rFonts w:hint="eastAsia" w:ascii="宋体" w:hAnsi="宋体" w:eastAsia="宋体" w:cs="宋体"/>
                <w:i w:val="0"/>
                <w:iCs w:val="0"/>
                <w:color w:val="auto"/>
                <w:kern w:val="0"/>
                <w:sz w:val="24"/>
                <w:szCs w:val="24"/>
                <w:highlight w:val="none"/>
                <w:u w:val="none"/>
                <w:lang w:val="en-US" w:eastAsia="zh-CN" w:bidi="ar"/>
              </w:rPr>
              <w:t>音频线</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12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七、江北中心学校音乐听舞台灯光音响系统</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1、扩音系统</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数字音频矩阵</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1.数字音频处理器支持8路平衡式话筒/线路输入通道，采用裸线接口端子，平衡接法；支持8路平衡式线路输出，采用裸线接口端子，平衡接法。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2.输入通道支持前级放大、信号发生器、扩展器、压缩器、5段参量均衡、AM自动混音功能、AFC自适应反馈消除、AEC回声消除、ANC噪声消除。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3.输出通道支持3均衡器、延时器、分频器、高低通滤波器、限幅器。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4.支持输入通道48V幻象供电。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5.支持显示设备网络信息、实时电平、通道静音状态、矩阵混音状态。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6.支持通过iOS、iPad、Android的手机/平板APP软件进行操作控制，面板具备USB接口，支持多媒体存储，可进行播放或存储录播。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7.配置双向RS-232接口，可用于控制外部设备；配置RS-485接口，可实现自动摄像跟踪功能。配置8通道可编程GPIO控制接口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8.支持断电自动保护记忆功能。支持通道拷贝、粘贴、联控功能。支持通过浏览器访问设备，下载自带管理控制软件；可工作在XP/Windows7、8、10等系统环境下。</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调音台</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推荐品牌：YAMAHA、A&amp;H、SOUNDCRAFT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16通道调音台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多10个话筒 / 16个线路输入 (8个单声道 + 4个立体声)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4编组母线 + 1立体声母线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4 AUX (包括FX)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“D-PRE”话放，带有倒向晶体管电路。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单旋钮压缩器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效果器：SPX，含24组预置效果器</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9"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3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反馈抑制器</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采用自适应环境啸叫抑制算法，采用高速浮点数字音频处理器和先进的子带（Sub-Band)回声消除(Echo Cancellation)技术，可高速全自动完全消除啸叫和回声，同时让现场音频精准清晰实时送出，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置自适应动态噪声滤波器，可滤掉现场环境的背景噪声但不影响语音信号高质量的传送。系统智能电平控制技术，可以获的到清晰、持续的、信号电平无明显波动的语音信号。内置AGC双向控制，具有区分加强信号和轻柔信号的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保持对讲话声调的连贯和语音易于听清楚，维持听感上的舒适性，提升增益达6-15dB.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内置24Bit  A/D、D/A转换；24位DSP处理器，48KHz高速采样。采用高速浮点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全自动化操作的工作方式，免人工调试，无论房间环境中位置、温度、湿度、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装饰的改变，系统安装都无需进行声场调试，精准可靠使用简单。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内置自适应动态噪声滤波器，可滤掉现场环境的背景噪声但不影响语音信号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高质量的传送。提高信噪比，改善音质。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内置AGC自动增益控制，可以获得到清晰、持续平稳的语音信号。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内置数字压限器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可提高拾音的距离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输入通道：2个，输出通道1个，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信号接口类型：输入K3P/JACK6.35*2个，RCA*1个，输出K3P/JACK6.35*1个，RCA*1个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输入拨片式开关：48V幻象电源开关*2个，可设置48V电源关闭及开启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输出拨片式开关：高、中、低、三挡电平可调。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调节旋即：旋钮式调节开关*1个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前面板：7个LED电平状态灯，2个接入/旁通LED状态灯，1个频率校准LED状态灯，1个自动混合状态灯，1个按键式接入/旁通开关，1个频率校准/退出LED状态灯</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5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4天线真分集一拖二无线会议话筒</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4天线真分集接收机*1台，无线会议话筒*2支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自动跟踪调谐技术，保证系统在任何频率工作时保持最佳的选择性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OLED点阵屏幕显示，下拉式菜单控制。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采用电子音量开关，操作快速方便。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6段式发射机电池电量指示功能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联机自动扫描选择频率。频率范围 580~870MHz（默认740-790MHZ)最大频道数 200最大频率个数 1600频带宽度 50MHz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接收灵敏度 &lt;-95dBm for 30dB S/N Ratio最大频偏 +/-60KHz频率响应 50~20000Hz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信噪比 110dBm(A)失真度 &lt;0.5%动态范围 &gt;102Db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音频插座 XLR+jack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天线插座 2 BNC,50Ω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音频输出电平 +8dBu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电源 12~18V DC/1000mA"</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7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反馈抑制器</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采用自适应环境啸叫抑制算法，采用高速浮点数字音频处理器和先进的子带（Sub-Band)回声消除(Echo Cancellation)技术，可高速全自动完全消除啸叫和回声，同时让现场音频精准清晰实时送出，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置自适应动态噪声滤波器，可滤掉现场环境的背景噪声但不影响语音信号高质量的传送。系统智能电平控制技术，可以获的到清晰、持续的、信号电平无明显波动的语音信号。内置AGC双向控制，具有区分加强信号和轻柔信号的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保持对讲话声调的连贯和语音易于听清楚，维持听感上的舒适性，提升增益达6-15dB.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内置24Bit  A/D、D/A转换；24位DSP处理器，48KHz高速采样。采用高速浮点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全自动化操作的工作方式，免人工调试，无论房间环境中位置、温度、湿度、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装饰的改变，系统安装都无需进行声场调试，精准可靠使用简单。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内置自适应动态噪声滤波器，可滤掉现场环境的背景噪声但不影响语音信号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高质量的传送。提高信噪比，改善音质。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内置AGC自动增益控制，可以获得到清晰、持续平稳的语音信号。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内置数字压限器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可提高拾音的距离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输入通道：2个，输出通道1个，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信号接口类型：输入K3P/JACK6.35*2个，RCA*1个，输出K3P/JACK6.35*1个，RCA*1个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输入拨片式开关：48V幻象电源开关*2个，可设置48V电源关闭及开启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输出拨片式开关：高、中、低、三挡电平可调。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调节旋即：旋钮式调节开关*1个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前面板：7个LED电平状态灯，2个接入/旁通LED状态灯，1个频率校准LED状态灯，1个自动混合状态灯，1个按键式接入/旁通开关，1个频率校准/退出LED状态灯</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天线放大器</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 指向性天线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天线类型：对数周期偶极阵（LPDA）天线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工作频带：500MHz - 900MHz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工作电压：8V DC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增益：6dB（典型）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阻抗：50Ω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电压驻波比：1.5∶1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 指向性：椭圆形 180°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指向极性：垂直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导波器段数：11段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连接端子：TNC母座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天线分配放大器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天线分配器：一分四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 工作频带： 500MHz-900MHz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 增益：6～10dB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 工作电源：220V AC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 输出外接电源：DC 12V  1mA</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9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线阵音箱田字吊架</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与原有线阵音箱配套使用</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电源时序器</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1.电源限制总功率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&lt;100-240V/63A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2.电源输入接线方式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空气开关压线端≤6mm线径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3.电源开关和过流保护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单相63A空气开关带过流和短路保护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4.时序控制输出通道数目</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8个兼容型电源插座(后面板)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5.无时序控制输出通道数目</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2个兼容型电源插座(前面板)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6.每通道可以提供的最大输出电流</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音频设备负载&lt;20A;线性纯阻负载&lt;10A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7.时序开/关控制方式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面板开关控制、外接机械开关控制、PC端软件、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8.多台联机控制</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由第一台的时序控制开关控制其它联机的开/关状态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9.时序间隔”出厂设置为15s/tep,可通过pC软件修改。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10.电压显示</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面板电压显示表实时显示当前市电交流电压(显示精度1%)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11.辅助功能</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面板配备1个USB接口(最大输出5V/1A)可供小电流设备充电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12.支持：RS232协议</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11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抗干扰音频传输器</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输入阻抗：600Ω（交流阻抗），输出阻抗：600Ω（交流阻抗）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，频率响应：20HZ～55KHZ（-0.22db +0DB），直流耐压DC 1000V</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机柜</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规格：1.8米,主要材料</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SPCC优质冷扎钢板制作；厚度：方孔条2.0mm，安装梁1.5mm，其它1.2mm。</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13 </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音箱线</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规格：2*2.0mm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1.绞型护套音响线采用无氧铜束绞，能较好降低辐射杂波，绝缘体降低电导率及补偿频响特征。   2.线芯导体为4N无氧铜，抗氧化，衰减小。                   3.特制阻燃PVC护套，耐弯折、抗扭绞、适用于工程安装穿管。</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音频线</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推荐品牌：国标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1.规格：2*0.37mm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2.芯线：采用多股99.99%无氧铜，抗氧化，衰减小绝缘层采用经放射处理的聚乙烯</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15 </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其他辅助材料</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其他辅料 另购大三芯、莲花头、3.5 耳机接头、BNC 头、焊锡、松香、扎带、线 号、防水胶布、电工胶布、 电源插头、标签、插排等辅助材料。</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安装调试</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推荐品牌：国标原有线阵音箱移位、吊装、机柜设备移位、现场安装需要安装调试</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12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2、灯光系统</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LED 聚光灯</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1、光    源</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300W高显指LEDCOB灯珠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2、电源电压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AC100~240V，50/60Hz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3、额定功率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350W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4、光源寿命</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可达50000小时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5、显色指数</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Ra（CRI）≥95，R9≥90,TLCI≥95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6、中心照度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5米4760LUX（5600K，15°）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7、色    温</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3200K,5600K可选（可按要求定制色温）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8、调    光</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0~100%线性调光，让调光过程中，无闪烁、抖动，跳变，调光换色更柔和，摄像更清晰真实</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9、通道模式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1CH/2CH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10、控制面板</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LCD数码显示屏+四按键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11、光    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15-60度线性电子变焦，24K无闪烁光源管理系统，不刺眼防眩目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●12、散热方式：具有铜管散热器 +智能静音风机散热系统 。</w:t>
            </w:r>
            <w:r>
              <w:rPr>
                <w:rFonts w:hint="eastAsia" w:ascii="宋体" w:hAnsi="宋体" w:eastAsia="宋体" w:cs="宋体"/>
                <w:b/>
                <w:bCs/>
                <w:i w:val="0"/>
                <w:iCs w:val="0"/>
                <w:color w:val="auto"/>
                <w:kern w:val="0"/>
                <w:sz w:val="24"/>
                <w:szCs w:val="24"/>
                <w:highlight w:val="none"/>
                <w:u w:val="none"/>
                <w:lang w:val="en-US" w:eastAsia="zh-CN" w:bidi="ar"/>
              </w:rPr>
              <w:t>提供LED影视聚光灯高效散热控制系统计算机软件软著证书(复印件</w:t>
            </w:r>
            <w:r>
              <w:rPr>
                <w:rFonts w:hint="eastAsia" w:ascii="宋体" w:hAnsi="宋体" w:cs="宋体"/>
                <w:b/>
                <w:bCs/>
                <w:i w:val="0"/>
                <w:iCs w:val="0"/>
                <w:color w:val="auto"/>
                <w:kern w:val="0"/>
                <w:sz w:val="24"/>
                <w:szCs w:val="24"/>
                <w:highlight w:val="none"/>
                <w:u w:val="none"/>
                <w:lang w:val="en-US" w:eastAsia="zh-CN" w:bidi="ar"/>
              </w:rPr>
              <w:t>加盖投标人公章</w:t>
            </w:r>
            <w:r>
              <w:rPr>
                <w:rFonts w:hint="eastAsia" w:ascii="宋体" w:hAnsi="宋体" w:eastAsia="宋体" w:cs="宋体"/>
                <w:b/>
                <w:bCs/>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噪音</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1米噪音≤30db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13、温度监控</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内置温度保护传感器,通过自动调节灯具功率来进行过温保护，显示面板实时查看灯具工作温度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14、控制模式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DMX有线.无线信号可选/手动控制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15、防护等级</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IP20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16、配    件</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遮扉，电源线，信号线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17、净重/毛重</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8kg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18、灯体尺寸</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455*265*292MM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●19、灯具光源有无蓝光危害设计。</w:t>
            </w:r>
            <w:r>
              <w:rPr>
                <w:rFonts w:hint="eastAsia" w:ascii="宋体" w:hAnsi="宋体" w:cs="宋体"/>
                <w:b/>
                <w:bCs/>
                <w:i w:val="0"/>
                <w:iCs w:val="0"/>
                <w:color w:val="auto"/>
                <w:kern w:val="0"/>
                <w:sz w:val="24"/>
                <w:szCs w:val="24"/>
                <w:highlight w:val="none"/>
                <w:u w:val="none"/>
                <w:lang w:val="en-US" w:eastAsia="zh-CN" w:bidi="ar"/>
              </w:rPr>
              <w:t>提供权威第三方检测机构出具的检测报告</w:t>
            </w:r>
            <w:r>
              <w:rPr>
                <w:rFonts w:hint="eastAsia" w:ascii="宋体" w:hAnsi="宋体" w:eastAsia="宋体" w:cs="宋体"/>
                <w:b/>
                <w:bCs/>
                <w:i w:val="0"/>
                <w:iCs w:val="0"/>
                <w:color w:val="auto"/>
                <w:kern w:val="0"/>
                <w:sz w:val="24"/>
                <w:szCs w:val="24"/>
                <w:highlight w:val="none"/>
                <w:u w:val="none"/>
                <w:lang w:val="en-US" w:eastAsia="zh-CN" w:bidi="ar"/>
              </w:rPr>
              <w:t>(复印件加盖投标人公章)</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LED平板灯</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  1、光源</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≥1480颗0.5W贴片高显指LED阵列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2、电源电压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AC100~240V，50/60Hz，恒功率≥290W输出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3、显色指数</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Ra(CRI)≥95，R9≥90,TLCI≥95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●4、中心照度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1米≥7900LUX(5600K)，</w:t>
            </w:r>
            <w:r>
              <w:rPr>
                <w:rFonts w:hint="eastAsia" w:ascii="宋体" w:hAnsi="宋体" w:cs="宋体"/>
                <w:i w:val="0"/>
                <w:iCs w:val="0"/>
                <w:color w:val="auto"/>
                <w:kern w:val="0"/>
                <w:sz w:val="24"/>
                <w:szCs w:val="24"/>
                <w:highlight w:val="none"/>
                <w:u w:val="none"/>
                <w:lang w:val="en-US" w:eastAsia="zh-CN" w:bidi="ar"/>
              </w:rPr>
              <w:t>提供权威第三方检测机构出具的检测报告</w:t>
            </w:r>
            <w:r>
              <w:rPr>
                <w:rFonts w:hint="eastAsia" w:ascii="宋体" w:hAnsi="宋体" w:eastAsia="宋体" w:cs="宋体"/>
                <w:i w:val="0"/>
                <w:iCs w:val="0"/>
                <w:color w:val="auto"/>
                <w:kern w:val="0"/>
                <w:sz w:val="24"/>
                <w:szCs w:val="24"/>
                <w:highlight w:val="none"/>
                <w:u w:val="none"/>
                <w:lang w:val="en-US" w:eastAsia="zh-CN" w:bidi="ar"/>
              </w:rPr>
              <w:t>中体现检测结果(</w:t>
            </w:r>
            <w:r>
              <w:rPr>
                <w:rFonts w:hint="eastAsia" w:ascii="宋体" w:hAnsi="宋体" w:eastAsia="宋体" w:cs="宋体"/>
                <w:b/>
                <w:bCs/>
                <w:i w:val="0"/>
                <w:iCs w:val="0"/>
                <w:color w:val="auto"/>
                <w:kern w:val="0"/>
                <w:sz w:val="24"/>
                <w:szCs w:val="24"/>
                <w:highlight w:val="none"/>
                <w:u w:val="none"/>
                <w:lang w:val="en-US" w:eastAsia="zh-CN" w:bidi="ar"/>
              </w:rPr>
              <w:t>复印件加盖投标人公章</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5、色温</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满足3200K-5600K色温可调；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6、调光</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具有0~100%线性调光，调光过程中，无闪烁、抖动，跳变，调光换色更柔和，摄像更清晰真实；</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7、控制面板</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≥2.4寸液晶显示屏，手动调光旋钮，可实现512信号和手动调光智能无缝切换。灯调光控制系统计算机软件软著证书(</w:t>
            </w:r>
            <w:r>
              <w:rPr>
                <w:rFonts w:hint="eastAsia" w:ascii="宋体" w:hAnsi="宋体" w:eastAsia="宋体" w:cs="宋体"/>
                <w:b/>
                <w:bCs/>
                <w:i w:val="0"/>
                <w:iCs w:val="0"/>
                <w:color w:val="auto"/>
                <w:kern w:val="0"/>
                <w:sz w:val="24"/>
                <w:szCs w:val="24"/>
                <w:highlight w:val="none"/>
                <w:u w:val="none"/>
                <w:lang w:val="en-US" w:eastAsia="zh-CN" w:bidi="ar"/>
              </w:rPr>
              <w:t>复印件加盖投标人公章</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8、通道模式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≥4CH/5CH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9、光学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具有120度出光角度，24K无闪烁光源管理系统，不刺眼防眩目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10、散热方式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满足空气对流自然散热，超静音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11、温度监控</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具有内置温度保护传感器,通过自动调节灯具功率来进行过温保护，显示面板实时查看灯具工作温度。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12、控制模式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具有DMX有线/无线信号可选，RDM双向控制技术，DMX版本升级，可直接手动控制；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1</w:t>
            </w:r>
            <w:r>
              <w:rPr>
                <w:rFonts w:hint="eastAsia" w:ascii="宋体" w:hAnsi="宋体" w:cs="宋体"/>
                <w:b/>
                <w:bCs/>
                <w:i w:val="0"/>
                <w:iCs w:val="0"/>
                <w:color w:val="auto"/>
                <w:kern w:val="0"/>
                <w:sz w:val="24"/>
                <w:szCs w:val="24"/>
                <w:highlight w:val="none"/>
                <w:u w:val="none"/>
                <w:lang w:val="en-US" w:eastAsia="zh-CN" w:bidi="ar"/>
              </w:rPr>
              <w:t>3</w:t>
            </w:r>
            <w:r>
              <w:rPr>
                <w:rFonts w:hint="eastAsia" w:ascii="宋体" w:hAnsi="宋体" w:eastAsia="宋体" w:cs="宋体"/>
                <w:b/>
                <w:bCs/>
                <w:i w:val="0"/>
                <w:iCs w:val="0"/>
                <w:color w:val="auto"/>
                <w:kern w:val="0"/>
                <w:sz w:val="24"/>
                <w:szCs w:val="24"/>
                <w:highlight w:val="none"/>
                <w:u w:val="none"/>
                <w:lang w:val="en-US" w:eastAsia="zh-CN" w:bidi="ar"/>
              </w:rPr>
              <w:t>、灯具光源有无蓝光危害设计，</w:t>
            </w:r>
            <w:r>
              <w:rPr>
                <w:rFonts w:hint="eastAsia" w:ascii="宋体" w:hAnsi="宋体" w:cs="宋体"/>
                <w:b/>
                <w:bCs/>
                <w:i w:val="0"/>
                <w:iCs w:val="0"/>
                <w:color w:val="auto"/>
                <w:kern w:val="0"/>
                <w:sz w:val="24"/>
                <w:szCs w:val="24"/>
                <w:highlight w:val="none"/>
                <w:u w:val="none"/>
                <w:lang w:val="en-US" w:eastAsia="zh-CN" w:bidi="ar"/>
              </w:rPr>
              <w:t>提供权威第三方检测机构出具的检测报告</w:t>
            </w:r>
            <w:r>
              <w:rPr>
                <w:rFonts w:hint="eastAsia" w:ascii="宋体" w:hAnsi="宋体" w:eastAsia="宋体" w:cs="宋体"/>
                <w:b/>
                <w:bCs/>
                <w:i w:val="0"/>
                <w:iCs w:val="0"/>
                <w:color w:val="auto"/>
                <w:kern w:val="0"/>
                <w:sz w:val="24"/>
                <w:szCs w:val="24"/>
                <w:highlight w:val="none"/>
                <w:u w:val="none"/>
                <w:lang w:val="en-US" w:eastAsia="zh-CN" w:bidi="ar"/>
              </w:rPr>
              <w:t>(复印件加盖投标人公章)</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四合一LED染色灯</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电源电压：AC100～240V，50/60Hz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额定功率：200W，功率因素PF&gt;0.95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光    源：单颗10W*18颗LED灯珠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光源寿命：50000小时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出光角度：15°/25°/45°/60°可选。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颜色系统：RGBW线性混色，1670万种颜色变化，内置宏功能,无限的RGBW虚拟颜色混色系统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效果配置：0—100%独立线性调光，0—100%独立饱和度调节。3200K-10000K色温线性调节。独立高速频闪。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控制面板：数码显示屏+四按键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控制同道：4CH/9CH两种通道控制模式。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协     议：标准DMX512协议主从控制模式。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菜单显示：LED显示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灯体结构：铝合金压铸外壳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电控技术：菜单或控台控制灯具复位，0-100%调光。恒功率控制，温度传感检测智能调整光源功率，DMX通道电平监视，DMX信号提示，灯具信息查询。各颜色起始亮度设置，过流，过压，过热保护。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防护等级：IP20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散热方式：智能风机散热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控制模式：DMX512控制/手动模式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环境温度：-25℃～+45℃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配   件：电源线，信号线  净重/毛重</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3kg/3.5kg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灯体尺寸</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315*295*248MM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●灯具光源有无蓝光危害设计，</w:t>
            </w:r>
            <w:r>
              <w:rPr>
                <w:rFonts w:hint="eastAsia" w:ascii="宋体" w:hAnsi="宋体" w:cs="宋体"/>
                <w:b/>
                <w:bCs/>
                <w:i w:val="0"/>
                <w:iCs w:val="0"/>
                <w:color w:val="auto"/>
                <w:kern w:val="0"/>
                <w:sz w:val="24"/>
                <w:szCs w:val="24"/>
                <w:highlight w:val="none"/>
                <w:u w:val="none"/>
                <w:lang w:val="en-US" w:eastAsia="zh-CN" w:bidi="ar"/>
              </w:rPr>
              <w:t>提供权威第三方检测机构出具的检测报告</w:t>
            </w:r>
            <w:r>
              <w:rPr>
                <w:rFonts w:hint="eastAsia" w:ascii="宋体" w:hAnsi="宋体" w:eastAsia="宋体" w:cs="宋体"/>
                <w:b/>
                <w:bCs/>
                <w:i w:val="0"/>
                <w:iCs w:val="0"/>
                <w:color w:val="auto"/>
                <w:kern w:val="0"/>
                <w:sz w:val="24"/>
                <w:szCs w:val="24"/>
                <w:highlight w:val="none"/>
                <w:u w:val="none"/>
                <w:lang w:val="en-US" w:eastAsia="zh-CN" w:bidi="ar"/>
              </w:rPr>
              <w:t>(复印件加盖投标人公章)</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光束灯</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  1、电压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110 -240V,50/60Hz，光源</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OSRAM 371光源，功率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450W，光源寿命</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1500小时。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2、光学系统：光束角度2.5°-62°。纯光束角度2.5度，图案角度48度，染色角度62度。</w:t>
            </w:r>
            <w:r>
              <w:rPr>
                <w:rFonts w:hint="eastAsia" w:ascii="宋体" w:hAnsi="宋体" w:cs="宋体"/>
                <w:b/>
                <w:bCs/>
                <w:i w:val="0"/>
                <w:iCs w:val="0"/>
                <w:color w:val="auto"/>
                <w:kern w:val="0"/>
                <w:sz w:val="24"/>
                <w:szCs w:val="24"/>
                <w:highlight w:val="none"/>
                <w:u w:val="none"/>
                <w:lang w:val="en-US" w:eastAsia="zh-CN" w:bidi="ar"/>
              </w:rPr>
              <w:t>提供权威第三方检测机构出具的检测报告</w:t>
            </w:r>
            <w:r>
              <w:rPr>
                <w:rFonts w:hint="eastAsia" w:ascii="宋体" w:hAnsi="宋体" w:eastAsia="宋体" w:cs="宋体"/>
                <w:b/>
                <w:bCs/>
                <w:i w:val="0"/>
                <w:iCs w:val="0"/>
                <w:color w:val="auto"/>
                <w:kern w:val="0"/>
                <w:sz w:val="24"/>
                <w:szCs w:val="24"/>
                <w:highlight w:val="none"/>
                <w:u w:val="none"/>
                <w:lang w:val="en-US" w:eastAsia="zh-CN" w:bidi="ar"/>
              </w:rPr>
              <w:t>中体现检测结果(复印件加盖投标人公章).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3、颜色</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≥12个色片+白光可线性色彩转换及彩虹效果。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4、固定图案盘</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11个固定图案+白光，可变速抖动/双向旋转效果旋转图案盘</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7个旋转图案+白光(图案可选购，拆装更换方便，角度一至性保持好)可变速抖动/双向旋转效果；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5、棱镜</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独立的25和16棱镜，棱镜打光束可重叠，带角度调节和旋转功能；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6、频 闪：双频闪结构,0-12次/秒。带随机频闪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7、水平/垂直：水平扫描角度540°，垂直扫描角度270°，XY轴带自动纠错系统，采用光电复位系统，当偶然发生误动后，可自动检索复位；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8、散热方式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智能风机自动散热控制，点灯泡风机智能启动，闭光半功率自动调节</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电脑型灯光集控台</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1、通过 PC软件实现灯光的所有控制；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2、可通过 PC软件实现灯光亮度变化控制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3、可通过 PC软件实现灯光颜色变化控制；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4、通过软件由用户自定义场景控制程序，并由用户自行选择调用；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5、用户可自定义键盘快捷键对应相应的场景控制程序，方便用户管制；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6、软件的用户交互界面简单直观，面向对象可视化的场景编辑，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含舞台灯光控制系统软件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8、硬盘容量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500GB显卡类型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集成显卡显存容量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共享系统，含显示器、键盘、鼠标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9、提供《计算机软件著作权登记证书》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复印件加盖投标人公章</w:t>
            </w:r>
            <w:r>
              <w:rPr>
                <w:rFonts w:hint="eastAsia" w:ascii="宋体" w:hAnsi="宋体" w:cs="宋体"/>
                <w:i w:val="0"/>
                <w:iCs w:val="0"/>
                <w:color w:val="auto"/>
                <w:kern w:val="0"/>
                <w:sz w:val="24"/>
                <w:szCs w:val="24"/>
                <w:highlight w:val="none"/>
                <w:u w:val="none"/>
                <w:lang w:val="en-US" w:eastAsia="zh-CN" w:bidi="ar"/>
              </w:rPr>
              <w:t>）</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信号放大器</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1路DMX512数码输入，1路DMX512直接输出。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输入/输出光电隔离。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8路独立放大驱动输出。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信号放大整形功能，延长信号传输距离。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增强数据总线接入设备数量的能力。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保护灯光控制台DMX512输出接口，故障现场隔离，提高数字式灯光控制系统的安全运行可靠性。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AC100V-240V / 50-60Hz  </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电源直通箱</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供电：三相五线制AC380V±10％，频率50Hz±5％.</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额定功率：12路×4KW; 可适用于任何负载.</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过载与短路双重保护高分断空气开关.</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A.B.C三相工作指示灯. 设两脚和三脚万能插座，进口接线端输入，单40A胶木插输出。</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外形尺寸(mm):L515×W485×H133. 单机重量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12KG.</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追光灯</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输入电源：AC100V-240V, 50Hz/60Hz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额定功率：450W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色    温：8000-8500k</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灯    珠：LED350W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光 通 量：20000lm-24000lm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灯珠寿命：≥50000小时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通道模式：5个通道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颜 色 盘：5色+白光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色 温 盘：3200K+4500K+5600K手动变焦放大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手动变焦，放大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出光角度：7°-13°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电子频闪：1-20次/秒</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灯光电源线</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电源线 RVV3*2.5</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灯光信号线</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1.规格：2*0.37mm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2.芯线：采用多股99.99%无氧铜，抗氧化，衰减小绝缘层采用经放射处理的聚乙烯</w:t>
            </w:r>
          </w:p>
        </w:tc>
        <w:tc>
          <w:tcPr>
            <w:tcW w:w="3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其他辅助材料</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其他辅料 另购大三芯、莲花头、3.5 耳机接头、BNC 头、焊锡、松香、扎带、线 号、防水胶布、电工胶布、 电源插头、标签、插排等辅助材料。</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安装调试</w:t>
            </w:r>
          </w:p>
        </w:tc>
        <w:tc>
          <w:tcPr>
            <w:tcW w:w="5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满足设计使用标准、现场安装需要安装调试</w:t>
            </w:r>
          </w:p>
        </w:tc>
        <w:tc>
          <w:tcPr>
            <w:tcW w:w="3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pPr>
        <w:rPr>
          <w:color w:val="auto"/>
          <w:highlight w:val="none"/>
        </w:rPr>
      </w:pPr>
    </w:p>
    <w:p>
      <w:pPr>
        <w:ind w:firstLine="420" w:firstLineChars="200"/>
        <w:rPr>
          <w:rFonts w:hint="eastAsia"/>
          <w:color w:val="auto"/>
          <w:highlight w:val="none"/>
          <w:lang w:val="en-US" w:eastAsia="zh-CN"/>
        </w:rPr>
      </w:pPr>
      <w:r>
        <w:rPr>
          <w:rFonts w:hint="eastAsia"/>
          <w:color w:val="auto"/>
          <w:highlight w:val="none"/>
          <w:lang w:val="en-US" w:eastAsia="zh-CN"/>
        </w:rPr>
        <w:t>注：：①投标人根据投标产品技术参数填写偏离说明，填入‘正偏离’、‘无偏离’、‘负偏离’。</w:t>
      </w:r>
    </w:p>
    <w:p>
      <w:pPr>
        <w:ind w:firstLine="420" w:firstLineChars="200"/>
        <w:rPr>
          <w:rFonts w:hint="default" w:eastAsia="宋体"/>
          <w:color w:val="auto"/>
          <w:highlight w:val="none"/>
          <w:lang w:val="en-US" w:eastAsia="zh-CN"/>
        </w:rPr>
      </w:pPr>
      <w:r>
        <w:rPr>
          <w:rFonts w:hint="eastAsia"/>
          <w:color w:val="auto"/>
          <w:highlight w:val="none"/>
          <w:lang w:val="en-US" w:eastAsia="zh-CN"/>
        </w:rPr>
        <w:t>②本表中‘名称’、‘招标文件要求的技术参数’若有和招标文件第三部分‘附件1采购清单及技术参数要求’表不一致的，以招标文件第三部分‘附件1采购清单及技术参数要求’表为准。</w:t>
      </w:r>
    </w:p>
    <w:p>
      <w:pPr>
        <w:ind w:firstLine="420" w:firstLineChars="200"/>
        <w:rPr>
          <w:rFonts w:hint="default" w:eastAsia="宋体"/>
          <w:color w:val="auto"/>
          <w:highlight w:val="none"/>
          <w:lang w:val="en-US" w:eastAsia="zh-CN"/>
        </w:rPr>
      </w:pPr>
    </w:p>
    <w:p>
      <w:pPr>
        <w:rPr>
          <w:rFonts w:cs="仿宋_GB2312" w:asciiTheme="minorEastAsia" w:hAnsiTheme="minorEastAsia" w:eastAsiaTheme="minorEastAsia"/>
          <w:b/>
          <w:color w:val="auto"/>
          <w:kern w:val="0"/>
          <w:sz w:val="36"/>
          <w:szCs w:val="36"/>
          <w:highlight w:val="none"/>
        </w:rPr>
      </w:pPr>
    </w:p>
    <w:p>
      <w:pPr>
        <w:rPr>
          <w:rFonts w:cs="仿宋_GB2312" w:asciiTheme="minorEastAsia" w:hAnsiTheme="minorEastAsia" w:eastAsiaTheme="minorEastAsia"/>
          <w:b/>
          <w:color w:val="auto"/>
          <w:kern w:val="0"/>
          <w:sz w:val="36"/>
          <w:szCs w:val="36"/>
          <w:highlight w:val="none"/>
        </w:rPr>
      </w:pPr>
    </w:p>
    <w:p>
      <w:pPr>
        <w:autoSpaceDE w:val="0"/>
        <w:autoSpaceDN w:val="0"/>
        <w:spacing w:line="360" w:lineRule="auto"/>
        <w:ind w:left="2" w:leftChars="1" w:right="1120" w:firstLine="4560" w:firstLineChars="1900"/>
        <w:jc w:val="righ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投标人名称（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w:t>
      </w:r>
    </w:p>
    <w:p>
      <w:pPr>
        <w:autoSpaceDE w:val="0"/>
        <w:autoSpaceDN w:val="0"/>
        <w:spacing w:line="360" w:lineRule="auto"/>
        <w:ind w:left="2" w:leftChars="1" w:right="1120" w:firstLine="4560" w:firstLineChars="1900"/>
        <w:jc w:val="righ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lang w:val="zh-CN"/>
        </w:rPr>
        <w:t xml:space="preserve">   年   月   日</w:t>
      </w:r>
    </w:p>
    <w:p>
      <w:pPr>
        <w:rPr>
          <w:rFonts w:cs="仿宋_GB2312" w:asciiTheme="minorEastAsia" w:hAnsiTheme="minorEastAsia" w:eastAsiaTheme="minorEastAsia"/>
          <w:b/>
          <w:color w:val="auto"/>
          <w:kern w:val="0"/>
          <w:sz w:val="36"/>
          <w:szCs w:val="36"/>
          <w:highlight w:val="none"/>
        </w:rPr>
        <w:sectPr>
          <w:pgSz w:w="16838" w:h="11906" w:orient="landscape"/>
          <w:pgMar w:top="1134" w:right="1134" w:bottom="1134" w:left="1134" w:header="851" w:footer="992" w:gutter="0"/>
          <w:pgNumType w:fmt="decimal"/>
          <w:cols w:space="720" w:num="1"/>
          <w:titlePg/>
          <w:docGrid w:linePitch="312" w:charSpace="0"/>
        </w:sectPr>
      </w:pPr>
    </w:p>
    <w:p>
      <w:pPr>
        <w:rPr>
          <w:rFonts w:cs="仿宋_GB2312" w:asciiTheme="minorEastAsia" w:hAnsiTheme="minorEastAsia" w:eastAsiaTheme="minorEastAsia"/>
          <w:b/>
          <w:color w:val="auto"/>
          <w:kern w:val="0"/>
          <w:sz w:val="36"/>
          <w:szCs w:val="36"/>
          <w:highlight w:val="none"/>
        </w:rPr>
      </w:pPr>
    </w:p>
    <w:p>
      <w:pPr>
        <w:spacing w:line="360" w:lineRule="auto"/>
        <w:jc w:val="center"/>
        <w:outlineLvl w:val="0"/>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报价文件部分</w:t>
      </w:r>
      <w:bookmarkEnd w:id="402"/>
    </w:p>
    <w:p>
      <w:pPr>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1）开标一览表……</w:t>
      </w:r>
      <w:r>
        <w:rPr>
          <w:rFonts w:hint="eastAsia" w:cs="仿宋_GB2312" w:asciiTheme="minorEastAsia" w:hAnsiTheme="minorEastAsia" w:eastAsiaTheme="minorEastAsia"/>
          <w:color w:val="auto"/>
          <w:sz w:val="24"/>
          <w:highlight w:val="none"/>
        </w:rPr>
        <w:t>………………………………………………………………（页码）</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r>
        <w:rPr>
          <w:rFonts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报价情况说明（如供应商报价低于项目预算50%的，应当提交本文档，详细阐述不影响产品质量或者诚信履约的具体原因）……………………………………………（页码）</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r>
        <w:rPr>
          <w:rFonts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报价明细表</w:t>
      </w:r>
      <w:r>
        <w:rPr>
          <w:rFonts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………………………………………………………………（页码）</w:t>
      </w:r>
    </w:p>
    <w:p>
      <w:pPr>
        <w:widowControl/>
        <w:adjustRightInd/>
        <w:jc w:val="left"/>
        <w:rPr>
          <w:rFonts w:cs="仿宋_GB2312" w:asciiTheme="minorEastAsia" w:hAnsiTheme="minorEastAsia" w:eastAsiaTheme="minorEastAsia"/>
          <w:b/>
          <w:color w:val="auto"/>
          <w:kern w:val="0"/>
          <w:sz w:val="32"/>
          <w:szCs w:val="32"/>
          <w:highlight w:val="none"/>
        </w:rPr>
      </w:pPr>
      <w:bookmarkStart w:id="403" w:name="_Toc84596851"/>
      <w:r>
        <w:rPr>
          <w:rFonts w:cs="仿宋_GB2312" w:asciiTheme="minorEastAsia" w:hAnsiTheme="minorEastAsia" w:eastAsiaTheme="minorEastAsia"/>
          <w:b/>
          <w:color w:val="auto"/>
          <w:kern w:val="0"/>
          <w:sz w:val="32"/>
          <w:szCs w:val="32"/>
          <w:highlight w:val="none"/>
        </w:rPr>
        <w:br w:type="page"/>
      </w:r>
    </w:p>
    <w:p>
      <w:pPr>
        <w:snapToGrid w:val="0"/>
        <w:spacing w:line="360" w:lineRule="auto"/>
        <w:jc w:val="center"/>
        <w:outlineLvl w:val="1"/>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一、开标一览表</w:t>
      </w:r>
      <w:bookmarkEnd w:id="403"/>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u w:val="single"/>
          <w:lang w:eastAsia="zh-CN"/>
        </w:rPr>
        <w:t xml:space="preserve">宁波市江北区教育局教研室 </w:t>
      </w:r>
      <w:r>
        <w:rPr>
          <w:rFonts w:hint="eastAsia" w:cs="仿宋_GB2312" w:asciiTheme="minorEastAsia" w:hAnsiTheme="minorEastAsia" w:eastAsiaTheme="minorEastAsia"/>
          <w:color w:val="auto"/>
          <w:sz w:val="24"/>
          <w:highlight w:val="none"/>
          <w:u w:val="single"/>
        </w:rPr>
        <w:t>、宁波成套工程项目咨询管理有限公司</w:t>
      </w:r>
      <w:r>
        <w:rPr>
          <w:rFonts w:hint="eastAsia" w:cs="仿宋_GB2312" w:asciiTheme="minorEastAsia" w:hAnsiTheme="minorEastAsia" w:eastAsiaTheme="minorEastAsia"/>
          <w:color w:val="auto"/>
          <w:kern w:val="0"/>
          <w:sz w:val="24"/>
          <w:highlight w:val="none"/>
          <w:lang w:val="zh-CN"/>
        </w:rPr>
        <w:t>：</w:t>
      </w:r>
    </w:p>
    <w:p>
      <w:pPr>
        <w:spacing w:before="24" w:beforeLines="10" w:line="360" w:lineRule="auto"/>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按贵方招标文件要求，如你方接受本投标文件，我方承诺按照如下开标一览表的价格完成</w:t>
      </w:r>
      <w:r>
        <w:rPr>
          <w:rFonts w:hint="eastAsia" w:asciiTheme="minorEastAsia" w:hAnsiTheme="minorEastAsia" w:eastAsiaTheme="minorEastAsia"/>
          <w:color w:val="auto"/>
          <w:sz w:val="24"/>
          <w:highlight w:val="none"/>
          <w:u w:val="single"/>
        </w:rPr>
        <w:t xml:space="preserve"> （项目名称） （项目编号）</w:t>
      </w:r>
      <w:r>
        <w:rPr>
          <w:rFonts w:hint="eastAsia" w:asciiTheme="minorEastAsia" w:hAnsiTheme="minorEastAsia" w:eastAsiaTheme="minorEastAsia"/>
          <w:color w:val="auto"/>
          <w:kern w:val="0"/>
          <w:sz w:val="24"/>
          <w:highlight w:val="none"/>
          <w:lang w:val="zh-CN"/>
        </w:rPr>
        <w:t>的实施。</w:t>
      </w:r>
    </w:p>
    <w:p>
      <w:pPr>
        <w:snapToGrid w:val="0"/>
        <w:spacing w:line="360" w:lineRule="auto"/>
        <w:ind w:right="480"/>
        <w:jc w:val="center"/>
        <w:rPr>
          <w:rFonts w:asciiTheme="minorEastAsia" w:hAnsiTheme="minorEastAsia" w:eastAsiaTheme="minorEastAsia"/>
          <w:b/>
          <w:color w:val="auto"/>
          <w:kern w:val="0"/>
          <w:sz w:val="24"/>
          <w:highlight w:val="none"/>
          <w:lang w:val="zh-CN"/>
        </w:rPr>
      </w:pPr>
      <w:r>
        <w:rPr>
          <w:rFonts w:hint="eastAsia" w:asciiTheme="minorEastAsia" w:hAnsiTheme="minorEastAsia" w:eastAsiaTheme="minorEastAsia"/>
          <w:b/>
          <w:color w:val="auto"/>
          <w:kern w:val="0"/>
          <w:sz w:val="24"/>
          <w:highlight w:val="none"/>
          <w:lang w:val="zh-CN"/>
        </w:rPr>
        <w:t xml:space="preserve">                                              货币单位：人民币元</w:t>
      </w:r>
    </w:p>
    <w:tbl>
      <w:tblPr>
        <w:tblStyle w:val="63"/>
        <w:tblW w:w="958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16"/>
        <w:gridCol w:w="3679"/>
        <w:gridCol w:w="40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blHeader/>
          <w:jc w:val="center"/>
        </w:trPr>
        <w:tc>
          <w:tcPr>
            <w:tcW w:w="1816" w:type="dxa"/>
            <w:tcBorders>
              <w:top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 w:val="24"/>
                <w:highlight w:val="none"/>
                <w:lang w:val="en-GB"/>
              </w:rPr>
            </w:pPr>
            <w:r>
              <w:rPr>
                <w:rFonts w:hint="eastAsia" w:asciiTheme="minorEastAsia" w:hAnsiTheme="minorEastAsia" w:eastAsiaTheme="minorEastAsia"/>
                <w:b/>
                <w:color w:val="auto"/>
                <w:sz w:val="24"/>
                <w:highlight w:val="none"/>
              </w:rPr>
              <w:t>序号</w:t>
            </w:r>
          </w:p>
        </w:tc>
        <w:tc>
          <w:tcPr>
            <w:tcW w:w="3679" w:type="dxa"/>
            <w:tcBorders>
              <w:top w:val="single" w:color="auto" w:sz="4" w:space="0"/>
              <w:left w:val="single" w:color="auto" w:sz="4" w:space="0"/>
            </w:tcBorders>
            <w:vAlign w:val="center"/>
          </w:tcPr>
          <w:p>
            <w:pPr>
              <w:spacing w:line="360" w:lineRule="auto"/>
              <w:jc w:val="center"/>
              <w:rPr>
                <w:rFonts w:asciiTheme="minorEastAsia" w:hAnsiTheme="minorEastAsia" w:eastAsiaTheme="minorEastAsia"/>
                <w:b/>
                <w:color w:val="auto"/>
                <w:sz w:val="24"/>
                <w:highlight w:val="none"/>
                <w:lang w:val="en-GB"/>
              </w:rPr>
            </w:pPr>
            <w:r>
              <w:rPr>
                <w:rFonts w:hint="eastAsia" w:asciiTheme="minorEastAsia" w:hAnsiTheme="minorEastAsia" w:eastAsiaTheme="minorEastAsia"/>
                <w:b/>
                <w:color w:val="auto"/>
                <w:sz w:val="24"/>
                <w:highlight w:val="none"/>
              </w:rPr>
              <w:t>标项</w:t>
            </w:r>
            <w:r>
              <w:rPr>
                <w:rFonts w:hint="eastAsia" w:asciiTheme="minorEastAsia" w:hAnsiTheme="minorEastAsia" w:eastAsiaTheme="minorEastAsia"/>
                <w:b/>
                <w:color w:val="auto"/>
                <w:sz w:val="24"/>
                <w:highlight w:val="none"/>
                <w:lang w:val="en-GB"/>
              </w:rPr>
              <w:t>名称</w:t>
            </w:r>
          </w:p>
        </w:tc>
        <w:tc>
          <w:tcPr>
            <w:tcW w:w="4088" w:type="dxa"/>
            <w:tcBorders>
              <w:right w:val="single" w:color="auto" w:sz="4" w:space="0"/>
            </w:tcBorders>
            <w:vAlign w:val="center"/>
          </w:tcPr>
          <w:p>
            <w:pPr>
              <w:spacing w:line="360" w:lineRule="auto"/>
              <w:jc w:val="center"/>
              <w:rPr>
                <w:rFonts w:asciiTheme="minorEastAsia" w:hAnsiTheme="minorEastAsia" w:eastAsiaTheme="minorEastAsia"/>
                <w:b/>
                <w:color w:val="auto"/>
                <w:sz w:val="24"/>
                <w:highlight w:val="none"/>
                <w:lang w:val="en-GB"/>
              </w:rPr>
            </w:pPr>
            <w:r>
              <w:rPr>
                <w:rFonts w:hint="eastAsia" w:asciiTheme="minorEastAsia" w:hAnsiTheme="minorEastAsia" w:eastAsiaTheme="minorEastAsia"/>
                <w:b/>
                <w:color w:val="auto"/>
                <w:sz w:val="24"/>
                <w:highlight w:val="none"/>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16"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3679" w:type="dxa"/>
            <w:tcBorders>
              <w:top w:val="single" w:color="auto" w:sz="4" w:space="0"/>
              <w:left w:val="single" w:color="auto" w:sz="4" w:space="0"/>
              <w:bottom w:val="single" w:color="auto" w:sz="4" w:space="0"/>
            </w:tcBorders>
            <w:vAlign w:val="center"/>
          </w:tcPr>
          <w:p>
            <w:pPr>
              <w:jc w:val="center"/>
              <w:rPr>
                <w:rFonts w:cs="宋体" w:asciiTheme="minorEastAsia" w:hAnsiTheme="minorEastAsia" w:eastAsiaTheme="minorEastAsia"/>
                <w:bCs/>
                <w:color w:val="auto"/>
                <w:kern w:val="0"/>
                <w:sz w:val="24"/>
                <w:highlight w:val="none"/>
              </w:rPr>
            </w:pPr>
          </w:p>
        </w:tc>
        <w:tc>
          <w:tcPr>
            <w:tcW w:w="4088" w:type="dxa"/>
            <w:tcBorders>
              <w:bottom w:val="single" w:color="auto" w:sz="4" w:space="0"/>
              <w:right w:val="single" w:color="auto" w:sz="4" w:space="0"/>
            </w:tcBorders>
            <w:vAlign w:val="center"/>
          </w:tcPr>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（小写）：</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（大写）：</w:t>
            </w:r>
          </w:p>
        </w:tc>
      </w:tr>
    </w:tbl>
    <w:p>
      <w:pPr>
        <w:snapToGrid w:val="0"/>
        <w:spacing w:line="360" w:lineRule="auto"/>
        <w:ind w:firstLine="360" w:firstLineChars="150"/>
        <w:rPr>
          <w:rFonts w:asciiTheme="minorEastAsia" w:hAnsiTheme="minorEastAsia" w:eastAsiaTheme="minorEastAsia"/>
          <w:color w:val="auto"/>
          <w:kern w:val="0"/>
          <w:sz w:val="24"/>
          <w:highlight w:val="none"/>
          <w:lang w:val="zh-CN"/>
        </w:rPr>
      </w:pPr>
    </w:p>
    <w:p>
      <w:pPr>
        <w:snapToGrid w:val="0"/>
        <w:spacing w:line="360" w:lineRule="auto"/>
        <w:ind w:firstLine="360" w:firstLineChars="150"/>
        <w:rPr>
          <w:rFonts w:asciiTheme="minorEastAsia" w:hAnsiTheme="minorEastAsia" w:eastAsiaTheme="minorEastAsia"/>
          <w:color w:val="auto"/>
          <w:kern w:val="0"/>
          <w:sz w:val="24"/>
          <w:highlight w:val="none"/>
        </w:rPr>
      </w:pPr>
    </w:p>
    <w:p>
      <w:pPr>
        <w:snapToGrid w:val="0"/>
        <w:spacing w:line="360" w:lineRule="auto"/>
        <w:ind w:firstLine="360" w:firstLineChars="150"/>
        <w:rPr>
          <w:rFonts w:asciiTheme="minorEastAsia" w:hAnsiTheme="minorEastAsia" w:eastAsiaTheme="minorEastAsia"/>
          <w:color w:val="auto"/>
          <w:kern w:val="0"/>
          <w:sz w:val="24"/>
          <w:highlight w:val="none"/>
          <w:lang w:val="zh-CN"/>
        </w:rPr>
      </w:pPr>
    </w:p>
    <w:p>
      <w:pPr>
        <w:autoSpaceDE w:val="0"/>
        <w:autoSpaceDN w:val="0"/>
        <w:spacing w:line="360" w:lineRule="auto"/>
        <w:ind w:left="2" w:leftChars="1" w:right="1120" w:firstLine="4560" w:firstLineChars="1900"/>
        <w:jc w:val="righ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投标人名称（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w:t>
      </w:r>
    </w:p>
    <w:p>
      <w:pPr>
        <w:autoSpaceDE w:val="0"/>
        <w:autoSpaceDN w:val="0"/>
        <w:spacing w:line="360" w:lineRule="auto"/>
        <w:ind w:left="2" w:leftChars="1" w:right="1120" w:firstLine="4560" w:firstLineChars="1900"/>
        <w:jc w:val="righ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lang w:val="zh-CN"/>
        </w:rPr>
        <w:t xml:space="preserve">   年   月   日</w:t>
      </w:r>
    </w:p>
    <w:p>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pPr>
        <w:pStyle w:val="694"/>
        <w:keepNext w:val="0"/>
        <w:pageBreakBefore w:val="0"/>
        <w:tabs>
          <w:tab w:val="clear" w:pos="720"/>
        </w:tabs>
        <w:snapToGrid w:val="0"/>
        <w:spacing w:before="120" w:after="120"/>
        <w:ind w:firstLine="643"/>
        <w:outlineLvl w:val="9"/>
        <w:rPr>
          <w:rFonts w:cs="仿宋_GB2312" w:asciiTheme="minorEastAsia" w:hAnsiTheme="minorEastAsia" w:eastAsiaTheme="minorEastAsia"/>
          <w:color w:val="auto"/>
          <w:kern w:val="2"/>
          <w:sz w:val="32"/>
          <w:szCs w:val="32"/>
          <w:highlight w:val="none"/>
        </w:rPr>
        <w:sectPr>
          <w:pgSz w:w="11906" w:h="16838"/>
          <w:pgMar w:top="1134" w:right="1134" w:bottom="1134" w:left="1134" w:header="851" w:footer="992" w:gutter="0"/>
          <w:pgNumType w:fmt="decimal"/>
          <w:cols w:space="720" w:num="1"/>
          <w:titlePg/>
          <w:docGrid w:linePitch="312" w:charSpace="0"/>
        </w:sectPr>
      </w:pPr>
    </w:p>
    <w:p>
      <w:pPr>
        <w:snapToGrid w:val="0"/>
        <w:spacing w:line="360" w:lineRule="auto"/>
        <w:jc w:val="center"/>
        <w:outlineLvl w:val="1"/>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二、报价明细表</w:t>
      </w:r>
    </w:p>
    <w:p>
      <w:pPr>
        <w:snapToGrid w:val="0"/>
        <w:spacing w:line="360" w:lineRule="auto"/>
        <w:jc w:val="left"/>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color w:val="auto"/>
          <w:sz w:val="24"/>
          <w:highlight w:val="none"/>
          <w:u w:val="single"/>
          <w:lang w:eastAsia="zh-CN"/>
        </w:rPr>
        <w:t xml:space="preserve">宁波市江北区教育局教研室 </w:t>
      </w:r>
      <w:r>
        <w:rPr>
          <w:rFonts w:hint="eastAsia" w:cs="仿宋_GB2312" w:asciiTheme="minorEastAsia" w:hAnsiTheme="minorEastAsia" w:eastAsiaTheme="minorEastAsia"/>
          <w:color w:val="auto"/>
          <w:sz w:val="24"/>
          <w:highlight w:val="none"/>
          <w:u w:val="single"/>
        </w:rPr>
        <w:t>、宁波成套工程项目咨询管理有限公司</w:t>
      </w:r>
      <w:r>
        <w:rPr>
          <w:rFonts w:hint="eastAsia" w:cs="仿宋_GB2312" w:asciiTheme="minorEastAsia" w:hAnsiTheme="minorEastAsia" w:eastAsiaTheme="minorEastAsia"/>
          <w:color w:val="auto"/>
          <w:kern w:val="0"/>
          <w:sz w:val="24"/>
          <w:highlight w:val="none"/>
          <w:lang w:val="zh-CN"/>
        </w:rPr>
        <w:t xml:space="preserve">： </w:t>
      </w:r>
      <w:r>
        <w:rPr>
          <w:rFonts w:cs="仿宋_GB2312" w:asciiTheme="minorEastAsia" w:hAnsiTheme="minorEastAsia" w:eastAsiaTheme="minorEastAsia"/>
          <w:color w:val="auto"/>
          <w:kern w:val="0"/>
          <w:sz w:val="24"/>
          <w:highlight w:val="none"/>
          <w:lang w:val="zh-CN"/>
        </w:rPr>
        <w:t xml:space="preserve">                    </w:t>
      </w:r>
      <w:r>
        <w:rPr>
          <w:rFonts w:cs="仿宋_GB2312" w:asciiTheme="minorEastAsia" w:hAnsiTheme="minorEastAsia" w:eastAsiaTheme="minorEastAsia"/>
          <w:b/>
          <w:color w:val="auto"/>
          <w:kern w:val="0"/>
          <w:sz w:val="24"/>
          <w:highlight w:val="none"/>
          <w:lang w:val="zh-CN"/>
        </w:rPr>
        <w:t>(单位均为人民币元)</w:t>
      </w:r>
      <w:r>
        <w:rPr>
          <w:rFonts w:hint="eastAsia" w:cs="仿宋_GB2312" w:asciiTheme="minorEastAsia" w:hAnsiTheme="minorEastAsia" w:eastAsiaTheme="minorEastAsia"/>
          <w:b/>
          <w:color w:val="auto"/>
          <w:kern w:val="0"/>
          <w:sz w:val="24"/>
          <w:highlight w:val="none"/>
        </w:rPr>
        <w:t xml:space="preserve">                                                                                           </w:t>
      </w:r>
    </w:p>
    <w:tbl>
      <w:tblPr>
        <w:tblStyle w:val="63"/>
        <w:tblW w:w="14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623"/>
        <w:gridCol w:w="1827"/>
        <w:gridCol w:w="2928"/>
        <w:gridCol w:w="993"/>
        <w:gridCol w:w="946"/>
        <w:gridCol w:w="1880"/>
        <w:gridCol w:w="1640"/>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2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292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946" w:type="dxa"/>
            <w:vAlign w:val="center"/>
          </w:tcPr>
          <w:p>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单位</w:t>
            </w:r>
          </w:p>
        </w:tc>
        <w:tc>
          <w:tcPr>
            <w:tcW w:w="1880" w:type="dxa"/>
            <w:vAlign w:val="center"/>
          </w:tcPr>
          <w:p>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单价（元）</w:t>
            </w:r>
          </w:p>
        </w:tc>
        <w:tc>
          <w:tcPr>
            <w:tcW w:w="1640" w:type="dxa"/>
            <w:vAlign w:val="center"/>
          </w:tcPr>
          <w:p>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合价（元）</w:t>
            </w:r>
          </w:p>
        </w:tc>
        <w:tc>
          <w:tcPr>
            <w:tcW w:w="2080"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eastAsia="宋体" w:cs="宋体"/>
                <w:b/>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4451" w:type="dxa"/>
            <w:gridSpan w:val="9"/>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一、江北区外国语3F多功能厅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4451" w:type="dxa"/>
            <w:gridSpan w:val="9"/>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1、报告厅舞台音响系统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线阵音箱</w:t>
            </w:r>
          </w:p>
        </w:tc>
        <w:tc>
          <w:tcPr>
            <w:tcW w:w="1827" w:type="dxa"/>
            <w:vAlign w:val="center"/>
          </w:tcPr>
          <w:p>
            <w:pPr>
              <w:snapToGrid w:val="0"/>
              <w:spacing w:line="360" w:lineRule="auto"/>
              <w:jc w:val="center"/>
              <w:rPr>
                <w:rFonts w:ascii="宋体" w:hAnsi="宋体" w:cs="宋体"/>
                <w:color w:val="auto"/>
                <w:sz w:val="24"/>
                <w:highlight w:val="none"/>
              </w:rPr>
            </w:pPr>
          </w:p>
        </w:tc>
        <w:tc>
          <w:tcPr>
            <w:tcW w:w="292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880" w:type="dxa"/>
            <w:vAlign w:val="center"/>
          </w:tcPr>
          <w:p>
            <w:pPr>
              <w:spacing w:line="360" w:lineRule="auto"/>
              <w:jc w:val="center"/>
              <w:rPr>
                <w:rFonts w:ascii="宋体" w:hAnsi="宋体" w:cs="宋体"/>
                <w:color w:val="auto"/>
                <w:sz w:val="24"/>
                <w:highlight w:val="none"/>
              </w:rPr>
            </w:pPr>
          </w:p>
        </w:tc>
        <w:tc>
          <w:tcPr>
            <w:tcW w:w="1640" w:type="dxa"/>
            <w:vAlign w:val="center"/>
          </w:tcPr>
          <w:p>
            <w:pPr>
              <w:spacing w:line="360" w:lineRule="auto"/>
              <w:jc w:val="center"/>
              <w:rPr>
                <w:rFonts w:ascii="宋体" w:hAnsi="宋体" w:cs="宋体"/>
                <w:color w:val="auto"/>
                <w:sz w:val="24"/>
                <w:highlight w:val="none"/>
              </w:rPr>
            </w:pPr>
          </w:p>
        </w:tc>
        <w:tc>
          <w:tcPr>
            <w:tcW w:w="208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辅助音箱</w:t>
            </w:r>
          </w:p>
        </w:tc>
        <w:tc>
          <w:tcPr>
            <w:tcW w:w="1827" w:type="dxa"/>
            <w:vAlign w:val="center"/>
          </w:tcPr>
          <w:p>
            <w:pPr>
              <w:snapToGrid w:val="0"/>
              <w:spacing w:line="360" w:lineRule="auto"/>
              <w:jc w:val="center"/>
              <w:rPr>
                <w:rFonts w:ascii="宋体" w:hAnsi="宋体" w:cs="宋体"/>
                <w:color w:val="auto"/>
                <w:sz w:val="24"/>
                <w:highlight w:val="none"/>
              </w:rPr>
            </w:pPr>
          </w:p>
        </w:tc>
        <w:tc>
          <w:tcPr>
            <w:tcW w:w="292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880" w:type="dxa"/>
            <w:vAlign w:val="center"/>
          </w:tcPr>
          <w:p>
            <w:pPr>
              <w:spacing w:line="360" w:lineRule="auto"/>
              <w:jc w:val="center"/>
              <w:rPr>
                <w:rFonts w:ascii="宋体" w:hAnsi="宋体" w:cs="宋体"/>
                <w:color w:val="auto"/>
                <w:sz w:val="24"/>
                <w:highlight w:val="none"/>
              </w:rPr>
            </w:pPr>
          </w:p>
        </w:tc>
        <w:tc>
          <w:tcPr>
            <w:tcW w:w="1640" w:type="dxa"/>
            <w:vAlign w:val="center"/>
          </w:tcPr>
          <w:p>
            <w:pPr>
              <w:spacing w:line="360" w:lineRule="auto"/>
              <w:jc w:val="center"/>
              <w:rPr>
                <w:rFonts w:ascii="宋体" w:hAnsi="宋体" w:cs="宋体"/>
                <w:color w:val="auto"/>
                <w:sz w:val="24"/>
                <w:highlight w:val="none"/>
              </w:rPr>
            </w:pPr>
          </w:p>
        </w:tc>
        <w:tc>
          <w:tcPr>
            <w:tcW w:w="208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返听音箱</w:t>
            </w:r>
          </w:p>
        </w:tc>
        <w:tc>
          <w:tcPr>
            <w:tcW w:w="1827" w:type="dxa"/>
            <w:vAlign w:val="center"/>
          </w:tcPr>
          <w:p>
            <w:pPr>
              <w:snapToGrid w:val="0"/>
              <w:spacing w:line="360" w:lineRule="auto"/>
              <w:jc w:val="center"/>
              <w:rPr>
                <w:rFonts w:ascii="宋体" w:hAnsi="宋体" w:cs="宋体"/>
                <w:color w:val="auto"/>
                <w:sz w:val="24"/>
                <w:highlight w:val="none"/>
              </w:rPr>
            </w:pPr>
          </w:p>
        </w:tc>
        <w:tc>
          <w:tcPr>
            <w:tcW w:w="292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880" w:type="dxa"/>
            <w:vAlign w:val="center"/>
          </w:tcPr>
          <w:p>
            <w:pPr>
              <w:spacing w:line="360" w:lineRule="auto"/>
              <w:jc w:val="center"/>
              <w:rPr>
                <w:rFonts w:ascii="宋体" w:hAnsi="宋体" w:cs="宋体"/>
                <w:color w:val="auto"/>
                <w:sz w:val="24"/>
                <w:highlight w:val="none"/>
              </w:rPr>
            </w:pPr>
          </w:p>
        </w:tc>
        <w:tc>
          <w:tcPr>
            <w:tcW w:w="1640" w:type="dxa"/>
            <w:vAlign w:val="center"/>
          </w:tcPr>
          <w:p>
            <w:pPr>
              <w:spacing w:line="360" w:lineRule="auto"/>
              <w:jc w:val="center"/>
              <w:rPr>
                <w:rFonts w:ascii="宋体" w:hAnsi="宋体" w:cs="宋体"/>
                <w:color w:val="auto"/>
                <w:sz w:val="24"/>
                <w:highlight w:val="none"/>
              </w:rPr>
            </w:pPr>
          </w:p>
        </w:tc>
        <w:tc>
          <w:tcPr>
            <w:tcW w:w="208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超低音音箱</w:t>
            </w:r>
          </w:p>
        </w:tc>
        <w:tc>
          <w:tcPr>
            <w:tcW w:w="1827" w:type="dxa"/>
            <w:vAlign w:val="center"/>
          </w:tcPr>
          <w:p>
            <w:pPr>
              <w:snapToGrid w:val="0"/>
              <w:spacing w:line="360" w:lineRule="auto"/>
              <w:jc w:val="center"/>
              <w:rPr>
                <w:rFonts w:ascii="宋体" w:hAnsi="宋体" w:cs="宋体"/>
                <w:color w:val="auto"/>
                <w:sz w:val="24"/>
                <w:highlight w:val="none"/>
              </w:rPr>
            </w:pPr>
          </w:p>
        </w:tc>
        <w:tc>
          <w:tcPr>
            <w:tcW w:w="292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880" w:type="dxa"/>
            <w:vAlign w:val="center"/>
          </w:tcPr>
          <w:p>
            <w:pPr>
              <w:spacing w:line="360" w:lineRule="auto"/>
              <w:jc w:val="center"/>
              <w:rPr>
                <w:rFonts w:ascii="宋体" w:hAnsi="宋体" w:cs="宋体"/>
                <w:color w:val="auto"/>
                <w:sz w:val="24"/>
                <w:highlight w:val="none"/>
              </w:rPr>
            </w:pPr>
          </w:p>
        </w:tc>
        <w:tc>
          <w:tcPr>
            <w:tcW w:w="1640" w:type="dxa"/>
            <w:vAlign w:val="center"/>
          </w:tcPr>
          <w:p>
            <w:pPr>
              <w:spacing w:line="360" w:lineRule="auto"/>
              <w:jc w:val="center"/>
              <w:rPr>
                <w:rFonts w:ascii="宋体" w:hAnsi="宋体" w:cs="宋体"/>
                <w:color w:val="auto"/>
                <w:sz w:val="24"/>
                <w:highlight w:val="none"/>
              </w:rPr>
            </w:pPr>
          </w:p>
        </w:tc>
        <w:tc>
          <w:tcPr>
            <w:tcW w:w="208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功放</w:t>
            </w:r>
          </w:p>
        </w:tc>
        <w:tc>
          <w:tcPr>
            <w:tcW w:w="1827" w:type="dxa"/>
            <w:vAlign w:val="center"/>
          </w:tcPr>
          <w:p>
            <w:pPr>
              <w:snapToGrid w:val="0"/>
              <w:spacing w:line="360" w:lineRule="auto"/>
              <w:jc w:val="center"/>
              <w:rPr>
                <w:rFonts w:ascii="宋体" w:hAnsi="宋体" w:cs="宋体"/>
                <w:color w:val="auto"/>
                <w:sz w:val="24"/>
                <w:highlight w:val="none"/>
              </w:rPr>
            </w:pPr>
          </w:p>
        </w:tc>
        <w:tc>
          <w:tcPr>
            <w:tcW w:w="292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vAlign w:val="center"/>
          </w:tcPr>
          <w:p>
            <w:pPr>
              <w:spacing w:line="360" w:lineRule="auto"/>
              <w:jc w:val="center"/>
              <w:rPr>
                <w:rFonts w:ascii="宋体" w:hAnsi="宋体" w:cs="宋体"/>
                <w:color w:val="auto"/>
                <w:sz w:val="24"/>
                <w:highlight w:val="none"/>
              </w:rPr>
            </w:pPr>
          </w:p>
        </w:tc>
        <w:tc>
          <w:tcPr>
            <w:tcW w:w="1640" w:type="dxa"/>
            <w:vAlign w:val="center"/>
          </w:tcPr>
          <w:p>
            <w:pPr>
              <w:spacing w:line="360" w:lineRule="auto"/>
              <w:jc w:val="center"/>
              <w:rPr>
                <w:rFonts w:ascii="宋体" w:hAnsi="宋体" w:cs="宋体"/>
                <w:color w:val="auto"/>
                <w:sz w:val="24"/>
                <w:highlight w:val="none"/>
              </w:rPr>
            </w:pPr>
          </w:p>
        </w:tc>
        <w:tc>
          <w:tcPr>
            <w:tcW w:w="208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音频矩阵处理器</w:t>
            </w:r>
          </w:p>
        </w:tc>
        <w:tc>
          <w:tcPr>
            <w:tcW w:w="1827" w:type="dxa"/>
            <w:vAlign w:val="center"/>
          </w:tcPr>
          <w:p>
            <w:pPr>
              <w:snapToGrid w:val="0"/>
              <w:spacing w:line="360" w:lineRule="auto"/>
              <w:jc w:val="center"/>
              <w:rPr>
                <w:rFonts w:ascii="宋体" w:hAnsi="宋体" w:cs="宋体"/>
                <w:color w:val="auto"/>
                <w:sz w:val="24"/>
                <w:highlight w:val="none"/>
              </w:rPr>
            </w:pPr>
          </w:p>
        </w:tc>
        <w:tc>
          <w:tcPr>
            <w:tcW w:w="292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vAlign w:val="center"/>
          </w:tcPr>
          <w:p>
            <w:pPr>
              <w:spacing w:line="360" w:lineRule="auto"/>
              <w:jc w:val="center"/>
              <w:rPr>
                <w:rFonts w:ascii="宋体" w:hAnsi="宋体" w:cs="宋体"/>
                <w:color w:val="auto"/>
                <w:sz w:val="24"/>
                <w:highlight w:val="none"/>
              </w:rPr>
            </w:pPr>
          </w:p>
        </w:tc>
        <w:tc>
          <w:tcPr>
            <w:tcW w:w="1640" w:type="dxa"/>
            <w:vAlign w:val="center"/>
          </w:tcPr>
          <w:p>
            <w:pPr>
              <w:spacing w:line="360" w:lineRule="auto"/>
              <w:jc w:val="center"/>
              <w:rPr>
                <w:rFonts w:ascii="宋体" w:hAnsi="宋体" w:cs="宋体"/>
                <w:color w:val="auto"/>
                <w:sz w:val="24"/>
                <w:highlight w:val="none"/>
              </w:rPr>
            </w:pPr>
          </w:p>
        </w:tc>
        <w:tc>
          <w:tcPr>
            <w:tcW w:w="208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调音台</w:t>
            </w:r>
          </w:p>
        </w:tc>
        <w:tc>
          <w:tcPr>
            <w:tcW w:w="1827" w:type="dxa"/>
            <w:vAlign w:val="center"/>
          </w:tcPr>
          <w:p>
            <w:pPr>
              <w:snapToGrid w:val="0"/>
              <w:spacing w:line="360" w:lineRule="auto"/>
              <w:jc w:val="center"/>
              <w:rPr>
                <w:rFonts w:ascii="宋体" w:hAnsi="宋体" w:cs="宋体"/>
                <w:color w:val="auto"/>
                <w:sz w:val="24"/>
                <w:highlight w:val="none"/>
              </w:rPr>
            </w:pPr>
          </w:p>
        </w:tc>
        <w:tc>
          <w:tcPr>
            <w:tcW w:w="292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vAlign w:val="center"/>
          </w:tcPr>
          <w:p>
            <w:pPr>
              <w:spacing w:line="360" w:lineRule="auto"/>
              <w:jc w:val="center"/>
              <w:rPr>
                <w:rFonts w:ascii="宋体" w:hAnsi="宋体" w:cs="宋体"/>
                <w:color w:val="auto"/>
                <w:sz w:val="24"/>
                <w:highlight w:val="none"/>
              </w:rPr>
            </w:pPr>
          </w:p>
        </w:tc>
        <w:tc>
          <w:tcPr>
            <w:tcW w:w="1640" w:type="dxa"/>
            <w:vAlign w:val="center"/>
          </w:tcPr>
          <w:p>
            <w:pPr>
              <w:spacing w:line="360" w:lineRule="auto"/>
              <w:jc w:val="center"/>
              <w:rPr>
                <w:rFonts w:ascii="宋体" w:hAnsi="宋体" w:cs="宋体"/>
                <w:color w:val="auto"/>
                <w:sz w:val="24"/>
                <w:highlight w:val="none"/>
              </w:rPr>
            </w:pPr>
          </w:p>
        </w:tc>
        <w:tc>
          <w:tcPr>
            <w:tcW w:w="208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播放器</w:t>
            </w:r>
          </w:p>
        </w:tc>
        <w:tc>
          <w:tcPr>
            <w:tcW w:w="1827" w:type="dxa"/>
            <w:vAlign w:val="center"/>
          </w:tcPr>
          <w:p>
            <w:pPr>
              <w:snapToGrid w:val="0"/>
              <w:spacing w:line="360" w:lineRule="auto"/>
              <w:jc w:val="center"/>
              <w:rPr>
                <w:rFonts w:ascii="宋体" w:hAnsi="宋体" w:cs="宋体"/>
                <w:color w:val="auto"/>
                <w:sz w:val="24"/>
                <w:highlight w:val="none"/>
              </w:rPr>
            </w:pPr>
          </w:p>
        </w:tc>
        <w:tc>
          <w:tcPr>
            <w:tcW w:w="292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vAlign w:val="center"/>
          </w:tcPr>
          <w:p>
            <w:pPr>
              <w:spacing w:line="360" w:lineRule="auto"/>
              <w:jc w:val="center"/>
              <w:rPr>
                <w:rFonts w:ascii="宋体" w:hAnsi="宋体" w:cs="宋体"/>
                <w:color w:val="auto"/>
                <w:sz w:val="24"/>
                <w:highlight w:val="none"/>
              </w:rPr>
            </w:pPr>
          </w:p>
        </w:tc>
        <w:tc>
          <w:tcPr>
            <w:tcW w:w="1640" w:type="dxa"/>
            <w:vAlign w:val="center"/>
          </w:tcPr>
          <w:p>
            <w:pPr>
              <w:spacing w:line="360" w:lineRule="auto"/>
              <w:jc w:val="center"/>
              <w:rPr>
                <w:rFonts w:ascii="宋体" w:hAnsi="宋体" w:cs="宋体"/>
                <w:color w:val="auto"/>
                <w:sz w:val="24"/>
                <w:highlight w:val="none"/>
              </w:rPr>
            </w:pPr>
          </w:p>
        </w:tc>
        <w:tc>
          <w:tcPr>
            <w:tcW w:w="208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反馈抑制器</w:t>
            </w:r>
          </w:p>
        </w:tc>
        <w:tc>
          <w:tcPr>
            <w:tcW w:w="1827" w:type="dxa"/>
            <w:vAlign w:val="center"/>
          </w:tcPr>
          <w:p>
            <w:pPr>
              <w:snapToGrid w:val="0"/>
              <w:spacing w:line="360" w:lineRule="auto"/>
              <w:jc w:val="center"/>
              <w:rPr>
                <w:rFonts w:ascii="宋体" w:hAnsi="宋体" w:cs="宋体"/>
                <w:color w:val="auto"/>
                <w:sz w:val="24"/>
                <w:highlight w:val="none"/>
              </w:rPr>
            </w:pPr>
          </w:p>
        </w:tc>
        <w:tc>
          <w:tcPr>
            <w:tcW w:w="292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vAlign w:val="center"/>
          </w:tcPr>
          <w:p>
            <w:pPr>
              <w:spacing w:line="360" w:lineRule="auto"/>
              <w:jc w:val="center"/>
              <w:rPr>
                <w:rFonts w:ascii="宋体" w:hAnsi="宋体" w:cs="宋体"/>
                <w:color w:val="auto"/>
                <w:sz w:val="24"/>
                <w:highlight w:val="none"/>
              </w:rPr>
            </w:pPr>
          </w:p>
        </w:tc>
        <w:tc>
          <w:tcPr>
            <w:tcW w:w="1640" w:type="dxa"/>
            <w:vAlign w:val="center"/>
          </w:tcPr>
          <w:p>
            <w:pPr>
              <w:spacing w:line="360" w:lineRule="auto"/>
              <w:jc w:val="center"/>
              <w:rPr>
                <w:rFonts w:ascii="宋体" w:hAnsi="宋体" w:cs="宋体"/>
                <w:color w:val="auto"/>
                <w:sz w:val="24"/>
                <w:highlight w:val="none"/>
              </w:rPr>
            </w:pPr>
          </w:p>
        </w:tc>
        <w:tc>
          <w:tcPr>
            <w:tcW w:w="208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4天线真分集一拖二无线头戴话筒</w:t>
            </w:r>
          </w:p>
        </w:tc>
        <w:tc>
          <w:tcPr>
            <w:tcW w:w="1827" w:type="dxa"/>
            <w:vAlign w:val="center"/>
          </w:tcPr>
          <w:p>
            <w:pPr>
              <w:snapToGrid w:val="0"/>
              <w:spacing w:line="360" w:lineRule="auto"/>
              <w:jc w:val="center"/>
              <w:rPr>
                <w:rFonts w:ascii="宋体" w:hAnsi="宋体" w:cs="宋体"/>
                <w:color w:val="auto"/>
                <w:sz w:val="24"/>
                <w:highlight w:val="none"/>
              </w:rPr>
            </w:pPr>
          </w:p>
        </w:tc>
        <w:tc>
          <w:tcPr>
            <w:tcW w:w="292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vAlign w:val="center"/>
          </w:tcPr>
          <w:p>
            <w:pPr>
              <w:spacing w:line="360" w:lineRule="auto"/>
              <w:jc w:val="center"/>
              <w:rPr>
                <w:rFonts w:ascii="宋体" w:hAnsi="宋体" w:cs="宋体"/>
                <w:color w:val="auto"/>
                <w:sz w:val="24"/>
                <w:highlight w:val="none"/>
              </w:rPr>
            </w:pPr>
          </w:p>
        </w:tc>
        <w:tc>
          <w:tcPr>
            <w:tcW w:w="1640" w:type="dxa"/>
            <w:vAlign w:val="center"/>
          </w:tcPr>
          <w:p>
            <w:pPr>
              <w:spacing w:line="360" w:lineRule="auto"/>
              <w:jc w:val="center"/>
              <w:rPr>
                <w:rFonts w:ascii="宋体" w:hAnsi="宋体" w:cs="宋体"/>
                <w:color w:val="auto"/>
                <w:sz w:val="24"/>
                <w:highlight w:val="none"/>
              </w:rPr>
            </w:pPr>
          </w:p>
        </w:tc>
        <w:tc>
          <w:tcPr>
            <w:tcW w:w="208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4天线真分集一拖二无线会议话筒</w:t>
            </w:r>
          </w:p>
        </w:tc>
        <w:tc>
          <w:tcPr>
            <w:tcW w:w="1827" w:type="dxa"/>
            <w:vAlign w:val="center"/>
          </w:tcPr>
          <w:p>
            <w:pPr>
              <w:snapToGrid w:val="0"/>
              <w:spacing w:line="360" w:lineRule="auto"/>
              <w:jc w:val="center"/>
              <w:rPr>
                <w:rFonts w:ascii="宋体" w:hAnsi="宋体" w:cs="宋体"/>
                <w:color w:val="auto"/>
                <w:sz w:val="24"/>
                <w:highlight w:val="none"/>
              </w:rPr>
            </w:pPr>
          </w:p>
        </w:tc>
        <w:tc>
          <w:tcPr>
            <w:tcW w:w="292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vAlign w:val="center"/>
          </w:tcPr>
          <w:p>
            <w:pPr>
              <w:spacing w:line="360" w:lineRule="auto"/>
              <w:jc w:val="center"/>
              <w:rPr>
                <w:rFonts w:ascii="宋体" w:hAnsi="宋体" w:cs="宋体"/>
                <w:color w:val="auto"/>
                <w:sz w:val="24"/>
                <w:highlight w:val="none"/>
              </w:rPr>
            </w:pPr>
          </w:p>
        </w:tc>
        <w:tc>
          <w:tcPr>
            <w:tcW w:w="1640" w:type="dxa"/>
            <w:vAlign w:val="center"/>
          </w:tcPr>
          <w:p>
            <w:pPr>
              <w:spacing w:line="360" w:lineRule="auto"/>
              <w:jc w:val="center"/>
              <w:rPr>
                <w:rFonts w:ascii="宋体" w:hAnsi="宋体" w:cs="宋体"/>
                <w:color w:val="auto"/>
                <w:sz w:val="24"/>
                <w:highlight w:val="none"/>
              </w:rPr>
            </w:pPr>
          </w:p>
        </w:tc>
        <w:tc>
          <w:tcPr>
            <w:tcW w:w="208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4天线真分集一拖二无线手持话筒</w:t>
            </w:r>
          </w:p>
        </w:tc>
        <w:tc>
          <w:tcPr>
            <w:tcW w:w="1827" w:type="dxa"/>
            <w:vAlign w:val="center"/>
          </w:tcPr>
          <w:p>
            <w:pPr>
              <w:snapToGrid w:val="0"/>
              <w:spacing w:line="360" w:lineRule="auto"/>
              <w:jc w:val="center"/>
              <w:rPr>
                <w:rFonts w:ascii="宋体" w:hAnsi="宋体" w:cs="宋体"/>
                <w:color w:val="auto"/>
                <w:sz w:val="24"/>
                <w:highlight w:val="none"/>
              </w:rPr>
            </w:pPr>
          </w:p>
        </w:tc>
        <w:tc>
          <w:tcPr>
            <w:tcW w:w="292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vAlign w:val="center"/>
          </w:tcPr>
          <w:p>
            <w:pPr>
              <w:spacing w:line="360" w:lineRule="auto"/>
              <w:jc w:val="center"/>
              <w:rPr>
                <w:rFonts w:ascii="宋体" w:hAnsi="宋体" w:cs="宋体"/>
                <w:color w:val="auto"/>
                <w:sz w:val="24"/>
                <w:highlight w:val="none"/>
              </w:rPr>
            </w:pPr>
          </w:p>
        </w:tc>
        <w:tc>
          <w:tcPr>
            <w:tcW w:w="1640" w:type="dxa"/>
            <w:vAlign w:val="center"/>
          </w:tcPr>
          <w:p>
            <w:pPr>
              <w:spacing w:line="360" w:lineRule="auto"/>
              <w:jc w:val="center"/>
              <w:rPr>
                <w:rFonts w:ascii="宋体" w:hAnsi="宋体" w:cs="宋体"/>
                <w:color w:val="auto"/>
                <w:sz w:val="24"/>
                <w:highlight w:val="none"/>
              </w:rPr>
            </w:pPr>
          </w:p>
        </w:tc>
        <w:tc>
          <w:tcPr>
            <w:tcW w:w="208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抗干扰音频传输器</w:t>
            </w:r>
          </w:p>
        </w:tc>
        <w:tc>
          <w:tcPr>
            <w:tcW w:w="1827" w:type="dxa"/>
            <w:vAlign w:val="center"/>
          </w:tcPr>
          <w:p>
            <w:pPr>
              <w:snapToGrid w:val="0"/>
              <w:spacing w:line="360" w:lineRule="auto"/>
              <w:jc w:val="center"/>
              <w:rPr>
                <w:rFonts w:ascii="宋体" w:hAnsi="宋体" w:cs="宋体"/>
                <w:color w:val="auto"/>
                <w:sz w:val="24"/>
                <w:highlight w:val="none"/>
              </w:rPr>
            </w:pPr>
          </w:p>
        </w:tc>
        <w:tc>
          <w:tcPr>
            <w:tcW w:w="292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880" w:type="dxa"/>
            <w:vAlign w:val="center"/>
          </w:tcPr>
          <w:p>
            <w:pPr>
              <w:spacing w:line="360" w:lineRule="auto"/>
              <w:jc w:val="center"/>
              <w:rPr>
                <w:rFonts w:ascii="宋体" w:hAnsi="宋体" w:cs="宋体"/>
                <w:color w:val="auto"/>
                <w:sz w:val="24"/>
                <w:highlight w:val="none"/>
              </w:rPr>
            </w:pPr>
          </w:p>
        </w:tc>
        <w:tc>
          <w:tcPr>
            <w:tcW w:w="1640" w:type="dxa"/>
            <w:vAlign w:val="center"/>
          </w:tcPr>
          <w:p>
            <w:pPr>
              <w:spacing w:line="360" w:lineRule="auto"/>
              <w:jc w:val="center"/>
              <w:rPr>
                <w:rFonts w:ascii="宋体" w:hAnsi="宋体" w:cs="宋体"/>
                <w:color w:val="auto"/>
                <w:sz w:val="24"/>
                <w:highlight w:val="none"/>
              </w:rPr>
            </w:pPr>
          </w:p>
        </w:tc>
        <w:tc>
          <w:tcPr>
            <w:tcW w:w="208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线性阵列吊架</w:t>
            </w:r>
          </w:p>
        </w:tc>
        <w:tc>
          <w:tcPr>
            <w:tcW w:w="1827" w:type="dxa"/>
            <w:vAlign w:val="center"/>
          </w:tcPr>
          <w:p>
            <w:pPr>
              <w:snapToGrid w:val="0"/>
              <w:spacing w:line="360" w:lineRule="auto"/>
              <w:jc w:val="center"/>
              <w:rPr>
                <w:rFonts w:ascii="宋体" w:hAnsi="宋体" w:cs="宋体"/>
                <w:color w:val="auto"/>
                <w:sz w:val="24"/>
                <w:highlight w:val="none"/>
              </w:rPr>
            </w:pPr>
          </w:p>
        </w:tc>
        <w:tc>
          <w:tcPr>
            <w:tcW w:w="292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vAlign w:val="center"/>
          </w:tcPr>
          <w:p>
            <w:pPr>
              <w:spacing w:line="360" w:lineRule="auto"/>
              <w:jc w:val="center"/>
              <w:rPr>
                <w:rFonts w:ascii="宋体" w:hAnsi="宋体" w:cs="宋体"/>
                <w:color w:val="auto"/>
                <w:sz w:val="24"/>
                <w:highlight w:val="none"/>
              </w:rPr>
            </w:pPr>
          </w:p>
        </w:tc>
        <w:tc>
          <w:tcPr>
            <w:tcW w:w="1640" w:type="dxa"/>
            <w:vAlign w:val="center"/>
          </w:tcPr>
          <w:p>
            <w:pPr>
              <w:spacing w:line="360" w:lineRule="auto"/>
              <w:jc w:val="center"/>
              <w:rPr>
                <w:rFonts w:ascii="宋体" w:hAnsi="宋体" w:cs="宋体"/>
                <w:color w:val="auto"/>
                <w:sz w:val="24"/>
                <w:highlight w:val="none"/>
              </w:rPr>
            </w:pPr>
          </w:p>
        </w:tc>
        <w:tc>
          <w:tcPr>
            <w:tcW w:w="208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电源时序器</w:t>
            </w:r>
          </w:p>
        </w:tc>
        <w:tc>
          <w:tcPr>
            <w:tcW w:w="1827" w:type="dxa"/>
            <w:vAlign w:val="center"/>
          </w:tcPr>
          <w:p>
            <w:pPr>
              <w:snapToGrid w:val="0"/>
              <w:spacing w:line="360" w:lineRule="auto"/>
              <w:jc w:val="center"/>
              <w:rPr>
                <w:rFonts w:ascii="宋体" w:hAnsi="宋体" w:cs="宋体"/>
                <w:color w:val="auto"/>
                <w:sz w:val="24"/>
                <w:highlight w:val="none"/>
              </w:rPr>
            </w:pPr>
          </w:p>
        </w:tc>
        <w:tc>
          <w:tcPr>
            <w:tcW w:w="292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vAlign w:val="center"/>
          </w:tcPr>
          <w:p>
            <w:pPr>
              <w:spacing w:line="360" w:lineRule="auto"/>
              <w:jc w:val="center"/>
              <w:rPr>
                <w:rFonts w:ascii="宋体" w:hAnsi="宋体" w:cs="宋体"/>
                <w:color w:val="auto"/>
                <w:sz w:val="24"/>
                <w:highlight w:val="none"/>
              </w:rPr>
            </w:pPr>
          </w:p>
        </w:tc>
        <w:tc>
          <w:tcPr>
            <w:tcW w:w="1640" w:type="dxa"/>
            <w:vAlign w:val="center"/>
          </w:tcPr>
          <w:p>
            <w:pPr>
              <w:spacing w:line="360" w:lineRule="auto"/>
              <w:jc w:val="center"/>
              <w:rPr>
                <w:rFonts w:ascii="宋体" w:hAnsi="宋体" w:cs="宋体"/>
                <w:color w:val="auto"/>
                <w:sz w:val="24"/>
                <w:highlight w:val="none"/>
              </w:rPr>
            </w:pPr>
          </w:p>
        </w:tc>
        <w:tc>
          <w:tcPr>
            <w:tcW w:w="208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操作台</w:t>
            </w:r>
          </w:p>
        </w:tc>
        <w:tc>
          <w:tcPr>
            <w:tcW w:w="1827" w:type="dxa"/>
            <w:vAlign w:val="center"/>
          </w:tcPr>
          <w:p>
            <w:pPr>
              <w:snapToGrid w:val="0"/>
              <w:spacing w:line="360" w:lineRule="auto"/>
              <w:jc w:val="center"/>
              <w:rPr>
                <w:rFonts w:ascii="宋体" w:hAnsi="宋体" w:cs="宋体"/>
                <w:color w:val="auto"/>
                <w:sz w:val="24"/>
                <w:highlight w:val="none"/>
              </w:rPr>
            </w:pPr>
          </w:p>
        </w:tc>
        <w:tc>
          <w:tcPr>
            <w:tcW w:w="292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880" w:type="dxa"/>
            <w:vAlign w:val="center"/>
          </w:tcPr>
          <w:p>
            <w:pPr>
              <w:spacing w:line="360" w:lineRule="auto"/>
              <w:jc w:val="center"/>
              <w:rPr>
                <w:rFonts w:ascii="宋体" w:hAnsi="宋体" w:cs="宋体"/>
                <w:color w:val="auto"/>
                <w:sz w:val="24"/>
                <w:highlight w:val="none"/>
              </w:rPr>
            </w:pPr>
          </w:p>
        </w:tc>
        <w:tc>
          <w:tcPr>
            <w:tcW w:w="1640" w:type="dxa"/>
            <w:vAlign w:val="center"/>
          </w:tcPr>
          <w:p>
            <w:pPr>
              <w:spacing w:line="360" w:lineRule="auto"/>
              <w:jc w:val="center"/>
              <w:rPr>
                <w:rFonts w:ascii="宋体" w:hAnsi="宋体" w:cs="宋体"/>
                <w:color w:val="auto"/>
                <w:sz w:val="24"/>
                <w:highlight w:val="none"/>
              </w:rPr>
            </w:pPr>
          </w:p>
        </w:tc>
        <w:tc>
          <w:tcPr>
            <w:tcW w:w="208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18</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机柜</w:t>
            </w:r>
          </w:p>
        </w:tc>
        <w:tc>
          <w:tcPr>
            <w:tcW w:w="1827" w:type="dxa"/>
            <w:vAlign w:val="center"/>
          </w:tcPr>
          <w:p>
            <w:pPr>
              <w:snapToGrid w:val="0"/>
              <w:spacing w:line="360" w:lineRule="auto"/>
              <w:jc w:val="center"/>
              <w:rPr>
                <w:rFonts w:ascii="宋体" w:hAnsi="宋体" w:cs="宋体"/>
                <w:color w:val="auto"/>
                <w:sz w:val="24"/>
                <w:highlight w:val="none"/>
              </w:rPr>
            </w:pPr>
          </w:p>
        </w:tc>
        <w:tc>
          <w:tcPr>
            <w:tcW w:w="292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880" w:type="dxa"/>
            <w:vAlign w:val="center"/>
          </w:tcPr>
          <w:p>
            <w:pPr>
              <w:spacing w:line="360" w:lineRule="auto"/>
              <w:jc w:val="center"/>
              <w:rPr>
                <w:rFonts w:ascii="宋体" w:hAnsi="宋体" w:cs="宋体"/>
                <w:color w:val="auto"/>
                <w:sz w:val="24"/>
                <w:highlight w:val="none"/>
              </w:rPr>
            </w:pPr>
          </w:p>
        </w:tc>
        <w:tc>
          <w:tcPr>
            <w:tcW w:w="1640" w:type="dxa"/>
            <w:vAlign w:val="center"/>
          </w:tcPr>
          <w:p>
            <w:pPr>
              <w:spacing w:line="360" w:lineRule="auto"/>
              <w:jc w:val="center"/>
              <w:rPr>
                <w:rFonts w:ascii="宋体" w:hAnsi="宋体" w:cs="宋体"/>
                <w:color w:val="auto"/>
                <w:sz w:val="24"/>
                <w:highlight w:val="none"/>
              </w:rPr>
            </w:pPr>
          </w:p>
        </w:tc>
        <w:tc>
          <w:tcPr>
            <w:tcW w:w="208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19</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多媒体地插</w:t>
            </w:r>
          </w:p>
        </w:tc>
        <w:tc>
          <w:tcPr>
            <w:tcW w:w="1827" w:type="dxa"/>
            <w:vAlign w:val="center"/>
          </w:tcPr>
          <w:p>
            <w:pPr>
              <w:snapToGrid w:val="0"/>
              <w:spacing w:line="360" w:lineRule="auto"/>
              <w:jc w:val="center"/>
              <w:rPr>
                <w:rFonts w:ascii="宋体" w:hAnsi="宋体" w:cs="宋体"/>
                <w:color w:val="auto"/>
                <w:sz w:val="24"/>
                <w:highlight w:val="none"/>
              </w:rPr>
            </w:pPr>
          </w:p>
        </w:tc>
        <w:tc>
          <w:tcPr>
            <w:tcW w:w="292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880" w:type="dxa"/>
            <w:vAlign w:val="center"/>
          </w:tcPr>
          <w:p>
            <w:pPr>
              <w:spacing w:line="360" w:lineRule="auto"/>
              <w:jc w:val="center"/>
              <w:rPr>
                <w:rFonts w:ascii="宋体" w:hAnsi="宋体" w:cs="宋体"/>
                <w:color w:val="auto"/>
                <w:sz w:val="24"/>
                <w:highlight w:val="none"/>
              </w:rPr>
            </w:pPr>
          </w:p>
        </w:tc>
        <w:tc>
          <w:tcPr>
            <w:tcW w:w="1640" w:type="dxa"/>
            <w:vAlign w:val="center"/>
          </w:tcPr>
          <w:p>
            <w:pPr>
              <w:spacing w:line="360" w:lineRule="auto"/>
              <w:jc w:val="center"/>
              <w:rPr>
                <w:rFonts w:ascii="宋体" w:hAnsi="宋体" w:cs="宋体"/>
                <w:color w:val="auto"/>
                <w:sz w:val="24"/>
                <w:highlight w:val="none"/>
              </w:rPr>
            </w:pPr>
          </w:p>
        </w:tc>
        <w:tc>
          <w:tcPr>
            <w:tcW w:w="208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其他辅助材料</w:t>
            </w:r>
          </w:p>
        </w:tc>
        <w:tc>
          <w:tcPr>
            <w:tcW w:w="1827" w:type="dxa"/>
            <w:vAlign w:val="center"/>
          </w:tcPr>
          <w:p>
            <w:pPr>
              <w:snapToGrid w:val="0"/>
              <w:spacing w:line="360" w:lineRule="auto"/>
              <w:jc w:val="center"/>
              <w:rPr>
                <w:rFonts w:ascii="宋体" w:hAnsi="宋体" w:cs="宋体"/>
                <w:color w:val="auto"/>
                <w:sz w:val="24"/>
                <w:highlight w:val="none"/>
              </w:rPr>
            </w:pPr>
          </w:p>
        </w:tc>
        <w:tc>
          <w:tcPr>
            <w:tcW w:w="292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vAlign w:val="center"/>
          </w:tcPr>
          <w:p>
            <w:pPr>
              <w:spacing w:line="360" w:lineRule="auto"/>
              <w:jc w:val="center"/>
              <w:rPr>
                <w:rFonts w:ascii="宋体" w:hAnsi="宋体" w:cs="宋体"/>
                <w:color w:val="auto"/>
                <w:sz w:val="24"/>
                <w:highlight w:val="none"/>
              </w:rPr>
            </w:pPr>
          </w:p>
        </w:tc>
        <w:tc>
          <w:tcPr>
            <w:tcW w:w="1640" w:type="dxa"/>
            <w:vAlign w:val="center"/>
          </w:tcPr>
          <w:p>
            <w:pPr>
              <w:spacing w:line="360" w:lineRule="auto"/>
              <w:jc w:val="center"/>
              <w:rPr>
                <w:rFonts w:ascii="宋体" w:hAnsi="宋体" w:cs="宋体"/>
                <w:color w:val="auto"/>
                <w:sz w:val="24"/>
                <w:highlight w:val="none"/>
              </w:rPr>
            </w:pPr>
          </w:p>
        </w:tc>
        <w:tc>
          <w:tcPr>
            <w:tcW w:w="208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451" w:type="dxa"/>
            <w:gridSpan w:val="9"/>
            <w:vAlign w:val="center"/>
          </w:tcPr>
          <w:p>
            <w:pPr>
              <w:spacing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2、舞台机械及灯光系统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LED面光灯</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电脑摇头光束灯</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LED平板灯</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四合一LED染色灯</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27</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电源直通箱</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信号放大器</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电脑型灯光集控台</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舞台灯架</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道</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电动升降面光灯架</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道</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控制器</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灯光电源线</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500</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米</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灯光信号控制线</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250</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米</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舞台机械控制线</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米</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辅助材料</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追光灯</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机柜</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451" w:type="dxa"/>
            <w:gridSpan w:val="9"/>
            <w:vAlign w:val="center"/>
          </w:tcPr>
          <w:p>
            <w:pPr>
              <w:spacing w:line="360" w:lineRule="auto"/>
              <w:jc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3、舞台天花板拆除及喷黑（配套服务）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天花板拆除及吊顶喷黑</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安装调试及场地清理</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451" w:type="dxa"/>
            <w:gridSpan w:val="9"/>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二、悦和幼儿园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451" w:type="dxa"/>
            <w:gridSpan w:val="9"/>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1、多功能厅音响系统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62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4天线真分集一拖二无线手持话筒</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451" w:type="dxa"/>
            <w:gridSpan w:val="9"/>
            <w:vAlign w:val="center"/>
          </w:tcPr>
          <w:p>
            <w:pPr>
              <w:spacing w:line="360" w:lineRule="auto"/>
              <w:jc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2、户外操场音响系统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62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4天线真分集一拖二无线手持话筒</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451" w:type="dxa"/>
            <w:gridSpan w:val="9"/>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三、悦和幼儿园（悦士庭院）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451" w:type="dxa"/>
            <w:gridSpan w:val="9"/>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悦士庭院音响系统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4天线真分集一拖二无线手持话筒</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天线放大器</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3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安装调试</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451" w:type="dxa"/>
            <w:gridSpan w:val="9"/>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四、新城外国语学校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451" w:type="dxa"/>
            <w:gridSpan w:val="9"/>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1、初中部会议室音响设备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全频音箱</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功放</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3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调音台</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4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一拖二无线会议话筒</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5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辅助材料</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6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人工、安装调试</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451" w:type="dxa"/>
            <w:gridSpan w:val="9"/>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五、福山正达外国语学校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451" w:type="dxa"/>
            <w:gridSpan w:val="9"/>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福山正达外国语学校</w:t>
            </w:r>
            <w:r>
              <w:rPr>
                <w:rFonts w:hint="eastAsia" w:ascii="宋体" w:hAnsi="宋体" w:cs="宋体"/>
                <w:b w:val="0"/>
                <w:bCs w:val="0"/>
                <w:i w:val="0"/>
                <w:iCs w:val="0"/>
                <w:color w:val="auto"/>
                <w:kern w:val="0"/>
                <w:sz w:val="24"/>
                <w:szCs w:val="24"/>
                <w:highlight w:val="none"/>
                <w:u w:val="none"/>
                <w:lang w:val="en-US" w:eastAsia="zh-CN" w:bidi="ar"/>
              </w:rPr>
              <w:t>音响系统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同轴全频音箱</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功放</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3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调音台</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4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音频矩阵处理器</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5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4天线真分集一拖二无线鹅颈话筒</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6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4天线真分集一拖二无线手持话筒</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7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反馈抑制器</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8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台式话筒架</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9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电源时序器</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10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机柜</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11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辅助材料</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12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安装调试</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451" w:type="dxa"/>
            <w:gridSpan w:val="9"/>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六、育才实验学校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451" w:type="dxa"/>
            <w:gridSpan w:val="9"/>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报告厅</w:t>
            </w:r>
            <w:r>
              <w:rPr>
                <w:rFonts w:hint="eastAsia" w:ascii="宋体" w:hAnsi="宋体" w:cs="宋体"/>
                <w:b w:val="0"/>
                <w:bCs w:val="0"/>
                <w:i w:val="0"/>
                <w:iCs w:val="0"/>
                <w:color w:val="auto"/>
                <w:kern w:val="0"/>
                <w:sz w:val="24"/>
                <w:szCs w:val="24"/>
                <w:highlight w:val="none"/>
                <w:u w:val="none"/>
                <w:lang w:val="en-US" w:eastAsia="zh-CN" w:bidi="ar"/>
              </w:rPr>
              <w:t>音响系统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主音箱</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音箱</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3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音箱</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4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功放</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5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功放</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6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音频处理器</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7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调音台</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8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真分集一拖二无线手持话筒</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9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真分集一拖二无线头戴话筒</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10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真分集一拖二无线会议话筒</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11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反馈抑制器</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12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抗干扰音频传输器</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13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电源时序器</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14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机柜</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15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无线投屏器</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16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线材等其他辅助材料</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451" w:type="dxa"/>
            <w:gridSpan w:val="9"/>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七、江北中心学校音乐听舞台灯光音响系统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451" w:type="dxa"/>
            <w:gridSpan w:val="9"/>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1、扩音系统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数字音频矩阵</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调音台</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3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反馈抑制器</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4天线真分集一拖二无线会议话筒</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5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反馈抑制器</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天线放大器</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7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线阵音箱田字吊架</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电源时序器</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9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抗干扰音频传输器</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机柜</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11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音箱线</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音频线</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13 </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其他辅助材料</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1200</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米</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安装调试</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200</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米</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451" w:type="dxa"/>
            <w:gridSpan w:val="9"/>
            <w:vAlign w:val="center"/>
          </w:tcPr>
          <w:p>
            <w:pPr>
              <w:spacing w:line="360" w:lineRule="auto"/>
              <w:jc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2、灯光系统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LED 聚光灯</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16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LED平板灯</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四合一LED染色灯</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48</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4</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光束灯</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24</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电脑型灯光集控台</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信号放大器</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电源直通箱</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台</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8</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追光灯</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灯光电源线</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1600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米</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灯光信号线</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800</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米</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其他辅助材料</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623"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安装调试</w:t>
            </w:r>
          </w:p>
        </w:tc>
        <w:tc>
          <w:tcPr>
            <w:tcW w:w="1827" w:type="dxa"/>
          </w:tcPr>
          <w:p>
            <w:pPr>
              <w:snapToGrid w:val="0"/>
              <w:spacing w:line="360" w:lineRule="auto"/>
              <w:jc w:val="center"/>
              <w:rPr>
                <w:rFonts w:ascii="宋体" w:hAnsi="宋体" w:cs="宋体"/>
                <w:color w:val="auto"/>
                <w:sz w:val="24"/>
                <w:highlight w:val="none"/>
              </w:rPr>
            </w:pPr>
          </w:p>
        </w:tc>
        <w:tc>
          <w:tcPr>
            <w:tcW w:w="2928" w:type="dxa"/>
          </w:tcPr>
          <w:p>
            <w:pPr>
              <w:snapToGrid w:val="0"/>
              <w:spacing w:line="360" w:lineRule="auto"/>
              <w:jc w:val="center"/>
              <w:rPr>
                <w:rFonts w:ascii="宋体" w:hAnsi="宋体" w:cs="宋体"/>
                <w:color w:val="auto"/>
                <w:sz w:val="24"/>
                <w:highlight w:val="none"/>
              </w:rPr>
            </w:pPr>
          </w:p>
        </w:tc>
        <w:tc>
          <w:tcPr>
            <w:tcW w:w="99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946"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w:t>
            </w:r>
          </w:p>
        </w:tc>
        <w:tc>
          <w:tcPr>
            <w:tcW w:w="1880" w:type="dxa"/>
          </w:tcPr>
          <w:p>
            <w:pPr>
              <w:spacing w:line="360" w:lineRule="auto"/>
              <w:jc w:val="center"/>
              <w:rPr>
                <w:rFonts w:ascii="宋体" w:hAnsi="宋体" w:cs="宋体"/>
                <w:color w:val="auto"/>
                <w:sz w:val="24"/>
                <w:highlight w:val="none"/>
              </w:rPr>
            </w:pPr>
          </w:p>
        </w:tc>
        <w:tc>
          <w:tcPr>
            <w:tcW w:w="1640" w:type="dxa"/>
          </w:tcPr>
          <w:p>
            <w:pPr>
              <w:spacing w:line="360" w:lineRule="auto"/>
              <w:jc w:val="center"/>
              <w:rPr>
                <w:rFonts w:ascii="宋体" w:hAnsi="宋体" w:cs="宋体"/>
                <w:color w:val="auto"/>
                <w:sz w:val="24"/>
                <w:highlight w:val="none"/>
              </w:rPr>
            </w:pPr>
          </w:p>
        </w:tc>
        <w:tc>
          <w:tcPr>
            <w:tcW w:w="2080"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51" w:type="dxa"/>
            <w:gridSpan w:val="6"/>
            <w:vMerge w:val="restart"/>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合计（元）</w:t>
            </w:r>
          </w:p>
        </w:tc>
        <w:tc>
          <w:tcPr>
            <w:tcW w:w="5600" w:type="dxa"/>
            <w:gridSpan w:val="3"/>
          </w:tcPr>
          <w:p>
            <w:pPr>
              <w:spacing w:line="360" w:lineRule="auto"/>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51" w:type="dxa"/>
            <w:gridSpan w:val="6"/>
            <w:vMerge w:val="continue"/>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600" w:type="dxa"/>
            <w:gridSpan w:val="3"/>
          </w:tcPr>
          <w:p>
            <w:pPr>
              <w:spacing w:line="360" w:lineRule="auto"/>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小写</w:t>
            </w:r>
          </w:p>
        </w:tc>
      </w:tr>
    </w:tbl>
    <w:p>
      <w:pPr>
        <w:snapToGrid w:val="0"/>
        <w:rPr>
          <w:rFonts w:hint="eastAsia" w:cs="仿宋_GB2312" w:asciiTheme="minorEastAsia" w:hAnsiTheme="minorEastAsia" w:eastAsiaTheme="minorEastAsia"/>
          <w:b/>
          <w:color w:val="auto"/>
          <w:kern w:val="0"/>
          <w:sz w:val="24"/>
          <w:highlight w:val="none"/>
          <w:lang w:val="zh-CN"/>
        </w:rPr>
      </w:pPr>
    </w:p>
    <w:p>
      <w:pPr>
        <w:snapToGrid w:val="0"/>
        <w:ind w:left="480"/>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注：</w:t>
      </w:r>
    </w:p>
    <w:p>
      <w:pPr>
        <w:ind w:left="-2" w:leftChars="-1" w:firstLine="480" w:firstLineChars="200"/>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lang w:val="zh-CN"/>
        </w:rPr>
        <w:t>1、</w:t>
      </w:r>
      <w:r>
        <w:rPr>
          <w:rFonts w:hint="eastAsia" w:cs="仿宋_GB2312" w:asciiTheme="minorEastAsia" w:hAnsiTheme="minorEastAsia" w:eastAsiaTheme="minorEastAsia"/>
          <w:color w:val="auto"/>
          <w:kern w:val="0"/>
          <w:sz w:val="24"/>
          <w:highlight w:val="none"/>
          <w:lang w:val="zh-CN"/>
        </w:rPr>
        <w:t>本表中‘名称’、‘数量’、‘单位’若有和招标文件第三部分‘附件1采购清单及技术参数要求’表不一致的，以招标文件第三部分‘附件1采购清单及技术参数要求’表为准，投标人可做修改，除此外不得自行更改。</w:t>
      </w:r>
      <w:r>
        <w:rPr>
          <w:rFonts w:cs="仿宋_GB2312" w:asciiTheme="minorEastAsia" w:hAnsiTheme="minorEastAsia" w:eastAsiaTheme="minorEastAsia"/>
          <w:color w:val="auto"/>
          <w:kern w:val="0"/>
          <w:sz w:val="24"/>
          <w:highlight w:val="none"/>
          <w:lang w:val="zh-CN"/>
        </w:rPr>
        <w:t>。</w:t>
      </w:r>
    </w:p>
    <w:p>
      <w:pPr>
        <w:ind w:firstLine="480" w:firstLineChars="200"/>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lang w:val="zh-CN"/>
        </w:rPr>
        <w:t>2、有关本项目实施所涉及的一切费用均计入报价。</w:t>
      </w:r>
      <w:r>
        <w:rPr>
          <w:rFonts w:hint="eastAsia" w:cs="仿宋_GB2312" w:asciiTheme="minorEastAsia" w:hAnsiTheme="minorEastAsia" w:eastAsiaTheme="minorEastAsia"/>
          <w:b/>
          <w:color w:val="auto"/>
          <w:kern w:val="0"/>
          <w:sz w:val="24"/>
          <w:highlight w:val="none"/>
          <w:lang w:val="zh-CN"/>
        </w:rPr>
        <w:t>采购人将以合同形式有偿取得货物或服务，不接受投标人给予的赠品、回扣或者与采购无关的其他商品、服务</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b/>
          <w:color w:val="auto"/>
          <w:kern w:val="0"/>
          <w:sz w:val="24"/>
          <w:highlight w:val="none"/>
          <w:lang w:val="zh-CN"/>
        </w:rPr>
        <w:t>不得出现“</w:t>
      </w:r>
      <w:r>
        <w:rPr>
          <w:rFonts w:cs="仿宋_GB2312" w:asciiTheme="minorEastAsia" w:hAnsiTheme="minorEastAsia" w:eastAsiaTheme="minorEastAsia"/>
          <w:b/>
          <w:color w:val="auto"/>
          <w:kern w:val="0"/>
          <w:sz w:val="24"/>
          <w:highlight w:val="none"/>
          <w:lang w:val="zh-CN"/>
        </w:rPr>
        <w:t>0元”“免费赠送”等形式的无偿报价</w:t>
      </w:r>
      <w:r>
        <w:rPr>
          <w:rFonts w:hint="eastAsia" w:cs="仿宋_GB2312" w:asciiTheme="minorEastAsia" w:hAnsiTheme="minorEastAsia" w:eastAsiaTheme="minorEastAsia"/>
          <w:b/>
          <w:color w:val="auto"/>
          <w:kern w:val="0"/>
          <w:sz w:val="24"/>
          <w:highlight w:val="none"/>
          <w:lang w:val="zh-CN"/>
        </w:rPr>
        <w:t>，</w:t>
      </w:r>
      <w:r>
        <w:rPr>
          <w:rFonts w:hint="eastAsia" w:cs="仿宋_GB2312" w:asciiTheme="minorEastAsia" w:hAnsiTheme="minorEastAsia" w:eastAsiaTheme="minorEastAsia"/>
          <w:b/>
          <w:color w:val="auto"/>
          <w:kern w:val="0"/>
          <w:sz w:val="24"/>
          <w:highlight w:val="none"/>
        </w:rPr>
        <w:t>否则视为</w:t>
      </w:r>
      <w:r>
        <w:rPr>
          <w:rFonts w:hint="eastAsia" w:asciiTheme="minorEastAsia" w:hAnsiTheme="minorEastAsia" w:eastAsiaTheme="minorEastAsia"/>
          <w:b/>
          <w:color w:val="auto"/>
          <w:sz w:val="24"/>
          <w:highlight w:val="none"/>
        </w:rPr>
        <w:t>投标文件含有采购人不能接受的附加条件的，投标无效</w:t>
      </w:r>
      <w:r>
        <w:rPr>
          <w:rFonts w:hint="eastAsia" w:cs="仿宋_GB2312" w:asciiTheme="minorEastAsia" w:hAnsiTheme="minorEastAsia" w:eastAsiaTheme="minorEastAsia"/>
          <w:b/>
          <w:color w:val="auto"/>
          <w:kern w:val="0"/>
          <w:sz w:val="24"/>
          <w:highlight w:val="none"/>
          <w:lang w:val="zh-CN"/>
        </w:rPr>
        <w:t>。</w:t>
      </w:r>
    </w:p>
    <w:p>
      <w:pPr>
        <w:snapToGrid w:val="0"/>
        <w:ind w:firstLine="480" w:firstLineChars="200"/>
        <w:jc w:val="left"/>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lang w:val="zh-CN"/>
        </w:rPr>
        <w:t>3、以上表格要求细分项目及报价，在“规格型号（或具体服务）”一栏中，货物类项目填写规格型号，服务类项目填写具体服务。</w:t>
      </w:r>
    </w:p>
    <w:p>
      <w:pPr>
        <w:snapToGrid w:val="0"/>
        <w:ind w:firstLine="480" w:firstLineChars="200"/>
        <w:jc w:val="left"/>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lang w:val="zh-CN"/>
        </w:rPr>
        <w:t>4、</w:t>
      </w:r>
      <w:r>
        <w:rPr>
          <w:rFonts w:hint="eastAsia" w:cs="仿宋_GB2312" w:asciiTheme="minorEastAsia" w:hAnsiTheme="minorEastAsia" w:eastAsiaTheme="minorEastAsia"/>
          <w:color w:val="auto"/>
          <w:kern w:val="0"/>
          <w:sz w:val="24"/>
          <w:highlight w:val="none"/>
          <w:lang w:val="zh-CN"/>
        </w:rPr>
        <w:t>符合招标文件中列明的可享受中小企业扶持政策的投标人，请填写中小企业声明函。注：投标人</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pPr>
        <w:pStyle w:val="694"/>
        <w:keepNext w:val="0"/>
        <w:pageBreakBefore w:val="0"/>
        <w:tabs>
          <w:tab w:val="clear" w:pos="720"/>
        </w:tabs>
        <w:snapToGrid w:val="0"/>
        <w:spacing w:before="120" w:after="120"/>
        <w:ind w:firstLine="643"/>
        <w:outlineLvl w:val="9"/>
        <w:rPr>
          <w:rFonts w:cs="仿宋_GB2312" w:asciiTheme="minorEastAsia" w:hAnsiTheme="minorEastAsia" w:eastAsiaTheme="minorEastAsia"/>
          <w:color w:val="auto"/>
          <w:kern w:val="2"/>
          <w:sz w:val="32"/>
          <w:szCs w:val="32"/>
          <w:highlight w:val="none"/>
        </w:rPr>
        <w:sectPr>
          <w:pgSz w:w="16838" w:h="11906" w:orient="landscape"/>
          <w:pgMar w:top="1134" w:right="1134" w:bottom="1134" w:left="1134" w:header="851" w:footer="992" w:gutter="0"/>
          <w:pgNumType w:fmt="decimal"/>
          <w:cols w:space="720" w:num="1"/>
          <w:titlePg/>
          <w:docGrid w:linePitch="312" w:charSpace="0"/>
        </w:sectPr>
      </w:pPr>
    </w:p>
    <w:p>
      <w:pPr>
        <w:widowControl/>
        <w:adjustRightInd/>
        <w:jc w:val="left"/>
        <w:rPr>
          <w:rFonts w:cs="仿宋_GB2312" w:asciiTheme="minorEastAsia" w:hAnsiTheme="minorEastAsia" w:eastAsiaTheme="minorEastAsia"/>
          <w:b/>
          <w:color w:val="auto"/>
          <w:sz w:val="32"/>
          <w:szCs w:val="32"/>
          <w:highlight w:val="none"/>
        </w:rPr>
      </w:pPr>
    </w:p>
    <w:p>
      <w:pPr>
        <w:snapToGrid w:val="0"/>
        <w:spacing w:line="360" w:lineRule="auto"/>
        <w:outlineLvl w:val="1"/>
        <w:rPr>
          <w:rFonts w:cs="仿宋_GB2312" w:asciiTheme="minorEastAsia" w:hAnsiTheme="minorEastAsia" w:eastAsiaTheme="minorEastAsia"/>
          <w:b/>
          <w:color w:val="auto"/>
          <w:kern w:val="0"/>
          <w:sz w:val="32"/>
          <w:szCs w:val="32"/>
          <w:highlight w:val="none"/>
        </w:rPr>
      </w:pPr>
      <w:bookmarkStart w:id="404" w:name="_Toc465665161"/>
      <w:r>
        <w:rPr>
          <w:rFonts w:hint="eastAsia" w:cs="仿宋_GB2312" w:asciiTheme="minorEastAsia" w:hAnsiTheme="minorEastAsia" w:eastAsiaTheme="minorEastAsia"/>
          <w:b/>
          <w:color w:val="auto"/>
          <w:kern w:val="0"/>
          <w:sz w:val="32"/>
          <w:szCs w:val="32"/>
          <w:highlight w:val="none"/>
        </w:rPr>
        <w:t>附件</w:t>
      </w:r>
      <w:bookmarkEnd w:id="404"/>
    </w:p>
    <w:p>
      <w:pPr>
        <w:pStyle w:val="4"/>
        <w:spacing w:before="0" w:after="0"/>
        <w:ind w:left="0" w:firstLine="0"/>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附件</w:t>
      </w:r>
      <w:r>
        <w:rPr>
          <w:rFonts w:asciiTheme="minorEastAsia" w:hAnsiTheme="minorEastAsia" w:eastAsiaTheme="minorEastAsia"/>
          <w:color w:val="auto"/>
          <w:spacing w:val="6"/>
          <w:highlight w:val="none"/>
        </w:rPr>
        <w:t>1：</w:t>
      </w:r>
      <w:r>
        <w:rPr>
          <w:rFonts w:hint="eastAsia" w:asciiTheme="minorEastAsia" w:hAnsiTheme="minorEastAsia" w:eastAsiaTheme="minorEastAsia"/>
          <w:color w:val="auto"/>
          <w:spacing w:val="6"/>
          <w:highlight w:val="none"/>
        </w:rPr>
        <w:t>残疾人福利性单位声明函</w:t>
      </w:r>
    </w:p>
    <w:p>
      <w:pPr>
        <w:spacing w:line="360" w:lineRule="auto"/>
        <w:jc w:val="center"/>
        <w:rPr>
          <w:rFonts w:asciiTheme="minorEastAsia" w:hAnsiTheme="minorEastAsia" w:eastAsiaTheme="minorEastAsia"/>
          <w:b/>
          <w:color w:val="auto"/>
          <w:spacing w:val="6"/>
          <w:sz w:val="32"/>
          <w:szCs w:val="32"/>
          <w:highlight w:val="none"/>
        </w:rPr>
      </w:pPr>
      <w:bookmarkStart w:id="405" w:name="OLE_LINK13"/>
      <w:bookmarkStart w:id="406" w:name="OLE_LINK14"/>
      <w:r>
        <w:rPr>
          <w:rFonts w:hint="eastAsia" w:asciiTheme="minorEastAsia" w:hAnsiTheme="minorEastAsia" w:eastAsiaTheme="minorEastAsia"/>
          <w:b/>
          <w:color w:val="auto"/>
          <w:spacing w:val="6"/>
          <w:sz w:val="32"/>
          <w:szCs w:val="32"/>
          <w:highlight w:val="none"/>
        </w:rPr>
        <w:t>残疾人福利性单位声明函</w:t>
      </w:r>
    </w:p>
    <w:bookmarkEnd w:id="405"/>
    <w:bookmarkEnd w:id="406"/>
    <w:p>
      <w:pPr>
        <w:spacing w:line="360" w:lineRule="auto"/>
        <w:rPr>
          <w:rFonts w:asciiTheme="minorEastAsia" w:hAnsiTheme="minorEastAsia" w:eastAsiaTheme="minorEastAsia"/>
          <w:b/>
          <w:color w:val="auto"/>
          <w:spacing w:val="6"/>
          <w:sz w:val="30"/>
          <w:szCs w:val="30"/>
          <w:highlight w:val="none"/>
        </w:rPr>
      </w:pP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w:t>
      </w:r>
      <w:r>
        <w:rPr>
          <w:rFonts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rPr>
        <w:t>民政部</w:t>
      </w:r>
      <w:r>
        <w:rPr>
          <w:rFonts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rPr>
        <w:t>中国残疾人联合会关于促进残疾人就业政府采购政策的通知》（财库〔</w:t>
      </w:r>
      <w:r>
        <w:rPr>
          <w:rFonts w:cs="仿宋_GB2312" w:asciiTheme="minorEastAsia" w:hAnsiTheme="minorEastAsia" w:eastAsiaTheme="minorEastAsia"/>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ind w:firstLine="480" w:firstLineChars="200"/>
        <w:rPr>
          <w:rFonts w:cs="仿宋_GB2312" w:asciiTheme="minorEastAsia" w:hAnsiTheme="minorEastAsia" w:eastAsiaTheme="minorEastAsia"/>
          <w:color w:val="auto"/>
          <w:sz w:val="24"/>
          <w:highlight w:val="none"/>
        </w:rPr>
      </w:pP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投标人名称（电子签名）</w:t>
      </w:r>
      <w:r>
        <w:rPr>
          <w:rFonts w:hint="eastAsia" w:cs="仿宋_GB2312" w:asciiTheme="minorEastAsia" w:hAnsiTheme="minorEastAsia" w:eastAsiaTheme="minorEastAsia"/>
          <w:color w:val="auto"/>
          <w:sz w:val="24"/>
          <w:highlight w:val="none"/>
        </w:rPr>
        <w:t>：</w:t>
      </w: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 xml:space="preserve">       日  期：</w:t>
      </w:r>
    </w:p>
    <w:p>
      <w:pPr>
        <w:widowControl/>
        <w:adjustRightInd/>
        <w:jc w:val="left"/>
        <w:rPr>
          <w:rFonts w:asciiTheme="minorEastAsia" w:hAnsiTheme="minorEastAsia" w:eastAsiaTheme="minorEastAsia"/>
          <w:color w:val="auto"/>
          <w:sz w:val="30"/>
          <w:szCs w:val="30"/>
          <w:highlight w:val="none"/>
        </w:rPr>
      </w:pPr>
      <w:r>
        <w:rPr>
          <w:rFonts w:asciiTheme="minorEastAsia" w:hAnsiTheme="minorEastAsia" w:eastAsiaTheme="minorEastAsia"/>
          <w:color w:val="auto"/>
          <w:sz w:val="30"/>
          <w:szCs w:val="30"/>
          <w:highlight w:val="none"/>
        </w:rPr>
        <w:br w:type="page"/>
      </w:r>
    </w:p>
    <w:p>
      <w:pPr>
        <w:widowControl/>
        <w:adjustRightInd/>
        <w:jc w:val="left"/>
        <w:rPr>
          <w:rFonts w:cs="仿宋_GB2312" w:asciiTheme="minorEastAsia" w:hAnsiTheme="minorEastAsia" w:eastAsiaTheme="minorEastAsia"/>
          <w:color w:val="auto"/>
          <w:sz w:val="24"/>
          <w:highlight w:val="none"/>
        </w:rPr>
        <w:sectPr>
          <w:headerReference r:id="rId17" w:type="first"/>
          <w:footerReference r:id="rId20" w:type="first"/>
          <w:headerReference r:id="rId16" w:type="default"/>
          <w:footerReference r:id="rId18" w:type="default"/>
          <w:footerReference r:id="rId19" w:type="even"/>
          <w:pgSz w:w="11906" w:h="16838"/>
          <w:pgMar w:top="1134" w:right="1134" w:bottom="1134" w:left="1134" w:header="851" w:footer="992" w:gutter="0"/>
          <w:pgNumType w:fmt="decimal"/>
          <w:cols w:space="720" w:num="1"/>
          <w:titlePg/>
          <w:docGrid w:linePitch="312" w:charSpace="0"/>
        </w:sectPr>
      </w:pPr>
    </w:p>
    <w:p>
      <w:pPr>
        <w:pStyle w:val="4"/>
        <w:spacing w:before="0" w:after="0"/>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附件2：中小企业声明函</w:t>
      </w:r>
    </w:p>
    <w:p>
      <w:pPr>
        <w:autoSpaceDE w:val="0"/>
        <w:autoSpaceDN w:val="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中小企业声明函（货物）</w:t>
      </w:r>
    </w:p>
    <w:p>
      <w:pPr>
        <w:spacing w:line="360" w:lineRule="auto"/>
        <w:ind w:firstLine="480" w:firstLineChars="200"/>
        <w:rPr>
          <w:rFonts w:asciiTheme="minorEastAsia" w:hAnsiTheme="minorEastAsia" w:eastAsiaTheme="minorEastAsia"/>
          <w:color w:val="auto"/>
          <w:sz w:val="24"/>
          <w:highlight w:val="none"/>
        </w:rPr>
      </w:pP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本公司（联合体）郑重声明，根据《政府采购促进中小企业发展管理办法》（财库</w:t>
      </w:r>
      <w:r>
        <w:rPr>
          <w:rFonts w:hint="eastAsia" w:cs="宋体"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2020</w:t>
      </w:r>
      <w:r>
        <w:rPr>
          <w:rFonts w:hint="eastAsia" w:cs="宋体"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46 </w:t>
      </w:r>
      <w:r>
        <w:rPr>
          <w:rFonts w:hint="eastAsia" w:asciiTheme="minorEastAsia" w:hAnsiTheme="minorEastAsia" w:eastAsiaTheme="minorEastAsia"/>
          <w:color w:val="auto"/>
          <w:sz w:val="24"/>
          <w:highlight w:val="none"/>
        </w:rPr>
        <w:t>号）的规定，本公司（联合体）参加</w:t>
      </w:r>
      <w:r>
        <w:rPr>
          <w:rFonts w:hint="eastAsia" w:asciiTheme="minorEastAsia" w:hAnsiTheme="minorEastAsia" w:eastAsiaTheme="minorEastAsia"/>
          <w:color w:val="auto"/>
          <w:sz w:val="24"/>
          <w:highlight w:val="none"/>
          <w:u w:val="single"/>
        </w:rPr>
        <w:t>（采购人）</w:t>
      </w:r>
      <w:r>
        <w:rPr>
          <w:rFonts w:hint="eastAsia"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u w:val="single"/>
        </w:rPr>
        <w:t>（项目名称）</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采购活动，提供的货物全部由符合政策要求的中小企业制造。相关企业（含联合体中的中小企业、签订分包意向协议的中小企业）的具体情况如下：</w:t>
      </w:r>
    </w:p>
    <w:tbl>
      <w:tblPr>
        <w:tblStyle w:val="64"/>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863"/>
        <w:gridCol w:w="1848"/>
        <w:gridCol w:w="1092"/>
        <w:gridCol w:w="1200"/>
        <w:gridCol w:w="120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0" w:type="dxa"/>
            <w:vAlign w:val="center"/>
          </w:tcPr>
          <w:p>
            <w:pPr>
              <w:spacing w:line="240" w:lineRule="auto"/>
              <w:jc w:val="center"/>
              <w:rPr>
                <w:rFonts w:hint="default" w:asciiTheme="minorEastAsia" w:hAnsiTheme="minorEastAsia" w:eastAsiaTheme="minorEastAsia"/>
                <w:color w:val="auto"/>
                <w:sz w:val="24"/>
                <w:highlight w:val="none"/>
                <w:vertAlign w:val="baseline"/>
                <w:lang w:val="en-US" w:eastAsia="zh-CN"/>
              </w:rPr>
            </w:pPr>
            <w:r>
              <w:rPr>
                <w:rFonts w:hint="eastAsia" w:asciiTheme="minorEastAsia" w:hAnsiTheme="minorEastAsia" w:eastAsiaTheme="minorEastAsia"/>
                <w:color w:val="auto"/>
                <w:sz w:val="24"/>
                <w:highlight w:val="none"/>
                <w:vertAlign w:val="baseline"/>
                <w:lang w:val="en-US" w:eastAsia="zh-CN"/>
              </w:rPr>
              <w:t>标的名称</w:t>
            </w:r>
          </w:p>
        </w:tc>
        <w:tc>
          <w:tcPr>
            <w:tcW w:w="863" w:type="dxa"/>
            <w:vAlign w:val="center"/>
          </w:tcPr>
          <w:p>
            <w:pPr>
              <w:spacing w:line="240" w:lineRule="auto"/>
              <w:jc w:val="center"/>
              <w:rPr>
                <w:rFonts w:hint="default" w:asciiTheme="minorEastAsia" w:hAnsiTheme="minorEastAsia" w:eastAsiaTheme="minorEastAsia"/>
                <w:color w:val="auto"/>
                <w:sz w:val="24"/>
                <w:highlight w:val="none"/>
                <w:vertAlign w:val="baseline"/>
                <w:lang w:val="en-US" w:eastAsia="zh-CN"/>
              </w:rPr>
            </w:pPr>
            <w:r>
              <w:rPr>
                <w:rFonts w:hint="eastAsia" w:asciiTheme="minorEastAsia" w:hAnsiTheme="minorEastAsia" w:eastAsiaTheme="minorEastAsia"/>
                <w:color w:val="auto"/>
                <w:sz w:val="24"/>
                <w:highlight w:val="none"/>
                <w:vertAlign w:val="baseline"/>
                <w:lang w:val="en-US" w:eastAsia="zh-CN"/>
              </w:rPr>
              <w:t>所属行业</w:t>
            </w:r>
          </w:p>
        </w:tc>
        <w:tc>
          <w:tcPr>
            <w:tcW w:w="1848" w:type="dxa"/>
            <w:vAlign w:val="center"/>
          </w:tcPr>
          <w:p>
            <w:pPr>
              <w:spacing w:line="240" w:lineRule="auto"/>
              <w:jc w:val="center"/>
              <w:rPr>
                <w:rFonts w:hint="eastAsia" w:asciiTheme="minorEastAsia" w:hAnsiTheme="minorEastAsia" w:eastAsiaTheme="minorEastAsia"/>
                <w:color w:val="auto"/>
                <w:sz w:val="24"/>
                <w:highlight w:val="none"/>
                <w:vertAlign w:val="baseline"/>
                <w:lang w:val="en-US" w:eastAsia="zh-CN"/>
              </w:rPr>
            </w:pPr>
            <w:r>
              <w:rPr>
                <w:rFonts w:hint="eastAsia" w:asciiTheme="minorEastAsia" w:hAnsiTheme="minorEastAsia" w:eastAsiaTheme="minorEastAsia"/>
                <w:color w:val="auto"/>
                <w:sz w:val="24"/>
                <w:highlight w:val="none"/>
                <w:vertAlign w:val="baseline"/>
                <w:lang w:val="en-US" w:eastAsia="zh-CN"/>
              </w:rPr>
              <w:t>制造商</w:t>
            </w:r>
          </w:p>
        </w:tc>
        <w:tc>
          <w:tcPr>
            <w:tcW w:w="1092" w:type="dxa"/>
            <w:vAlign w:val="center"/>
          </w:tcPr>
          <w:p>
            <w:pPr>
              <w:spacing w:line="240" w:lineRule="auto"/>
              <w:jc w:val="center"/>
              <w:rPr>
                <w:rFonts w:hint="default" w:asciiTheme="minorEastAsia" w:hAnsiTheme="minorEastAsia" w:eastAsiaTheme="minorEastAsia"/>
                <w:color w:val="auto"/>
                <w:sz w:val="24"/>
                <w:highlight w:val="none"/>
                <w:vertAlign w:val="baseline"/>
                <w:lang w:val="en-US" w:eastAsia="zh-CN"/>
              </w:rPr>
            </w:pPr>
            <w:r>
              <w:rPr>
                <w:rFonts w:hint="eastAsia" w:asciiTheme="minorEastAsia" w:hAnsiTheme="minorEastAsia" w:eastAsiaTheme="minorEastAsia"/>
                <w:color w:val="auto"/>
                <w:sz w:val="24"/>
                <w:highlight w:val="none"/>
                <w:vertAlign w:val="baseline"/>
                <w:lang w:val="en-US" w:eastAsia="zh-CN"/>
              </w:rPr>
              <w:t>从业人员（人）</w:t>
            </w:r>
          </w:p>
        </w:tc>
        <w:tc>
          <w:tcPr>
            <w:tcW w:w="1200" w:type="dxa"/>
            <w:vAlign w:val="center"/>
          </w:tcPr>
          <w:p>
            <w:pPr>
              <w:spacing w:line="240" w:lineRule="auto"/>
              <w:jc w:val="center"/>
              <w:rPr>
                <w:rFonts w:hint="eastAsia" w:asciiTheme="minorEastAsia" w:hAnsiTheme="minorEastAsia" w:eastAsiaTheme="minorEastAsia"/>
                <w:color w:val="auto"/>
                <w:sz w:val="24"/>
                <w:highlight w:val="none"/>
                <w:vertAlign w:val="baseline"/>
              </w:rPr>
            </w:pPr>
            <w:r>
              <w:rPr>
                <w:rFonts w:hint="eastAsia" w:cs="仿宋" w:asciiTheme="minorEastAsia" w:hAnsiTheme="minorEastAsia" w:eastAsiaTheme="minorEastAsia"/>
                <w:color w:val="auto"/>
                <w:sz w:val="24"/>
                <w:highlight w:val="none"/>
              </w:rPr>
              <w:t>营业收入</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万元</w:t>
            </w:r>
            <w:r>
              <w:rPr>
                <w:rFonts w:hint="eastAsia" w:cs="仿宋" w:asciiTheme="minorEastAsia" w:hAnsiTheme="minorEastAsia" w:eastAsiaTheme="minorEastAsia"/>
                <w:color w:val="auto"/>
                <w:sz w:val="24"/>
                <w:highlight w:val="none"/>
                <w:lang w:eastAsia="zh-CN"/>
              </w:rPr>
              <w:t>）</w:t>
            </w:r>
          </w:p>
        </w:tc>
        <w:tc>
          <w:tcPr>
            <w:tcW w:w="1204" w:type="dxa"/>
            <w:vAlign w:val="center"/>
          </w:tcPr>
          <w:p>
            <w:pPr>
              <w:spacing w:line="240" w:lineRule="auto"/>
              <w:jc w:val="center"/>
              <w:rPr>
                <w:rFonts w:hint="eastAsia" w:asciiTheme="minorEastAsia" w:hAnsiTheme="minorEastAsia" w:eastAsiaTheme="minorEastAsia"/>
                <w:color w:val="auto"/>
                <w:sz w:val="24"/>
                <w:highlight w:val="none"/>
                <w:vertAlign w:val="baseline"/>
                <w:lang w:eastAsia="zh-CN"/>
              </w:rPr>
            </w:pPr>
            <w:r>
              <w:rPr>
                <w:rFonts w:hint="eastAsia" w:cs="仿宋" w:asciiTheme="minorEastAsia" w:hAnsiTheme="minorEastAsia" w:eastAsiaTheme="minorEastAsia"/>
                <w:color w:val="auto"/>
                <w:sz w:val="24"/>
                <w:highlight w:val="none"/>
              </w:rPr>
              <w:t>资产总额</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万元</w:t>
            </w:r>
            <w:r>
              <w:rPr>
                <w:rFonts w:hint="eastAsia" w:cs="仿宋" w:asciiTheme="minorEastAsia" w:hAnsiTheme="minorEastAsia" w:eastAsiaTheme="minorEastAsia"/>
                <w:color w:val="auto"/>
                <w:sz w:val="24"/>
                <w:highlight w:val="none"/>
                <w:lang w:eastAsia="zh-CN"/>
              </w:rPr>
              <w:t>）</w:t>
            </w:r>
          </w:p>
        </w:tc>
        <w:tc>
          <w:tcPr>
            <w:tcW w:w="2364" w:type="dxa"/>
            <w:vAlign w:val="center"/>
          </w:tcPr>
          <w:p>
            <w:pPr>
              <w:spacing w:line="240" w:lineRule="auto"/>
              <w:jc w:val="center"/>
              <w:rPr>
                <w:rFonts w:hint="default" w:asciiTheme="minorEastAsia" w:hAnsiTheme="minorEastAsia" w:eastAsiaTheme="minorEastAsia"/>
                <w:color w:val="auto"/>
                <w:sz w:val="24"/>
                <w:highlight w:val="none"/>
                <w:vertAlign w:val="baseline"/>
                <w:lang w:val="en-US" w:eastAsia="zh-CN"/>
              </w:rPr>
            </w:pPr>
            <w:r>
              <w:rPr>
                <w:rFonts w:hint="eastAsia" w:asciiTheme="minorEastAsia" w:hAnsiTheme="minorEastAsia" w:eastAsiaTheme="minorEastAsia"/>
                <w:color w:val="auto"/>
                <w:sz w:val="24"/>
                <w:highlight w:val="none"/>
                <w:vertAlign w:val="baseline"/>
                <w:lang w:val="en-US" w:eastAsia="zh-C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0" w:type="dxa"/>
            <w:vAlign w:val="center"/>
          </w:tcPr>
          <w:p>
            <w:pPr>
              <w:adjustRightInd/>
              <w:spacing w:line="240" w:lineRule="auto"/>
              <w:jc w:val="center"/>
              <w:rPr>
                <w:rFonts w:hint="eastAsia" w:ascii="宋体" w:hAnsi="宋体" w:eastAsia="宋体" w:cs="Times New Roman"/>
                <w:color w:val="auto"/>
                <w:kern w:val="2"/>
                <w:sz w:val="24"/>
                <w:szCs w:val="24"/>
                <w:highlight w:val="none"/>
                <w:vertAlign w:val="baseline"/>
                <w:lang w:val="en-US" w:eastAsia="zh-CN" w:bidi="ar-SA"/>
              </w:rPr>
            </w:pPr>
            <w:r>
              <w:rPr>
                <w:rFonts w:hint="eastAsia" w:ascii="宋体" w:hAnsi="宋体"/>
                <w:color w:val="auto"/>
                <w:sz w:val="24"/>
                <w:highlight w:val="none"/>
                <w:vertAlign w:val="baseline"/>
              </w:rPr>
              <w:t>报告厅舞台音响</w:t>
            </w:r>
            <w:r>
              <w:rPr>
                <w:rFonts w:hint="eastAsia" w:ascii="宋体" w:hAnsi="宋体"/>
                <w:color w:val="auto"/>
                <w:sz w:val="24"/>
                <w:highlight w:val="none"/>
                <w:vertAlign w:val="baseline"/>
                <w:lang w:val="en-US" w:eastAsia="zh-CN"/>
              </w:rPr>
              <w:t>系统</w:t>
            </w:r>
          </w:p>
        </w:tc>
        <w:tc>
          <w:tcPr>
            <w:tcW w:w="863" w:type="dxa"/>
            <w:vAlign w:val="center"/>
          </w:tcPr>
          <w:p>
            <w:pPr>
              <w:spacing w:line="360" w:lineRule="auto"/>
              <w:jc w:val="center"/>
              <w:rPr>
                <w:rFonts w:hint="eastAsia" w:asciiTheme="minorEastAsia" w:hAnsiTheme="minorEastAsia" w:eastAsiaTheme="minorEastAsia"/>
                <w:color w:val="auto"/>
                <w:sz w:val="24"/>
                <w:highlight w:val="none"/>
                <w:vertAlign w:val="baseline"/>
                <w:lang w:val="en-US" w:eastAsia="zh-CN"/>
              </w:rPr>
            </w:pPr>
            <w:r>
              <w:rPr>
                <w:rFonts w:hint="eastAsia" w:asciiTheme="minorEastAsia" w:hAnsiTheme="minorEastAsia" w:eastAsiaTheme="minorEastAsia"/>
                <w:color w:val="auto"/>
                <w:sz w:val="24"/>
                <w:highlight w:val="none"/>
                <w:vertAlign w:val="baseline"/>
                <w:lang w:val="en-US" w:eastAsia="zh-CN"/>
              </w:rPr>
              <w:t>工业</w:t>
            </w:r>
          </w:p>
        </w:tc>
        <w:tc>
          <w:tcPr>
            <w:tcW w:w="1848"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092"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200"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204"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2364" w:type="dxa"/>
            <w:vAlign w:val="center"/>
          </w:tcPr>
          <w:p>
            <w:pPr>
              <w:spacing w:line="360" w:lineRule="auto"/>
              <w:jc w:val="center"/>
              <w:rPr>
                <w:rFonts w:hint="eastAsia" w:asciiTheme="minorEastAsia" w:hAnsiTheme="minorEastAsia" w:eastAsiaTheme="minorEastAsia"/>
                <w:color w:val="auto"/>
                <w:sz w:val="24"/>
                <w:highlight w:val="none"/>
                <w:vertAlign w:val="baseline"/>
              </w:rPr>
            </w:pP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r>
                  <w:rPr>
                    <w:rFonts w:hint="eastAsia" w:asciiTheme="majorEastAsia" w:hAnsiTheme="majorEastAsia" w:eastAsiaTheme="majorEastAsia"/>
                    <w:color w:val="auto"/>
                    <w:sz w:val="24"/>
                    <w:highlight w:val="none"/>
                    <w:lang w:val="en-US" w:eastAsia="zh-CN"/>
                  </w:rPr>
                  <w:t>中型</w:t>
                </w: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sdtContent>
                </w:sdt>
                <w:r>
                  <w:rPr>
                    <w:rFonts w:hint="eastAsia" w:hAnsi="宋体" w:cs="Arial"/>
                    <w:bCs/>
                    <w:color w:val="auto"/>
                    <w:kern w:val="0"/>
                    <w:sz w:val="24"/>
                    <w:highlight w:val="none"/>
                    <w:lang w:val="en-US" w:eastAsia="zh-CN"/>
                  </w:rPr>
                  <w:t>小型</w:t>
                </w: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sdtContent>
                </w:sdt>
                <w:r>
                  <w:rPr>
                    <w:rFonts w:hint="eastAsia" w:hAnsi="宋体" w:cs="Arial"/>
                    <w:bCs/>
                    <w:color w:val="auto"/>
                    <w:kern w:val="0"/>
                    <w:sz w:val="24"/>
                    <w:highlight w:val="none"/>
                    <w:lang w:val="en-US" w:eastAsia="zh-CN"/>
                  </w:rPr>
                  <w:t>微型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0" w:type="dxa"/>
            <w:vAlign w:val="center"/>
          </w:tcPr>
          <w:p>
            <w:pPr>
              <w:adjustRightInd/>
              <w:spacing w:line="240" w:lineRule="auto"/>
              <w:jc w:val="center"/>
              <w:rPr>
                <w:rFonts w:hint="eastAsia" w:ascii="宋体" w:hAnsi="宋体" w:eastAsia="宋体" w:cs="Times New Roman"/>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舞台机械及灯光系统</w:t>
            </w:r>
          </w:p>
        </w:tc>
        <w:tc>
          <w:tcPr>
            <w:tcW w:w="863" w:type="dxa"/>
            <w:vAlign w:val="center"/>
          </w:tcPr>
          <w:p>
            <w:pPr>
              <w:spacing w:line="360" w:lineRule="auto"/>
              <w:jc w:val="center"/>
              <w:rPr>
                <w:rFonts w:hint="eastAsia" w:asciiTheme="minorEastAsia" w:hAnsiTheme="minorEastAsia" w:eastAsiaTheme="minorEastAsia"/>
                <w:color w:val="auto"/>
                <w:sz w:val="24"/>
                <w:highlight w:val="none"/>
                <w:vertAlign w:val="baseline"/>
              </w:rPr>
            </w:pPr>
            <w:r>
              <w:rPr>
                <w:rFonts w:hint="eastAsia" w:asciiTheme="minorEastAsia" w:hAnsiTheme="minorEastAsia" w:eastAsiaTheme="minorEastAsia"/>
                <w:color w:val="auto"/>
                <w:sz w:val="24"/>
                <w:highlight w:val="none"/>
                <w:vertAlign w:val="baseline"/>
                <w:lang w:val="en-US" w:eastAsia="zh-CN"/>
              </w:rPr>
              <w:t>工业</w:t>
            </w:r>
          </w:p>
        </w:tc>
        <w:tc>
          <w:tcPr>
            <w:tcW w:w="1848"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092"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200"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204"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2364" w:type="dxa"/>
            <w:vAlign w:val="center"/>
          </w:tcPr>
          <w:p>
            <w:pPr>
              <w:spacing w:line="360" w:lineRule="auto"/>
              <w:jc w:val="center"/>
              <w:rPr>
                <w:rFonts w:hint="eastAsia" w:asciiTheme="minorEastAsia" w:hAnsiTheme="minorEastAsia" w:eastAsiaTheme="minorEastAsia"/>
                <w:color w:val="auto"/>
                <w:sz w:val="24"/>
                <w:highlight w:val="none"/>
                <w:vertAlign w:val="baseline"/>
              </w:rPr>
            </w:pP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r>
                  <w:rPr>
                    <w:rFonts w:hint="eastAsia" w:asciiTheme="majorEastAsia" w:hAnsiTheme="majorEastAsia" w:eastAsiaTheme="majorEastAsia"/>
                    <w:color w:val="auto"/>
                    <w:sz w:val="24"/>
                    <w:highlight w:val="none"/>
                    <w:lang w:val="en-US" w:eastAsia="zh-CN"/>
                  </w:rPr>
                  <w:t>中型</w:t>
                </w: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sdtContent>
                </w:sdt>
                <w:r>
                  <w:rPr>
                    <w:rFonts w:hint="eastAsia" w:hAnsi="宋体" w:cs="Arial"/>
                    <w:bCs/>
                    <w:color w:val="auto"/>
                    <w:kern w:val="0"/>
                    <w:sz w:val="24"/>
                    <w:highlight w:val="none"/>
                    <w:lang w:val="en-US" w:eastAsia="zh-CN"/>
                  </w:rPr>
                  <w:t>小型</w:t>
                </w: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sdtContent>
                </w:sdt>
                <w:r>
                  <w:rPr>
                    <w:rFonts w:hint="eastAsia" w:hAnsi="宋体" w:cs="Arial"/>
                    <w:bCs/>
                    <w:color w:val="auto"/>
                    <w:kern w:val="0"/>
                    <w:sz w:val="24"/>
                    <w:highlight w:val="none"/>
                    <w:lang w:val="en-US" w:eastAsia="zh-CN"/>
                  </w:rPr>
                  <w:t>微型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0" w:type="dxa"/>
            <w:vAlign w:val="center"/>
          </w:tcPr>
          <w:p>
            <w:pPr>
              <w:adjustRightInd/>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多功能厅音响系统</w:t>
            </w:r>
          </w:p>
        </w:tc>
        <w:tc>
          <w:tcPr>
            <w:tcW w:w="863" w:type="dxa"/>
            <w:vAlign w:val="center"/>
          </w:tcPr>
          <w:p>
            <w:pPr>
              <w:spacing w:line="360" w:lineRule="auto"/>
              <w:jc w:val="center"/>
              <w:rPr>
                <w:rFonts w:hint="eastAsia" w:asciiTheme="minorEastAsia" w:hAnsiTheme="minorEastAsia" w:eastAsiaTheme="minorEastAsia"/>
                <w:color w:val="auto"/>
                <w:sz w:val="24"/>
                <w:highlight w:val="none"/>
                <w:vertAlign w:val="baseline"/>
              </w:rPr>
            </w:pPr>
            <w:r>
              <w:rPr>
                <w:rFonts w:hint="eastAsia" w:asciiTheme="minorEastAsia" w:hAnsiTheme="minorEastAsia" w:eastAsiaTheme="minorEastAsia"/>
                <w:color w:val="auto"/>
                <w:sz w:val="24"/>
                <w:highlight w:val="none"/>
                <w:vertAlign w:val="baseline"/>
                <w:lang w:val="en-US" w:eastAsia="zh-CN"/>
              </w:rPr>
              <w:t>工业</w:t>
            </w:r>
          </w:p>
        </w:tc>
        <w:tc>
          <w:tcPr>
            <w:tcW w:w="1848"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092"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200"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204"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2364" w:type="dxa"/>
            <w:vAlign w:val="center"/>
          </w:tcPr>
          <w:p>
            <w:pPr>
              <w:spacing w:line="360" w:lineRule="auto"/>
              <w:jc w:val="center"/>
              <w:rPr>
                <w:rFonts w:hint="eastAsia" w:asciiTheme="minorEastAsia" w:hAnsiTheme="minorEastAsia" w:eastAsiaTheme="minorEastAsia"/>
                <w:color w:val="auto"/>
                <w:sz w:val="24"/>
                <w:highlight w:val="none"/>
                <w:vertAlign w:val="baseline"/>
              </w:rPr>
            </w:pP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r>
                  <w:rPr>
                    <w:rFonts w:hint="eastAsia" w:asciiTheme="majorEastAsia" w:hAnsiTheme="majorEastAsia" w:eastAsiaTheme="majorEastAsia"/>
                    <w:color w:val="auto"/>
                    <w:sz w:val="24"/>
                    <w:highlight w:val="none"/>
                    <w:lang w:val="en-US" w:eastAsia="zh-CN"/>
                  </w:rPr>
                  <w:t>中型</w:t>
                </w: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sdtContent>
                </w:sdt>
                <w:r>
                  <w:rPr>
                    <w:rFonts w:hint="eastAsia" w:hAnsi="宋体" w:cs="Arial"/>
                    <w:bCs/>
                    <w:color w:val="auto"/>
                    <w:kern w:val="0"/>
                    <w:sz w:val="24"/>
                    <w:highlight w:val="none"/>
                    <w:lang w:val="en-US" w:eastAsia="zh-CN"/>
                  </w:rPr>
                  <w:t>小型</w:t>
                </w: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sdtContent>
                </w:sdt>
                <w:r>
                  <w:rPr>
                    <w:rFonts w:hint="eastAsia" w:hAnsi="宋体" w:cs="Arial"/>
                    <w:bCs/>
                    <w:color w:val="auto"/>
                    <w:kern w:val="0"/>
                    <w:sz w:val="24"/>
                    <w:highlight w:val="none"/>
                    <w:lang w:val="en-US" w:eastAsia="zh-CN"/>
                  </w:rPr>
                  <w:t>微型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0" w:type="dxa"/>
            <w:vAlign w:val="center"/>
          </w:tcPr>
          <w:p>
            <w:pPr>
              <w:adjustRightInd/>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户外操场音响系统</w:t>
            </w:r>
          </w:p>
        </w:tc>
        <w:tc>
          <w:tcPr>
            <w:tcW w:w="863" w:type="dxa"/>
            <w:vAlign w:val="center"/>
          </w:tcPr>
          <w:p>
            <w:pPr>
              <w:spacing w:line="360" w:lineRule="auto"/>
              <w:jc w:val="center"/>
              <w:rPr>
                <w:rFonts w:hint="eastAsia" w:asciiTheme="minorEastAsia" w:hAnsiTheme="minorEastAsia" w:eastAsiaTheme="minorEastAsia"/>
                <w:color w:val="auto"/>
                <w:sz w:val="24"/>
                <w:highlight w:val="none"/>
                <w:vertAlign w:val="baseline"/>
              </w:rPr>
            </w:pPr>
            <w:r>
              <w:rPr>
                <w:rFonts w:hint="eastAsia" w:asciiTheme="minorEastAsia" w:hAnsiTheme="minorEastAsia" w:eastAsiaTheme="minorEastAsia"/>
                <w:color w:val="auto"/>
                <w:sz w:val="24"/>
                <w:highlight w:val="none"/>
                <w:vertAlign w:val="baseline"/>
                <w:lang w:val="en-US" w:eastAsia="zh-CN"/>
              </w:rPr>
              <w:t>工业</w:t>
            </w:r>
          </w:p>
        </w:tc>
        <w:tc>
          <w:tcPr>
            <w:tcW w:w="1848"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092"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200"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204"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2364" w:type="dxa"/>
            <w:vAlign w:val="center"/>
          </w:tcPr>
          <w:p>
            <w:pPr>
              <w:spacing w:line="360" w:lineRule="auto"/>
              <w:jc w:val="center"/>
              <w:rPr>
                <w:rFonts w:hint="eastAsia" w:asciiTheme="minorEastAsia" w:hAnsiTheme="minorEastAsia" w:eastAsiaTheme="minorEastAsia"/>
                <w:color w:val="auto"/>
                <w:sz w:val="24"/>
                <w:highlight w:val="none"/>
                <w:vertAlign w:val="baseline"/>
              </w:rPr>
            </w:pP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r>
                  <w:rPr>
                    <w:rFonts w:hint="eastAsia" w:asciiTheme="majorEastAsia" w:hAnsiTheme="majorEastAsia" w:eastAsiaTheme="majorEastAsia"/>
                    <w:color w:val="auto"/>
                    <w:sz w:val="24"/>
                    <w:highlight w:val="none"/>
                    <w:lang w:val="en-US" w:eastAsia="zh-CN"/>
                  </w:rPr>
                  <w:t>中型</w:t>
                </w: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sdtContent>
                </w:sdt>
                <w:r>
                  <w:rPr>
                    <w:rFonts w:hint="eastAsia" w:hAnsi="宋体" w:cs="Arial"/>
                    <w:bCs/>
                    <w:color w:val="auto"/>
                    <w:kern w:val="0"/>
                    <w:sz w:val="24"/>
                    <w:highlight w:val="none"/>
                    <w:lang w:val="en-US" w:eastAsia="zh-CN"/>
                  </w:rPr>
                  <w:t>小型</w:t>
                </w: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sdtContent>
                </w:sdt>
                <w:r>
                  <w:rPr>
                    <w:rFonts w:hint="eastAsia" w:hAnsi="宋体" w:cs="Arial"/>
                    <w:bCs/>
                    <w:color w:val="auto"/>
                    <w:kern w:val="0"/>
                    <w:sz w:val="24"/>
                    <w:highlight w:val="none"/>
                    <w:lang w:val="en-US" w:eastAsia="zh-CN"/>
                  </w:rPr>
                  <w:t>微型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0" w:type="dxa"/>
            <w:vAlign w:val="center"/>
          </w:tcPr>
          <w:p>
            <w:pPr>
              <w:adjustRightInd/>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悦士庭院音响系统</w:t>
            </w:r>
          </w:p>
        </w:tc>
        <w:tc>
          <w:tcPr>
            <w:tcW w:w="863" w:type="dxa"/>
            <w:vAlign w:val="center"/>
          </w:tcPr>
          <w:p>
            <w:pPr>
              <w:spacing w:line="360" w:lineRule="auto"/>
              <w:jc w:val="center"/>
              <w:rPr>
                <w:rFonts w:hint="eastAsia" w:asciiTheme="minorEastAsia" w:hAnsiTheme="minorEastAsia" w:eastAsiaTheme="minorEastAsia"/>
                <w:color w:val="auto"/>
                <w:sz w:val="24"/>
                <w:highlight w:val="none"/>
                <w:vertAlign w:val="baseline"/>
              </w:rPr>
            </w:pPr>
            <w:r>
              <w:rPr>
                <w:rFonts w:hint="eastAsia" w:asciiTheme="minorEastAsia" w:hAnsiTheme="minorEastAsia" w:eastAsiaTheme="minorEastAsia"/>
                <w:color w:val="auto"/>
                <w:sz w:val="24"/>
                <w:highlight w:val="none"/>
                <w:vertAlign w:val="baseline"/>
                <w:lang w:val="en-US" w:eastAsia="zh-CN"/>
              </w:rPr>
              <w:t>工业</w:t>
            </w:r>
          </w:p>
        </w:tc>
        <w:tc>
          <w:tcPr>
            <w:tcW w:w="1848"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092"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200"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204"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2364" w:type="dxa"/>
            <w:vAlign w:val="center"/>
          </w:tcPr>
          <w:p>
            <w:pPr>
              <w:spacing w:line="360" w:lineRule="auto"/>
              <w:jc w:val="center"/>
              <w:rPr>
                <w:rFonts w:hint="eastAsia" w:asciiTheme="minorEastAsia" w:hAnsiTheme="minorEastAsia" w:eastAsiaTheme="minorEastAsia"/>
                <w:color w:val="auto"/>
                <w:sz w:val="24"/>
                <w:highlight w:val="none"/>
                <w:vertAlign w:val="baseline"/>
              </w:rPr>
            </w:pP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r>
                  <w:rPr>
                    <w:rFonts w:hint="eastAsia" w:asciiTheme="majorEastAsia" w:hAnsiTheme="majorEastAsia" w:eastAsiaTheme="majorEastAsia"/>
                    <w:color w:val="auto"/>
                    <w:sz w:val="24"/>
                    <w:highlight w:val="none"/>
                    <w:lang w:val="en-US" w:eastAsia="zh-CN"/>
                  </w:rPr>
                  <w:t>中型</w:t>
                </w: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sdtContent>
                </w:sdt>
                <w:r>
                  <w:rPr>
                    <w:rFonts w:hint="eastAsia" w:hAnsi="宋体" w:cs="Arial"/>
                    <w:bCs/>
                    <w:color w:val="auto"/>
                    <w:kern w:val="0"/>
                    <w:sz w:val="24"/>
                    <w:highlight w:val="none"/>
                    <w:lang w:val="en-US" w:eastAsia="zh-CN"/>
                  </w:rPr>
                  <w:t>小型</w:t>
                </w: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sdtContent>
                </w:sdt>
                <w:r>
                  <w:rPr>
                    <w:rFonts w:hint="eastAsia" w:hAnsi="宋体" w:cs="Arial"/>
                    <w:bCs/>
                    <w:color w:val="auto"/>
                    <w:kern w:val="0"/>
                    <w:sz w:val="24"/>
                    <w:highlight w:val="none"/>
                    <w:lang w:val="en-US" w:eastAsia="zh-CN"/>
                  </w:rPr>
                  <w:t>微型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0" w:type="dxa"/>
            <w:vAlign w:val="center"/>
          </w:tcPr>
          <w:p>
            <w:pPr>
              <w:adjustRightInd/>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初中部会议室音响设备</w:t>
            </w:r>
          </w:p>
        </w:tc>
        <w:tc>
          <w:tcPr>
            <w:tcW w:w="863" w:type="dxa"/>
            <w:vAlign w:val="center"/>
          </w:tcPr>
          <w:p>
            <w:pPr>
              <w:spacing w:line="360" w:lineRule="auto"/>
              <w:jc w:val="center"/>
              <w:rPr>
                <w:rFonts w:hint="eastAsia" w:asciiTheme="minorEastAsia" w:hAnsiTheme="minorEastAsia" w:eastAsiaTheme="minorEastAsia"/>
                <w:color w:val="auto"/>
                <w:sz w:val="24"/>
                <w:highlight w:val="none"/>
                <w:vertAlign w:val="baseline"/>
              </w:rPr>
            </w:pPr>
            <w:r>
              <w:rPr>
                <w:rFonts w:hint="eastAsia" w:asciiTheme="minorEastAsia" w:hAnsiTheme="minorEastAsia" w:eastAsiaTheme="minorEastAsia"/>
                <w:color w:val="auto"/>
                <w:sz w:val="24"/>
                <w:highlight w:val="none"/>
                <w:vertAlign w:val="baseline"/>
                <w:lang w:val="en-US" w:eastAsia="zh-CN"/>
              </w:rPr>
              <w:t>工业</w:t>
            </w:r>
          </w:p>
        </w:tc>
        <w:tc>
          <w:tcPr>
            <w:tcW w:w="1848"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092"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200"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204"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2364" w:type="dxa"/>
            <w:vAlign w:val="center"/>
          </w:tcPr>
          <w:p>
            <w:pPr>
              <w:spacing w:line="360" w:lineRule="auto"/>
              <w:jc w:val="center"/>
              <w:rPr>
                <w:rFonts w:hint="eastAsia" w:asciiTheme="minorEastAsia" w:hAnsiTheme="minorEastAsia" w:eastAsiaTheme="minorEastAsia"/>
                <w:color w:val="auto"/>
                <w:sz w:val="24"/>
                <w:highlight w:val="none"/>
                <w:vertAlign w:val="baseline"/>
              </w:rPr>
            </w:pP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r>
                  <w:rPr>
                    <w:rFonts w:hint="eastAsia" w:asciiTheme="majorEastAsia" w:hAnsiTheme="majorEastAsia" w:eastAsiaTheme="majorEastAsia"/>
                    <w:color w:val="auto"/>
                    <w:sz w:val="24"/>
                    <w:highlight w:val="none"/>
                    <w:lang w:val="en-US" w:eastAsia="zh-CN"/>
                  </w:rPr>
                  <w:t>中型</w:t>
                </w: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sdtContent>
                </w:sdt>
                <w:r>
                  <w:rPr>
                    <w:rFonts w:hint="eastAsia" w:hAnsi="宋体" w:cs="Arial"/>
                    <w:bCs/>
                    <w:color w:val="auto"/>
                    <w:kern w:val="0"/>
                    <w:sz w:val="24"/>
                    <w:highlight w:val="none"/>
                    <w:lang w:val="en-US" w:eastAsia="zh-CN"/>
                  </w:rPr>
                  <w:t>小型</w:t>
                </w: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sdtContent>
                </w:sdt>
                <w:r>
                  <w:rPr>
                    <w:rFonts w:hint="eastAsia" w:hAnsi="宋体" w:cs="Arial"/>
                    <w:bCs/>
                    <w:color w:val="auto"/>
                    <w:kern w:val="0"/>
                    <w:sz w:val="24"/>
                    <w:highlight w:val="none"/>
                    <w:lang w:val="en-US" w:eastAsia="zh-CN"/>
                  </w:rPr>
                  <w:t>微型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0" w:type="dxa"/>
            <w:vAlign w:val="center"/>
          </w:tcPr>
          <w:p>
            <w:pPr>
              <w:adjustRightInd/>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福山正达外国语学校</w:t>
            </w:r>
            <w:r>
              <w:rPr>
                <w:rFonts w:hint="eastAsia" w:ascii="宋体" w:hAnsi="宋体" w:cs="宋体"/>
                <w:b w:val="0"/>
                <w:bCs w:val="0"/>
                <w:i w:val="0"/>
                <w:iCs w:val="0"/>
                <w:color w:val="auto"/>
                <w:kern w:val="0"/>
                <w:sz w:val="24"/>
                <w:szCs w:val="24"/>
                <w:highlight w:val="none"/>
                <w:u w:val="none"/>
                <w:lang w:val="en-US" w:eastAsia="zh-CN" w:bidi="ar"/>
              </w:rPr>
              <w:t>音响系统</w:t>
            </w:r>
          </w:p>
        </w:tc>
        <w:tc>
          <w:tcPr>
            <w:tcW w:w="863" w:type="dxa"/>
            <w:vAlign w:val="center"/>
          </w:tcPr>
          <w:p>
            <w:pPr>
              <w:spacing w:line="360" w:lineRule="auto"/>
              <w:jc w:val="center"/>
              <w:rPr>
                <w:rFonts w:hint="eastAsia" w:asciiTheme="minorEastAsia" w:hAnsiTheme="minorEastAsia" w:eastAsiaTheme="minorEastAsia"/>
                <w:color w:val="auto"/>
                <w:sz w:val="24"/>
                <w:highlight w:val="none"/>
                <w:vertAlign w:val="baseline"/>
              </w:rPr>
            </w:pPr>
            <w:r>
              <w:rPr>
                <w:rFonts w:hint="eastAsia" w:asciiTheme="minorEastAsia" w:hAnsiTheme="minorEastAsia" w:eastAsiaTheme="minorEastAsia"/>
                <w:color w:val="auto"/>
                <w:sz w:val="24"/>
                <w:highlight w:val="none"/>
                <w:vertAlign w:val="baseline"/>
                <w:lang w:val="en-US" w:eastAsia="zh-CN"/>
              </w:rPr>
              <w:t>工业</w:t>
            </w:r>
          </w:p>
        </w:tc>
        <w:tc>
          <w:tcPr>
            <w:tcW w:w="1848"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092"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200"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204"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2364" w:type="dxa"/>
            <w:vAlign w:val="center"/>
          </w:tcPr>
          <w:p>
            <w:pPr>
              <w:spacing w:line="360" w:lineRule="auto"/>
              <w:jc w:val="center"/>
              <w:rPr>
                <w:rFonts w:hint="eastAsia" w:asciiTheme="minorEastAsia" w:hAnsiTheme="minorEastAsia" w:eastAsiaTheme="minorEastAsia"/>
                <w:color w:val="auto"/>
                <w:sz w:val="24"/>
                <w:highlight w:val="none"/>
                <w:vertAlign w:val="baseline"/>
              </w:rPr>
            </w:pP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r>
                  <w:rPr>
                    <w:rFonts w:hint="eastAsia" w:asciiTheme="majorEastAsia" w:hAnsiTheme="majorEastAsia" w:eastAsiaTheme="majorEastAsia"/>
                    <w:color w:val="auto"/>
                    <w:sz w:val="24"/>
                    <w:highlight w:val="none"/>
                    <w:lang w:val="en-US" w:eastAsia="zh-CN"/>
                  </w:rPr>
                  <w:t>中型</w:t>
                </w: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sdtContent>
                </w:sdt>
                <w:r>
                  <w:rPr>
                    <w:rFonts w:hint="eastAsia" w:hAnsi="宋体" w:cs="Arial"/>
                    <w:bCs/>
                    <w:color w:val="auto"/>
                    <w:kern w:val="0"/>
                    <w:sz w:val="24"/>
                    <w:highlight w:val="none"/>
                    <w:lang w:val="en-US" w:eastAsia="zh-CN"/>
                  </w:rPr>
                  <w:t>小型</w:t>
                </w: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sdtContent>
                </w:sdt>
                <w:r>
                  <w:rPr>
                    <w:rFonts w:hint="eastAsia" w:hAnsi="宋体" w:cs="Arial"/>
                    <w:bCs/>
                    <w:color w:val="auto"/>
                    <w:kern w:val="0"/>
                    <w:sz w:val="24"/>
                    <w:highlight w:val="none"/>
                    <w:lang w:val="en-US" w:eastAsia="zh-CN"/>
                  </w:rPr>
                  <w:t>微型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0" w:type="dxa"/>
            <w:vAlign w:val="center"/>
          </w:tcPr>
          <w:p>
            <w:pPr>
              <w:adjustRightInd/>
              <w:spacing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报告厅</w:t>
            </w:r>
            <w:r>
              <w:rPr>
                <w:rFonts w:hint="eastAsia" w:ascii="宋体" w:hAnsi="宋体" w:cs="宋体"/>
                <w:b w:val="0"/>
                <w:bCs w:val="0"/>
                <w:i w:val="0"/>
                <w:iCs w:val="0"/>
                <w:color w:val="auto"/>
                <w:kern w:val="0"/>
                <w:sz w:val="24"/>
                <w:szCs w:val="24"/>
                <w:highlight w:val="none"/>
                <w:u w:val="none"/>
                <w:lang w:val="en-US" w:eastAsia="zh-CN" w:bidi="ar"/>
              </w:rPr>
              <w:t>音响系统</w:t>
            </w:r>
          </w:p>
        </w:tc>
        <w:tc>
          <w:tcPr>
            <w:tcW w:w="863" w:type="dxa"/>
            <w:vAlign w:val="center"/>
          </w:tcPr>
          <w:p>
            <w:pPr>
              <w:spacing w:line="360" w:lineRule="auto"/>
              <w:jc w:val="center"/>
              <w:rPr>
                <w:rFonts w:hint="eastAsia" w:asciiTheme="minorEastAsia" w:hAnsiTheme="minorEastAsia" w:eastAsiaTheme="minorEastAsia"/>
                <w:color w:val="auto"/>
                <w:sz w:val="24"/>
                <w:highlight w:val="none"/>
                <w:vertAlign w:val="baseline"/>
              </w:rPr>
            </w:pPr>
            <w:r>
              <w:rPr>
                <w:rFonts w:hint="eastAsia" w:asciiTheme="minorEastAsia" w:hAnsiTheme="minorEastAsia" w:eastAsiaTheme="minorEastAsia"/>
                <w:color w:val="auto"/>
                <w:sz w:val="24"/>
                <w:highlight w:val="none"/>
                <w:vertAlign w:val="baseline"/>
                <w:lang w:val="en-US" w:eastAsia="zh-CN"/>
              </w:rPr>
              <w:t>工业</w:t>
            </w:r>
          </w:p>
        </w:tc>
        <w:tc>
          <w:tcPr>
            <w:tcW w:w="1848"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092"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200"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204"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2364" w:type="dxa"/>
            <w:vAlign w:val="center"/>
          </w:tcPr>
          <w:p>
            <w:pPr>
              <w:spacing w:line="360" w:lineRule="auto"/>
              <w:jc w:val="center"/>
              <w:rPr>
                <w:rFonts w:hint="eastAsia" w:asciiTheme="minorEastAsia" w:hAnsiTheme="minorEastAsia" w:eastAsiaTheme="minorEastAsia"/>
                <w:color w:val="auto"/>
                <w:sz w:val="24"/>
                <w:highlight w:val="none"/>
                <w:vertAlign w:val="baseline"/>
              </w:rPr>
            </w:pP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r>
                  <w:rPr>
                    <w:rFonts w:hint="eastAsia" w:asciiTheme="majorEastAsia" w:hAnsiTheme="majorEastAsia" w:eastAsiaTheme="majorEastAsia"/>
                    <w:color w:val="auto"/>
                    <w:sz w:val="24"/>
                    <w:highlight w:val="none"/>
                    <w:lang w:val="en-US" w:eastAsia="zh-CN"/>
                  </w:rPr>
                  <w:t>中型</w:t>
                </w: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sdtContent>
                </w:sdt>
                <w:r>
                  <w:rPr>
                    <w:rFonts w:hint="eastAsia" w:hAnsi="宋体" w:cs="Arial"/>
                    <w:bCs/>
                    <w:color w:val="auto"/>
                    <w:kern w:val="0"/>
                    <w:sz w:val="24"/>
                    <w:highlight w:val="none"/>
                    <w:lang w:val="en-US" w:eastAsia="zh-CN"/>
                  </w:rPr>
                  <w:t>小型</w:t>
                </w: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sdtContent>
                </w:sdt>
                <w:r>
                  <w:rPr>
                    <w:rFonts w:hint="eastAsia" w:hAnsi="宋体" w:cs="Arial"/>
                    <w:bCs/>
                    <w:color w:val="auto"/>
                    <w:kern w:val="0"/>
                    <w:sz w:val="24"/>
                    <w:highlight w:val="none"/>
                    <w:lang w:val="en-US" w:eastAsia="zh-CN"/>
                  </w:rPr>
                  <w:t>微型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0" w:type="dxa"/>
            <w:vAlign w:val="center"/>
          </w:tcPr>
          <w:p>
            <w:pPr>
              <w:adjustRightInd/>
              <w:spacing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扩音系统</w:t>
            </w:r>
          </w:p>
        </w:tc>
        <w:tc>
          <w:tcPr>
            <w:tcW w:w="863" w:type="dxa"/>
            <w:vAlign w:val="center"/>
          </w:tcPr>
          <w:p>
            <w:pPr>
              <w:spacing w:line="360" w:lineRule="auto"/>
              <w:jc w:val="center"/>
              <w:rPr>
                <w:rFonts w:hint="eastAsia" w:asciiTheme="minorEastAsia" w:hAnsiTheme="minorEastAsia" w:eastAsiaTheme="minorEastAsia"/>
                <w:color w:val="auto"/>
                <w:sz w:val="24"/>
                <w:highlight w:val="none"/>
                <w:vertAlign w:val="baseline"/>
              </w:rPr>
            </w:pPr>
            <w:r>
              <w:rPr>
                <w:rFonts w:hint="eastAsia" w:asciiTheme="minorEastAsia" w:hAnsiTheme="minorEastAsia" w:eastAsiaTheme="minorEastAsia"/>
                <w:color w:val="auto"/>
                <w:sz w:val="24"/>
                <w:highlight w:val="none"/>
                <w:vertAlign w:val="baseline"/>
                <w:lang w:val="en-US" w:eastAsia="zh-CN"/>
              </w:rPr>
              <w:t>工业</w:t>
            </w:r>
          </w:p>
        </w:tc>
        <w:tc>
          <w:tcPr>
            <w:tcW w:w="1848"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092"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200"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204"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2364" w:type="dxa"/>
            <w:vAlign w:val="center"/>
          </w:tcPr>
          <w:p>
            <w:pPr>
              <w:spacing w:line="360" w:lineRule="auto"/>
              <w:jc w:val="center"/>
              <w:rPr>
                <w:rFonts w:hint="eastAsia" w:asciiTheme="minorEastAsia" w:hAnsiTheme="minorEastAsia" w:eastAsiaTheme="minorEastAsia"/>
                <w:color w:val="auto"/>
                <w:sz w:val="24"/>
                <w:highlight w:val="none"/>
                <w:vertAlign w:val="baseline"/>
              </w:rPr>
            </w:pP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r>
                  <w:rPr>
                    <w:rFonts w:hint="eastAsia" w:asciiTheme="majorEastAsia" w:hAnsiTheme="majorEastAsia" w:eastAsiaTheme="majorEastAsia"/>
                    <w:color w:val="auto"/>
                    <w:sz w:val="24"/>
                    <w:highlight w:val="none"/>
                    <w:lang w:val="en-US" w:eastAsia="zh-CN"/>
                  </w:rPr>
                  <w:t>中型</w:t>
                </w: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sdtContent>
                </w:sdt>
                <w:r>
                  <w:rPr>
                    <w:rFonts w:hint="eastAsia" w:hAnsi="宋体" w:cs="Arial"/>
                    <w:bCs/>
                    <w:color w:val="auto"/>
                    <w:kern w:val="0"/>
                    <w:sz w:val="24"/>
                    <w:highlight w:val="none"/>
                    <w:lang w:val="en-US" w:eastAsia="zh-CN"/>
                  </w:rPr>
                  <w:t>小型</w:t>
                </w: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sdtContent>
                </w:sdt>
                <w:r>
                  <w:rPr>
                    <w:rFonts w:hint="eastAsia" w:hAnsi="宋体" w:cs="Arial"/>
                    <w:bCs/>
                    <w:color w:val="auto"/>
                    <w:kern w:val="0"/>
                    <w:sz w:val="24"/>
                    <w:highlight w:val="none"/>
                    <w:lang w:val="en-US" w:eastAsia="zh-CN"/>
                  </w:rPr>
                  <w:t>微型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0" w:type="dxa"/>
            <w:vAlign w:val="center"/>
          </w:tcPr>
          <w:p>
            <w:pPr>
              <w:adjustRightInd/>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灯光系统</w:t>
            </w:r>
          </w:p>
        </w:tc>
        <w:tc>
          <w:tcPr>
            <w:tcW w:w="863" w:type="dxa"/>
            <w:vAlign w:val="center"/>
          </w:tcPr>
          <w:p>
            <w:pPr>
              <w:spacing w:line="360" w:lineRule="auto"/>
              <w:jc w:val="center"/>
              <w:rPr>
                <w:rFonts w:hint="eastAsia" w:asciiTheme="minorEastAsia" w:hAnsiTheme="minorEastAsia" w:eastAsiaTheme="minorEastAsia"/>
                <w:color w:val="auto"/>
                <w:sz w:val="24"/>
                <w:highlight w:val="none"/>
                <w:vertAlign w:val="baseline"/>
                <w:lang w:val="en-US" w:eastAsia="zh-CN"/>
              </w:rPr>
            </w:pPr>
            <w:r>
              <w:rPr>
                <w:rFonts w:hint="eastAsia" w:asciiTheme="minorEastAsia" w:hAnsiTheme="minorEastAsia" w:eastAsiaTheme="minorEastAsia"/>
                <w:color w:val="auto"/>
                <w:sz w:val="24"/>
                <w:highlight w:val="none"/>
                <w:vertAlign w:val="baseline"/>
                <w:lang w:val="en-US" w:eastAsia="zh-CN"/>
              </w:rPr>
              <w:t>工业</w:t>
            </w:r>
          </w:p>
        </w:tc>
        <w:tc>
          <w:tcPr>
            <w:tcW w:w="1848"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092"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200"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1204" w:type="dxa"/>
            <w:vAlign w:val="center"/>
          </w:tcPr>
          <w:p>
            <w:pPr>
              <w:spacing w:line="360" w:lineRule="auto"/>
              <w:jc w:val="center"/>
              <w:rPr>
                <w:rFonts w:hint="eastAsia" w:asciiTheme="minorEastAsia" w:hAnsiTheme="minorEastAsia" w:eastAsiaTheme="minorEastAsia"/>
                <w:color w:val="auto"/>
                <w:sz w:val="24"/>
                <w:highlight w:val="none"/>
                <w:vertAlign w:val="baseline"/>
              </w:rPr>
            </w:pPr>
          </w:p>
        </w:tc>
        <w:tc>
          <w:tcPr>
            <w:tcW w:w="2364" w:type="dxa"/>
            <w:vAlign w:val="center"/>
          </w:tcPr>
          <w:p>
            <w:pPr>
              <w:spacing w:line="360" w:lineRule="auto"/>
              <w:jc w:val="center"/>
              <w:rPr>
                <w:rFonts w:hint="eastAsia" w:hAnsi="宋体" w:cs="Arial"/>
                <w:bCs/>
                <w:color w:val="auto"/>
                <w:kern w:val="0"/>
                <w:sz w:val="24"/>
                <w:highlight w:val="none"/>
              </w:rPr>
            </w:pP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r>
                  <w:rPr>
                    <w:rFonts w:hint="eastAsia" w:asciiTheme="majorEastAsia" w:hAnsiTheme="majorEastAsia" w:eastAsiaTheme="majorEastAsia"/>
                    <w:color w:val="auto"/>
                    <w:sz w:val="24"/>
                    <w:highlight w:val="none"/>
                    <w:lang w:val="en-US" w:eastAsia="zh-CN"/>
                  </w:rPr>
                  <w:t>中型</w:t>
                </w: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sdtContent>
                </w:sdt>
                <w:r>
                  <w:rPr>
                    <w:rFonts w:hint="eastAsia" w:hAnsi="宋体" w:cs="Arial"/>
                    <w:bCs/>
                    <w:color w:val="auto"/>
                    <w:kern w:val="0"/>
                    <w:sz w:val="24"/>
                    <w:highlight w:val="none"/>
                    <w:lang w:val="en-US" w:eastAsia="zh-CN"/>
                  </w:rPr>
                  <w:t>小型</w:t>
                </w:r>
                <w:sdt>
                  <w:sdtPr>
                    <w:rPr>
                      <w:rFonts w:hint="eastAsia" w:hAnsi="宋体" w:cs="Arial"/>
                      <w:bCs/>
                      <w:color w:val="auto"/>
                      <w:kern w:val="0"/>
                      <w:sz w:val="24"/>
                      <w:highlight w:val="none"/>
                    </w:rPr>
                    <w:id w:val="-693146244"/>
                  </w:sdtPr>
                  <w:sdtEndPr>
                    <w:rPr>
                      <w:rFonts w:hint="eastAsia" w:hAnsi="宋体" w:cs="Arial"/>
                      <w:bCs/>
                      <w:color w:val="auto"/>
                      <w:kern w:val="0"/>
                      <w:sz w:val="24"/>
                      <w:highlight w:val="none"/>
                    </w:rPr>
                  </w:sdtEndPr>
                  <w:sdtContent>
                    <w:r>
                      <w:rPr>
                        <w:rFonts w:asciiTheme="majorEastAsia" w:hAnsiTheme="majorEastAsia" w:eastAsiaTheme="majorEastAsia"/>
                        <w:color w:val="auto"/>
                        <w:sz w:val="24"/>
                        <w:highlight w:val="none"/>
                      </w:rPr>
                      <w:sym w:font="Wingdings" w:char="00A8"/>
                    </w:r>
                  </w:sdtContent>
                </w:sdt>
                <w:r>
                  <w:rPr>
                    <w:rFonts w:hint="eastAsia" w:hAnsi="宋体" w:cs="Arial"/>
                    <w:bCs/>
                    <w:color w:val="auto"/>
                    <w:kern w:val="0"/>
                    <w:sz w:val="24"/>
                    <w:highlight w:val="none"/>
                    <w:lang w:val="en-US" w:eastAsia="zh-CN"/>
                  </w:rPr>
                  <w:t>微型</w:t>
                </w:r>
              </w:sdtContent>
            </w:sdt>
          </w:p>
        </w:tc>
      </w:tr>
    </w:tbl>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本企业对上述声明内容的真实性负责。如有虚假，将依法承担相应责任。</w:t>
      </w:r>
    </w:p>
    <w:p>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p>
    <w:p>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投标人名称</w:t>
      </w:r>
      <w:r>
        <w:rPr>
          <w:rFonts w:cs="仿宋_GB2312" w:asciiTheme="minorEastAsia" w:hAnsiTheme="minorEastAsia" w:eastAsiaTheme="minorEastAsia"/>
          <w:color w:val="auto"/>
          <w:kern w:val="0"/>
          <w:sz w:val="24"/>
          <w:highlight w:val="none"/>
          <w:lang w:val="zh-CN"/>
        </w:rPr>
        <w:t>(电子签名)：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lang w:val="zh-CN"/>
        </w:rPr>
        <w:t xml:space="preserve">                                           日期</w:t>
      </w: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p>
    <w:p>
      <w:pPr>
        <w:spacing w:line="360" w:lineRule="auto"/>
        <w:rPr>
          <w:rFonts w:hint="eastAsia" w:asciiTheme="minorEastAsia" w:hAnsiTheme="minorEastAsia" w:eastAsiaTheme="minorEastAsia"/>
          <w:color w:val="auto"/>
          <w:sz w:val="24"/>
          <w:highlight w:val="none"/>
        </w:rPr>
      </w:pP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说明：</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（1）从业人员、营业收入、资产总额填报上一年度数据，无上一年度数据的新成立企业可不填报。</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（2）本项目仅对符合《政府采购促进中小企业发展管理办法》（财库﹝2020﹞46 号）的规定的小型、微型企业进行价格扣除，不属于小型、微型企业，不用提供此函。</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Theme="minorEastAsia" w:hAnsiTheme="minorEastAsia" w:eastAsiaTheme="minorEastAsia"/>
          <w:color w:val="auto"/>
          <w:highlight w:val="none"/>
        </w:rPr>
        <w:sectPr>
          <w:pgSz w:w="11906" w:h="16838"/>
          <w:pgMar w:top="1134" w:right="1134" w:bottom="1134" w:left="1134" w:header="851" w:footer="992" w:gutter="0"/>
          <w:pgNumType w:fmt="decimal"/>
          <w:cols w:space="720" w:num="1"/>
          <w:titlePg/>
          <w:docGrid w:linePitch="312" w:charSpace="0"/>
        </w:sectPr>
      </w:pPr>
    </w:p>
    <w:p>
      <w:pPr>
        <w:pStyle w:val="4"/>
        <w:spacing w:before="0" w:after="0"/>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附件3：业务专用章使用说明函</w:t>
      </w:r>
    </w:p>
    <w:p>
      <w:pPr>
        <w:rPr>
          <w:color w:val="auto"/>
          <w:highlight w:val="none"/>
        </w:rPr>
      </w:pPr>
    </w:p>
    <w:p>
      <w:pPr>
        <w:autoSpaceDE w:val="0"/>
        <w:autoSpaceDN w:val="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业务专用章使用说明函</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(投标人全称)是中华人民共和国依法登记注册的合法企业，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rPr>
        <w:t>项目</w:t>
      </w:r>
      <w:r>
        <w:rPr>
          <w:rFonts w:hint="eastAsia" w:asciiTheme="minorEastAsia" w:hAnsiTheme="minorEastAsia" w:eastAsiaTheme="minorEastAsia" w:cstheme="minorEastAsia"/>
          <w:color w:val="auto"/>
          <w:sz w:val="24"/>
          <w:highlight w:val="none"/>
          <w:u w:val="single"/>
        </w:rPr>
        <w:t>【采购编号：（采购编号）】</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pPr>
        <w:spacing w:line="360" w:lineRule="auto"/>
        <w:ind w:firstLine="494"/>
        <w:rPr>
          <w:rFonts w:asciiTheme="minorEastAsia" w:hAnsiTheme="minorEastAsia" w:eastAsiaTheme="minorEastAsia" w:cstheme="minorEastAsia"/>
          <w:color w:val="auto"/>
          <w:sz w:val="24"/>
          <w:highlight w:val="none"/>
        </w:rPr>
      </w:pPr>
    </w:p>
    <w:p>
      <w:pPr>
        <w:spacing w:line="360" w:lineRule="auto"/>
        <w:ind w:firstLine="494"/>
        <w:rPr>
          <w:rFonts w:asciiTheme="minorEastAsia" w:hAnsiTheme="minorEastAsia" w:eastAsiaTheme="minorEastAsia" w:cstheme="minorEastAsia"/>
          <w:color w:val="auto"/>
          <w:sz w:val="24"/>
          <w:highlight w:val="none"/>
        </w:rPr>
      </w:pPr>
    </w:p>
    <w:p>
      <w:pPr>
        <w:spacing w:line="360" w:lineRule="auto"/>
        <w:ind w:firstLine="494"/>
        <w:rPr>
          <w:rFonts w:asciiTheme="minorEastAsia" w:hAnsiTheme="minorEastAsia" w:eastAsiaTheme="minorEastAsia" w:cstheme="minorEastAsia"/>
          <w:color w:val="auto"/>
          <w:sz w:val="24"/>
          <w:highlight w:val="none"/>
        </w:rPr>
      </w:pPr>
    </w:p>
    <w:p>
      <w:pPr>
        <w:spacing w:line="360" w:lineRule="auto"/>
        <w:ind w:firstLine="494"/>
        <w:rPr>
          <w:rFonts w:asciiTheme="minorEastAsia" w:hAnsiTheme="minorEastAsia" w:eastAsiaTheme="minorEastAsia" w:cstheme="minorEastAsia"/>
          <w:color w:val="auto"/>
          <w:sz w:val="24"/>
          <w:highlight w:val="none"/>
        </w:rPr>
      </w:pPr>
    </w:p>
    <w:p>
      <w:pPr>
        <w:spacing w:line="360" w:lineRule="auto"/>
        <w:ind w:right="480" w:firstLine="4080" w:firstLineChars="1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pPr>
        <w:ind w:right="1440" w:firstLine="494"/>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pPr>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2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aXa1fisCAAB1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ZAPP9gAAAAKAQAADwAAAAAAAAABACAAAAAiAAAAZHJzL2Rvd25yZXYueG1sUEsBAhQA&#10;FAAAAAgAh07iQGl2tX4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ZjEem2AAAAAoBAAAPAAAAAAAAAAEAIAAAACIAAABkcnMvZG93bnJldi54bWxQSwECFAAUAAAA&#10;CACHTuJAP7KTCicCAAB1BAAADgAAAAAAAAABACAAAAAnAQAAZHJzL2Uyb0RvYy54bWxQSwUGAAAA&#10;AAYABgBZAQAAwA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pPr>
        <w:autoSpaceDE w:val="0"/>
        <w:autoSpaceDN w:val="0"/>
        <w:jc w:val="center"/>
        <w:rPr>
          <w:rFonts w:asciiTheme="minorEastAsia" w:hAnsiTheme="minorEastAsia" w:eastAsiaTheme="minorEastAsia" w:cstheme="minorEastAsia"/>
          <w:b/>
          <w:color w:val="auto"/>
          <w:spacing w:val="6"/>
          <w:sz w:val="24"/>
          <w:highlight w:val="none"/>
        </w:rPr>
      </w:pPr>
    </w:p>
    <w:p>
      <w:pPr>
        <w:autoSpaceDE w:val="0"/>
        <w:autoSpaceDN w:val="0"/>
        <w:jc w:val="center"/>
        <w:rPr>
          <w:rFonts w:asciiTheme="minorEastAsia" w:hAnsiTheme="minorEastAsia" w:eastAsiaTheme="minorEastAsia" w:cstheme="minorEastAsia"/>
          <w:b/>
          <w:color w:val="auto"/>
          <w:spacing w:val="6"/>
          <w:sz w:val="24"/>
          <w:highlight w:val="none"/>
        </w:rPr>
      </w:pPr>
    </w:p>
    <w:p>
      <w:pPr>
        <w:autoSpaceDE w:val="0"/>
        <w:autoSpaceDN w:val="0"/>
        <w:jc w:val="center"/>
        <w:rPr>
          <w:rFonts w:asciiTheme="minorEastAsia" w:hAnsiTheme="minorEastAsia" w:eastAsiaTheme="minorEastAsia" w:cstheme="minorEastAsia"/>
          <w:b/>
          <w:color w:val="auto"/>
          <w:spacing w:val="6"/>
          <w:sz w:val="24"/>
          <w:highlight w:val="none"/>
        </w:rPr>
      </w:pPr>
    </w:p>
    <w:p>
      <w:pPr>
        <w:autoSpaceDE w:val="0"/>
        <w:autoSpaceDN w:val="0"/>
        <w:jc w:val="center"/>
        <w:rPr>
          <w:rFonts w:asciiTheme="minorEastAsia" w:hAnsiTheme="minorEastAsia" w:eastAsiaTheme="minorEastAsia" w:cstheme="minorEastAsia"/>
          <w:b/>
          <w:color w:val="auto"/>
          <w:spacing w:val="6"/>
          <w:sz w:val="24"/>
          <w:highlight w:val="none"/>
        </w:rPr>
      </w:pPr>
    </w:p>
    <w:p>
      <w:pPr>
        <w:autoSpaceDE w:val="0"/>
        <w:autoSpaceDN w:val="0"/>
        <w:jc w:val="center"/>
        <w:rPr>
          <w:rFonts w:asciiTheme="minorEastAsia" w:hAnsiTheme="minorEastAsia" w:eastAsiaTheme="minorEastAsia" w:cstheme="minorEastAsia"/>
          <w:b/>
          <w:color w:val="auto"/>
          <w:spacing w:val="6"/>
          <w:sz w:val="24"/>
          <w:highlight w:val="none"/>
        </w:rPr>
      </w:pPr>
    </w:p>
    <w:p>
      <w:pPr>
        <w:autoSpaceDE w:val="0"/>
        <w:autoSpaceDN w:val="0"/>
        <w:jc w:val="center"/>
        <w:rPr>
          <w:rFonts w:asciiTheme="minorEastAsia" w:hAnsiTheme="minorEastAsia" w:eastAsiaTheme="minorEastAsia" w:cstheme="minorEastAsia"/>
          <w:b/>
          <w:color w:val="auto"/>
          <w:spacing w:val="6"/>
          <w:sz w:val="24"/>
          <w:highlight w:val="none"/>
        </w:rPr>
      </w:pPr>
    </w:p>
    <w:p>
      <w:pPr>
        <w:autoSpaceDE w:val="0"/>
        <w:autoSpaceDN w:val="0"/>
        <w:jc w:val="center"/>
        <w:rPr>
          <w:rFonts w:asciiTheme="minorEastAsia" w:hAnsiTheme="minorEastAsia" w:eastAsiaTheme="minorEastAsia" w:cstheme="minorEastAsia"/>
          <w:b/>
          <w:color w:val="auto"/>
          <w:spacing w:val="6"/>
          <w:sz w:val="24"/>
          <w:highlight w:val="none"/>
        </w:rPr>
      </w:pPr>
    </w:p>
    <w:p>
      <w:pPr>
        <w:autoSpaceDE w:val="0"/>
        <w:autoSpaceDN w:val="0"/>
        <w:jc w:val="center"/>
        <w:rPr>
          <w:rFonts w:asciiTheme="minorEastAsia" w:hAnsiTheme="minorEastAsia" w:eastAsiaTheme="minorEastAsia" w:cstheme="minorEastAsia"/>
          <w:b/>
          <w:color w:val="auto"/>
          <w:spacing w:val="6"/>
          <w:sz w:val="24"/>
          <w:highlight w:val="none"/>
        </w:rPr>
      </w:pPr>
    </w:p>
    <w:p>
      <w:pPr>
        <w:autoSpaceDE w:val="0"/>
        <w:autoSpaceDN w:val="0"/>
        <w:jc w:val="center"/>
        <w:rPr>
          <w:rFonts w:asciiTheme="minorEastAsia" w:hAnsiTheme="minorEastAsia" w:eastAsiaTheme="minorEastAsia" w:cstheme="minorEastAsia"/>
          <w:b/>
          <w:color w:val="auto"/>
          <w:spacing w:val="6"/>
          <w:sz w:val="24"/>
          <w:highlight w:val="none"/>
        </w:rPr>
      </w:pPr>
    </w:p>
    <w:p>
      <w:pPr>
        <w:rPr>
          <w:color w:val="auto"/>
          <w:highlight w:val="none"/>
        </w:rPr>
      </w:pPr>
    </w:p>
    <w:p>
      <w:pPr>
        <w:rPr>
          <w:color w:val="auto"/>
          <w:highlight w:val="none"/>
        </w:rPr>
      </w:pPr>
    </w:p>
    <w:p>
      <w:pPr>
        <w:rPr>
          <w:color w:val="auto"/>
          <w:highlight w:val="none"/>
        </w:rPr>
      </w:pPr>
    </w:p>
    <w:sectPr>
      <w:pgSz w:w="11906" w:h="16838"/>
      <w:pgMar w:top="1134" w:right="1134" w:bottom="1134" w:left="113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7" name="文本框 3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PYmA1AgAAZQQAAA4AAABkcnMvZTJvRG9jLnhtbK1US27bMBDdF+gd&#10;CO5ryQ6SGo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i0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Q89iYDUCAABlBAAADgAAAAAAAAABACAAAAAfAQAAZHJzL2Uyb0RvYy54bWxQ&#10;SwUGAAAAAAYABgBZAQAAxg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178</w:t>
                    </w:r>
                    <w:r>
                      <w:fldChar w:fldCharType="end"/>
                    </w:r>
                  </w:p>
                </w:txbxContent>
              </v:textbox>
            </v:shape>
          </w:pict>
        </mc:Fallback>
      </mc:AlternateContent>
    </w:r>
  </w:p>
  <w:p>
    <w:pPr>
      <w:pStyle w:val="40"/>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9" name="文本框 3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a6Hg1AgAAZQQAAA4AAABkcnMvZTJvRG9jLnhtbK1UzY7TMBC+I/EO&#10;lu80aRdWpW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fkuJZgolP//4&#10;fv756/zwjcRDSFRbP0Pk1iI2NO9Mg8YZzj0OI/OmcCp+wYnAD4FPF4FFEwiPl6aT6TSFi8M3bICf&#10;PF63zof3wigSjYw6VLAVlh03PnShQ0jMps26krKtotSkzuj11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ZroeDUCAABlBAAADgAAAAAAAAABACAAAAAfAQAAZHJzL2Uyb0RvYy54bWxQ&#10;SwUGAAAAAAYABgBZAQAAxg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0" name="文本框 3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D2WQE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Q9lkBMQIAAGU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7SsedNAIAAGUEAAAOAAAAAAAAAAEAIAAAAB8BAABkcnMvZTJvRG9jLnhtbFBL&#10;BQYAAAAABgAGAFkBAADF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2" name="文本框 3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IFeM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U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HiBXjNAIAAGUEAAAOAAAAAAAAAAEAIAAAAB8BAABkcnMvZTJvRG9jLnhtbFBL&#10;BQYAAAAABgAGAFkBAADF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3" name="文本框 3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It/NAIAAGUEAAAOAAAAAAAAAAEAIAAAAB8BAABkcnMvZTJvRG9jLnhtbFBL&#10;BQYAAAAABgAGAFkBAADF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4" name="文本框 3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8NsB41AgAAZQQAAA4AAABkcnMvZTJvRG9jLnhtbK1US27bMBDdF+gd&#10;CO5ryU4T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i0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w2wHjUCAABlBAAADgAAAAAAAAABACAAAAAfAQAAZHJzL2Uyb0RvYy54bWxQ&#10;SwUGAAAAAAYABgBZAQAAxg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5" name="文本框 3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UsS6CNAIAAGUEAAAOAAAAAAAAAAEAIAAAAB8BAABkcnMvZTJvRG9jLnhtbFBL&#10;BQYAAAAABgAGAFkBAADF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6" name="文本框 3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oc/z8NAIAAGUEAAAOAAAAAAAAAAEAIAAAAB8BAABkcnMvZTJvRG9jLnhtbFBL&#10;BQYAAAAABgAGAFkBAADF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spacing w:line="360" w:lineRule="auto"/>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both"/>
    </w:pPr>
    <w:r>
      <w:rPr>
        <w:rFonts w:hint="eastAsia"/>
      </w:rPr>
      <w:tab/>
    </w:r>
    <w:r>
      <w:rPr>
        <w:rFonts w:hint="eastAsia"/>
      </w:rPr>
      <w:tab/>
    </w:r>
    <w:r>
      <w:rPr>
        <w:rFonts w:hint="eastAsia"/>
      </w:rPr>
      <w:tab/>
    </w:r>
    <w:r>
      <w:rPr>
        <w:rFonts w:hint="eastAsia"/>
      </w:rPr>
      <w:tab/>
    </w:r>
    <w:r>
      <w:rPr>
        <w:rFonts w:hint="eastAsia"/>
      </w:rPr>
      <w:t xml:space="preserve">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both"/>
    </w:pPr>
    <w:r>
      <w:rPr>
        <w:rFonts w:hint="eastAsia"/>
      </w:rPr>
      <w:tab/>
    </w:r>
    <w:r>
      <w:rPr>
        <w:rFonts w:hint="eastAsia"/>
      </w:rPr>
      <w:tab/>
    </w:r>
    <w:r>
      <w:rPr>
        <w:rFonts w:hint="eastAsia"/>
      </w:rPr>
      <w:tab/>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A48E6"/>
    <w:multiLevelType w:val="singleLevel"/>
    <w:tmpl w:val="8BBA48E6"/>
    <w:lvl w:ilvl="0" w:tentative="0">
      <w:start w:val="5"/>
      <w:numFmt w:val="decimal"/>
      <w:suff w:val="nothing"/>
      <w:lvlText w:val="%1、"/>
      <w:lvlJc w:val="left"/>
      <w:pPr>
        <w:ind w:left="240" w:leftChars="0" w:firstLine="0" w:firstLineChars="0"/>
      </w:pPr>
    </w:lvl>
  </w:abstractNum>
  <w:abstractNum w:abstractNumId="1">
    <w:nsid w:val="30468331"/>
    <w:multiLevelType w:val="singleLevel"/>
    <w:tmpl w:val="30468331"/>
    <w:lvl w:ilvl="0" w:tentative="0">
      <w:start w:val="1"/>
      <w:numFmt w:val="decimal"/>
      <w:suff w:val="nothing"/>
      <w:lvlText w:val="（%1）"/>
      <w:lvlJc w:val="left"/>
    </w:lvl>
  </w:abstractNum>
  <w:abstractNum w:abstractNumId="2">
    <w:nsid w:val="4E8212DA"/>
    <w:multiLevelType w:val="singleLevel"/>
    <w:tmpl w:val="4E8212DA"/>
    <w:lvl w:ilvl="0" w:tentative="0">
      <w:start w:val="1"/>
      <w:numFmt w:val="decimal"/>
      <w:lvlText w:val="%1、"/>
      <w:lvlJc w:val="left"/>
      <w:pPr>
        <w:tabs>
          <w:tab w:val="left" w:pos="840"/>
        </w:tabs>
        <w:ind w:left="84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ExZTlkNDQ2NTFhMGEwYWNiMDk1Y2IyZjlkY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662"/>
    <w:rsid w:val="000138C4"/>
    <w:rsid w:val="00013C1F"/>
    <w:rsid w:val="00013F31"/>
    <w:rsid w:val="000140D8"/>
    <w:rsid w:val="00014530"/>
    <w:rsid w:val="00014BBC"/>
    <w:rsid w:val="000150EE"/>
    <w:rsid w:val="000168D8"/>
    <w:rsid w:val="000170C8"/>
    <w:rsid w:val="000173CF"/>
    <w:rsid w:val="000173F4"/>
    <w:rsid w:val="00020287"/>
    <w:rsid w:val="000202FE"/>
    <w:rsid w:val="00020B5F"/>
    <w:rsid w:val="000211BC"/>
    <w:rsid w:val="0002207B"/>
    <w:rsid w:val="000232FD"/>
    <w:rsid w:val="00023323"/>
    <w:rsid w:val="000233E4"/>
    <w:rsid w:val="00023495"/>
    <w:rsid w:val="00023777"/>
    <w:rsid w:val="00024130"/>
    <w:rsid w:val="000244E6"/>
    <w:rsid w:val="00024584"/>
    <w:rsid w:val="00024962"/>
    <w:rsid w:val="000249AA"/>
    <w:rsid w:val="00025350"/>
    <w:rsid w:val="000253E5"/>
    <w:rsid w:val="00025776"/>
    <w:rsid w:val="00026EAC"/>
    <w:rsid w:val="000270F2"/>
    <w:rsid w:val="00027540"/>
    <w:rsid w:val="00027FD2"/>
    <w:rsid w:val="00030572"/>
    <w:rsid w:val="00030A97"/>
    <w:rsid w:val="00030CB3"/>
    <w:rsid w:val="0003206A"/>
    <w:rsid w:val="000326A7"/>
    <w:rsid w:val="00032EA0"/>
    <w:rsid w:val="000331B0"/>
    <w:rsid w:val="000336D4"/>
    <w:rsid w:val="00034FA7"/>
    <w:rsid w:val="0003533D"/>
    <w:rsid w:val="000357E4"/>
    <w:rsid w:val="00035ACA"/>
    <w:rsid w:val="00036F0B"/>
    <w:rsid w:val="000401E9"/>
    <w:rsid w:val="00040447"/>
    <w:rsid w:val="00040494"/>
    <w:rsid w:val="00040B70"/>
    <w:rsid w:val="00042441"/>
    <w:rsid w:val="00042533"/>
    <w:rsid w:val="00042DBB"/>
    <w:rsid w:val="00042E65"/>
    <w:rsid w:val="0004305B"/>
    <w:rsid w:val="0004347C"/>
    <w:rsid w:val="00043907"/>
    <w:rsid w:val="00044F48"/>
    <w:rsid w:val="000460FC"/>
    <w:rsid w:val="00047354"/>
    <w:rsid w:val="00047F8B"/>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794"/>
    <w:rsid w:val="00056145"/>
    <w:rsid w:val="00056402"/>
    <w:rsid w:val="00056791"/>
    <w:rsid w:val="00056868"/>
    <w:rsid w:val="00056876"/>
    <w:rsid w:val="000568DF"/>
    <w:rsid w:val="000578A3"/>
    <w:rsid w:val="00057D4C"/>
    <w:rsid w:val="00060037"/>
    <w:rsid w:val="000609C2"/>
    <w:rsid w:val="00060C48"/>
    <w:rsid w:val="00061A3C"/>
    <w:rsid w:val="00061C48"/>
    <w:rsid w:val="00064278"/>
    <w:rsid w:val="000646CA"/>
    <w:rsid w:val="00064932"/>
    <w:rsid w:val="00065A08"/>
    <w:rsid w:val="00066503"/>
    <w:rsid w:val="000665C4"/>
    <w:rsid w:val="00067821"/>
    <w:rsid w:val="0006785E"/>
    <w:rsid w:val="00067F92"/>
    <w:rsid w:val="00067FA7"/>
    <w:rsid w:val="0007038E"/>
    <w:rsid w:val="000703A4"/>
    <w:rsid w:val="0007077C"/>
    <w:rsid w:val="00070825"/>
    <w:rsid w:val="0007085C"/>
    <w:rsid w:val="00071CD8"/>
    <w:rsid w:val="00071DB2"/>
    <w:rsid w:val="0007211D"/>
    <w:rsid w:val="00072AED"/>
    <w:rsid w:val="00072B56"/>
    <w:rsid w:val="00072D2B"/>
    <w:rsid w:val="00072D51"/>
    <w:rsid w:val="000730B1"/>
    <w:rsid w:val="00073860"/>
    <w:rsid w:val="000738EA"/>
    <w:rsid w:val="00074078"/>
    <w:rsid w:val="00074F4B"/>
    <w:rsid w:val="00075B15"/>
    <w:rsid w:val="00075D0E"/>
    <w:rsid w:val="00075F6A"/>
    <w:rsid w:val="00076159"/>
    <w:rsid w:val="0007616C"/>
    <w:rsid w:val="000763B5"/>
    <w:rsid w:val="000763F3"/>
    <w:rsid w:val="000766D2"/>
    <w:rsid w:val="00076801"/>
    <w:rsid w:val="00076C73"/>
    <w:rsid w:val="000773D4"/>
    <w:rsid w:val="00077577"/>
    <w:rsid w:val="00077607"/>
    <w:rsid w:val="00077756"/>
    <w:rsid w:val="00077B7F"/>
    <w:rsid w:val="000808C1"/>
    <w:rsid w:val="00080970"/>
    <w:rsid w:val="00080C63"/>
    <w:rsid w:val="00081671"/>
    <w:rsid w:val="00082AD4"/>
    <w:rsid w:val="0008384C"/>
    <w:rsid w:val="0008393E"/>
    <w:rsid w:val="00083E07"/>
    <w:rsid w:val="00084D27"/>
    <w:rsid w:val="00084ED6"/>
    <w:rsid w:val="0008580E"/>
    <w:rsid w:val="00085A0E"/>
    <w:rsid w:val="00085C4F"/>
    <w:rsid w:val="000865A4"/>
    <w:rsid w:val="00086EFD"/>
    <w:rsid w:val="00086F8A"/>
    <w:rsid w:val="00087031"/>
    <w:rsid w:val="00090243"/>
    <w:rsid w:val="000904F6"/>
    <w:rsid w:val="00090749"/>
    <w:rsid w:val="00090918"/>
    <w:rsid w:val="00090ED8"/>
    <w:rsid w:val="00090F9F"/>
    <w:rsid w:val="0009145F"/>
    <w:rsid w:val="0009184E"/>
    <w:rsid w:val="00091B4E"/>
    <w:rsid w:val="00092435"/>
    <w:rsid w:val="00092467"/>
    <w:rsid w:val="00092C82"/>
    <w:rsid w:val="00092FE9"/>
    <w:rsid w:val="0009309C"/>
    <w:rsid w:val="000936BF"/>
    <w:rsid w:val="0009382F"/>
    <w:rsid w:val="00093A30"/>
    <w:rsid w:val="000941CE"/>
    <w:rsid w:val="00094342"/>
    <w:rsid w:val="000945BA"/>
    <w:rsid w:val="00095954"/>
    <w:rsid w:val="000960BA"/>
    <w:rsid w:val="0009662A"/>
    <w:rsid w:val="0009690D"/>
    <w:rsid w:val="00096DFF"/>
    <w:rsid w:val="000A0729"/>
    <w:rsid w:val="000A0E69"/>
    <w:rsid w:val="000A1A52"/>
    <w:rsid w:val="000A1F98"/>
    <w:rsid w:val="000A2174"/>
    <w:rsid w:val="000A3D58"/>
    <w:rsid w:val="000A3FE3"/>
    <w:rsid w:val="000A47B0"/>
    <w:rsid w:val="000A4851"/>
    <w:rsid w:val="000A49BB"/>
    <w:rsid w:val="000A4A92"/>
    <w:rsid w:val="000A4F22"/>
    <w:rsid w:val="000A5674"/>
    <w:rsid w:val="000A5A46"/>
    <w:rsid w:val="000A7299"/>
    <w:rsid w:val="000A752E"/>
    <w:rsid w:val="000A7DFC"/>
    <w:rsid w:val="000B0E04"/>
    <w:rsid w:val="000B1C11"/>
    <w:rsid w:val="000B268D"/>
    <w:rsid w:val="000B291B"/>
    <w:rsid w:val="000B456C"/>
    <w:rsid w:val="000B45B9"/>
    <w:rsid w:val="000B47CE"/>
    <w:rsid w:val="000B4B56"/>
    <w:rsid w:val="000B4C62"/>
    <w:rsid w:val="000B541D"/>
    <w:rsid w:val="000B54C1"/>
    <w:rsid w:val="000B5553"/>
    <w:rsid w:val="000B5FE8"/>
    <w:rsid w:val="000B666E"/>
    <w:rsid w:val="000C08C0"/>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975"/>
    <w:rsid w:val="000C6B28"/>
    <w:rsid w:val="000C7BEB"/>
    <w:rsid w:val="000D00DC"/>
    <w:rsid w:val="000D0124"/>
    <w:rsid w:val="000D11E5"/>
    <w:rsid w:val="000D19E8"/>
    <w:rsid w:val="000D1FA1"/>
    <w:rsid w:val="000D2834"/>
    <w:rsid w:val="000D2CAC"/>
    <w:rsid w:val="000D34C8"/>
    <w:rsid w:val="000D34FD"/>
    <w:rsid w:val="000D3BE5"/>
    <w:rsid w:val="000D3C37"/>
    <w:rsid w:val="000D453A"/>
    <w:rsid w:val="000D4AFA"/>
    <w:rsid w:val="000D5AA5"/>
    <w:rsid w:val="000D5EA6"/>
    <w:rsid w:val="000D5F00"/>
    <w:rsid w:val="000D6C9F"/>
    <w:rsid w:val="000D6E3B"/>
    <w:rsid w:val="000D6F30"/>
    <w:rsid w:val="000D74E4"/>
    <w:rsid w:val="000D7C9D"/>
    <w:rsid w:val="000D7CE0"/>
    <w:rsid w:val="000E19BC"/>
    <w:rsid w:val="000E2785"/>
    <w:rsid w:val="000E27BB"/>
    <w:rsid w:val="000E3153"/>
    <w:rsid w:val="000E3484"/>
    <w:rsid w:val="000E386F"/>
    <w:rsid w:val="000E4051"/>
    <w:rsid w:val="000E4139"/>
    <w:rsid w:val="000E4765"/>
    <w:rsid w:val="000E5399"/>
    <w:rsid w:val="000E5B7E"/>
    <w:rsid w:val="000E5FF9"/>
    <w:rsid w:val="000E6AE1"/>
    <w:rsid w:val="000E7142"/>
    <w:rsid w:val="000E7632"/>
    <w:rsid w:val="000E7737"/>
    <w:rsid w:val="000E7739"/>
    <w:rsid w:val="000E77EE"/>
    <w:rsid w:val="000F1604"/>
    <w:rsid w:val="000F287A"/>
    <w:rsid w:val="000F2940"/>
    <w:rsid w:val="000F2AB3"/>
    <w:rsid w:val="000F3D08"/>
    <w:rsid w:val="000F4217"/>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10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7D3"/>
    <w:rsid w:val="001078A5"/>
    <w:rsid w:val="00107BBD"/>
    <w:rsid w:val="00107BC7"/>
    <w:rsid w:val="00110033"/>
    <w:rsid w:val="001102B5"/>
    <w:rsid w:val="00111C7D"/>
    <w:rsid w:val="00112038"/>
    <w:rsid w:val="00112057"/>
    <w:rsid w:val="001127FF"/>
    <w:rsid w:val="00112B0B"/>
    <w:rsid w:val="00112EB5"/>
    <w:rsid w:val="0011383E"/>
    <w:rsid w:val="00113EE3"/>
    <w:rsid w:val="00114847"/>
    <w:rsid w:val="00115066"/>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6CB2"/>
    <w:rsid w:val="00127060"/>
    <w:rsid w:val="0012730C"/>
    <w:rsid w:val="00127B83"/>
    <w:rsid w:val="00127BFE"/>
    <w:rsid w:val="00131C2D"/>
    <w:rsid w:val="0013202C"/>
    <w:rsid w:val="00132704"/>
    <w:rsid w:val="00132CBF"/>
    <w:rsid w:val="00133707"/>
    <w:rsid w:val="00133742"/>
    <w:rsid w:val="00133B08"/>
    <w:rsid w:val="00133B70"/>
    <w:rsid w:val="00133E97"/>
    <w:rsid w:val="00134EAB"/>
    <w:rsid w:val="001350F7"/>
    <w:rsid w:val="00135462"/>
    <w:rsid w:val="00135769"/>
    <w:rsid w:val="00135BE9"/>
    <w:rsid w:val="00135E5C"/>
    <w:rsid w:val="00136762"/>
    <w:rsid w:val="00136E33"/>
    <w:rsid w:val="0013773D"/>
    <w:rsid w:val="0014042F"/>
    <w:rsid w:val="00140577"/>
    <w:rsid w:val="00140693"/>
    <w:rsid w:val="001408FF"/>
    <w:rsid w:val="00140D7A"/>
    <w:rsid w:val="00141D28"/>
    <w:rsid w:val="00141DFE"/>
    <w:rsid w:val="00142185"/>
    <w:rsid w:val="001422E2"/>
    <w:rsid w:val="001433BC"/>
    <w:rsid w:val="00143872"/>
    <w:rsid w:val="00143A85"/>
    <w:rsid w:val="00144649"/>
    <w:rsid w:val="001447F0"/>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CE6"/>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334"/>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66F"/>
    <w:rsid w:val="001827B7"/>
    <w:rsid w:val="001827EF"/>
    <w:rsid w:val="00182982"/>
    <w:rsid w:val="001829BC"/>
    <w:rsid w:val="00182D68"/>
    <w:rsid w:val="00183031"/>
    <w:rsid w:val="00183468"/>
    <w:rsid w:val="0018397E"/>
    <w:rsid w:val="00183ED9"/>
    <w:rsid w:val="00184466"/>
    <w:rsid w:val="00184DBF"/>
    <w:rsid w:val="001852A8"/>
    <w:rsid w:val="0018620A"/>
    <w:rsid w:val="00186352"/>
    <w:rsid w:val="00186EB0"/>
    <w:rsid w:val="00187121"/>
    <w:rsid w:val="00187243"/>
    <w:rsid w:val="001875C0"/>
    <w:rsid w:val="00187C29"/>
    <w:rsid w:val="00190782"/>
    <w:rsid w:val="00190942"/>
    <w:rsid w:val="001909A7"/>
    <w:rsid w:val="001909C3"/>
    <w:rsid w:val="00191459"/>
    <w:rsid w:val="00191603"/>
    <w:rsid w:val="0019173E"/>
    <w:rsid w:val="0019174E"/>
    <w:rsid w:val="0019196B"/>
    <w:rsid w:val="001923D5"/>
    <w:rsid w:val="00192991"/>
    <w:rsid w:val="00192E61"/>
    <w:rsid w:val="00193470"/>
    <w:rsid w:val="00193B94"/>
    <w:rsid w:val="001940A7"/>
    <w:rsid w:val="00194BB1"/>
    <w:rsid w:val="00194BC6"/>
    <w:rsid w:val="00195070"/>
    <w:rsid w:val="00195245"/>
    <w:rsid w:val="0019526D"/>
    <w:rsid w:val="0019553F"/>
    <w:rsid w:val="001956BE"/>
    <w:rsid w:val="0019602C"/>
    <w:rsid w:val="001962AB"/>
    <w:rsid w:val="001969F2"/>
    <w:rsid w:val="00196CD6"/>
    <w:rsid w:val="0019756A"/>
    <w:rsid w:val="00197E37"/>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0C"/>
    <w:rsid w:val="001B13BF"/>
    <w:rsid w:val="001B16F5"/>
    <w:rsid w:val="001B1C1F"/>
    <w:rsid w:val="001B219B"/>
    <w:rsid w:val="001B23AF"/>
    <w:rsid w:val="001B2703"/>
    <w:rsid w:val="001B2ABB"/>
    <w:rsid w:val="001B3C1C"/>
    <w:rsid w:val="001B3DCD"/>
    <w:rsid w:val="001B45B9"/>
    <w:rsid w:val="001B46B2"/>
    <w:rsid w:val="001B4725"/>
    <w:rsid w:val="001B48B2"/>
    <w:rsid w:val="001B49DA"/>
    <w:rsid w:val="001B4CA8"/>
    <w:rsid w:val="001B572D"/>
    <w:rsid w:val="001B576E"/>
    <w:rsid w:val="001B57BB"/>
    <w:rsid w:val="001B5B10"/>
    <w:rsid w:val="001B5B80"/>
    <w:rsid w:val="001B6025"/>
    <w:rsid w:val="001B6D58"/>
    <w:rsid w:val="001B6FA7"/>
    <w:rsid w:val="001B7A15"/>
    <w:rsid w:val="001B7B69"/>
    <w:rsid w:val="001B7DC1"/>
    <w:rsid w:val="001C0863"/>
    <w:rsid w:val="001C08DB"/>
    <w:rsid w:val="001C10BD"/>
    <w:rsid w:val="001C1A04"/>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723"/>
    <w:rsid w:val="001D4AB6"/>
    <w:rsid w:val="001D4AD3"/>
    <w:rsid w:val="001D5281"/>
    <w:rsid w:val="001D5F15"/>
    <w:rsid w:val="001D6DA3"/>
    <w:rsid w:val="001D7505"/>
    <w:rsid w:val="001D7B76"/>
    <w:rsid w:val="001E040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23D"/>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5B74"/>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C09"/>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124"/>
    <w:rsid w:val="0025151C"/>
    <w:rsid w:val="0025184F"/>
    <w:rsid w:val="00251967"/>
    <w:rsid w:val="002527CC"/>
    <w:rsid w:val="00252F48"/>
    <w:rsid w:val="002530C0"/>
    <w:rsid w:val="00253586"/>
    <w:rsid w:val="002537FC"/>
    <w:rsid w:val="00253CD5"/>
    <w:rsid w:val="002542F8"/>
    <w:rsid w:val="002543EF"/>
    <w:rsid w:val="00254F2A"/>
    <w:rsid w:val="00255784"/>
    <w:rsid w:val="00255A29"/>
    <w:rsid w:val="0025631F"/>
    <w:rsid w:val="00256986"/>
    <w:rsid w:val="00256D61"/>
    <w:rsid w:val="00256E23"/>
    <w:rsid w:val="00256EAB"/>
    <w:rsid w:val="00257246"/>
    <w:rsid w:val="00257438"/>
    <w:rsid w:val="002606F1"/>
    <w:rsid w:val="0026119C"/>
    <w:rsid w:val="002612E6"/>
    <w:rsid w:val="00261AFE"/>
    <w:rsid w:val="0026212A"/>
    <w:rsid w:val="002621D7"/>
    <w:rsid w:val="00262996"/>
    <w:rsid w:val="00263044"/>
    <w:rsid w:val="00263234"/>
    <w:rsid w:val="00263759"/>
    <w:rsid w:val="002638BD"/>
    <w:rsid w:val="0026470B"/>
    <w:rsid w:val="0026486D"/>
    <w:rsid w:val="00264C4B"/>
    <w:rsid w:val="00264ED0"/>
    <w:rsid w:val="00265346"/>
    <w:rsid w:val="002655A0"/>
    <w:rsid w:val="00266045"/>
    <w:rsid w:val="002660C3"/>
    <w:rsid w:val="00266C21"/>
    <w:rsid w:val="00266DE1"/>
    <w:rsid w:val="00267A92"/>
    <w:rsid w:val="00267E43"/>
    <w:rsid w:val="00270282"/>
    <w:rsid w:val="00270780"/>
    <w:rsid w:val="00270CF6"/>
    <w:rsid w:val="00271097"/>
    <w:rsid w:val="00271C53"/>
    <w:rsid w:val="0027244F"/>
    <w:rsid w:val="00273052"/>
    <w:rsid w:val="0027316E"/>
    <w:rsid w:val="002739CE"/>
    <w:rsid w:val="00273C5F"/>
    <w:rsid w:val="002741D4"/>
    <w:rsid w:val="002743AC"/>
    <w:rsid w:val="0027499D"/>
    <w:rsid w:val="002751CA"/>
    <w:rsid w:val="0027544D"/>
    <w:rsid w:val="002762D7"/>
    <w:rsid w:val="00277196"/>
    <w:rsid w:val="002775ED"/>
    <w:rsid w:val="002778AB"/>
    <w:rsid w:val="002802A5"/>
    <w:rsid w:val="00280CFB"/>
    <w:rsid w:val="00280D24"/>
    <w:rsid w:val="002815C4"/>
    <w:rsid w:val="00281BCB"/>
    <w:rsid w:val="00281C76"/>
    <w:rsid w:val="00282B38"/>
    <w:rsid w:val="0028316D"/>
    <w:rsid w:val="00283296"/>
    <w:rsid w:val="00285161"/>
    <w:rsid w:val="0028583E"/>
    <w:rsid w:val="00285853"/>
    <w:rsid w:val="00285B1A"/>
    <w:rsid w:val="00285FF3"/>
    <w:rsid w:val="0028667B"/>
    <w:rsid w:val="002866EC"/>
    <w:rsid w:val="0028744E"/>
    <w:rsid w:val="002876D2"/>
    <w:rsid w:val="00287936"/>
    <w:rsid w:val="00287BB7"/>
    <w:rsid w:val="00287C9F"/>
    <w:rsid w:val="002903C5"/>
    <w:rsid w:val="0029041B"/>
    <w:rsid w:val="00290A99"/>
    <w:rsid w:val="00290EAF"/>
    <w:rsid w:val="0029159A"/>
    <w:rsid w:val="00291CF1"/>
    <w:rsid w:val="0029269B"/>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9B8"/>
    <w:rsid w:val="002A0CB3"/>
    <w:rsid w:val="002A0E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83F"/>
    <w:rsid w:val="002B2906"/>
    <w:rsid w:val="002B2C66"/>
    <w:rsid w:val="002B31F9"/>
    <w:rsid w:val="002B34E3"/>
    <w:rsid w:val="002B51B6"/>
    <w:rsid w:val="002B5AEE"/>
    <w:rsid w:val="002B6177"/>
    <w:rsid w:val="002B650C"/>
    <w:rsid w:val="002B6589"/>
    <w:rsid w:val="002B68E6"/>
    <w:rsid w:val="002B6985"/>
    <w:rsid w:val="002B6D7A"/>
    <w:rsid w:val="002C02BA"/>
    <w:rsid w:val="002C0301"/>
    <w:rsid w:val="002C0326"/>
    <w:rsid w:val="002C04EA"/>
    <w:rsid w:val="002C0A9F"/>
    <w:rsid w:val="002C1AB3"/>
    <w:rsid w:val="002C1BB7"/>
    <w:rsid w:val="002C1FB3"/>
    <w:rsid w:val="002C2665"/>
    <w:rsid w:val="002C28E1"/>
    <w:rsid w:val="002C327D"/>
    <w:rsid w:val="002C3890"/>
    <w:rsid w:val="002C3A34"/>
    <w:rsid w:val="002C3AD9"/>
    <w:rsid w:val="002C3DDB"/>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04B"/>
    <w:rsid w:val="002D1593"/>
    <w:rsid w:val="002D1A1E"/>
    <w:rsid w:val="002D22A6"/>
    <w:rsid w:val="002D250A"/>
    <w:rsid w:val="002D2819"/>
    <w:rsid w:val="002D2CD6"/>
    <w:rsid w:val="002D2F81"/>
    <w:rsid w:val="002D3053"/>
    <w:rsid w:val="002D31B8"/>
    <w:rsid w:val="002D38A3"/>
    <w:rsid w:val="002D3BA3"/>
    <w:rsid w:val="002D43EE"/>
    <w:rsid w:val="002D4892"/>
    <w:rsid w:val="002D4D06"/>
    <w:rsid w:val="002D4DDE"/>
    <w:rsid w:val="002D4EE7"/>
    <w:rsid w:val="002D4EED"/>
    <w:rsid w:val="002D5AAD"/>
    <w:rsid w:val="002D5DA3"/>
    <w:rsid w:val="002D6097"/>
    <w:rsid w:val="002D65AD"/>
    <w:rsid w:val="002D6782"/>
    <w:rsid w:val="002D703D"/>
    <w:rsid w:val="002D71A9"/>
    <w:rsid w:val="002D74A4"/>
    <w:rsid w:val="002D7DB2"/>
    <w:rsid w:val="002D7DBD"/>
    <w:rsid w:val="002D7EA8"/>
    <w:rsid w:val="002E00E1"/>
    <w:rsid w:val="002E0102"/>
    <w:rsid w:val="002E03AE"/>
    <w:rsid w:val="002E0542"/>
    <w:rsid w:val="002E05F2"/>
    <w:rsid w:val="002E0782"/>
    <w:rsid w:val="002E0C63"/>
    <w:rsid w:val="002E0CCB"/>
    <w:rsid w:val="002E0DA6"/>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077"/>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5CB"/>
    <w:rsid w:val="002F4BA9"/>
    <w:rsid w:val="002F541B"/>
    <w:rsid w:val="002F56A1"/>
    <w:rsid w:val="002F5BFE"/>
    <w:rsid w:val="002F5DA5"/>
    <w:rsid w:val="002F5E17"/>
    <w:rsid w:val="002F647C"/>
    <w:rsid w:val="002F6C6B"/>
    <w:rsid w:val="002F6CB0"/>
    <w:rsid w:val="002F6EFF"/>
    <w:rsid w:val="002F7DF0"/>
    <w:rsid w:val="002F7FAF"/>
    <w:rsid w:val="00300573"/>
    <w:rsid w:val="003009A3"/>
    <w:rsid w:val="003015BF"/>
    <w:rsid w:val="003025FE"/>
    <w:rsid w:val="00302A27"/>
    <w:rsid w:val="00302CF1"/>
    <w:rsid w:val="003038C2"/>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6C1"/>
    <w:rsid w:val="00312DFC"/>
    <w:rsid w:val="00312EB8"/>
    <w:rsid w:val="0031318C"/>
    <w:rsid w:val="00313C9D"/>
    <w:rsid w:val="0031430C"/>
    <w:rsid w:val="00314919"/>
    <w:rsid w:val="00314C5A"/>
    <w:rsid w:val="0031531A"/>
    <w:rsid w:val="00315394"/>
    <w:rsid w:val="003158F4"/>
    <w:rsid w:val="00315B0F"/>
    <w:rsid w:val="00315D77"/>
    <w:rsid w:val="00315D8E"/>
    <w:rsid w:val="00316002"/>
    <w:rsid w:val="003168A7"/>
    <w:rsid w:val="00316CDE"/>
    <w:rsid w:val="0031752D"/>
    <w:rsid w:val="00317709"/>
    <w:rsid w:val="003203F4"/>
    <w:rsid w:val="00320556"/>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A37"/>
    <w:rsid w:val="00326C0E"/>
    <w:rsid w:val="003272A3"/>
    <w:rsid w:val="003272E4"/>
    <w:rsid w:val="00327B71"/>
    <w:rsid w:val="00330026"/>
    <w:rsid w:val="00331461"/>
    <w:rsid w:val="003316A8"/>
    <w:rsid w:val="00331C80"/>
    <w:rsid w:val="00331CC9"/>
    <w:rsid w:val="003320D7"/>
    <w:rsid w:val="00332265"/>
    <w:rsid w:val="00332862"/>
    <w:rsid w:val="00332D52"/>
    <w:rsid w:val="00333337"/>
    <w:rsid w:val="00333A28"/>
    <w:rsid w:val="00333B6C"/>
    <w:rsid w:val="00334927"/>
    <w:rsid w:val="00335875"/>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41E"/>
    <w:rsid w:val="00345644"/>
    <w:rsid w:val="00345D0E"/>
    <w:rsid w:val="00345D7A"/>
    <w:rsid w:val="0034607E"/>
    <w:rsid w:val="00346A96"/>
    <w:rsid w:val="00346B6D"/>
    <w:rsid w:val="00346BA3"/>
    <w:rsid w:val="00346C69"/>
    <w:rsid w:val="00347356"/>
    <w:rsid w:val="0035005C"/>
    <w:rsid w:val="00350896"/>
    <w:rsid w:val="00350C31"/>
    <w:rsid w:val="00350C9F"/>
    <w:rsid w:val="00350D64"/>
    <w:rsid w:val="00351391"/>
    <w:rsid w:val="003519CD"/>
    <w:rsid w:val="00351A3A"/>
    <w:rsid w:val="00351CA3"/>
    <w:rsid w:val="0035455F"/>
    <w:rsid w:val="00355D75"/>
    <w:rsid w:val="00355D8F"/>
    <w:rsid w:val="00356A73"/>
    <w:rsid w:val="00356FF0"/>
    <w:rsid w:val="003577EF"/>
    <w:rsid w:val="00357A60"/>
    <w:rsid w:val="00360304"/>
    <w:rsid w:val="00360A78"/>
    <w:rsid w:val="00361750"/>
    <w:rsid w:val="003619E1"/>
    <w:rsid w:val="00363894"/>
    <w:rsid w:val="00363B2A"/>
    <w:rsid w:val="00363BF1"/>
    <w:rsid w:val="003659A8"/>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39E"/>
    <w:rsid w:val="00372842"/>
    <w:rsid w:val="003729A5"/>
    <w:rsid w:val="00372C89"/>
    <w:rsid w:val="00372E9A"/>
    <w:rsid w:val="00372FD6"/>
    <w:rsid w:val="003735B9"/>
    <w:rsid w:val="00373634"/>
    <w:rsid w:val="00374677"/>
    <w:rsid w:val="00374F4C"/>
    <w:rsid w:val="0037510C"/>
    <w:rsid w:val="00375850"/>
    <w:rsid w:val="00375E49"/>
    <w:rsid w:val="0037632F"/>
    <w:rsid w:val="00377B26"/>
    <w:rsid w:val="00380294"/>
    <w:rsid w:val="00381014"/>
    <w:rsid w:val="0038111B"/>
    <w:rsid w:val="00381604"/>
    <w:rsid w:val="00381C68"/>
    <w:rsid w:val="00381F60"/>
    <w:rsid w:val="00383204"/>
    <w:rsid w:val="00383AB0"/>
    <w:rsid w:val="00383FE8"/>
    <w:rsid w:val="003847BB"/>
    <w:rsid w:val="00384814"/>
    <w:rsid w:val="00384C0A"/>
    <w:rsid w:val="00385B16"/>
    <w:rsid w:val="00385B96"/>
    <w:rsid w:val="00385C02"/>
    <w:rsid w:val="0038637D"/>
    <w:rsid w:val="003864BE"/>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407"/>
    <w:rsid w:val="00393551"/>
    <w:rsid w:val="00393816"/>
    <w:rsid w:val="00393FCD"/>
    <w:rsid w:val="0039438B"/>
    <w:rsid w:val="003944EA"/>
    <w:rsid w:val="00394639"/>
    <w:rsid w:val="00394DF6"/>
    <w:rsid w:val="00394EC6"/>
    <w:rsid w:val="0039527F"/>
    <w:rsid w:val="00395A02"/>
    <w:rsid w:val="00395CD9"/>
    <w:rsid w:val="003962E6"/>
    <w:rsid w:val="00396831"/>
    <w:rsid w:val="003971A1"/>
    <w:rsid w:val="003A0F6B"/>
    <w:rsid w:val="003A1213"/>
    <w:rsid w:val="003A12B6"/>
    <w:rsid w:val="003A1C44"/>
    <w:rsid w:val="003A20D5"/>
    <w:rsid w:val="003A24CC"/>
    <w:rsid w:val="003A2512"/>
    <w:rsid w:val="003A2A53"/>
    <w:rsid w:val="003A2EE8"/>
    <w:rsid w:val="003A373C"/>
    <w:rsid w:val="003A4316"/>
    <w:rsid w:val="003A5378"/>
    <w:rsid w:val="003A5495"/>
    <w:rsid w:val="003A553C"/>
    <w:rsid w:val="003A56DF"/>
    <w:rsid w:val="003A6008"/>
    <w:rsid w:val="003A703F"/>
    <w:rsid w:val="003A7BC6"/>
    <w:rsid w:val="003A7E2B"/>
    <w:rsid w:val="003A7E40"/>
    <w:rsid w:val="003B0336"/>
    <w:rsid w:val="003B0A3A"/>
    <w:rsid w:val="003B0D79"/>
    <w:rsid w:val="003B107C"/>
    <w:rsid w:val="003B2930"/>
    <w:rsid w:val="003B31A7"/>
    <w:rsid w:val="003B3A25"/>
    <w:rsid w:val="003B4587"/>
    <w:rsid w:val="003B4B51"/>
    <w:rsid w:val="003B4C98"/>
    <w:rsid w:val="003B4FE1"/>
    <w:rsid w:val="003B514E"/>
    <w:rsid w:val="003B5531"/>
    <w:rsid w:val="003B636A"/>
    <w:rsid w:val="003B69CE"/>
    <w:rsid w:val="003B7403"/>
    <w:rsid w:val="003C011C"/>
    <w:rsid w:val="003C0D18"/>
    <w:rsid w:val="003C0E32"/>
    <w:rsid w:val="003C11D7"/>
    <w:rsid w:val="003C16CB"/>
    <w:rsid w:val="003C1B97"/>
    <w:rsid w:val="003C247B"/>
    <w:rsid w:val="003C25FE"/>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FF4"/>
    <w:rsid w:val="003D75D8"/>
    <w:rsid w:val="003E006E"/>
    <w:rsid w:val="003E03E4"/>
    <w:rsid w:val="003E0947"/>
    <w:rsid w:val="003E0E96"/>
    <w:rsid w:val="003E20F7"/>
    <w:rsid w:val="003E336A"/>
    <w:rsid w:val="003E3E2F"/>
    <w:rsid w:val="003E4048"/>
    <w:rsid w:val="003E4CE5"/>
    <w:rsid w:val="003E604C"/>
    <w:rsid w:val="003E60DA"/>
    <w:rsid w:val="003E67E5"/>
    <w:rsid w:val="003E6E00"/>
    <w:rsid w:val="003E7111"/>
    <w:rsid w:val="003E75CE"/>
    <w:rsid w:val="003E7940"/>
    <w:rsid w:val="003F01BD"/>
    <w:rsid w:val="003F0486"/>
    <w:rsid w:val="003F048E"/>
    <w:rsid w:val="003F09FA"/>
    <w:rsid w:val="003F0AFF"/>
    <w:rsid w:val="003F1651"/>
    <w:rsid w:val="003F1AA2"/>
    <w:rsid w:val="003F2417"/>
    <w:rsid w:val="003F26DC"/>
    <w:rsid w:val="003F3C15"/>
    <w:rsid w:val="003F42FF"/>
    <w:rsid w:val="003F4B48"/>
    <w:rsid w:val="003F4DDC"/>
    <w:rsid w:val="003F56B8"/>
    <w:rsid w:val="003F5F1A"/>
    <w:rsid w:val="003F6327"/>
    <w:rsid w:val="003F7425"/>
    <w:rsid w:val="003F7430"/>
    <w:rsid w:val="003F765B"/>
    <w:rsid w:val="003F7CB8"/>
    <w:rsid w:val="00400CB4"/>
    <w:rsid w:val="00401386"/>
    <w:rsid w:val="004013E6"/>
    <w:rsid w:val="00401570"/>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3D72"/>
    <w:rsid w:val="00424446"/>
    <w:rsid w:val="00424867"/>
    <w:rsid w:val="00425341"/>
    <w:rsid w:val="004255FE"/>
    <w:rsid w:val="00425674"/>
    <w:rsid w:val="00425A82"/>
    <w:rsid w:val="00425C60"/>
    <w:rsid w:val="00426565"/>
    <w:rsid w:val="00426B2C"/>
    <w:rsid w:val="00427FA8"/>
    <w:rsid w:val="0043009D"/>
    <w:rsid w:val="004301A6"/>
    <w:rsid w:val="0043026B"/>
    <w:rsid w:val="00430299"/>
    <w:rsid w:val="004306D4"/>
    <w:rsid w:val="00431A2A"/>
    <w:rsid w:val="00432ECA"/>
    <w:rsid w:val="0043554E"/>
    <w:rsid w:val="004355D4"/>
    <w:rsid w:val="004357B1"/>
    <w:rsid w:val="00435821"/>
    <w:rsid w:val="0043583E"/>
    <w:rsid w:val="00436CCE"/>
    <w:rsid w:val="00436EAD"/>
    <w:rsid w:val="004370D7"/>
    <w:rsid w:val="004375E1"/>
    <w:rsid w:val="00437A2F"/>
    <w:rsid w:val="00440262"/>
    <w:rsid w:val="004406BF"/>
    <w:rsid w:val="00440814"/>
    <w:rsid w:val="004408FF"/>
    <w:rsid w:val="00440909"/>
    <w:rsid w:val="0044105D"/>
    <w:rsid w:val="00441424"/>
    <w:rsid w:val="00442731"/>
    <w:rsid w:val="00442C12"/>
    <w:rsid w:val="00442D30"/>
    <w:rsid w:val="004434DF"/>
    <w:rsid w:val="0044354B"/>
    <w:rsid w:val="0044493E"/>
    <w:rsid w:val="00444A1F"/>
    <w:rsid w:val="00444A7E"/>
    <w:rsid w:val="00444FC6"/>
    <w:rsid w:val="00445874"/>
    <w:rsid w:val="00445C38"/>
    <w:rsid w:val="0044686B"/>
    <w:rsid w:val="004475F7"/>
    <w:rsid w:val="00447C4D"/>
    <w:rsid w:val="0045057B"/>
    <w:rsid w:val="0045069B"/>
    <w:rsid w:val="00450B22"/>
    <w:rsid w:val="00451123"/>
    <w:rsid w:val="00451709"/>
    <w:rsid w:val="004518FA"/>
    <w:rsid w:val="00451A02"/>
    <w:rsid w:val="0045277C"/>
    <w:rsid w:val="00453507"/>
    <w:rsid w:val="00453592"/>
    <w:rsid w:val="004543AB"/>
    <w:rsid w:val="004545EC"/>
    <w:rsid w:val="00455048"/>
    <w:rsid w:val="00455967"/>
    <w:rsid w:val="00455F71"/>
    <w:rsid w:val="00456272"/>
    <w:rsid w:val="004570EF"/>
    <w:rsid w:val="00457517"/>
    <w:rsid w:val="00457CF7"/>
    <w:rsid w:val="00457D37"/>
    <w:rsid w:val="0046028A"/>
    <w:rsid w:val="00460E3A"/>
    <w:rsid w:val="00460E68"/>
    <w:rsid w:val="004614BC"/>
    <w:rsid w:val="004619A5"/>
    <w:rsid w:val="00461A69"/>
    <w:rsid w:val="00461F80"/>
    <w:rsid w:val="0046240D"/>
    <w:rsid w:val="004626C6"/>
    <w:rsid w:val="00462898"/>
    <w:rsid w:val="00462D84"/>
    <w:rsid w:val="00463208"/>
    <w:rsid w:val="00463576"/>
    <w:rsid w:val="004636D6"/>
    <w:rsid w:val="0046399D"/>
    <w:rsid w:val="00463EA4"/>
    <w:rsid w:val="00465A21"/>
    <w:rsid w:val="00465DC9"/>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460"/>
    <w:rsid w:val="0048055E"/>
    <w:rsid w:val="00480C2B"/>
    <w:rsid w:val="00480DC5"/>
    <w:rsid w:val="00480FD9"/>
    <w:rsid w:val="0048131D"/>
    <w:rsid w:val="00481D0B"/>
    <w:rsid w:val="004824A9"/>
    <w:rsid w:val="00483091"/>
    <w:rsid w:val="00483140"/>
    <w:rsid w:val="00483984"/>
    <w:rsid w:val="00483BC7"/>
    <w:rsid w:val="00483CF0"/>
    <w:rsid w:val="00484A1D"/>
    <w:rsid w:val="00484D4D"/>
    <w:rsid w:val="00486083"/>
    <w:rsid w:val="00486516"/>
    <w:rsid w:val="0048664F"/>
    <w:rsid w:val="004868AD"/>
    <w:rsid w:val="00486CD7"/>
    <w:rsid w:val="00486D00"/>
    <w:rsid w:val="00487FE1"/>
    <w:rsid w:val="00490475"/>
    <w:rsid w:val="00490707"/>
    <w:rsid w:val="00490815"/>
    <w:rsid w:val="0049108B"/>
    <w:rsid w:val="0049117E"/>
    <w:rsid w:val="00492503"/>
    <w:rsid w:val="004925C8"/>
    <w:rsid w:val="00492AF9"/>
    <w:rsid w:val="00492B76"/>
    <w:rsid w:val="0049333E"/>
    <w:rsid w:val="0049418F"/>
    <w:rsid w:val="0049570D"/>
    <w:rsid w:val="00495C48"/>
    <w:rsid w:val="00495DC6"/>
    <w:rsid w:val="00496CCE"/>
    <w:rsid w:val="0049731F"/>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E7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5F4C"/>
    <w:rsid w:val="004B6124"/>
    <w:rsid w:val="004B64EB"/>
    <w:rsid w:val="004B6E50"/>
    <w:rsid w:val="004B6F2E"/>
    <w:rsid w:val="004B728F"/>
    <w:rsid w:val="004B7317"/>
    <w:rsid w:val="004B75B2"/>
    <w:rsid w:val="004B75C6"/>
    <w:rsid w:val="004C02C5"/>
    <w:rsid w:val="004C0BF0"/>
    <w:rsid w:val="004C0D40"/>
    <w:rsid w:val="004C114F"/>
    <w:rsid w:val="004C11A9"/>
    <w:rsid w:val="004C27CF"/>
    <w:rsid w:val="004C2CA7"/>
    <w:rsid w:val="004C3592"/>
    <w:rsid w:val="004C4537"/>
    <w:rsid w:val="004C45C8"/>
    <w:rsid w:val="004C4F8F"/>
    <w:rsid w:val="004C5F4B"/>
    <w:rsid w:val="004C612E"/>
    <w:rsid w:val="004C61B8"/>
    <w:rsid w:val="004C62FD"/>
    <w:rsid w:val="004C69FE"/>
    <w:rsid w:val="004C6C0A"/>
    <w:rsid w:val="004C6C6D"/>
    <w:rsid w:val="004C77FF"/>
    <w:rsid w:val="004C7DB0"/>
    <w:rsid w:val="004C7FFC"/>
    <w:rsid w:val="004D0223"/>
    <w:rsid w:val="004D0BC6"/>
    <w:rsid w:val="004D0C4C"/>
    <w:rsid w:val="004D16A3"/>
    <w:rsid w:val="004D16CF"/>
    <w:rsid w:val="004D1934"/>
    <w:rsid w:val="004D1E41"/>
    <w:rsid w:val="004D2326"/>
    <w:rsid w:val="004D2E11"/>
    <w:rsid w:val="004D3108"/>
    <w:rsid w:val="004D329C"/>
    <w:rsid w:val="004D34D1"/>
    <w:rsid w:val="004D4523"/>
    <w:rsid w:val="004D4990"/>
    <w:rsid w:val="004D51D6"/>
    <w:rsid w:val="004D6BF2"/>
    <w:rsid w:val="004D6E9B"/>
    <w:rsid w:val="004D6F29"/>
    <w:rsid w:val="004D6FA4"/>
    <w:rsid w:val="004D72B8"/>
    <w:rsid w:val="004D7BF5"/>
    <w:rsid w:val="004D7F9C"/>
    <w:rsid w:val="004E03F4"/>
    <w:rsid w:val="004E068F"/>
    <w:rsid w:val="004E0860"/>
    <w:rsid w:val="004E09CF"/>
    <w:rsid w:val="004E0B75"/>
    <w:rsid w:val="004E0C29"/>
    <w:rsid w:val="004E0DC4"/>
    <w:rsid w:val="004E109C"/>
    <w:rsid w:val="004E1D6F"/>
    <w:rsid w:val="004E1DF3"/>
    <w:rsid w:val="004E2393"/>
    <w:rsid w:val="004E2611"/>
    <w:rsid w:val="004E3117"/>
    <w:rsid w:val="004E3A2A"/>
    <w:rsid w:val="004E3AB1"/>
    <w:rsid w:val="004E4003"/>
    <w:rsid w:val="004E4626"/>
    <w:rsid w:val="004E4984"/>
    <w:rsid w:val="004E4DF6"/>
    <w:rsid w:val="004E5101"/>
    <w:rsid w:val="004E5380"/>
    <w:rsid w:val="004E568A"/>
    <w:rsid w:val="004E6746"/>
    <w:rsid w:val="004E6CAC"/>
    <w:rsid w:val="004E6F69"/>
    <w:rsid w:val="004E75C1"/>
    <w:rsid w:val="004E777F"/>
    <w:rsid w:val="004F07F2"/>
    <w:rsid w:val="004F07F9"/>
    <w:rsid w:val="004F0A50"/>
    <w:rsid w:val="004F0BE0"/>
    <w:rsid w:val="004F0D1F"/>
    <w:rsid w:val="004F0E82"/>
    <w:rsid w:val="004F1523"/>
    <w:rsid w:val="004F1847"/>
    <w:rsid w:val="004F1CE1"/>
    <w:rsid w:val="004F1E83"/>
    <w:rsid w:val="004F1F9E"/>
    <w:rsid w:val="004F28CD"/>
    <w:rsid w:val="004F2CB6"/>
    <w:rsid w:val="004F2E6E"/>
    <w:rsid w:val="004F3015"/>
    <w:rsid w:val="004F313F"/>
    <w:rsid w:val="004F367F"/>
    <w:rsid w:val="004F3EEF"/>
    <w:rsid w:val="004F43A7"/>
    <w:rsid w:val="004F447B"/>
    <w:rsid w:val="004F497C"/>
    <w:rsid w:val="004F4FAC"/>
    <w:rsid w:val="004F4FE8"/>
    <w:rsid w:val="004F531B"/>
    <w:rsid w:val="004F5481"/>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A77"/>
    <w:rsid w:val="00510DDC"/>
    <w:rsid w:val="00511166"/>
    <w:rsid w:val="00511AC6"/>
    <w:rsid w:val="00512013"/>
    <w:rsid w:val="0051218B"/>
    <w:rsid w:val="00512217"/>
    <w:rsid w:val="00512459"/>
    <w:rsid w:val="00512C0B"/>
    <w:rsid w:val="005131A2"/>
    <w:rsid w:val="005137E4"/>
    <w:rsid w:val="00513BB9"/>
    <w:rsid w:val="0051440E"/>
    <w:rsid w:val="00514480"/>
    <w:rsid w:val="0051457A"/>
    <w:rsid w:val="005148CD"/>
    <w:rsid w:val="00515180"/>
    <w:rsid w:val="00515973"/>
    <w:rsid w:val="00516069"/>
    <w:rsid w:val="00517AC8"/>
    <w:rsid w:val="00517C3E"/>
    <w:rsid w:val="00517D55"/>
    <w:rsid w:val="005202E9"/>
    <w:rsid w:val="005207D8"/>
    <w:rsid w:val="0052091D"/>
    <w:rsid w:val="005212F4"/>
    <w:rsid w:val="00521908"/>
    <w:rsid w:val="005224A3"/>
    <w:rsid w:val="005224BC"/>
    <w:rsid w:val="00522928"/>
    <w:rsid w:val="00522FF1"/>
    <w:rsid w:val="00523946"/>
    <w:rsid w:val="0052397A"/>
    <w:rsid w:val="00523A9D"/>
    <w:rsid w:val="005256D6"/>
    <w:rsid w:val="00525AD8"/>
    <w:rsid w:val="00526429"/>
    <w:rsid w:val="005266C1"/>
    <w:rsid w:val="005267F4"/>
    <w:rsid w:val="005269D3"/>
    <w:rsid w:val="00526E96"/>
    <w:rsid w:val="00527317"/>
    <w:rsid w:val="00527C59"/>
    <w:rsid w:val="00527ED6"/>
    <w:rsid w:val="0053024F"/>
    <w:rsid w:val="00531064"/>
    <w:rsid w:val="005312CB"/>
    <w:rsid w:val="005313B2"/>
    <w:rsid w:val="00531694"/>
    <w:rsid w:val="00531911"/>
    <w:rsid w:val="00531E92"/>
    <w:rsid w:val="005324D7"/>
    <w:rsid w:val="005326F0"/>
    <w:rsid w:val="00532764"/>
    <w:rsid w:val="00532AA5"/>
    <w:rsid w:val="00532C5F"/>
    <w:rsid w:val="00533233"/>
    <w:rsid w:val="005335A2"/>
    <w:rsid w:val="00533D13"/>
    <w:rsid w:val="00533DEC"/>
    <w:rsid w:val="00534026"/>
    <w:rsid w:val="00534D55"/>
    <w:rsid w:val="00535B0E"/>
    <w:rsid w:val="00535B53"/>
    <w:rsid w:val="00535FE4"/>
    <w:rsid w:val="00536B03"/>
    <w:rsid w:val="00537456"/>
    <w:rsid w:val="00537874"/>
    <w:rsid w:val="0053790C"/>
    <w:rsid w:val="0053794E"/>
    <w:rsid w:val="00537B3D"/>
    <w:rsid w:val="00540401"/>
    <w:rsid w:val="005405B2"/>
    <w:rsid w:val="0054076A"/>
    <w:rsid w:val="00540D47"/>
    <w:rsid w:val="00540EE7"/>
    <w:rsid w:val="005412AD"/>
    <w:rsid w:val="00541A22"/>
    <w:rsid w:val="00541EAD"/>
    <w:rsid w:val="005424C2"/>
    <w:rsid w:val="005426B2"/>
    <w:rsid w:val="00543519"/>
    <w:rsid w:val="00543640"/>
    <w:rsid w:val="00544019"/>
    <w:rsid w:val="005442C8"/>
    <w:rsid w:val="005444C6"/>
    <w:rsid w:val="00544BF9"/>
    <w:rsid w:val="00544F05"/>
    <w:rsid w:val="00544FCC"/>
    <w:rsid w:val="005454B8"/>
    <w:rsid w:val="0054571D"/>
    <w:rsid w:val="00545ACB"/>
    <w:rsid w:val="00545DB9"/>
    <w:rsid w:val="005462ED"/>
    <w:rsid w:val="00546585"/>
    <w:rsid w:val="0054680A"/>
    <w:rsid w:val="00546BF8"/>
    <w:rsid w:val="00547BA2"/>
    <w:rsid w:val="00550AC5"/>
    <w:rsid w:val="00550B7E"/>
    <w:rsid w:val="00551052"/>
    <w:rsid w:val="005516CB"/>
    <w:rsid w:val="005524ED"/>
    <w:rsid w:val="00552A55"/>
    <w:rsid w:val="00552D43"/>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63D"/>
    <w:rsid w:val="0056495C"/>
    <w:rsid w:val="00564DA7"/>
    <w:rsid w:val="005650C7"/>
    <w:rsid w:val="00565204"/>
    <w:rsid w:val="00565473"/>
    <w:rsid w:val="00565DAC"/>
    <w:rsid w:val="00565F0D"/>
    <w:rsid w:val="0056611B"/>
    <w:rsid w:val="005662DC"/>
    <w:rsid w:val="00566329"/>
    <w:rsid w:val="005668B9"/>
    <w:rsid w:val="00566E39"/>
    <w:rsid w:val="0056704E"/>
    <w:rsid w:val="00567623"/>
    <w:rsid w:val="005701C2"/>
    <w:rsid w:val="005701C3"/>
    <w:rsid w:val="00570763"/>
    <w:rsid w:val="005709ED"/>
    <w:rsid w:val="0057200B"/>
    <w:rsid w:val="00572297"/>
    <w:rsid w:val="0057345D"/>
    <w:rsid w:val="0057347D"/>
    <w:rsid w:val="00573503"/>
    <w:rsid w:val="00573560"/>
    <w:rsid w:val="00574E7B"/>
    <w:rsid w:val="00574F36"/>
    <w:rsid w:val="00576B5C"/>
    <w:rsid w:val="005770CC"/>
    <w:rsid w:val="005802F9"/>
    <w:rsid w:val="005806D5"/>
    <w:rsid w:val="00580DFC"/>
    <w:rsid w:val="00580FD9"/>
    <w:rsid w:val="0058134C"/>
    <w:rsid w:val="005815CD"/>
    <w:rsid w:val="005827A7"/>
    <w:rsid w:val="00583AF6"/>
    <w:rsid w:val="00583D43"/>
    <w:rsid w:val="00584692"/>
    <w:rsid w:val="005846C3"/>
    <w:rsid w:val="00584F04"/>
    <w:rsid w:val="00585112"/>
    <w:rsid w:val="0058544C"/>
    <w:rsid w:val="005855D7"/>
    <w:rsid w:val="00585623"/>
    <w:rsid w:val="005857F7"/>
    <w:rsid w:val="005865E9"/>
    <w:rsid w:val="005868FD"/>
    <w:rsid w:val="00587D7B"/>
    <w:rsid w:val="005904DB"/>
    <w:rsid w:val="005905ED"/>
    <w:rsid w:val="00590D11"/>
    <w:rsid w:val="00591BA6"/>
    <w:rsid w:val="00592825"/>
    <w:rsid w:val="005930FB"/>
    <w:rsid w:val="0059321B"/>
    <w:rsid w:val="00594437"/>
    <w:rsid w:val="00594B70"/>
    <w:rsid w:val="005954BF"/>
    <w:rsid w:val="0059562A"/>
    <w:rsid w:val="00596CFA"/>
    <w:rsid w:val="00596EC6"/>
    <w:rsid w:val="005975CE"/>
    <w:rsid w:val="005A0088"/>
    <w:rsid w:val="005A04F6"/>
    <w:rsid w:val="005A14F0"/>
    <w:rsid w:val="005A1550"/>
    <w:rsid w:val="005A1861"/>
    <w:rsid w:val="005A1A31"/>
    <w:rsid w:val="005A361D"/>
    <w:rsid w:val="005A36C2"/>
    <w:rsid w:val="005A3719"/>
    <w:rsid w:val="005A3DD7"/>
    <w:rsid w:val="005A40FA"/>
    <w:rsid w:val="005A4C20"/>
    <w:rsid w:val="005A4F48"/>
    <w:rsid w:val="005A54F1"/>
    <w:rsid w:val="005A57B8"/>
    <w:rsid w:val="005A5DDE"/>
    <w:rsid w:val="005A5ED8"/>
    <w:rsid w:val="005A64A8"/>
    <w:rsid w:val="005A65C5"/>
    <w:rsid w:val="005A6875"/>
    <w:rsid w:val="005A7016"/>
    <w:rsid w:val="005A7A32"/>
    <w:rsid w:val="005A7BA4"/>
    <w:rsid w:val="005A7F85"/>
    <w:rsid w:val="005B00DD"/>
    <w:rsid w:val="005B03B1"/>
    <w:rsid w:val="005B07D5"/>
    <w:rsid w:val="005B0942"/>
    <w:rsid w:val="005B1A8A"/>
    <w:rsid w:val="005B1AAB"/>
    <w:rsid w:val="005B2578"/>
    <w:rsid w:val="005B2930"/>
    <w:rsid w:val="005B2A3B"/>
    <w:rsid w:val="005B2B87"/>
    <w:rsid w:val="005B2FAA"/>
    <w:rsid w:val="005B33C8"/>
    <w:rsid w:val="005B387B"/>
    <w:rsid w:val="005B3B01"/>
    <w:rsid w:val="005B4333"/>
    <w:rsid w:val="005B48BE"/>
    <w:rsid w:val="005B4DD1"/>
    <w:rsid w:val="005B58F7"/>
    <w:rsid w:val="005B5981"/>
    <w:rsid w:val="005B5994"/>
    <w:rsid w:val="005B6474"/>
    <w:rsid w:val="005B666D"/>
    <w:rsid w:val="005B667A"/>
    <w:rsid w:val="005B6865"/>
    <w:rsid w:val="005C039B"/>
    <w:rsid w:val="005C059F"/>
    <w:rsid w:val="005C07CE"/>
    <w:rsid w:val="005C0A2A"/>
    <w:rsid w:val="005C0B8F"/>
    <w:rsid w:val="005C194E"/>
    <w:rsid w:val="005C1C83"/>
    <w:rsid w:val="005C1DB1"/>
    <w:rsid w:val="005C226F"/>
    <w:rsid w:val="005C2294"/>
    <w:rsid w:val="005C2E48"/>
    <w:rsid w:val="005C3344"/>
    <w:rsid w:val="005C399D"/>
    <w:rsid w:val="005C4E4D"/>
    <w:rsid w:val="005C58F2"/>
    <w:rsid w:val="005C5A97"/>
    <w:rsid w:val="005C5F77"/>
    <w:rsid w:val="005C6AAB"/>
    <w:rsid w:val="005C6D5D"/>
    <w:rsid w:val="005C6FD0"/>
    <w:rsid w:val="005D01C3"/>
    <w:rsid w:val="005D05FF"/>
    <w:rsid w:val="005D0FB4"/>
    <w:rsid w:val="005D10D6"/>
    <w:rsid w:val="005D1176"/>
    <w:rsid w:val="005D1747"/>
    <w:rsid w:val="005D266D"/>
    <w:rsid w:val="005D306D"/>
    <w:rsid w:val="005D3327"/>
    <w:rsid w:val="005D4854"/>
    <w:rsid w:val="005D5BCF"/>
    <w:rsid w:val="005D65BF"/>
    <w:rsid w:val="005D6D84"/>
    <w:rsid w:val="005D70A1"/>
    <w:rsid w:val="005D74EA"/>
    <w:rsid w:val="005D79F2"/>
    <w:rsid w:val="005D7CB1"/>
    <w:rsid w:val="005D7F57"/>
    <w:rsid w:val="005E0067"/>
    <w:rsid w:val="005E0141"/>
    <w:rsid w:val="005E09CA"/>
    <w:rsid w:val="005E15FC"/>
    <w:rsid w:val="005E1AB4"/>
    <w:rsid w:val="005E255B"/>
    <w:rsid w:val="005E2CF7"/>
    <w:rsid w:val="005E4543"/>
    <w:rsid w:val="005E4A1C"/>
    <w:rsid w:val="005E56C9"/>
    <w:rsid w:val="005E5CF7"/>
    <w:rsid w:val="005E5FF0"/>
    <w:rsid w:val="005E642A"/>
    <w:rsid w:val="005E65A7"/>
    <w:rsid w:val="005E721E"/>
    <w:rsid w:val="005F0857"/>
    <w:rsid w:val="005F132F"/>
    <w:rsid w:val="005F1470"/>
    <w:rsid w:val="005F15A9"/>
    <w:rsid w:val="005F2807"/>
    <w:rsid w:val="005F2CD5"/>
    <w:rsid w:val="005F3382"/>
    <w:rsid w:val="005F35C7"/>
    <w:rsid w:val="005F3720"/>
    <w:rsid w:val="005F5506"/>
    <w:rsid w:val="005F5A0D"/>
    <w:rsid w:val="005F60DF"/>
    <w:rsid w:val="005F615B"/>
    <w:rsid w:val="005F61DF"/>
    <w:rsid w:val="005F680A"/>
    <w:rsid w:val="005F6880"/>
    <w:rsid w:val="005F6B3E"/>
    <w:rsid w:val="005F6BB9"/>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6F0D"/>
    <w:rsid w:val="00607015"/>
    <w:rsid w:val="00607FFD"/>
    <w:rsid w:val="0061098D"/>
    <w:rsid w:val="00610B78"/>
    <w:rsid w:val="00611B59"/>
    <w:rsid w:val="00611B74"/>
    <w:rsid w:val="00611FBA"/>
    <w:rsid w:val="00612098"/>
    <w:rsid w:val="00612571"/>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1A2"/>
    <w:rsid w:val="00622B22"/>
    <w:rsid w:val="00622F67"/>
    <w:rsid w:val="00623571"/>
    <w:rsid w:val="00623A5E"/>
    <w:rsid w:val="0062487C"/>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6A5"/>
    <w:rsid w:val="0063487C"/>
    <w:rsid w:val="00634E7C"/>
    <w:rsid w:val="00635B73"/>
    <w:rsid w:val="00635BB7"/>
    <w:rsid w:val="00636CC7"/>
    <w:rsid w:val="00637F27"/>
    <w:rsid w:val="006405EC"/>
    <w:rsid w:val="00640A4D"/>
    <w:rsid w:val="006418F2"/>
    <w:rsid w:val="00641A84"/>
    <w:rsid w:val="00641B05"/>
    <w:rsid w:val="00641DA1"/>
    <w:rsid w:val="00641E5B"/>
    <w:rsid w:val="00642552"/>
    <w:rsid w:val="00642C69"/>
    <w:rsid w:val="00643163"/>
    <w:rsid w:val="0064330A"/>
    <w:rsid w:val="00643F89"/>
    <w:rsid w:val="00644334"/>
    <w:rsid w:val="0064487C"/>
    <w:rsid w:val="0064498A"/>
    <w:rsid w:val="00644BED"/>
    <w:rsid w:val="00644E2E"/>
    <w:rsid w:val="00645A3A"/>
    <w:rsid w:val="00645B87"/>
    <w:rsid w:val="00645CB4"/>
    <w:rsid w:val="00645DF9"/>
    <w:rsid w:val="00646084"/>
    <w:rsid w:val="006468ED"/>
    <w:rsid w:val="00647664"/>
    <w:rsid w:val="006479FB"/>
    <w:rsid w:val="00650D19"/>
    <w:rsid w:val="00652CF5"/>
    <w:rsid w:val="0065343E"/>
    <w:rsid w:val="006536BB"/>
    <w:rsid w:val="0065398F"/>
    <w:rsid w:val="00653C7C"/>
    <w:rsid w:val="00654252"/>
    <w:rsid w:val="006543B7"/>
    <w:rsid w:val="00654EA5"/>
    <w:rsid w:val="0065587E"/>
    <w:rsid w:val="006558CD"/>
    <w:rsid w:val="00655C26"/>
    <w:rsid w:val="00655FD2"/>
    <w:rsid w:val="0065637A"/>
    <w:rsid w:val="00656998"/>
    <w:rsid w:val="00656E4D"/>
    <w:rsid w:val="006576BA"/>
    <w:rsid w:val="006600BF"/>
    <w:rsid w:val="00660240"/>
    <w:rsid w:val="00660AF7"/>
    <w:rsid w:val="00660D3E"/>
    <w:rsid w:val="00661691"/>
    <w:rsid w:val="00662D3D"/>
    <w:rsid w:val="00662F1F"/>
    <w:rsid w:val="00663D15"/>
    <w:rsid w:val="00665030"/>
    <w:rsid w:val="0066517B"/>
    <w:rsid w:val="00665670"/>
    <w:rsid w:val="006659EA"/>
    <w:rsid w:val="006661E8"/>
    <w:rsid w:val="00666424"/>
    <w:rsid w:val="0066676C"/>
    <w:rsid w:val="006673B9"/>
    <w:rsid w:val="0066790C"/>
    <w:rsid w:val="00667FF0"/>
    <w:rsid w:val="006703BD"/>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AA2"/>
    <w:rsid w:val="00680C6B"/>
    <w:rsid w:val="006811E0"/>
    <w:rsid w:val="006811F3"/>
    <w:rsid w:val="00681240"/>
    <w:rsid w:val="00681365"/>
    <w:rsid w:val="0068212D"/>
    <w:rsid w:val="00682C56"/>
    <w:rsid w:val="00683068"/>
    <w:rsid w:val="00683DAD"/>
    <w:rsid w:val="00684592"/>
    <w:rsid w:val="00684963"/>
    <w:rsid w:val="00684AD7"/>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738"/>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039"/>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7F6"/>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85D"/>
    <w:rsid w:val="006C4A1A"/>
    <w:rsid w:val="006C4D02"/>
    <w:rsid w:val="006C53A4"/>
    <w:rsid w:val="006C54DF"/>
    <w:rsid w:val="006C5D5D"/>
    <w:rsid w:val="006C627E"/>
    <w:rsid w:val="006C6303"/>
    <w:rsid w:val="006C6A51"/>
    <w:rsid w:val="006C6EBD"/>
    <w:rsid w:val="006C7E04"/>
    <w:rsid w:val="006C7F79"/>
    <w:rsid w:val="006D0004"/>
    <w:rsid w:val="006D0046"/>
    <w:rsid w:val="006D015F"/>
    <w:rsid w:val="006D060E"/>
    <w:rsid w:val="006D0681"/>
    <w:rsid w:val="006D0A80"/>
    <w:rsid w:val="006D0AE8"/>
    <w:rsid w:val="006D135C"/>
    <w:rsid w:val="006D13EE"/>
    <w:rsid w:val="006D2F72"/>
    <w:rsid w:val="006D32C9"/>
    <w:rsid w:val="006D43C1"/>
    <w:rsid w:val="006D4564"/>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B45"/>
    <w:rsid w:val="006E6C9D"/>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84D"/>
    <w:rsid w:val="00704B79"/>
    <w:rsid w:val="00704E7D"/>
    <w:rsid w:val="00705060"/>
    <w:rsid w:val="00705351"/>
    <w:rsid w:val="00705619"/>
    <w:rsid w:val="00705E93"/>
    <w:rsid w:val="00706097"/>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36E"/>
    <w:rsid w:val="00713463"/>
    <w:rsid w:val="00713A6B"/>
    <w:rsid w:val="00713CB5"/>
    <w:rsid w:val="0071499C"/>
    <w:rsid w:val="00714F9D"/>
    <w:rsid w:val="007154D8"/>
    <w:rsid w:val="00715577"/>
    <w:rsid w:val="0071604D"/>
    <w:rsid w:val="007169DC"/>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2D14"/>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2ED"/>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CB5"/>
    <w:rsid w:val="007500B6"/>
    <w:rsid w:val="00750D12"/>
    <w:rsid w:val="00751073"/>
    <w:rsid w:val="00751AF2"/>
    <w:rsid w:val="00751B1A"/>
    <w:rsid w:val="00751BD2"/>
    <w:rsid w:val="00751CE5"/>
    <w:rsid w:val="00752188"/>
    <w:rsid w:val="00752CC6"/>
    <w:rsid w:val="007533CC"/>
    <w:rsid w:val="00753938"/>
    <w:rsid w:val="00753A57"/>
    <w:rsid w:val="007543CE"/>
    <w:rsid w:val="0075497E"/>
    <w:rsid w:val="00754A29"/>
    <w:rsid w:val="00755027"/>
    <w:rsid w:val="00755B6F"/>
    <w:rsid w:val="00755BCF"/>
    <w:rsid w:val="00756C5F"/>
    <w:rsid w:val="00756D69"/>
    <w:rsid w:val="00757029"/>
    <w:rsid w:val="007571FD"/>
    <w:rsid w:val="0075723D"/>
    <w:rsid w:val="007602D4"/>
    <w:rsid w:val="00760D96"/>
    <w:rsid w:val="0076124A"/>
    <w:rsid w:val="007614A0"/>
    <w:rsid w:val="0076161B"/>
    <w:rsid w:val="0076182A"/>
    <w:rsid w:val="00761950"/>
    <w:rsid w:val="00761CB5"/>
    <w:rsid w:val="0076216B"/>
    <w:rsid w:val="00762948"/>
    <w:rsid w:val="00762A81"/>
    <w:rsid w:val="00763137"/>
    <w:rsid w:val="00763AED"/>
    <w:rsid w:val="00763F8B"/>
    <w:rsid w:val="007640F3"/>
    <w:rsid w:val="0076417E"/>
    <w:rsid w:val="0076497F"/>
    <w:rsid w:val="00765FEA"/>
    <w:rsid w:val="007660EC"/>
    <w:rsid w:val="007662C7"/>
    <w:rsid w:val="007664E3"/>
    <w:rsid w:val="00766862"/>
    <w:rsid w:val="007675DD"/>
    <w:rsid w:val="007702BF"/>
    <w:rsid w:val="007705F0"/>
    <w:rsid w:val="00771CAC"/>
    <w:rsid w:val="00772036"/>
    <w:rsid w:val="00773098"/>
    <w:rsid w:val="00773651"/>
    <w:rsid w:val="007739A3"/>
    <w:rsid w:val="00773BD9"/>
    <w:rsid w:val="00773CB0"/>
    <w:rsid w:val="00773D71"/>
    <w:rsid w:val="00775526"/>
    <w:rsid w:val="00775651"/>
    <w:rsid w:val="00775F3F"/>
    <w:rsid w:val="0077710B"/>
    <w:rsid w:val="0077765A"/>
    <w:rsid w:val="00780032"/>
    <w:rsid w:val="00780636"/>
    <w:rsid w:val="00780E86"/>
    <w:rsid w:val="0078108C"/>
    <w:rsid w:val="007811A6"/>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97A"/>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56"/>
    <w:rsid w:val="007A047E"/>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F29"/>
    <w:rsid w:val="007A54F6"/>
    <w:rsid w:val="007A55FE"/>
    <w:rsid w:val="007A582C"/>
    <w:rsid w:val="007A5950"/>
    <w:rsid w:val="007A633A"/>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F7A"/>
    <w:rsid w:val="007C029E"/>
    <w:rsid w:val="007C0636"/>
    <w:rsid w:val="007C10E4"/>
    <w:rsid w:val="007C17B4"/>
    <w:rsid w:val="007C20F8"/>
    <w:rsid w:val="007C21C5"/>
    <w:rsid w:val="007C2229"/>
    <w:rsid w:val="007C2313"/>
    <w:rsid w:val="007C321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66D"/>
    <w:rsid w:val="007D2882"/>
    <w:rsid w:val="007D296C"/>
    <w:rsid w:val="007D2B18"/>
    <w:rsid w:val="007D2C31"/>
    <w:rsid w:val="007D2E50"/>
    <w:rsid w:val="007D3D74"/>
    <w:rsid w:val="007D3FF9"/>
    <w:rsid w:val="007D405E"/>
    <w:rsid w:val="007D445F"/>
    <w:rsid w:val="007D4B3D"/>
    <w:rsid w:val="007D4DED"/>
    <w:rsid w:val="007D5285"/>
    <w:rsid w:val="007D5BA2"/>
    <w:rsid w:val="007D5ED3"/>
    <w:rsid w:val="007D682F"/>
    <w:rsid w:val="007D6FB9"/>
    <w:rsid w:val="007D7211"/>
    <w:rsid w:val="007D7C56"/>
    <w:rsid w:val="007E0595"/>
    <w:rsid w:val="007E0A63"/>
    <w:rsid w:val="007E0C63"/>
    <w:rsid w:val="007E0E05"/>
    <w:rsid w:val="007E0F5D"/>
    <w:rsid w:val="007E23A1"/>
    <w:rsid w:val="007E259F"/>
    <w:rsid w:val="007E283B"/>
    <w:rsid w:val="007E347E"/>
    <w:rsid w:val="007E41A4"/>
    <w:rsid w:val="007E43E3"/>
    <w:rsid w:val="007E4D40"/>
    <w:rsid w:val="007E54B8"/>
    <w:rsid w:val="007E5D12"/>
    <w:rsid w:val="007E6420"/>
    <w:rsid w:val="007E677F"/>
    <w:rsid w:val="007E6B25"/>
    <w:rsid w:val="007E6E06"/>
    <w:rsid w:val="007E6E60"/>
    <w:rsid w:val="007E6F4A"/>
    <w:rsid w:val="007E79CC"/>
    <w:rsid w:val="007F1124"/>
    <w:rsid w:val="007F152D"/>
    <w:rsid w:val="007F20C4"/>
    <w:rsid w:val="007F20EE"/>
    <w:rsid w:val="007F23D8"/>
    <w:rsid w:val="007F307A"/>
    <w:rsid w:val="007F30C6"/>
    <w:rsid w:val="007F3159"/>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7C0"/>
    <w:rsid w:val="00803D82"/>
    <w:rsid w:val="00803D98"/>
    <w:rsid w:val="008052CE"/>
    <w:rsid w:val="008058D0"/>
    <w:rsid w:val="00806A4C"/>
    <w:rsid w:val="0080705B"/>
    <w:rsid w:val="0080723C"/>
    <w:rsid w:val="00807F71"/>
    <w:rsid w:val="0081000F"/>
    <w:rsid w:val="00810BFB"/>
    <w:rsid w:val="00812657"/>
    <w:rsid w:val="00812A1A"/>
    <w:rsid w:val="00812DFF"/>
    <w:rsid w:val="0081362F"/>
    <w:rsid w:val="0081383A"/>
    <w:rsid w:val="008145EA"/>
    <w:rsid w:val="0081497F"/>
    <w:rsid w:val="00814B90"/>
    <w:rsid w:val="00814FC7"/>
    <w:rsid w:val="00815998"/>
    <w:rsid w:val="0081660C"/>
    <w:rsid w:val="00817195"/>
    <w:rsid w:val="00817416"/>
    <w:rsid w:val="00817605"/>
    <w:rsid w:val="00817658"/>
    <w:rsid w:val="008206AE"/>
    <w:rsid w:val="00821271"/>
    <w:rsid w:val="00821306"/>
    <w:rsid w:val="008213D9"/>
    <w:rsid w:val="008213E4"/>
    <w:rsid w:val="008216CE"/>
    <w:rsid w:val="008218AE"/>
    <w:rsid w:val="00821D85"/>
    <w:rsid w:val="00821E47"/>
    <w:rsid w:val="008220F6"/>
    <w:rsid w:val="00822456"/>
    <w:rsid w:val="00823819"/>
    <w:rsid w:val="00823C4B"/>
    <w:rsid w:val="0082427D"/>
    <w:rsid w:val="00825441"/>
    <w:rsid w:val="00826855"/>
    <w:rsid w:val="0082746D"/>
    <w:rsid w:val="00830052"/>
    <w:rsid w:val="008300D0"/>
    <w:rsid w:val="008308D8"/>
    <w:rsid w:val="008320D2"/>
    <w:rsid w:val="008321CE"/>
    <w:rsid w:val="0083257C"/>
    <w:rsid w:val="0083261B"/>
    <w:rsid w:val="00832B44"/>
    <w:rsid w:val="00832EC9"/>
    <w:rsid w:val="00833307"/>
    <w:rsid w:val="00833583"/>
    <w:rsid w:val="008335F7"/>
    <w:rsid w:val="00833B5B"/>
    <w:rsid w:val="00833E9A"/>
    <w:rsid w:val="00834FEF"/>
    <w:rsid w:val="00836323"/>
    <w:rsid w:val="008364E1"/>
    <w:rsid w:val="00836E5E"/>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87C"/>
    <w:rsid w:val="00852FA5"/>
    <w:rsid w:val="00853F7D"/>
    <w:rsid w:val="008542FF"/>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849"/>
    <w:rsid w:val="0086598A"/>
    <w:rsid w:val="00865C3D"/>
    <w:rsid w:val="00865F4C"/>
    <w:rsid w:val="00866453"/>
    <w:rsid w:val="0086707F"/>
    <w:rsid w:val="00867501"/>
    <w:rsid w:val="00867D8E"/>
    <w:rsid w:val="00867E1B"/>
    <w:rsid w:val="008700C0"/>
    <w:rsid w:val="0087058B"/>
    <w:rsid w:val="0087099A"/>
    <w:rsid w:val="00870D79"/>
    <w:rsid w:val="00871333"/>
    <w:rsid w:val="00871952"/>
    <w:rsid w:val="00872006"/>
    <w:rsid w:val="00872386"/>
    <w:rsid w:val="008726D7"/>
    <w:rsid w:val="00873128"/>
    <w:rsid w:val="008735BC"/>
    <w:rsid w:val="00873AAC"/>
    <w:rsid w:val="00873B60"/>
    <w:rsid w:val="00873C61"/>
    <w:rsid w:val="00873DFD"/>
    <w:rsid w:val="008749BF"/>
    <w:rsid w:val="00875542"/>
    <w:rsid w:val="00875E14"/>
    <w:rsid w:val="0087677E"/>
    <w:rsid w:val="0087712C"/>
    <w:rsid w:val="008775B2"/>
    <w:rsid w:val="008776E7"/>
    <w:rsid w:val="00877746"/>
    <w:rsid w:val="00877C5D"/>
    <w:rsid w:val="00880354"/>
    <w:rsid w:val="0088093C"/>
    <w:rsid w:val="00880BC0"/>
    <w:rsid w:val="0088127A"/>
    <w:rsid w:val="00881D59"/>
    <w:rsid w:val="00882991"/>
    <w:rsid w:val="00882E5F"/>
    <w:rsid w:val="00882EC1"/>
    <w:rsid w:val="00883015"/>
    <w:rsid w:val="0088324E"/>
    <w:rsid w:val="0088434F"/>
    <w:rsid w:val="00884371"/>
    <w:rsid w:val="008848E2"/>
    <w:rsid w:val="00884B7A"/>
    <w:rsid w:val="00884D47"/>
    <w:rsid w:val="008856C5"/>
    <w:rsid w:val="00886112"/>
    <w:rsid w:val="008872B3"/>
    <w:rsid w:val="00887392"/>
    <w:rsid w:val="008908C0"/>
    <w:rsid w:val="00890A64"/>
    <w:rsid w:val="00890C40"/>
    <w:rsid w:val="0089122E"/>
    <w:rsid w:val="008912A7"/>
    <w:rsid w:val="0089183A"/>
    <w:rsid w:val="008920B4"/>
    <w:rsid w:val="00892521"/>
    <w:rsid w:val="008925EB"/>
    <w:rsid w:val="0089275E"/>
    <w:rsid w:val="00892B43"/>
    <w:rsid w:val="00892C39"/>
    <w:rsid w:val="00893097"/>
    <w:rsid w:val="00893432"/>
    <w:rsid w:val="00893936"/>
    <w:rsid w:val="00893CE2"/>
    <w:rsid w:val="00893F41"/>
    <w:rsid w:val="00895144"/>
    <w:rsid w:val="00895963"/>
    <w:rsid w:val="008972B6"/>
    <w:rsid w:val="00897339"/>
    <w:rsid w:val="00897612"/>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2AF"/>
    <w:rsid w:val="008A4630"/>
    <w:rsid w:val="008A47CE"/>
    <w:rsid w:val="008A4848"/>
    <w:rsid w:val="008A4DFA"/>
    <w:rsid w:val="008A5F2F"/>
    <w:rsid w:val="008A6BAE"/>
    <w:rsid w:val="008A7350"/>
    <w:rsid w:val="008A7A72"/>
    <w:rsid w:val="008B09F3"/>
    <w:rsid w:val="008B111A"/>
    <w:rsid w:val="008B1410"/>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89F"/>
    <w:rsid w:val="008C29C7"/>
    <w:rsid w:val="008C2DBC"/>
    <w:rsid w:val="008C3A4E"/>
    <w:rsid w:val="008C4223"/>
    <w:rsid w:val="008C4CF7"/>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356"/>
    <w:rsid w:val="008D5432"/>
    <w:rsid w:val="008D54C0"/>
    <w:rsid w:val="008D5558"/>
    <w:rsid w:val="008D5806"/>
    <w:rsid w:val="008D5ED9"/>
    <w:rsid w:val="008D6335"/>
    <w:rsid w:val="008D7247"/>
    <w:rsid w:val="008D7567"/>
    <w:rsid w:val="008E0EE4"/>
    <w:rsid w:val="008E12BE"/>
    <w:rsid w:val="008E13FD"/>
    <w:rsid w:val="008E1C24"/>
    <w:rsid w:val="008E201C"/>
    <w:rsid w:val="008E2626"/>
    <w:rsid w:val="008E27A9"/>
    <w:rsid w:val="008E323C"/>
    <w:rsid w:val="008E32E0"/>
    <w:rsid w:val="008E35A6"/>
    <w:rsid w:val="008E36D9"/>
    <w:rsid w:val="008E3A5C"/>
    <w:rsid w:val="008E3A9A"/>
    <w:rsid w:val="008E429E"/>
    <w:rsid w:val="008E58A3"/>
    <w:rsid w:val="008E5938"/>
    <w:rsid w:val="008E6109"/>
    <w:rsid w:val="008E6A39"/>
    <w:rsid w:val="008E6BA1"/>
    <w:rsid w:val="008E76BB"/>
    <w:rsid w:val="008F1764"/>
    <w:rsid w:val="008F1E3D"/>
    <w:rsid w:val="008F235C"/>
    <w:rsid w:val="008F290B"/>
    <w:rsid w:val="008F2F11"/>
    <w:rsid w:val="008F3369"/>
    <w:rsid w:val="008F33A6"/>
    <w:rsid w:val="008F35EC"/>
    <w:rsid w:val="008F4FE8"/>
    <w:rsid w:val="008F4FED"/>
    <w:rsid w:val="008F5730"/>
    <w:rsid w:val="008F5D5A"/>
    <w:rsid w:val="008F6200"/>
    <w:rsid w:val="008F62F8"/>
    <w:rsid w:val="008F6893"/>
    <w:rsid w:val="008F7292"/>
    <w:rsid w:val="008F76C0"/>
    <w:rsid w:val="008F76EE"/>
    <w:rsid w:val="008F7835"/>
    <w:rsid w:val="009000F2"/>
    <w:rsid w:val="0090079D"/>
    <w:rsid w:val="0090086A"/>
    <w:rsid w:val="00900D2C"/>
    <w:rsid w:val="00901807"/>
    <w:rsid w:val="00901F0E"/>
    <w:rsid w:val="00902032"/>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1DD2"/>
    <w:rsid w:val="00912850"/>
    <w:rsid w:val="009128B8"/>
    <w:rsid w:val="0091472C"/>
    <w:rsid w:val="00914DC9"/>
    <w:rsid w:val="00915351"/>
    <w:rsid w:val="00915679"/>
    <w:rsid w:val="009159C2"/>
    <w:rsid w:val="0091627F"/>
    <w:rsid w:val="00916CF8"/>
    <w:rsid w:val="00916E45"/>
    <w:rsid w:val="00917673"/>
    <w:rsid w:val="0092077A"/>
    <w:rsid w:val="00920DC0"/>
    <w:rsid w:val="009219F3"/>
    <w:rsid w:val="009221CB"/>
    <w:rsid w:val="00922320"/>
    <w:rsid w:val="00923643"/>
    <w:rsid w:val="009239F6"/>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D09"/>
    <w:rsid w:val="009335C1"/>
    <w:rsid w:val="0093386D"/>
    <w:rsid w:val="00933B96"/>
    <w:rsid w:val="00934C8E"/>
    <w:rsid w:val="00935194"/>
    <w:rsid w:val="00936EA5"/>
    <w:rsid w:val="00937114"/>
    <w:rsid w:val="0094015D"/>
    <w:rsid w:val="00940916"/>
    <w:rsid w:val="009412B7"/>
    <w:rsid w:val="00941B13"/>
    <w:rsid w:val="0094215C"/>
    <w:rsid w:val="00942F8E"/>
    <w:rsid w:val="00943543"/>
    <w:rsid w:val="009441DB"/>
    <w:rsid w:val="00944834"/>
    <w:rsid w:val="00944B3B"/>
    <w:rsid w:val="00946128"/>
    <w:rsid w:val="0094633F"/>
    <w:rsid w:val="00947BA5"/>
    <w:rsid w:val="00950113"/>
    <w:rsid w:val="00950340"/>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1D42"/>
    <w:rsid w:val="009625B7"/>
    <w:rsid w:val="00962FB8"/>
    <w:rsid w:val="00963183"/>
    <w:rsid w:val="0096373F"/>
    <w:rsid w:val="00964007"/>
    <w:rsid w:val="00964283"/>
    <w:rsid w:val="009642A4"/>
    <w:rsid w:val="009643F4"/>
    <w:rsid w:val="009645A6"/>
    <w:rsid w:val="00964F5A"/>
    <w:rsid w:val="0096527F"/>
    <w:rsid w:val="009652B6"/>
    <w:rsid w:val="009653ED"/>
    <w:rsid w:val="00966A21"/>
    <w:rsid w:val="00966AD2"/>
    <w:rsid w:val="00971415"/>
    <w:rsid w:val="009716D8"/>
    <w:rsid w:val="00971AFB"/>
    <w:rsid w:val="00971F54"/>
    <w:rsid w:val="00972057"/>
    <w:rsid w:val="0097227B"/>
    <w:rsid w:val="0097262E"/>
    <w:rsid w:val="0097293F"/>
    <w:rsid w:val="00973103"/>
    <w:rsid w:val="00973BA3"/>
    <w:rsid w:val="00974022"/>
    <w:rsid w:val="009743E8"/>
    <w:rsid w:val="009745D8"/>
    <w:rsid w:val="00974F3B"/>
    <w:rsid w:val="00975169"/>
    <w:rsid w:val="0097552A"/>
    <w:rsid w:val="0097564A"/>
    <w:rsid w:val="00975974"/>
    <w:rsid w:val="00975D06"/>
    <w:rsid w:val="00975D63"/>
    <w:rsid w:val="00975DAE"/>
    <w:rsid w:val="00976BBE"/>
    <w:rsid w:val="00977260"/>
    <w:rsid w:val="0098055B"/>
    <w:rsid w:val="00980B30"/>
    <w:rsid w:val="009810BE"/>
    <w:rsid w:val="009811AA"/>
    <w:rsid w:val="009817BC"/>
    <w:rsid w:val="009819A7"/>
    <w:rsid w:val="00982122"/>
    <w:rsid w:val="0098220A"/>
    <w:rsid w:val="00982E75"/>
    <w:rsid w:val="00983337"/>
    <w:rsid w:val="009836AA"/>
    <w:rsid w:val="00983A32"/>
    <w:rsid w:val="00983AA3"/>
    <w:rsid w:val="009846BF"/>
    <w:rsid w:val="009851F5"/>
    <w:rsid w:val="0098534B"/>
    <w:rsid w:val="00986019"/>
    <w:rsid w:val="00986281"/>
    <w:rsid w:val="009869BD"/>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E00"/>
    <w:rsid w:val="00993135"/>
    <w:rsid w:val="00993AC7"/>
    <w:rsid w:val="00993BAD"/>
    <w:rsid w:val="00993E49"/>
    <w:rsid w:val="00994120"/>
    <w:rsid w:val="009942F5"/>
    <w:rsid w:val="00994568"/>
    <w:rsid w:val="00994602"/>
    <w:rsid w:val="009950D4"/>
    <w:rsid w:val="0099528D"/>
    <w:rsid w:val="00995B01"/>
    <w:rsid w:val="00996055"/>
    <w:rsid w:val="00996326"/>
    <w:rsid w:val="00996EF4"/>
    <w:rsid w:val="00997044"/>
    <w:rsid w:val="00997BC9"/>
    <w:rsid w:val="009A113D"/>
    <w:rsid w:val="009A1ECA"/>
    <w:rsid w:val="009A2BE9"/>
    <w:rsid w:val="009A2BF3"/>
    <w:rsid w:val="009A30A6"/>
    <w:rsid w:val="009A366E"/>
    <w:rsid w:val="009A3688"/>
    <w:rsid w:val="009A3713"/>
    <w:rsid w:val="009A3C3E"/>
    <w:rsid w:val="009A4153"/>
    <w:rsid w:val="009A4C2C"/>
    <w:rsid w:val="009A59B3"/>
    <w:rsid w:val="009A5FAE"/>
    <w:rsid w:val="009A6B3A"/>
    <w:rsid w:val="009A70A3"/>
    <w:rsid w:val="009A7E7C"/>
    <w:rsid w:val="009B05D2"/>
    <w:rsid w:val="009B12F3"/>
    <w:rsid w:val="009B152B"/>
    <w:rsid w:val="009B2731"/>
    <w:rsid w:val="009B2DCF"/>
    <w:rsid w:val="009B39D8"/>
    <w:rsid w:val="009B3D38"/>
    <w:rsid w:val="009B4368"/>
    <w:rsid w:val="009B4D4C"/>
    <w:rsid w:val="009B4F33"/>
    <w:rsid w:val="009B549C"/>
    <w:rsid w:val="009B66F5"/>
    <w:rsid w:val="009B6C1D"/>
    <w:rsid w:val="009B70B7"/>
    <w:rsid w:val="009B7505"/>
    <w:rsid w:val="009C0020"/>
    <w:rsid w:val="009C03F7"/>
    <w:rsid w:val="009C10DA"/>
    <w:rsid w:val="009C19FC"/>
    <w:rsid w:val="009C27F7"/>
    <w:rsid w:val="009C36B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D6C"/>
    <w:rsid w:val="009C724B"/>
    <w:rsid w:val="009C7266"/>
    <w:rsid w:val="009C748A"/>
    <w:rsid w:val="009D03B7"/>
    <w:rsid w:val="009D07AD"/>
    <w:rsid w:val="009D0824"/>
    <w:rsid w:val="009D107B"/>
    <w:rsid w:val="009D1172"/>
    <w:rsid w:val="009D13CC"/>
    <w:rsid w:val="009D1654"/>
    <w:rsid w:val="009D1AAC"/>
    <w:rsid w:val="009D1BDB"/>
    <w:rsid w:val="009D250F"/>
    <w:rsid w:val="009D298F"/>
    <w:rsid w:val="009D2F9C"/>
    <w:rsid w:val="009D4207"/>
    <w:rsid w:val="009D4E4A"/>
    <w:rsid w:val="009D5130"/>
    <w:rsid w:val="009D53D1"/>
    <w:rsid w:val="009D53FB"/>
    <w:rsid w:val="009D56A4"/>
    <w:rsid w:val="009D6081"/>
    <w:rsid w:val="009D678C"/>
    <w:rsid w:val="009D6B9A"/>
    <w:rsid w:val="009D6D30"/>
    <w:rsid w:val="009D7396"/>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5B2"/>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AA6"/>
    <w:rsid w:val="009F4550"/>
    <w:rsid w:val="009F56C0"/>
    <w:rsid w:val="009F5C76"/>
    <w:rsid w:val="009F660B"/>
    <w:rsid w:val="00A000C5"/>
    <w:rsid w:val="00A007B4"/>
    <w:rsid w:val="00A00930"/>
    <w:rsid w:val="00A00A12"/>
    <w:rsid w:val="00A00CA0"/>
    <w:rsid w:val="00A00E00"/>
    <w:rsid w:val="00A01221"/>
    <w:rsid w:val="00A012A8"/>
    <w:rsid w:val="00A012F1"/>
    <w:rsid w:val="00A016FF"/>
    <w:rsid w:val="00A01886"/>
    <w:rsid w:val="00A0207F"/>
    <w:rsid w:val="00A021AF"/>
    <w:rsid w:val="00A027B1"/>
    <w:rsid w:val="00A0307A"/>
    <w:rsid w:val="00A0351F"/>
    <w:rsid w:val="00A03A7C"/>
    <w:rsid w:val="00A044AA"/>
    <w:rsid w:val="00A06A5B"/>
    <w:rsid w:val="00A06D56"/>
    <w:rsid w:val="00A0700C"/>
    <w:rsid w:val="00A102F8"/>
    <w:rsid w:val="00A10A20"/>
    <w:rsid w:val="00A117D5"/>
    <w:rsid w:val="00A11C11"/>
    <w:rsid w:val="00A12720"/>
    <w:rsid w:val="00A12ED1"/>
    <w:rsid w:val="00A13121"/>
    <w:rsid w:val="00A131F5"/>
    <w:rsid w:val="00A133C1"/>
    <w:rsid w:val="00A13414"/>
    <w:rsid w:val="00A13675"/>
    <w:rsid w:val="00A138B7"/>
    <w:rsid w:val="00A13C90"/>
    <w:rsid w:val="00A13F2D"/>
    <w:rsid w:val="00A148A0"/>
    <w:rsid w:val="00A14AA8"/>
    <w:rsid w:val="00A14F81"/>
    <w:rsid w:val="00A1535F"/>
    <w:rsid w:val="00A15CB1"/>
    <w:rsid w:val="00A15DCC"/>
    <w:rsid w:val="00A15E7D"/>
    <w:rsid w:val="00A15E84"/>
    <w:rsid w:val="00A16021"/>
    <w:rsid w:val="00A16961"/>
    <w:rsid w:val="00A17547"/>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781"/>
    <w:rsid w:val="00A3404D"/>
    <w:rsid w:val="00A341AB"/>
    <w:rsid w:val="00A34290"/>
    <w:rsid w:val="00A345AE"/>
    <w:rsid w:val="00A34D7F"/>
    <w:rsid w:val="00A355F9"/>
    <w:rsid w:val="00A357D3"/>
    <w:rsid w:val="00A35AA9"/>
    <w:rsid w:val="00A35F3C"/>
    <w:rsid w:val="00A36CF6"/>
    <w:rsid w:val="00A37309"/>
    <w:rsid w:val="00A37329"/>
    <w:rsid w:val="00A373D3"/>
    <w:rsid w:val="00A37558"/>
    <w:rsid w:val="00A3786A"/>
    <w:rsid w:val="00A4008C"/>
    <w:rsid w:val="00A402A8"/>
    <w:rsid w:val="00A40685"/>
    <w:rsid w:val="00A40E2F"/>
    <w:rsid w:val="00A41819"/>
    <w:rsid w:val="00A41C9A"/>
    <w:rsid w:val="00A41D73"/>
    <w:rsid w:val="00A41E5A"/>
    <w:rsid w:val="00A42406"/>
    <w:rsid w:val="00A433E8"/>
    <w:rsid w:val="00A43A1D"/>
    <w:rsid w:val="00A43AB0"/>
    <w:rsid w:val="00A44854"/>
    <w:rsid w:val="00A44A45"/>
    <w:rsid w:val="00A4665D"/>
    <w:rsid w:val="00A46859"/>
    <w:rsid w:val="00A46D39"/>
    <w:rsid w:val="00A47019"/>
    <w:rsid w:val="00A472B8"/>
    <w:rsid w:val="00A479F4"/>
    <w:rsid w:val="00A5004A"/>
    <w:rsid w:val="00A5017C"/>
    <w:rsid w:val="00A502D6"/>
    <w:rsid w:val="00A502F5"/>
    <w:rsid w:val="00A504F4"/>
    <w:rsid w:val="00A507C4"/>
    <w:rsid w:val="00A508AA"/>
    <w:rsid w:val="00A50EE7"/>
    <w:rsid w:val="00A526CE"/>
    <w:rsid w:val="00A54560"/>
    <w:rsid w:val="00A54909"/>
    <w:rsid w:val="00A54DC0"/>
    <w:rsid w:val="00A550C9"/>
    <w:rsid w:val="00A55228"/>
    <w:rsid w:val="00A55410"/>
    <w:rsid w:val="00A55A04"/>
    <w:rsid w:val="00A55DB1"/>
    <w:rsid w:val="00A564DE"/>
    <w:rsid w:val="00A6054E"/>
    <w:rsid w:val="00A60799"/>
    <w:rsid w:val="00A60808"/>
    <w:rsid w:val="00A60DD5"/>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0B1"/>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028"/>
    <w:rsid w:val="00A74255"/>
    <w:rsid w:val="00A7463E"/>
    <w:rsid w:val="00A758E2"/>
    <w:rsid w:val="00A765B1"/>
    <w:rsid w:val="00A772F2"/>
    <w:rsid w:val="00A77828"/>
    <w:rsid w:val="00A77BAA"/>
    <w:rsid w:val="00A77DAB"/>
    <w:rsid w:val="00A800F9"/>
    <w:rsid w:val="00A803A6"/>
    <w:rsid w:val="00A8073D"/>
    <w:rsid w:val="00A80CC9"/>
    <w:rsid w:val="00A80D02"/>
    <w:rsid w:val="00A815FB"/>
    <w:rsid w:val="00A81AEB"/>
    <w:rsid w:val="00A82D32"/>
    <w:rsid w:val="00A82EAE"/>
    <w:rsid w:val="00A82FC7"/>
    <w:rsid w:val="00A847F9"/>
    <w:rsid w:val="00A84F27"/>
    <w:rsid w:val="00A8519C"/>
    <w:rsid w:val="00A855E8"/>
    <w:rsid w:val="00A855EE"/>
    <w:rsid w:val="00A8597A"/>
    <w:rsid w:val="00A85B87"/>
    <w:rsid w:val="00A85F83"/>
    <w:rsid w:val="00A86019"/>
    <w:rsid w:val="00A86EED"/>
    <w:rsid w:val="00A8733A"/>
    <w:rsid w:val="00A90400"/>
    <w:rsid w:val="00A9107B"/>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6DD3"/>
    <w:rsid w:val="00A97173"/>
    <w:rsid w:val="00A97BDA"/>
    <w:rsid w:val="00AA043A"/>
    <w:rsid w:val="00AA04BD"/>
    <w:rsid w:val="00AA0779"/>
    <w:rsid w:val="00AA08F3"/>
    <w:rsid w:val="00AA0A7E"/>
    <w:rsid w:val="00AA0F23"/>
    <w:rsid w:val="00AA1067"/>
    <w:rsid w:val="00AA1163"/>
    <w:rsid w:val="00AA16B7"/>
    <w:rsid w:val="00AA1DA8"/>
    <w:rsid w:val="00AA222C"/>
    <w:rsid w:val="00AA2264"/>
    <w:rsid w:val="00AA238E"/>
    <w:rsid w:val="00AA2483"/>
    <w:rsid w:val="00AA253B"/>
    <w:rsid w:val="00AA29F8"/>
    <w:rsid w:val="00AA3243"/>
    <w:rsid w:val="00AA388F"/>
    <w:rsid w:val="00AA3C4C"/>
    <w:rsid w:val="00AA3F6A"/>
    <w:rsid w:val="00AA408E"/>
    <w:rsid w:val="00AA4DA9"/>
    <w:rsid w:val="00AA4F6D"/>
    <w:rsid w:val="00AA50CE"/>
    <w:rsid w:val="00AA536B"/>
    <w:rsid w:val="00AA57C9"/>
    <w:rsid w:val="00AA5A5C"/>
    <w:rsid w:val="00AA5A6F"/>
    <w:rsid w:val="00AA634D"/>
    <w:rsid w:val="00AA6B3D"/>
    <w:rsid w:val="00AA6F6C"/>
    <w:rsid w:val="00AA721D"/>
    <w:rsid w:val="00AA7519"/>
    <w:rsid w:val="00AA790A"/>
    <w:rsid w:val="00AB02EA"/>
    <w:rsid w:val="00AB103A"/>
    <w:rsid w:val="00AB110C"/>
    <w:rsid w:val="00AB227A"/>
    <w:rsid w:val="00AB22BF"/>
    <w:rsid w:val="00AB256E"/>
    <w:rsid w:val="00AB2AC0"/>
    <w:rsid w:val="00AB3466"/>
    <w:rsid w:val="00AB38B2"/>
    <w:rsid w:val="00AB3BBB"/>
    <w:rsid w:val="00AB408C"/>
    <w:rsid w:val="00AB43AF"/>
    <w:rsid w:val="00AB4D52"/>
    <w:rsid w:val="00AB4E41"/>
    <w:rsid w:val="00AB5EB1"/>
    <w:rsid w:val="00AB5EF4"/>
    <w:rsid w:val="00AB6003"/>
    <w:rsid w:val="00AB607E"/>
    <w:rsid w:val="00AB62C4"/>
    <w:rsid w:val="00AB759A"/>
    <w:rsid w:val="00AB75D8"/>
    <w:rsid w:val="00AB7B06"/>
    <w:rsid w:val="00AB7EAA"/>
    <w:rsid w:val="00AC0432"/>
    <w:rsid w:val="00AC0770"/>
    <w:rsid w:val="00AC1683"/>
    <w:rsid w:val="00AC1D82"/>
    <w:rsid w:val="00AC2D5F"/>
    <w:rsid w:val="00AC36A4"/>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4ED7"/>
    <w:rsid w:val="00AD5F0A"/>
    <w:rsid w:val="00AD6A5B"/>
    <w:rsid w:val="00AD6B4F"/>
    <w:rsid w:val="00AD6D19"/>
    <w:rsid w:val="00AD7812"/>
    <w:rsid w:val="00AD7C42"/>
    <w:rsid w:val="00AD7CFA"/>
    <w:rsid w:val="00AE06B0"/>
    <w:rsid w:val="00AE0BD6"/>
    <w:rsid w:val="00AE11C1"/>
    <w:rsid w:val="00AE163D"/>
    <w:rsid w:val="00AE1A42"/>
    <w:rsid w:val="00AE1C5C"/>
    <w:rsid w:val="00AE2F29"/>
    <w:rsid w:val="00AE315E"/>
    <w:rsid w:val="00AE319F"/>
    <w:rsid w:val="00AE31D9"/>
    <w:rsid w:val="00AE3CF0"/>
    <w:rsid w:val="00AE4546"/>
    <w:rsid w:val="00AE549C"/>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1ECA"/>
    <w:rsid w:val="00B12076"/>
    <w:rsid w:val="00B12082"/>
    <w:rsid w:val="00B12648"/>
    <w:rsid w:val="00B1270C"/>
    <w:rsid w:val="00B12710"/>
    <w:rsid w:val="00B128A4"/>
    <w:rsid w:val="00B129C2"/>
    <w:rsid w:val="00B13389"/>
    <w:rsid w:val="00B1364C"/>
    <w:rsid w:val="00B13EDB"/>
    <w:rsid w:val="00B141A5"/>
    <w:rsid w:val="00B14F47"/>
    <w:rsid w:val="00B15282"/>
    <w:rsid w:val="00B15286"/>
    <w:rsid w:val="00B1539F"/>
    <w:rsid w:val="00B1550D"/>
    <w:rsid w:val="00B15CC9"/>
    <w:rsid w:val="00B15F6C"/>
    <w:rsid w:val="00B163E8"/>
    <w:rsid w:val="00B16ACE"/>
    <w:rsid w:val="00B1767E"/>
    <w:rsid w:val="00B17F64"/>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36A"/>
    <w:rsid w:val="00B274E3"/>
    <w:rsid w:val="00B2765C"/>
    <w:rsid w:val="00B27C4B"/>
    <w:rsid w:val="00B30563"/>
    <w:rsid w:val="00B3069E"/>
    <w:rsid w:val="00B30A76"/>
    <w:rsid w:val="00B31246"/>
    <w:rsid w:val="00B31B7F"/>
    <w:rsid w:val="00B32295"/>
    <w:rsid w:val="00B33AB5"/>
    <w:rsid w:val="00B3412E"/>
    <w:rsid w:val="00B342C7"/>
    <w:rsid w:val="00B343E0"/>
    <w:rsid w:val="00B35AF0"/>
    <w:rsid w:val="00B35B6D"/>
    <w:rsid w:val="00B35D53"/>
    <w:rsid w:val="00B367C4"/>
    <w:rsid w:val="00B36D3E"/>
    <w:rsid w:val="00B37B8E"/>
    <w:rsid w:val="00B40222"/>
    <w:rsid w:val="00B404C3"/>
    <w:rsid w:val="00B40649"/>
    <w:rsid w:val="00B41A04"/>
    <w:rsid w:val="00B42743"/>
    <w:rsid w:val="00B430E9"/>
    <w:rsid w:val="00B4311F"/>
    <w:rsid w:val="00B431AE"/>
    <w:rsid w:val="00B438A5"/>
    <w:rsid w:val="00B44288"/>
    <w:rsid w:val="00B448BF"/>
    <w:rsid w:val="00B4533A"/>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E25"/>
    <w:rsid w:val="00B65788"/>
    <w:rsid w:val="00B65844"/>
    <w:rsid w:val="00B65E81"/>
    <w:rsid w:val="00B66054"/>
    <w:rsid w:val="00B66478"/>
    <w:rsid w:val="00B6677F"/>
    <w:rsid w:val="00B66C7A"/>
    <w:rsid w:val="00B672EA"/>
    <w:rsid w:val="00B6747B"/>
    <w:rsid w:val="00B70200"/>
    <w:rsid w:val="00B702D7"/>
    <w:rsid w:val="00B70389"/>
    <w:rsid w:val="00B70E01"/>
    <w:rsid w:val="00B72CF0"/>
    <w:rsid w:val="00B731CB"/>
    <w:rsid w:val="00B7380E"/>
    <w:rsid w:val="00B740F6"/>
    <w:rsid w:val="00B74615"/>
    <w:rsid w:val="00B74789"/>
    <w:rsid w:val="00B74BC1"/>
    <w:rsid w:val="00B755B6"/>
    <w:rsid w:val="00B75977"/>
    <w:rsid w:val="00B75A48"/>
    <w:rsid w:val="00B75CC0"/>
    <w:rsid w:val="00B76021"/>
    <w:rsid w:val="00B76FCD"/>
    <w:rsid w:val="00B7764D"/>
    <w:rsid w:val="00B77F46"/>
    <w:rsid w:val="00B804F8"/>
    <w:rsid w:val="00B8095A"/>
    <w:rsid w:val="00B80C07"/>
    <w:rsid w:val="00B81274"/>
    <w:rsid w:val="00B815D3"/>
    <w:rsid w:val="00B81742"/>
    <w:rsid w:val="00B817B5"/>
    <w:rsid w:val="00B81AF9"/>
    <w:rsid w:val="00B81F57"/>
    <w:rsid w:val="00B823A6"/>
    <w:rsid w:val="00B83E76"/>
    <w:rsid w:val="00B83FA0"/>
    <w:rsid w:val="00B84066"/>
    <w:rsid w:val="00B84156"/>
    <w:rsid w:val="00B846E6"/>
    <w:rsid w:val="00B8537B"/>
    <w:rsid w:val="00B85586"/>
    <w:rsid w:val="00B86289"/>
    <w:rsid w:val="00B863B3"/>
    <w:rsid w:val="00B869D3"/>
    <w:rsid w:val="00B86CF8"/>
    <w:rsid w:val="00B86E44"/>
    <w:rsid w:val="00B87359"/>
    <w:rsid w:val="00B87F1C"/>
    <w:rsid w:val="00B90D8D"/>
    <w:rsid w:val="00B91209"/>
    <w:rsid w:val="00B91263"/>
    <w:rsid w:val="00B91B61"/>
    <w:rsid w:val="00B93849"/>
    <w:rsid w:val="00B938BD"/>
    <w:rsid w:val="00B93CF3"/>
    <w:rsid w:val="00B9407F"/>
    <w:rsid w:val="00B944E9"/>
    <w:rsid w:val="00B945D7"/>
    <w:rsid w:val="00B94896"/>
    <w:rsid w:val="00B94CDD"/>
    <w:rsid w:val="00B94DA7"/>
    <w:rsid w:val="00B95163"/>
    <w:rsid w:val="00B954D0"/>
    <w:rsid w:val="00B959C9"/>
    <w:rsid w:val="00B96DD9"/>
    <w:rsid w:val="00B96EA6"/>
    <w:rsid w:val="00B9789D"/>
    <w:rsid w:val="00B97A4C"/>
    <w:rsid w:val="00BA050E"/>
    <w:rsid w:val="00BA1289"/>
    <w:rsid w:val="00BA14B2"/>
    <w:rsid w:val="00BA15DC"/>
    <w:rsid w:val="00BA1E2F"/>
    <w:rsid w:val="00BA1EB8"/>
    <w:rsid w:val="00BA2C82"/>
    <w:rsid w:val="00BA2DF4"/>
    <w:rsid w:val="00BA34B2"/>
    <w:rsid w:val="00BA3869"/>
    <w:rsid w:val="00BA4399"/>
    <w:rsid w:val="00BA4452"/>
    <w:rsid w:val="00BA46C6"/>
    <w:rsid w:val="00BA47B4"/>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8B0"/>
    <w:rsid w:val="00BB6D96"/>
    <w:rsid w:val="00BB7092"/>
    <w:rsid w:val="00BB777D"/>
    <w:rsid w:val="00BB7E8F"/>
    <w:rsid w:val="00BB7EC0"/>
    <w:rsid w:val="00BB7F88"/>
    <w:rsid w:val="00BC0207"/>
    <w:rsid w:val="00BC089F"/>
    <w:rsid w:val="00BC0A0C"/>
    <w:rsid w:val="00BC0A5A"/>
    <w:rsid w:val="00BC0E64"/>
    <w:rsid w:val="00BC25D1"/>
    <w:rsid w:val="00BC2DBD"/>
    <w:rsid w:val="00BC3BCB"/>
    <w:rsid w:val="00BC3CF1"/>
    <w:rsid w:val="00BC428A"/>
    <w:rsid w:val="00BC4C40"/>
    <w:rsid w:val="00BC57D6"/>
    <w:rsid w:val="00BC5A29"/>
    <w:rsid w:val="00BC5AE3"/>
    <w:rsid w:val="00BC5BAD"/>
    <w:rsid w:val="00BC68B5"/>
    <w:rsid w:val="00BC692A"/>
    <w:rsid w:val="00BC7357"/>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6B57"/>
    <w:rsid w:val="00BD734D"/>
    <w:rsid w:val="00BD7941"/>
    <w:rsid w:val="00BE0591"/>
    <w:rsid w:val="00BE0C55"/>
    <w:rsid w:val="00BE0F03"/>
    <w:rsid w:val="00BE11A2"/>
    <w:rsid w:val="00BE1EF0"/>
    <w:rsid w:val="00BE246C"/>
    <w:rsid w:val="00BE2657"/>
    <w:rsid w:val="00BE2CBC"/>
    <w:rsid w:val="00BE2FD2"/>
    <w:rsid w:val="00BE377A"/>
    <w:rsid w:val="00BE37AE"/>
    <w:rsid w:val="00BE3B14"/>
    <w:rsid w:val="00BE3C65"/>
    <w:rsid w:val="00BE3D1C"/>
    <w:rsid w:val="00BE40D1"/>
    <w:rsid w:val="00BE4222"/>
    <w:rsid w:val="00BE472D"/>
    <w:rsid w:val="00BE4C03"/>
    <w:rsid w:val="00BE595E"/>
    <w:rsid w:val="00BE6DB9"/>
    <w:rsid w:val="00BE7133"/>
    <w:rsid w:val="00BE7F4D"/>
    <w:rsid w:val="00BF03C0"/>
    <w:rsid w:val="00BF0EBF"/>
    <w:rsid w:val="00BF1534"/>
    <w:rsid w:val="00BF2021"/>
    <w:rsid w:val="00BF21D4"/>
    <w:rsid w:val="00BF2DDC"/>
    <w:rsid w:val="00BF32DE"/>
    <w:rsid w:val="00BF48C9"/>
    <w:rsid w:val="00BF4A15"/>
    <w:rsid w:val="00BF4E0E"/>
    <w:rsid w:val="00BF4E27"/>
    <w:rsid w:val="00BF4F7C"/>
    <w:rsid w:val="00BF537B"/>
    <w:rsid w:val="00BF5901"/>
    <w:rsid w:val="00BF626A"/>
    <w:rsid w:val="00BF688E"/>
    <w:rsid w:val="00BF6A7D"/>
    <w:rsid w:val="00BF6D77"/>
    <w:rsid w:val="00BF739A"/>
    <w:rsid w:val="00BF7EF5"/>
    <w:rsid w:val="00C00BF6"/>
    <w:rsid w:val="00C01E5E"/>
    <w:rsid w:val="00C0234A"/>
    <w:rsid w:val="00C023BE"/>
    <w:rsid w:val="00C0247B"/>
    <w:rsid w:val="00C0378E"/>
    <w:rsid w:val="00C04314"/>
    <w:rsid w:val="00C04BD0"/>
    <w:rsid w:val="00C05730"/>
    <w:rsid w:val="00C05AF4"/>
    <w:rsid w:val="00C05AFD"/>
    <w:rsid w:val="00C0661C"/>
    <w:rsid w:val="00C0675F"/>
    <w:rsid w:val="00C0702A"/>
    <w:rsid w:val="00C0724C"/>
    <w:rsid w:val="00C07827"/>
    <w:rsid w:val="00C07C11"/>
    <w:rsid w:val="00C07E10"/>
    <w:rsid w:val="00C10015"/>
    <w:rsid w:val="00C106DE"/>
    <w:rsid w:val="00C1110A"/>
    <w:rsid w:val="00C11689"/>
    <w:rsid w:val="00C12414"/>
    <w:rsid w:val="00C1248D"/>
    <w:rsid w:val="00C12ECB"/>
    <w:rsid w:val="00C148B2"/>
    <w:rsid w:val="00C14ABD"/>
    <w:rsid w:val="00C15176"/>
    <w:rsid w:val="00C15185"/>
    <w:rsid w:val="00C151E0"/>
    <w:rsid w:val="00C15358"/>
    <w:rsid w:val="00C155A8"/>
    <w:rsid w:val="00C159FD"/>
    <w:rsid w:val="00C15B31"/>
    <w:rsid w:val="00C15F22"/>
    <w:rsid w:val="00C15F66"/>
    <w:rsid w:val="00C1604F"/>
    <w:rsid w:val="00C166D4"/>
    <w:rsid w:val="00C168E5"/>
    <w:rsid w:val="00C1696D"/>
    <w:rsid w:val="00C16C90"/>
    <w:rsid w:val="00C17AB5"/>
    <w:rsid w:val="00C20051"/>
    <w:rsid w:val="00C209BE"/>
    <w:rsid w:val="00C20B6C"/>
    <w:rsid w:val="00C20B86"/>
    <w:rsid w:val="00C21145"/>
    <w:rsid w:val="00C21421"/>
    <w:rsid w:val="00C215ED"/>
    <w:rsid w:val="00C21674"/>
    <w:rsid w:val="00C22350"/>
    <w:rsid w:val="00C23615"/>
    <w:rsid w:val="00C2397E"/>
    <w:rsid w:val="00C23A83"/>
    <w:rsid w:val="00C24381"/>
    <w:rsid w:val="00C24801"/>
    <w:rsid w:val="00C24C2E"/>
    <w:rsid w:val="00C24C6E"/>
    <w:rsid w:val="00C24C7A"/>
    <w:rsid w:val="00C24FFB"/>
    <w:rsid w:val="00C25CFF"/>
    <w:rsid w:val="00C25EA6"/>
    <w:rsid w:val="00C26164"/>
    <w:rsid w:val="00C261C1"/>
    <w:rsid w:val="00C26574"/>
    <w:rsid w:val="00C26DBF"/>
    <w:rsid w:val="00C27199"/>
    <w:rsid w:val="00C27204"/>
    <w:rsid w:val="00C304E9"/>
    <w:rsid w:val="00C30B0B"/>
    <w:rsid w:val="00C31320"/>
    <w:rsid w:val="00C31365"/>
    <w:rsid w:val="00C316B4"/>
    <w:rsid w:val="00C331DB"/>
    <w:rsid w:val="00C332D4"/>
    <w:rsid w:val="00C33A66"/>
    <w:rsid w:val="00C33E51"/>
    <w:rsid w:val="00C34C45"/>
    <w:rsid w:val="00C34C47"/>
    <w:rsid w:val="00C34FCE"/>
    <w:rsid w:val="00C35411"/>
    <w:rsid w:val="00C356E8"/>
    <w:rsid w:val="00C35EED"/>
    <w:rsid w:val="00C36B2C"/>
    <w:rsid w:val="00C3701A"/>
    <w:rsid w:val="00C379EF"/>
    <w:rsid w:val="00C405C8"/>
    <w:rsid w:val="00C40C2F"/>
    <w:rsid w:val="00C415AC"/>
    <w:rsid w:val="00C41F2B"/>
    <w:rsid w:val="00C42094"/>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1EE0"/>
    <w:rsid w:val="00C53CE9"/>
    <w:rsid w:val="00C5531B"/>
    <w:rsid w:val="00C55375"/>
    <w:rsid w:val="00C5570F"/>
    <w:rsid w:val="00C55A03"/>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879"/>
    <w:rsid w:val="00C65BD3"/>
    <w:rsid w:val="00C664FB"/>
    <w:rsid w:val="00C665DE"/>
    <w:rsid w:val="00C667C3"/>
    <w:rsid w:val="00C6728B"/>
    <w:rsid w:val="00C70718"/>
    <w:rsid w:val="00C70B25"/>
    <w:rsid w:val="00C71528"/>
    <w:rsid w:val="00C717E4"/>
    <w:rsid w:val="00C7191B"/>
    <w:rsid w:val="00C71E28"/>
    <w:rsid w:val="00C71F09"/>
    <w:rsid w:val="00C72588"/>
    <w:rsid w:val="00C727B9"/>
    <w:rsid w:val="00C72F44"/>
    <w:rsid w:val="00C73670"/>
    <w:rsid w:val="00C73752"/>
    <w:rsid w:val="00C737D1"/>
    <w:rsid w:val="00C738A0"/>
    <w:rsid w:val="00C73D75"/>
    <w:rsid w:val="00C73DE0"/>
    <w:rsid w:val="00C74609"/>
    <w:rsid w:val="00C749AB"/>
    <w:rsid w:val="00C75A8F"/>
    <w:rsid w:val="00C76129"/>
    <w:rsid w:val="00C76C0C"/>
    <w:rsid w:val="00C76D5A"/>
    <w:rsid w:val="00C76FFC"/>
    <w:rsid w:val="00C774E0"/>
    <w:rsid w:val="00C776BA"/>
    <w:rsid w:val="00C7791E"/>
    <w:rsid w:val="00C8096A"/>
    <w:rsid w:val="00C81716"/>
    <w:rsid w:val="00C832CB"/>
    <w:rsid w:val="00C84085"/>
    <w:rsid w:val="00C852DC"/>
    <w:rsid w:val="00C854A8"/>
    <w:rsid w:val="00C85677"/>
    <w:rsid w:val="00C85B99"/>
    <w:rsid w:val="00C85E17"/>
    <w:rsid w:val="00C868A7"/>
    <w:rsid w:val="00C86929"/>
    <w:rsid w:val="00C86ABA"/>
    <w:rsid w:val="00C86BF7"/>
    <w:rsid w:val="00C87164"/>
    <w:rsid w:val="00C875C6"/>
    <w:rsid w:val="00C8786A"/>
    <w:rsid w:val="00C87BBA"/>
    <w:rsid w:val="00C87BD0"/>
    <w:rsid w:val="00C905E5"/>
    <w:rsid w:val="00C90754"/>
    <w:rsid w:val="00C90B43"/>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C6A"/>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1E0D"/>
    <w:rsid w:val="00CC291E"/>
    <w:rsid w:val="00CC2D03"/>
    <w:rsid w:val="00CC2EB0"/>
    <w:rsid w:val="00CC40AC"/>
    <w:rsid w:val="00CC4701"/>
    <w:rsid w:val="00CC56B4"/>
    <w:rsid w:val="00CC5F95"/>
    <w:rsid w:val="00CC642A"/>
    <w:rsid w:val="00CC6AC7"/>
    <w:rsid w:val="00CC733D"/>
    <w:rsid w:val="00CC7617"/>
    <w:rsid w:val="00CC7E0D"/>
    <w:rsid w:val="00CC7E97"/>
    <w:rsid w:val="00CD00EB"/>
    <w:rsid w:val="00CD01D8"/>
    <w:rsid w:val="00CD1255"/>
    <w:rsid w:val="00CD1484"/>
    <w:rsid w:val="00CD1892"/>
    <w:rsid w:val="00CD1C01"/>
    <w:rsid w:val="00CD1D00"/>
    <w:rsid w:val="00CD2009"/>
    <w:rsid w:val="00CD27AC"/>
    <w:rsid w:val="00CD2A82"/>
    <w:rsid w:val="00CD3CAB"/>
    <w:rsid w:val="00CD44FF"/>
    <w:rsid w:val="00CD46A7"/>
    <w:rsid w:val="00CD47BC"/>
    <w:rsid w:val="00CD4E50"/>
    <w:rsid w:val="00CD5315"/>
    <w:rsid w:val="00CD56F9"/>
    <w:rsid w:val="00CD57CB"/>
    <w:rsid w:val="00CD5BB0"/>
    <w:rsid w:val="00CD64E1"/>
    <w:rsid w:val="00CD66BA"/>
    <w:rsid w:val="00CD699D"/>
    <w:rsid w:val="00CD6BA3"/>
    <w:rsid w:val="00CD70DB"/>
    <w:rsid w:val="00CD7544"/>
    <w:rsid w:val="00CD78D4"/>
    <w:rsid w:val="00CD7B17"/>
    <w:rsid w:val="00CE0697"/>
    <w:rsid w:val="00CE14CB"/>
    <w:rsid w:val="00CE1AEA"/>
    <w:rsid w:val="00CE2E2E"/>
    <w:rsid w:val="00CE3A51"/>
    <w:rsid w:val="00CE41F9"/>
    <w:rsid w:val="00CE59F6"/>
    <w:rsid w:val="00CE66CD"/>
    <w:rsid w:val="00CE6BA9"/>
    <w:rsid w:val="00CE71C3"/>
    <w:rsid w:val="00CE727A"/>
    <w:rsid w:val="00CF0028"/>
    <w:rsid w:val="00CF029C"/>
    <w:rsid w:val="00CF0AF0"/>
    <w:rsid w:val="00CF157E"/>
    <w:rsid w:val="00CF1631"/>
    <w:rsid w:val="00CF1834"/>
    <w:rsid w:val="00CF1AAA"/>
    <w:rsid w:val="00CF1EC2"/>
    <w:rsid w:val="00CF2ACF"/>
    <w:rsid w:val="00CF345B"/>
    <w:rsid w:val="00CF41A5"/>
    <w:rsid w:val="00CF41BB"/>
    <w:rsid w:val="00CF475F"/>
    <w:rsid w:val="00CF5008"/>
    <w:rsid w:val="00CF5069"/>
    <w:rsid w:val="00CF5E34"/>
    <w:rsid w:val="00CF64D9"/>
    <w:rsid w:val="00CF6707"/>
    <w:rsid w:val="00CF7101"/>
    <w:rsid w:val="00CF726E"/>
    <w:rsid w:val="00CF7327"/>
    <w:rsid w:val="00CF7385"/>
    <w:rsid w:val="00CF7539"/>
    <w:rsid w:val="00CF75C6"/>
    <w:rsid w:val="00CF7B77"/>
    <w:rsid w:val="00CF7DF5"/>
    <w:rsid w:val="00D001D2"/>
    <w:rsid w:val="00D02A80"/>
    <w:rsid w:val="00D0352D"/>
    <w:rsid w:val="00D036BD"/>
    <w:rsid w:val="00D04F01"/>
    <w:rsid w:val="00D04F8B"/>
    <w:rsid w:val="00D054EF"/>
    <w:rsid w:val="00D05637"/>
    <w:rsid w:val="00D05BA9"/>
    <w:rsid w:val="00D05EB1"/>
    <w:rsid w:val="00D0650B"/>
    <w:rsid w:val="00D068AA"/>
    <w:rsid w:val="00D06AFB"/>
    <w:rsid w:val="00D06E71"/>
    <w:rsid w:val="00D06E9C"/>
    <w:rsid w:val="00D0714B"/>
    <w:rsid w:val="00D0764E"/>
    <w:rsid w:val="00D07D82"/>
    <w:rsid w:val="00D10327"/>
    <w:rsid w:val="00D103C9"/>
    <w:rsid w:val="00D10BE1"/>
    <w:rsid w:val="00D11BB6"/>
    <w:rsid w:val="00D11FE3"/>
    <w:rsid w:val="00D12393"/>
    <w:rsid w:val="00D12945"/>
    <w:rsid w:val="00D12CC0"/>
    <w:rsid w:val="00D12DA1"/>
    <w:rsid w:val="00D130C0"/>
    <w:rsid w:val="00D1343A"/>
    <w:rsid w:val="00D13D50"/>
    <w:rsid w:val="00D14101"/>
    <w:rsid w:val="00D144D8"/>
    <w:rsid w:val="00D14919"/>
    <w:rsid w:val="00D14E25"/>
    <w:rsid w:val="00D1518F"/>
    <w:rsid w:val="00D151E7"/>
    <w:rsid w:val="00D15470"/>
    <w:rsid w:val="00D15AE3"/>
    <w:rsid w:val="00D160C4"/>
    <w:rsid w:val="00D165D8"/>
    <w:rsid w:val="00D1724E"/>
    <w:rsid w:val="00D17C26"/>
    <w:rsid w:val="00D17E08"/>
    <w:rsid w:val="00D206F6"/>
    <w:rsid w:val="00D20FD1"/>
    <w:rsid w:val="00D214D4"/>
    <w:rsid w:val="00D2164A"/>
    <w:rsid w:val="00D21AAA"/>
    <w:rsid w:val="00D21E6F"/>
    <w:rsid w:val="00D2218A"/>
    <w:rsid w:val="00D22B13"/>
    <w:rsid w:val="00D2371E"/>
    <w:rsid w:val="00D237E0"/>
    <w:rsid w:val="00D23A17"/>
    <w:rsid w:val="00D25676"/>
    <w:rsid w:val="00D2579F"/>
    <w:rsid w:val="00D2580E"/>
    <w:rsid w:val="00D25EBE"/>
    <w:rsid w:val="00D265A7"/>
    <w:rsid w:val="00D2690C"/>
    <w:rsid w:val="00D27129"/>
    <w:rsid w:val="00D279E7"/>
    <w:rsid w:val="00D27F75"/>
    <w:rsid w:val="00D3046D"/>
    <w:rsid w:val="00D30497"/>
    <w:rsid w:val="00D30622"/>
    <w:rsid w:val="00D30C4D"/>
    <w:rsid w:val="00D30F5F"/>
    <w:rsid w:val="00D31243"/>
    <w:rsid w:val="00D316D9"/>
    <w:rsid w:val="00D31B07"/>
    <w:rsid w:val="00D31B9D"/>
    <w:rsid w:val="00D3272E"/>
    <w:rsid w:val="00D32FA0"/>
    <w:rsid w:val="00D33112"/>
    <w:rsid w:val="00D331CB"/>
    <w:rsid w:val="00D33E62"/>
    <w:rsid w:val="00D347F5"/>
    <w:rsid w:val="00D3497A"/>
    <w:rsid w:val="00D35F2F"/>
    <w:rsid w:val="00D35FC6"/>
    <w:rsid w:val="00D360E7"/>
    <w:rsid w:val="00D36BB8"/>
    <w:rsid w:val="00D377D4"/>
    <w:rsid w:val="00D401A1"/>
    <w:rsid w:val="00D40217"/>
    <w:rsid w:val="00D40385"/>
    <w:rsid w:val="00D404CE"/>
    <w:rsid w:val="00D40E8F"/>
    <w:rsid w:val="00D412BF"/>
    <w:rsid w:val="00D417C6"/>
    <w:rsid w:val="00D417D0"/>
    <w:rsid w:val="00D424CA"/>
    <w:rsid w:val="00D42B0C"/>
    <w:rsid w:val="00D42D6E"/>
    <w:rsid w:val="00D43DEF"/>
    <w:rsid w:val="00D44259"/>
    <w:rsid w:val="00D45C61"/>
    <w:rsid w:val="00D45DDC"/>
    <w:rsid w:val="00D5064C"/>
    <w:rsid w:val="00D50C94"/>
    <w:rsid w:val="00D511E7"/>
    <w:rsid w:val="00D5142B"/>
    <w:rsid w:val="00D517ED"/>
    <w:rsid w:val="00D5251C"/>
    <w:rsid w:val="00D52633"/>
    <w:rsid w:val="00D52F56"/>
    <w:rsid w:val="00D539DA"/>
    <w:rsid w:val="00D54A50"/>
    <w:rsid w:val="00D54E8E"/>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6B"/>
    <w:rsid w:val="00D659EA"/>
    <w:rsid w:val="00D65A3F"/>
    <w:rsid w:val="00D65A89"/>
    <w:rsid w:val="00D65E85"/>
    <w:rsid w:val="00D6611C"/>
    <w:rsid w:val="00D66192"/>
    <w:rsid w:val="00D671C7"/>
    <w:rsid w:val="00D675B0"/>
    <w:rsid w:val="00D675DE"/>
    <w:rsid w:val="00D678BB"/>
    <w:rsid w:val="00D67D81"/>
    <w:rsid w:val="00D70170"/>
    <w:rsid w:val="00D702E8"/>
    <w:rsid w:val="00D70552"/>
    <w:rsid w:val="00D70A07"/>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6A1"/>
    <w:rsid w:val="00D753A9"/>
    <w:rsid w:val="00D755F7"/>
    <w:rsid w:val="00D75DDB"/>
    <w:rsid w:val="00D75E4B"/>
    <w:rsid w:val="00D774F4"/>
    <w:rsid w:val="00D77687"/>
    <w:rsid w:val="00D7789F"/>
    <w:rsid w:val="00D77AF6"/>
    <w:rsid w:val="00D804C5"/>
    <w:rsid w:val="00D80C92"/>
    <w:rsid w:val="00D815E6"/>
    <w:rsid w:val="00D81A28"/>
    <w:rsid w:val="00D81BDE"/>
    <w:rsid w:val="00D8201D"/>
    <w:rsid w:val="00D82A01"/>
    <w:rsid w:val="00D82B00"/>
    <w:rsid w:val="00D82B04"/>
    <w:rsid w:val="00D82BE4"/>
    <w:rsid w:val="00D82E05"/>
    <w:rsid w:val="00D8319B"/>
    <w:rsid w:val="00D83C0D"/>
    <w:rsid w:val="00D83C80"/>
    <w:rsid w:val="00D83F5B"/>
    <w:rsid w:val="00D85FDE"/>
    <w:rsid w:val="00D8665E"/>
    <w:rsid w:val="00D86753"/>
    <w:rsid w:val="00D869C1"/>
    <w:rsid w:val="00D86EC6"/>
    <w:rsid w:val="00D87418"/>
    <w:rsid w:val="00D87A39"/>
    <w:rsid w:val="00D87E30"/>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DAA"/>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29A2"/>
    <w:rsid w:val="00DA31C9"/>
    <w:rsid w:val="00DA3AB4"/>
    <w:rsid w:val="00DA3C5B"/>
    <w:rsid w:val="00DA3D23"/>
    <w:rsid w:val="00DA4A61"/>
    <w:rsid w:val="00DA5AFE"/>
    <w:rsid w:val="00DA61AB"/>
    <w:rsid w:val="00DA61CD"/>
    <w:rsid w:val="00DA6732"/>
    <w:rsid w:val="00DA6EE2"/>
    <w:rsid w:val="00DA718A"/>
    <w:rsid w:val="00DA78CF"/>
    <w:rsid w:val="00DA78D5"/>
    <w:rsid w:val="00DA7A89"/>
    <w:rsid w:val="00DA7BF4"/>
    <w:rsid w:val="00DB052F"/>
    <w:rsid w:val="00DB14D3"/>
    <w:rsid w:val="00DB154B"/>
    <w:rsid w:val="00DB1AC6"/>
    <w:rsid w:val="00DB1BDC"/>
    <w:rsid w:val="00DB1C44"/>
    <w:rsid w:val="00DB3490"/>
    <w:rsid w:val="00DB3593"/>
    <w:rsid w:val="00DB38FA"/>
    <w:rsid w:val="00DB3B37"/>
    <w:rsid w:val="00DB440B"/>
    <w:rsid w:val="00DB4426"/>
    <w:rsid w:val="00DB4522"/>
    <w:rsid w:val="00DB4B40"/>
    <w:rsid w:val="00DB4F12"/>
    <w:rsid w:val="00DB4F21"/>
    <w:rsid w:val="00DB4F42"/>
    <w:rsid w:val="00DB540C"/>
    <w:rsid w:val="00DB5E13"/>
    <w:rsid w:val="00DB6F96"/>
    <w:rsid w:val="00DB71B9"/>
    <w:rsid w:val="00DB7662"/>
    <w:rsid w:val="00DB7C65"/>
    <w:rsid w:val="00DB7E46"/>
    <w:rsid w:val="00DC1395"/>
    <w:rsid w:val="00DC32FC"/>
    <w:rsid w:val="00DC3738"/>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06A"/>
    <w:rsid w:val="00DD09F2"/>
    <w:rsid w:val="00DD0DEE"/>
    <w:rsid w:val="00DD1205"/>
    <w:rsid w:val="00DD1633"/>
    <w:rsid w:val="00DD17A0"/>
    <w:rsid w:val="00DD1A95"/>
    <w:rsid w:val="00DD1B97"/>
    <w:rsid w:val="00DD20B8"/>
    <w:rsid w:val="00DD2246"/>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D76"/>
    <w:rsid w:val="00DD720D"/>
    <w:rsid w:val="00DE0229"/>
    <w:rsid w:val="00DE04E0"/>
    <w:rsid w:val="00DE06A0"/>
    <w:rsid w:val="00DE12F1"/>
    <w:rsid w:val="00DE1A9D"/>
    <w:rsid w:val="00DE1CB1"/>
    <w:rsid w:val="00DE2073"/>
    <w:rsid w:val="00DE30AC"/>
    <w:rsid w:val="00DE38D1"/>
    <w:rsid w:val="00DE4106"/>
    <w:rsid w:val="00DE466B"/>
    <w:rsid w:val="00DE48F4"/>
    <w:rsid w:val="00DE4B28"/>
    <w:rsid w:val="00DE5184"/>
    <w:rsid w:val="00DE5563"/>
    <w:rsid w:val="00DE5B14"/>
    <w:rsid w:val="00DE5C19"/>
    <w:rsid w:val="00DE5D48"/>
    <w:rsid w:val="00DE6E4D"/>
    <w:rsid w:val="00DE7498"/>
    <w:rsid w:val="00DE75EF"/>
    <w:rsid w:val="00DE7611"/>
    <w:rsid w:val="00DE7D19"/>
    <w:rsid w:val="00DF05A0"/>
    <w:rsid w:val="00DF1162"/>
    <w:rsid w:val="00DF17B4"/>
    <w:rsid w:val="00DF1BA8"/>
    <w:rsid w:val="00DF1F63"/>
    <w:rsid w:val="00DF1F74"/>
    <w:rsid w:val="00DF2637"/>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13F"/>
    <w:rsid w:val="00E0232F"/>
    <w:rsid w:val="00E026A9"/>
    <w:rsid w:val="00E0356F"/>
    <w:rsid w:val="00E03B42"/>
    <w:rsid w:val="00E03C10"/>
    <w:rsid w:val="00E0479F"/>
    <w:rsid w:val="00E04816"/>
    <w:rsid w:val="00E04982"/>
    <w:rsid w:val="00E04D6A"/>
    <w:rsid w:val="00E058DB"/>
    <w:rsid w:val="00E05950"/>
    <w:rsid w:val="00E05CD4"/>
    <w:rsid w:val="00E05CE4"/>
    <w:rsid w:val="00E05DE8"/>
    <w:rsid w:val="00E06100"/>
    <w:rsid w:val="00E0614E"/>
    <w:rsid w:val="00E06E97"/>
    <w:rsid w:val="00E07B8F"/>
    <w:rsid w:val="00E07DD5"/>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6B7"/>
    <w:rsid w:val="00E229CE"/>
    <w:rsid w:val="00E22B4A"/>
    <w:rsid w:val="00E2449B"/>
    <w:rsid w:val="00E24A62"/>
    <w:rsid w:val="00E24F52"/>
    <w:rsid w:val="00E255CC"/>
    <w:rsid w:val="00E25636"/>
    <w:rsid w:val="00E25755"/>
    <w:rsid w:val="00E25F90"/>
    <w:rsid w:val="00E266DD"/>
    <w:rsid w:val="00E26D2E"/>
    <w:rsid w:val="00E26D5B"/>
    <w:rsid w:val="00E279B2"/>
    <w:rsid w:val="00E303C0"/>
    <w:rsid w:val="00E3055B"/>
    <w:rsid w:val="00E31687"/>
    <w:rsid w:val="00E31699"/>
    <w:rsid w:val="00E31761"/>
    <w:rsid w:val="00E31812"/>
    <w:rsid w:val="00E31889"/>
    <w:rsid w:val="00E31CE7"/>
    <w:rsid w:val="00E32D29"/>
    <w:rsid w:val="00E333D5"/>
    <w:rsid w:val="00E3394F"/>
    <w:rsid w:val="00E33A0B"/>
    <w:rsid w:val="00E33FFF"/>
    <w:rsid w:val="00E34A2F"/>
    <w:rsid w:val="00E35A45"/>
    <w:rsid w:val="00E35F7F"/>
    <w:rsid w:val="00E36392"/>
    <w:rsid w:val="00E364C9"/>
    <w:rsid w:val="00E36B32"/>
    <w:rsid w:val="00E36F65"/>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9B2"/>
    <w:rsid w:val="00E45A2C"/>
    <w:rsid w:val="00E46A6B"/>
    <w:rsid w:val="00E46A9C"/>
    <w:rsid w:val="00E47DB1"/>
    <w:rsid w:val="00E50BDD"/>
    <w:rsid w:val="00E510CF"/>
    <w:rsid w:val="00E513D7"/>
    <w:rsid w:val="00E519FE"/>
    <w:rsid w:val="00E51FE9"/>
    <w:rsid w:val="00E5206C"/>
    <w:rsid w:val="00E52AAB"/>
    <w:rsid w:val="00E5448E"/>
    <w:rsid w:val="00E54E0D"/>
    <w:rsid w:val="00E55247"/>
    <w:rsid w:val="00E558E5"/>
    <w:rsid w:val="00E55B3C"/>
    <w:rsid w:val="00E56795"/>
    <w:rsid w:val="00E5733B"/>
    <w:rsid w:val="00E57630"/>
    <w:rsid w:val="00E5763A"/>
    <w:rsid w:val="00E57932"/>
    <w:rsid w:val="00E606C4"/>
    <w:rsid w:val="00E60811"/>
    <w:rsid w:val="00E60AB8"/>
    <w:rsid w:val="00E6103E"/>
    <w:rsid w:val="00E6185F"/>
    <w:rsid w:val="00E61D32"/>
    <w:rsid w:val="00E62D94"/>
    <w:rsid w:val="00E63810"/>
    <w:rsid w:val="00E638F3"/>
    <w:rsid w:val="00E63C60"/>
    <w:rsid w:val="00E64050"/>
    <w:rsid w:val="00E64B7B"/>
    <w:rsid w:val="00E6514D"/>
    <w:rsid w:val="00E65161"/>
    <w:rsid w:val="00E652C9"/>
    <w:rsid w:val="00E6593B"/>
    <w:rsid w:val="00E65D74"/>
    <w:rsid w:val="00E66E11"/>
    <w:rsid w:val="00E672C6"/>
    <w:rsid w:val="00E67842"/>
    <w:rsid w:val="00E67979"/>
    <w:rsid w:val="00E70192"/>
    <w:rsid w:val="00E70C55"/>
    <w:rsid w:val="00E70E34"/>
    <w:rsid w:val="00E71809"/>
    <w:rsid w:val="00E71D1E"/>
    <w:rsid w:val="00E7251B"/>
    <w:rsid w:val="00E726F2"/>
    <w:rsid w:val="00E728E2"/>
    <w:rsid w:val="00E738FA"/>
    <w:rsid w:val="00E739B6"/>
    <w:rsid w:val="00E74200"/>
    <w:rsid w:val="00E74A2B"/>
    <w:rsid w:val="00E75667"/>
    <w:rsid w:val="00E756D3"/>
    <w:rsid w:val="00E75A5A"/>
    <w:rsid w:val="00E76004"/>
    <w:rsid w:val="00E7608F"/>
    <w:rsid w:val="00E760D7"/>
    <w:rsid w:val="00E760E3"/>
    <w:rsid w:val="00E769CC"/>
    <w:rsid w:val="00E77124"/>
    <w:rsid w:val="00E77341"/>
    <w:rsid w:val="00E7783E"/>
    <w:rsid w:val="00E778B8"/>
    <w:rsid w:val="00E801C7"/>
    <w:rsid w:val="00E80AF8"/>
    <w:rsid w:val="00E80BED"/>
    <w:rsid w:val="00E816E8"/>
    <w:rsid w:val="00E81E13"/>
    <w:rsid w:val="00E82592"/>
    <w:rsid w:val="00E825ED"/>
    <w:rsid w:val="00E827BB"/>
    <w:rsid w:val="00E82D24"/>
    <w:rsid w:val="00E8357D"/>
    <w:rsid w:val="00E83C4F"/>
    <w:rsid w:val="00E84212"/>
    <w:rsid w:val="00E84A73"/>
    <w:rsid w:val="00E84C04"/>
    <w:rsid w:val="00E84F72"/>
    <w:rsid w:val="00E856A2"/>
    <w:rsid w:val="00E8572B"/>
    <w:rsid w:val="00E8575B"/>
    <w:rsid w:val="00E85929"/>
    <w:rsid w:val="00E85AD2"/>
    <w:rsid w:val="00E87A37"/>
    <w:rsid w:val="00E87CF7"/>
    <w:rsid w:val="00E9036E"/>
    <w:rsid w:val="00E9078A"/>
    <w:rsid w:val="00E912FD"/>
    <w:rsid w:val="00E91A3C"/>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0D7"/>
    <w:rsid w:val="00EA0143"/>
    <w:rsid w:val="00EA089B"/>
    <w:rsid w:val="00EA1ACC"/>
    <w:rsid w:val="00EA2E0F"/>
    <w:rsid w:val="00EA2E21"/>
    <w:rsid w:val="00EA2EAA"/>
    <w:rsid w:val="00EA380C"/>
    <w:rsid w:val="00EA544A"/>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DA8"/>
    <w:rsid w:val="00EB71C9"/>
    <w:rsid w:val="00EB763E"/>
    <w:rsid w:val="00EB7B67"/>
    <w:rsid w:val="00EC07F1"/>
    <w:rsid w:val="00EC1E8A"/>
    <w:rsid w:val="00EC328C"/>
    <w:rsid w:val="00EC32F5"/>
    <w:rsid w:val="00EC3852"/>
    <w:rsid w:val="00EC4528"/>
    <w:rsid w:val="00EC5241"/>
    <w:rsid w:val="00EC52AB"/>
    <w:rsid w:val="00EC5817"/>
    <w:rsid w:val="00EC594C"/>
    <w:rsid w:val="00EC5B6A"/>
    <w:rsid w:val="00EC5C7B"/>
    <w:rsid w:val="00EC66AA"/>
    <w:rsid w:val="00EC6B30"/>
    <w:rsid w:val="00EC6B8F"/>
    <w:rsid w:val="00EC7154"/>
    <w:rsid w:val="00EC7371"/>
    <w:rsid w:val="00EC73F5"/>
    <w:rsid w:val="00EC7894"/>
    <w:rsid w:val="00EC7A28"/>
    <w:rsid w:val="00EC7B48"/>
    <w:rsid w:val="00ED0151"/>
    <w:rsid w:val="00ED01A3"/>
    <w:rsid w:val="00ED01A9"/>
    <w:rsid w:val="00ED0257"/>
    <w:rsid w:val="00ED071B"/>
    <w:rsid w:val="00ED18B1"/>
    <w:rsid w:val="00ED1ADE"/>
    <w:rsid w:val="00ED3692"/>
    <w:rsid w:val="00ED4A77"/>
    <w:rsid w:val="00ED4B6E"/>
    <w:rsid w:val="00ED5981"/>
    <w:rsid w:val="00ED5DEE"/>
    <w:rsid w:val="00ED613A"/>
    <w:rsid w:val="00ED6514"/>
    <w:rsid w:val="00ED66B2"/>
    <w:rsid w:val="00ED6E01"/>
    <w:rsid w:val="00ED71BA"/>
    <w:rsid w:val="00ED728F"/>
    <w:rsid w:val="00ED73A1"/>
    <w:rsid w:val="00ED7CA2"/>
    <w:rsid w:val="00EE02EE"/>
    <w:rsid w:val="00EE04F9"/>
    <w:rsid w:val="00EE05E0"/>
    <w:rsid w:val="00EE13DA"/>
    <w:rsid w:val="00EE1595"/>
    <w:rsid w:val="00EE1E71"/>
    <w:rsid w:val="00EE2087"/>
    <w:rsid w:val="00EE20C2"/>
    <w:rsid w:val="00EE2621"/>
    <w:rsid w:val="00EE2833"/>
    <w:rsid w:val="00EE2A9D"/>
    <w:rsid w:val="00EE3384"/>
    <w:rsid w:val="00EE499F"/>
    <w:rsid w:val="00EE56E2"/>
    <w:rsid w:val="00EE5FCD"/>
    <w:rsid w:val="00EE63BF"/>
    <w:rsid w:val="00EE6D45"/>
    <w:rsid w:val="00EE6E89"/>
    <w:rsid w:val="00EF0938"/>
    <w:rsid w:val="00EF0CDE"/>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874"/>
    <w:rsid w:val="00EF5B41"/>
    <w:rsid w:val="00EF611C"/>
    <w:rsid w:val="00EF625F"/>
    <w:rsid w:val="00EF62C0"/>
    <w:rsid w:val="00EF6D5A"/>
    <w:rsid w:val="00EF71C5"/>
    <w:rsid w:val="00EF71E6"/>
    <w:rsid w:val="00F0058A"/>
    <w:rsid w:val="00F00630"/>
    <w:rsid w:val="00F00922"/>
    <w:rsid w:val="00F00924"/>
    <w:rsid w:val="00F0187E"/>
    <w:rsid w:val="00F01BE6"/>
    <w:rsid w:val="00F01F75"/>
    <w:rsid w:val="00F0217A"/>
    <w:rsid w:val="00F026D3"/>
    <w:rsid w:val="00F027E8"/>
    <w:rsid w:val="00F02B7B"/>
    <w:rsid w:val="00F03395"/>
    <w:rsid w:val="00F034E6"/>
    <w:rsid w:val="00F03E4C"/>
    <w:rsid w:val="00F041E1"/>
    <w:rsid w:val="00F04D19"/>
    <w:rsid w:val="00F050A3"/>
    <w:rsid w:val="00F05C13"/>
    <w:rsid w:val="00F06340"/>
    <w:rsid w:val="00F0665D"/>
    <w:rsid w:val="00F06D42"/>
    <w:rsid w:val="00F07134"/>
    <w:rsid w:val="00F0724D"/>
    <w:rsid w:val="00F07378"/>
    <w:rsid w:val="00F10B81"/>
    <w:rsid w:val="00F10BC9"/>
    <w:rsid w:val="00F113C9"/>
    <w:rsid w:val="00F11C01"/>
    <w:rsid w:val="00F11D80"/>
    <w:rsid w:val="00F13347"/>
    <w:rsid w:val="00F136A0"/>
    <w:rsid w:val="00F1479C"/>
    <w:rsid w:val="00F14B08"/>
    <w:rsid w:val="00F14B4B"/>
    <w:rsid w:val="00F14CD1"/>
    <w:rsid w:val="00F15115"/>
    <w:rsid w:val="00F15311"/>
    <w:rsid w:val="00F15A85"/>
    <w:rsid w:val="00F15C81"/>
    <w:rsid w:val="00F15D8C"/>
    <w:rsid w:val="00F15F18"/>
    <w:rsid w:val="00F16B86"/>
    <w:rsid w:val="00F16E1A"/>
    <w:rsid w:val="00F16F92"/>
    <w:rsid w:val="00F17C3E"/>
    <w:rsid w:val="00F17C95"/>
    <w:rsid w:val="00F20197"/>
    <w:rsid w:val="00F20369"/>
    <w:rsid w:val="00F20607"/>
    <w:rsid w:val="00F208BB"/>
    <w:rsid w:val="00F20C9E"/>
    <w:rsid w:val="00F213D8"/>
    <w:rsid w:val="00F21416"/>
    <w:rsid w:val="00F21A5D"/>
    <w:rsid w:val="00F21C13"/>
    <w:rsid w:val="00F21D8C"/>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1B3"/>
    <w:rsid w:val="00F30313"/>
    <w:rsid w:val="00F303BC"/>
    <w:rsid w:val="00F30472"/>
    <w:rsid w:val="00F31052"/>
    <w:rsid w:val="00F318A1"/>
    <w:rsid w:val="00F31CF5"/>
    <w:rsid w:val="00F3265C"/>
    <w:rsid w:val="00F32C4A"/>
    <w:rsid w:val="00F331A2"/>
    <w:rsid w:val="00F33262"/>
    <w:rsid w:val="00F3359E"/>
    <w:rsid w:val="00F343EE"/>
    <w:rsid w:val="00F34CF5"/>
    <w:rsid w:val="00F353F4"/>
    <w:rsid w:val="00F35494"/>
    <w:rsid w:val="00F35607"/>
    <w:rsid w:val="00F359AB"/>
    <w:rsid w:val="00F35DBA"/>
    <w:rsid w:val="00F3619D"/>
    <w:rsid w:val="00F36DDE"/>
    <w:rsid w:val="00F3722A"/>
    <w:rsid w:val="00F37366"/>
    <w:rsid w:val="00F37C99"/>
    <w:rsid w:val="00F37FCC"/>
    <w:rsid w:val="00F41488"/>
    <w:rsid w:val="00F419B8"/>
    <w:rsid w:val="00F41C0F"/>
    <w:rsid w:val="00F42856"/>
    <w:rsid w:val="00F42ED7"/>
    <w:rsid w:val="00F43777"/>
    <w:rsid w:val="00F4482B"/>
    <w:rsid w:val="00F44F02"/>
    <w:rsid w:val="00F45039"/>
    <w:rsid w:val="00F4526B"/>
    <w:rsid w:val="00F45298"/>
    <w:rsid w:val="00F45EA5"/>
    <w:rsid w:val="00F45F64"/>
    <w:rsid w:val="00F46289"/>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3AB"/>
    <w:rsid w:val="00F5253E"/>
    <w:rsid w:val="00F5254B"/>
    <w:rsid w:val="00F527E7"/>
    <w:rsid w:val="00F52CB7"/>
    <w:rsid w:val="00F53A44"/>
    <w:rsid w:val="00F54E5E"/>
    <w:rsid w:val="00F551DB"/>
    <w:rsid w:val="00F55810"/>
    <w:rsid w:val="00F559BE"/>
    <w:rsid w:val="00F56F7E"/>
    <w:rsid w:val="00F56FEF"/>
    <w:rsid w:val="00F57521"/>
    <w:rsid w:val="00F60938"/>
    <w:rsid w:val="00F60BB0"/>
    <w:rsid w:val="00F60C7E"/>
    <w:rsid w:val="00F60E0A"/>
    <w:rsid w:val="00F61606"/>
    <w:rsid w:val="00F61918"/>
    <w:rsid w:val="00F62151"/>
    <w:rsid w:val="00F62BA7"/>
    <w:rsid w:val="00F62CA8"/>
    <w:rsid w:val="00F62F92"/>
    <w:rsid w:val="00F630B4"/>
    <w:rsid w:val="00F635EF"/>
    <w:rsid w:val="00F63BF4"/>
    <w:rsid w:val="00F63C55"/>
    <w:rsid w:val="00F63C60"/>
    <w:rsid w:val="00F64991"/>
    <w:rsid w:val="00F65BA8"/>
    <w:rsid w:val="00F65BA9"/>
    <w:rsid w:val="00F65BC8"/>
    <w:rsid w:val="00F65EEA"/>
    <w:rsid w:val="00F66205"/>
    <w:rsid w:val="00F6630F"/>
    <w:rsid w:val="00F66419"/>
    <w:rsid w:val="00F66A26"/>
    <w:rsid w:val="00F66E8D"/>
    <w:rsid w:val="00F67079"/>
    <w:rsid w:val="00F67B58"/>
    <w:rsid w:val="00F67E81"/>
    <w:rsid w:val="00F7044B"/>
    <w:rsid w:val="00F70FD4"/>
    <w:rsid w:val="00F71342"/>
    <w:rsid w:val="00F719A6"/>
    <w:rsid w:val="00F71C68"/>
    <w:rsid w:val="00F722DB"/>
    <w:rsid w:val="00F724E2"/>
    <w:rsid w:val="00F726B5"/>
    <w:rsid w:val="00F74103"/>
    <w:rsid w:val="00F7410A"/>
    <w:rsid w:val="00F745A4"/>
    <w:rsid w:val="00F74C0C"/>
    <w:rsid w:val="00F758E1"/>
    <w:rsid w:val="00F75BB5"/>
    <w:rsid w:val="00F75FD5"/>
    <w:rsid w:val="00F7604C"/>
    <w:rsid w:val="00F773A9"/>
    <w:rsid w:val="00F8056E"/>
    <w:rsid w:val="00F805B7"/>
    <w:rsid w:val="00F80A03"/>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8EB"/>
    <w:rsid w:val="00F940F1"/>
    <w:rsid w:val="00F95B0D"/>
    <w:rsid w:val="00F97A34"/>
    <w:rsid w:val="00F97DE1"/>
    <w:rsid w:val="00F97E4A"/>
    <w:rsid w:val="00F97EA1"/>
    <w:rsid w:val="00FA003A"/>
    <w:rsid w:val="00FA05C8"/>
    <w:rsid w:val="00FA0678"/>
    <w:rsid w:val="00FA069F"/>
    <w:rsid w:val="00FA0DB6"/>
    <w:rsid w:val="00FA1346"/>
    <w:rsid w:val="00FA23F7"/>
    <w:rsid w:val="00FA27EB"/>
    <w:rsid w:val="00FA35B6"/>
    <w:rsid w:val="00FA3EBC"/>
    <w:rsid w:val="00FA423C"/>
    <w:rsid w:val="00FA44D0"/>
    <w:rsid w:val="00FA4590"/>
    <w:rsid w:val="00FA55A2"/>
    <w:rsid w:val="00FA5692"/>
    <w:rsid w:val="00FA672F"/>
    <w:rsid w:val="00FA775E"/>
    <w:rsid w:val="00FA7792"/>
    <w:rsid w:val="00FA7AA8"/>
    <w:rsid w:val="00FA7F1D"/>
    <w:rsid w:val="00FB011C"/>
    <w:rsid w:val="00FB0D60"/>
    <w:rsid w:val="00FB18FD"/>
    <w:rsid w:val="00FB2BF5"/>
    <w:rsid w:val="00FB2F8E"/>
    <w:rsid w:val="00FB30C3"/>
    <w:rsid w:val="00FB39B0"/>
    <w:rsid w:val="00FB4328"/>
    <w:rsid w:val="00FB5138"/>
    <w:rsid w:val="00FB547F"/>
    <w:rsid w:val="00FB5A71"/>
    <w:rsid w:val="00FB63F6"/>
    <w:rsid w:val="00FB661F"/>
    <w:rsid w:val="00FB688A"/>
    <w:rsid w:val="00FB7823"/>
    <w:rsid w:val="00FC0283"/>
    <w:rsid w:val="00FC02F9"/>
    <w:rsid w:val="00FC05B2"/>
    <w:rsid w:val="00FC08B3"/>
    <w:rsid w:val="00FC09D7"/>
    <w:rsid w:val="00FC0ABE"/>
    <w:rsid w:val="00FC1269"/>
    <w:rsid w:val="00FC2091"/>
    <w:rsid w:val="00FC22D0"/>
    <w:rsid w:val="00FC38D4"/>
    <w:rsid w:val="00FC391E"/>
    <w:rsid w:val="00FC3939"/>
    <w:rsid w:val="00FC39B3"/>
    <w:rsid w:val="00FC3BB7"/>
    <w:rsid w:val="00FC4345"/>
    <w:rsid w:val="00FC434F"/>
    <w:rsid w:val="00FC444A"/>
    <w:rsid w:val="00FC453D"/>
    <w:rsid w:val="00FC4A89"/>
    <w:rsid w:val="00FC619B"/>
    <w:rsid w:val="00FC6651"/>
    <w:rsid w:val="00FC665F"/>
    <w:rsid w:val="00FC6C35"/>
    <w:rsid w:val="00FC6D59"/>
    <w:rsid w:val="00FC6E19"/>
    <w:rsid w:val="00FC7561"/>
    <w:rsid w:val="00FC78F5"/>
    <w:rsid w:val="00FC7ACA"/>
    <w:rsid w:val="00FC7AD2"/>
    <w:rsid w:val="00FD10B3"/>
    <w:rsid w:val="00FD11C3"/>
    <w:rsid w:val="00FD154E"/>
    <w:rsid w:val="00FD1DC6"/>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13"/>
    <w:rsid w:val="00FE75EA"/>
    <w:rsid w:val="00FE7877"/>
    <w:rsid w:val="00FE7DD1"/>
    <w:rsid w:val="00FF0B4F"/>
    <w:rsid w:val="00FF0F58"/>
    <w:rsid w:val="00FF15F7"/>
    <w:rsid w:val="00FF183C"/>
    <w:rsid w:val="00FF1A06"/>
    <w:rsid w:val="00FF1AD3"/>
    <w:rsid w:val="00FF1B46"/>
    <w:rsid w:val="00FF219D"/>
    <w:rsid w:val="00FF2A7B"/>
    <w:rsid w:val="00FF3D2B"/>
    <w:rsid w:val="00FF49B4"/>
    <w:rsid w:val="00FF49F4"/>
    <w:rsid w:val="00FF5C6A"/>
    <w:rsid w:val="00FF651D"/>
    <w:rsid w:val="00FF6843"/>
    <w:rsid w:val="00FF6C25"/>
    <w:rsid w:val="00FF7ABD"/>
    <w:rsid w:val="010651D9"/>
    <w:rsid w:val="011863EE"/>
    <w:rsid w:val="011F6449"/>
    <w:rsid w:val="01236AFB"/>
    <w:rsid w:val="015D05CC"/>
    <w:rsid w:val="015F6E28"/>
    <w:rsid w:val="0167398B"/>
    <w:rsid w:val="01810306"/>
    <w:rsid w:val="019F7441"/>
    <w:rsid w:val="01A746B1"/>
    <w:rsid w:val="01B37585"/>
    <w:rsid w:val="01BC5F53"/>
    <w:rsid w:val="01C85C8C"/>
    <w:rsid w:val="01D55165"/>
    <w:rsid w:val="01DF6BF8"/>
    <w:rsid w:val="01E217DC"/>
    <w:rsid w:val="01EC2C57"/>
    <w:rsid w:val="020D600D"/>
    <w:rsid w:val="021A6C4F"/>
    <w:rsid w:val="021D673F"/>
    <w:rsid w:val="02242161"/>
    <w:rsid w:val="02646807"/>
    <w:rsid w:val="026B2E25"/>
    <w:rsid w:val="0273318C"/>
    <w:rsid w:val="02824D4D"/>
    <w:rsid w:val="028A4011"/>
    <w:rsid w:val="029571EB"/>
    <w:rsid w:val="02BA556C"/>
    <w:rsid w:val="02DC4B10"/>
    <w:rsid w:val="02DC5CB3"/>
    <w:rsid w:val="02DD76CE"/>
    <w:rsid w:val="02F36323"/>
    <w:rsid w:val="02F5619C"/>
    <w:rsid w:val="0326446A"/>
    <w:rsid w:val="032D5555"/>
    <w:rsid w:val="034201E9"/>
    <w:rsid w:val="036634D2"/>
    <w:rsid w:val="03922815"/>
    <w:rsid w:val="039D06E4"/>
    <w:rsid w:val="03DD35E4"/>
    <w:rsid w:val="03F62846"/>
    <w:rsid w:val="04076900"/>
    <w:rsid w:val="040A0CC4"/>
    <w:rsid w:val="041A5A3B"/>
    <w:rsid w:val="042311BA"/>
    <w:rsid w:val="042B157A"/>
    <w:rsid w:val="048F763B"/>
    <w:rsid w:val="04903C43"/>
    <w:rsid w:val="049F330E"/>
    <w:rsid w:val="04AA775C"/>
    <w:rsid w:val="04AF1889"/>
    <w:rsid w:val="04CB2270"/>
    <w:rsid w:val="04F17B51"/>
    <w:rsid w:val="04F66F48"/>
    <w:rsid w:val="051B38A9"/>
    <w:rsid w:val="05251E14"/>
    <w:rsid w:val="057F7803"/>
    <w:rsid w:val="05A16594"/>
    <w:rsid w:val="05A261DF"/>
    <w:rsid w:val="05A7762D"/>
    <w:rsid w:val="05AF2CBB"/>
    <w:rsid w:val="05D04621"/>
    <w:rsid w:val="05DA4CDD"/>
    <w:rsid w:val="060E5941"/>
    <w:rsid w:val="06110FAF"/>
    <w:rsid w:val="06493CA7"/>
    <w:rsid w:val="065A6178"/>
    <w:rsid w:val="06680892"/>
    <w:rsid w:val="066F1CF3"/>
    <w:rsid w:val="067308D7"/>
    <w:rsid w:val="0681510C"/>
    <w:rsid w:val="068428E9"/>
    <w:rsid w:val="06930BB8"/>
    <w:rsid w:val="06A2459C"/>
    <w:rsid w:val="06B40C43"/>
    <w:rsid w:val="06FB342C"/>
    <w:rsid w:val="07027EA0"/>
    <w:rsid w:val="07245D42"/>
    <w:rsid w:val="07264C62"/>
    <w:rsid w:val="076178EA"/>
    <w:rsid w:val="0779354C"/>
    <w:rsid w:val="0790350F"/>
    <w:rsid w:val="079959D1"/>
    <w:rsid w:val="07CD58DF"/>
    <w:rsid w:val="07CF1736"/>
    <w:rsid w:val="07DE071F"/>
    <w:rsid w:val="07FF61B9"/>
    <w:rsid w:val="08061376"/>
    <w:rsid w:val="083B2FD3"/>
    <w:rsid w:val="08452D77"/>
    <w:rsid w:val="0848156D"/>
    <w:rsid w:val="086401F8"/>
    <w:rsid w:val="08751CAA"/>
    <w:rsid w:val="087E4C40"/>
    <w:rsid w:val="08854221"/>
    <w:rsid w:val="0893020A"/>
    <w:rsid w:val="08A30776"/>
    <w:rsid w:val="08D66AD6"/>
    <w:rsid w:val="08DA33A3"/>
    <w:rsid w:val="08E80F13"/>
    <w:rsid w:val="09335624"/>
    <w:rsid w:val="0944690F"/>
    <w:rsid w:val="09535675"/>
    <w:rsid w:val="095F057D"/>
    <w:rsid w:val="09642282"/>
    <w:rsid w:val="09733572"/>
    <w:rsid w:val="09771D8E"/>
    <w:rsid w:val="09772C16"/>
    <w:rsid w:val="098353B5"/>
    <w:rsid w:val="09A92330"/>
    <w:rsid w:val="09AD7852"/>
    <w:rsid w:val="09B06B87"/>
    <w:rsid w:val="09C13146"/>
    <w:rsid w:val="09D05FD4"/>
    <w:rsid w:val="09E04166"/>
    <w:rsid w:val="09EC7123"/>
    <w:rsid w:val="09F707CE"/>
    <w:rsid w:val="0A0F3BB1"/>
    <w:rsid w:val="0A174921"/>
    <w:rsid w:val="0A1B3564"/>
    <w:rsid w:val="0A1C0718"/>
    <w:rsid w:val="0A3E4C41"/>
    <w:rsid w:val="0A3E7710"/>
    <w:rsid w:val="0A491324"/>
    <w:rsid w:val="0A5B7E63"/>
    <w:rsid w:val="0A734FD6"/>
    <w:rsid w:val="0A97554D"/>
    <w:rsid w:val="0A9857F8"/>
    <w:rsid w:val="0AA374A5"/>
    <w:rsid w:val="0AAB7649"/>
    <w:rsid w:val="0ABC5606"/>
    <w:rsid w:val="0ABE1FC1"/>
    <w:rsid w:val="0ADA0774"/>
    <w:rsid w:val="0ADB7A02"/>
    <w:rsid w:val="0B265AA5"/>
    <w:rsid w:val="0B30404E"/>
    <w:rsid w:val="0B4C2386"/>
    <w:rsid w:val="0B4C6C14"/>
    <w:rsid w:val="0B631A88"/>
    <w:rsid w:val="0B683D45"/>
    <w:rsid w:val="0B7C0AD7"/>
    <w:rsid w:val="0B7F3F11"/>
    <w:rsid w:val="0B884417"/>
    <w:rsid w:val="0B9E20B8"/>
    <w:rsid w:val="0BB52C7E"/>
    <w:rsid w:val="0BC44F61"/>
    <w:rsid w:val="0BC937F8"/>
    <w:rsid w:val="0BDF6813"/>
    <w:rsid w:val="0BF6188C"/>
    <w:rsid w:val="0BF73C91"/>
    <w:rsid w:val="0BFC1173"/>
    <w:rsid w:val="0C0A32BD"/>
    <w:rsid w:val="0C170175"/>
    <w:rsid w:val="0C4D29CD"/>
    <w:rsid w:val="0C571A41"/>
    <w:rsid w:val="0C5C1171"/>
    <w:rsid w:val="0C5E1CBC"/>
    <w:rsid w:val="0C615B50"/>
    <w:rsid w:val="0C74416C"/>
    <w:rsid w:val="0C8445DA"/>
    <w:rsid w:val="0C87121B"/>
    <w:rsid w:val="0CC007F7"/>
    <w:rsid w:val="0CFD1647"/>
    <w:rsid w:val="0CFE707A"/>
    <w:rsid w:val="0D063BDA"/>
    <w:rsid w:val="0D08375F"/>
    <w:rsid w:val="0D184CFB"/>
    <w:rsid w:val="0D3B59E0"/>
    <w:rsid w:val="0D465BC9"/>
    <w:rsid w:val="0D4A7419"/>
    <w:rsid w:val="0D594E22"/>
    <w:rsid w:val="0D6C2329"/>
    <w:rsid w:val="0D827401"/>
    <w:rsid w:val="0D84094E"/>
    <w:rsid w:val="0D8851F9"/>
    <w:rsid w:val="0D8A00E9"/>
    <w:rsid w:val="0D8D589E"/>
    <w:rsid w:val="0D916AF2"/>
    <w:rsid w:val="0D920F56"/>
    <w:rsid w:val="0DA01C73"/>
    <w:rsid w:val="0DD63300"/>
    <w:rsid w:val="0DE70447"/>
    <w:rsid w:val="0DF50604"/>
    <w:rsid w:val="0DF702FE"/>
    <w:rsid w:val="0E060E51"/>
    <w:rsid w:val="0E065530"/>
    <w:rsid w:val="0E5604B2"/>
    <w:rsid w:val="0E6D5D79"/>
    <w:rsid w:val="0E7C47EE"/>
    <w:rsid w:val="0E9D0089"/>
    <w:rsid w:val="0EB47651"/>
    <w:rsid w:val="0EB803EE"/>
    <w:rsid w:val="0EB96359"/>
    <w:rsid w:val="0EF94D4B"/>
    <w:rsid w:val="0F2C0ADA"/>
    <w:rsid w:val="0F2D6728"/>
    <w:rsid w:val="0F493C71"/>
    <w:rsid w:val="0F4958DC"/>
    <w:rsid w:val="0F515DF7"/>
    <w:rsid w:val="0F596BA8"/>
    <w:rsid w:val="0F6248D2"/>
    <w:rsid w:val="0F693536"/>
    <w:rsid w:val="0F7B0511"/>
    <w:rsid w:val="0F7B76D9"/>
    <w:rsid w:val="0F811A2F"/>
    <w:rsid w:val="0F816ACD"/>
    <w:rsid w:val="0F88596D"/>
    <w:rsid w:val="0F9832DB"/>
    <w:rsid w:val="0FBF3FD2"/>
    <w:rsid w:val="0FBF7FF3"/>
    <w:rsid w:val="0FE03C21"/>
    <w:rsid w:val="10040062"/>
    <w:rsid w:val="102D19E1"/>
    <w:rsid w:val="10313C5F"/>
    <w:rsid w:val="10482BD9"/>
    <w:rsid w:val="10615A49"/>
    <w:rsid w:val="10646583"/>
    <w:rsid w:val="107D4B15"/>
    <w:rsid w:val="10863E9C"/>
    <w:rsid w:val="108A3C80"/>
    <w:rsid w:val="108E3DD0"/>
    <w:rsid w:val="10BD4364"/>
    <w:rsid w:val="10C26171"/>
    <w:rsid w:val="10D6619D"/>
    <w:rsid w:val="10F33360"/>
    <w:rsid w:val="10FC16EA"/>
    <w:rsid w:val="11020E03"/>
    <w:rsid w:val="110F1D40"/>
    <w:rsid w:val="11266F33"/>
    <w:rsid w:val="116E2B13"/>
    <w:rsid w:val="11797B3E"/>
    <w:rsid w:val="118963A1"/>
    <w:rsid w:val="11A71B81"/>
    <w:rsid w:val="11BF5CD7"/>
    <w:rsid w:val="11C6522A"/>
    <w:rsid w:val="11E104CC"/>
    <w:rsid w:val="11E20309"/>
    <w:rsid w:val="12045226"/>
    <w:rsid w:val="12255233"/>
    <w:rsid w:val="12261ABD"/>
    <w:rsid w:val="12445E50"/>
    <w:rsid w:val="12530213"/>
    <w:rsid w:val="127723A9"/>
    <w:rsid w:val="12862074"/>
    <w:rsid w:val="12883966"/>
    <w:rsid w:val="12890640"/>
    <w:rsid w:val="129E45B4"/>
    <w:rsid w:val="12A87A96"/>
    <w:rsid w:val="12BC340B"/>
    <w:rsid w:val="12D74354"/>
    <w:rsid w:val="12D81596"/>
    <w:rsid w:val="12E407D8"/>
    <w:rsid w:val="12E9581F"/>
    <w:rsid w:val="12F207CD"/>
    <w:rsid w:val="13072A44"/>
    <w:rsid w:val="133669F2"/>
    <w:rsid w:val="135F4BE2"/>
    <w:rsid w:val="136014CF"/>
    <w:rsid w:val="13710085"/>
    <w:rsid w:val="139B1A0A"/>
    <w:rsid w:val="139D25C7"/>
    <w:rsid w:val="13BF3CE4"/>
    <w:rsid w:val="13C416A5"/>
    <w:rsid w:val="13CD6094"/>
    <w:rsid w:val="13FD489B"/>
    <w:rsid w:val="141008D8"/>
    <w:rsid w:val="14125FE6"/>
    <w:rsid w:val="146D271E"/>
    <w:rsid w:val="148456CE"/>
    <w:rsid w:val="14982588"/>
    <w:rsid w:val="149A5AD9"/>
    <w:rsid w:val="14A7619D"/>
    <w:rsid w:val="14C51527"/>
    <w:rsid w:val="150536C3"/>
    <w:rsid w:val="15081181"/>
    <w:rsid w:val="150C1963"/>
    <w:rsid w:val="151447A0"/>
    <w:rsid w:val="153A3533"/>
    <w:rsid w:val="154A6454"/>
    <w:rsid w:val="15762120"/>
    <w:rsid w:val="157E7CA2"/>
    <w:rsid w:val="15A6287B"/>
    <w:rsid w:val="16223ECC"/>
    <w:rsid w:val="163F3E17"/>
    <w:rsid w:val="16531A11"/>
    <w:rsid w:val="16710866"/>
    <w:rsid w:val="16955AD8"/>
    <w:rsid w:val="169D14A8"/>
    <w:rsid w:val="16A8729C"/>
    <w:rsid w:val="16B33777"/>
    <w:rsid w:val="16BC70A7"/>
    <w:rsid w:val="16C6339E"/>
    <w:rsid w:val="16E8049F"/>
    <w:rsid w:val="172F2D79"/>
    <w:rsid w:val="173A6151"/>
    <w:rsid w:val="174652F7"/>
    <w:rsid w:val="17557BEF"/>
    <w:rsid w:val="175D546D"/>
    <w:rsid w:val="17782006"/>
    <w:rsid w:val="179328C9"/>
    <w:rsid w:val="17A867C6"/>
    <w:rsid w:val="17B62B1E"/>
    <w:rsid w:val="17C8020E"/>
    <w:rsid w:val="17C85005"/>
    <w:rsid w:val="17D31EC6"/>
    <w:rsid w:val="17D349C1"/>
    <w:rsid w:val="17E05DED"/>
    <w:rsid w:val="1813618C"/>
    <w:rsid w:val="1830729E"/>
    <w:rsid w:val="185760AF"/>
    <w:rsid w:val="1870062C"/>
    <w:rsid w:val="18817102"/>
    <w:rsid w:val="18830A15"/>
    <w:rsid w:val="18852B28"/>
    <w:rsid w:val="18876642"/>
    <w:rsid w:val="188B5321"/>
    <w:rsid w:val="18A72840"/>
    <w:rsid w:val="18CF64D2"/>
    <w:rsid w:val="18F15915"/>
    <w:rsid w:val="18FC2022"/>
    <w:rsid w:val="194F0201"/>
    <w:rsid w:val="19707C3A"/>
    <w:rsid w:val="19932372"/>
    <w:rsid w:val="19A20DD5"/>
    <w:rsid w:val="19AE03F1"/>
    <w:rsid w:val="19CD4E7B"/>
    <w:rsid w:val="19EC6C39"/>
    <w:rsid w:val="1A063D7A"/>
    <w:rsid w:val="1A071A03"/>
    <w:rsid w:val="1A1D5C27"/>
    <w:rsid w:val="1A1F16AE"/>
    <w:rsid w:val="1A224AC2"/>
    <w:rsid w:val="1A3B5C77"/>
    <w:rsid w:val="1A984BAD"/>
    <w:rsid w:val="1AB8220E"/>
    <w:rsid w:val="1ADD7956"/>
    <w:rsid w:val="1AE11323"/>
    <w:rsid w:val="1AE4166C"/>
    <w:rsid w:val="1AED1AEB"/>
    <w:rsid w:val="1AF06CFB"/>
    <w:rsid w:val="1AF11B8D"/>
    <w:rsid w:val="1B076E2A"/>
    <w:rsid w:val="1B0B3181"/>
    <w:rsid w:val="1B0D55B9"/>
    <w:rsid w:val="1B10728D"/>
    <w:rsid w:val="1B11359C"/>
    <w:rsid w:val="1B2A271F"/>
    <w:rsid w:val="1B530544"/>
    <w:rsid w:val="1B6A60FA"/>
    <w:rsid w:val="1B713184"/>
    <w:rsid w:val="1B830F69"/>
    <w:rsid w:val="1B9E3FF5"/>
    <w:rsid w:val="1BA209CF"/>
    <w:rsid w:val="1BB4777D"/>
    <w:rsid w:val="1BC42585"/>
    <w:rsid w:val="1BD75AB8"/>
    <w:rsid w:val="1BF55D35"/>
    <w:rsid w:val="1C0459C2"/>
    <w:rsid w:val="1C082DEE"/>
    <w:rsid w:val="1C1B3B4A"/>
    <w:rsid w:val="1C4C2DD0"/>
    <w:rsid w:val="1C620B5F"/>
    <w:rsid w:val="1C632014"/>
    <w:rsid w:val="1C88086E"/>
    <w:rsid w:val="1C9248CC"/>
    <w:rsid w:val="1CB24048"/>
    <w:rsid w:val="1CBC2676"/>
    <w:rsid w:val="1CC50AF9"/>
    <w:rsid w:val="1CCA4C3F"/>
    <w:rsid w:val="1CCE4466"/>
    <w:rsid w:val="1D10139C"/>
    <w:rsid w:val="1D1070A6"/>
    <w:rsid w:val="1D266CE1"/>
    <w:rsid w:val="1D3963AF"/>
    <w:rsid w:val="1D6A673C"/>
    <w:rsid w:val="1D7738EA"/>
    <w:rsid w:val="1D9247AE"/>
    <w:rsid w:val="1DB567EC"/>
    <w:rsid w:val="1DC141EC"/>
    <w:rsid w:val="1DC1689B"/>
    <w:rsid w:val="1DE378B4"/>
    <w:rsid w:val="1DF51A98"/>
    <w:rsid w:val="1E3D060F"/>
    <w:rsid w:val="1E3F7D2E"/>
    <w:rsid w:val="1E4134E4"/>
    <w:rsid w:val="1E5062B3"/>
    <w:rsid w:val="1E523514"/>
    <w:rsid w:val="1E714A66"/>
    <w:rsid w:val="1E802593"/>
    <w:rsid w:val="1E8C3E16"/>
    <w:rsid w:val="1E9E74AF"/>
    <w:rsid w:val="1EA703CC"/>
    <w:rsid w:val="1EB7330C"/>
    <w:rsid w:val="1EB853CE"/>
    <w:rsid w:val="1EBE4E7B"/>
    <w:rsid w:val="1EC008E6"/>
    <w:rsid w:val="1EEB6FE2"/>
    <w:rsid w:val="1F0A0FF3"/>
    <w:rsid w:val="1F3B26DE"/>
    <w:rsid w:val="1F537BFF"/>
    <w:rsid w:val="1F5771FF"/>
    <w:rsid w:val="1F5D757E"/>
    <w:rsid w:val="1F633CBA"/>
    <w:rsid w:val="1F786D61"/>
    <w:rsid w:val="1FE868A9"/>
    <w:rsid w:val="1FF20184"/>
    <w:rsid w:val="1FF811A1"/>
    <w:rsid w:val="20034907"/>
    <w:rsid w:val="20173E4B"/>
    <w:rsid w:val="204E48BC"/>
    <w:rsid w:val="20891768"/>
    <w:rsid w:val="208921B3"/>
    <w:rsid w:val="20973DEB"/>
    <w:rsid w:val="20AD277A"/>
    <w:rsid w:val="20B26522"/>
    <w:rsid w:val="20B44310"/>
    <w:rsid w:val="20C24EB2"/>
    <w:rsid w:val="21071965"/>
    <w:rsid w:val="211116EB"/>
    <w:rsid w:val="212D3C9C"/>
    <w:rsid w:val="2159246B"/>
    <w:rsid w:val="21605860"/>
    <w:rsid w:val="216133FC"/>
    <w:rsid w:val="216C24A0"/>
    <w:rsid w:val="21D56769"/>
    <w:rsid w:val="21E026DB"/>
    <w:rsid w:val="21E52EF3"/>
    <w:rsid w:val="21F82DD7"/>
    <w:rsid w:val="21FB5D7B"/>
    <w:rsid w:val="220B1C3D"/>
    <w:rsid w:val="221D1D20"/>
    <w:rsid w:val="222158AD"/>
    <w:rsid w:val="222C11B5"/>
    <w:rsid w:val="22334A87"/>
    <w:rsid w:val="2234544B"/>
    <w:rsid w:val="22432E30"/>
    <w:rsid w:val="225259A2"/>
    <w:rsid w:val="22634DC9"/>
    <w:rsid w:val="22AD7B0F"/>
    <w:rsid w:val="22BE6801"/>
    <w:rsid w:val="23043762"/>
    <w:rsid w:val="230D6BF6"/>
    <w:rsid w:val="233500BF"/>
    <w:rsid w:val="23353491"/>
    <w:rsid w:val="23377FF7"/>
    <w:rsid w:val="236B425F"/>
    <w:rsid w:val="237C3DA7"/>
    <w:rsid w:val="23811BF9"/>
    <w:rsid w:val="23836192"/>
    <w:rsid w:val="23901F29"/>
    <w:rsid w:val="239C0061"/>
    <w:rsid w:val="23B908A4"/>
    <w:rsid w:val="23E91BFA"/>
    <w:rsid w:val="23E95BEF"/>
    <w:rsid w:val="23FD0064"/>
    <w:rsid w:val="245375B0"/>
    <w:rsid w:val="24560255"/>
    <w:rsid w:val="24642C0A"/>
    <w:rsid w:val="246C2C26"/>
    <w:rsid w:val="249F52BE"/>
    <w:rsid w:val="24B22173"/>
    <w:rsid w:val="24B95AD9"/>
    <w:rsid w:val="24BE24DA"/>
    <w:rsid w:val="24BF0DA8"/>
    <w:rsid w:val="24CF5825"/>
    <w:rsid w:val="24D663E6"/>
    <w:rsid w:val="24D77F2B"/>
    <w:rsid w:val="25126662"/>
    <w:rsid w:val="25135D58"/>
    <w:rsid w:val="25247BD5"/>
    <w:rsid w:val="254039F0"/>
    <w:rsid w:val="258B00E2"/>
    <w:rsid w:val="25A3201B"/>
    <w:rsid w:val="25A917A6"/>
    <w:rsid w:val="25BE27CC"/>
    <w:rsid w:val="25C41D06"/>
    <w:rsid w:val="25D020C5"/>
    <w:rsid w:val="25F74A5C"/>
    <w:rsid w:val="2628662C"/>
    <w:rsid w:val="262D45DE"/>
    <w:rsid w:val="266B5347"/>
    <w:rsid w:val="26755C6B"/>
    <w:rsid w:val="267A737A"/>
    <w:rsid w:val="267B1C9E"/>
    <w:rsid w:val="268767EE"/>
    <w:rsid w:val="26A33486"/>
    <w:rsid w:val="26A53EF9"/>
    <w:rsid w:val="26A94201"/>
    <w:rsid w:val="26AC274F"/>
    <w:rsid w:val="26B5105B"/>
    <w:rsid w:val="26BD0FC9"/>
    <w:rsid w:val="26EB57BC"/>
    <w:rsid w:val="26F03FEB"/>
    <w:rsid w:val="270067AA"/>
    <w:rsid w:val="27044A29"/>
    <w:rsid w:val="27166959"/>
    <w:rsid w:val="271D34C8"/>
    <w:rsid w:val="27242217"/>
    <w:rsid w:val="273568A4"/>
    <w:rsid w:val="273F48DE"/>
    <w:rsid w:val="276142BF"/>
    <w:rsid w:val="27783712"/>
    <w:rsid w:val="27844B1A"/>
    <w:rsid w:val="27907362"/>
    <w:rsid w:val="27962802"/>
    <w:rsid w:val="27B719D8"/>
    <w:rsid w:val="27CC3E96"/>
    <w:rsid w:val="28333E1D"/>
    <w:rsid w:val="28454BD6"/>
    <w:rsid w:val="28455253"/>
    <w:rsid w:val="284A0CD4"/>
    <w:rsid w:val="284C21F1"/>
    <w:rsid w:val="28551971"/>
    <w:rsid w:val="285B1C53"/>
    <w:rsid w:val="286E4D4F"/>
    <w:rsid w:val="28700888"/>
    <w:rsid w:val="28893937"/>
    <w:rsid w:val="289E467A"/>
    <w:rsid w:val="289F7086"/>
    <w:rsid w:val="28B07116"/>
    <w:rsid w:val="28BA7F95"/>
    <w:rsid w:val="28C32028"/>
    <w:rsid w:val="28CC490F"/>
    <w:rsid w:val="28DE40AA"/>
    <w:rsid w:val="28FA7BB3"/>
    <w:rsid w:val="29345E77"/>
    <w:rsid w:val="293A6AA4"/>
    <w:rsid w:val="294C65AD"/>
    <w:rsid w:val="295E6B72"/>
    <w:rsid w:val="29806583"/>
    <w:rsid w:val="29876B55"/>
    <w:rsid w:val="298B3C4C"/>
    <w:rsid w:val="29A1500F"/>
    <w:rsid w:val="29F26D24"/>
    <w:rsid w:val="2A15033F"/>
    <w:rsid w:val="2A1662C1"/>
    <w:rsid w:val="2A1C7367"/>
    <w:rsid w:val="2A2815FA"/>
    <w:rsid w:val="2A2C2B13"/>
    <w:rsid w:val="2A327ADB"/>
    <w:rsid w:val="2A3A0A91"/>
    <w:rsid w:val="2A40639E"/>
    <w:rsid w:val="2A5C14B2"/>
    <w:rsid w:val="2A6D6092"/>
    <w:rsid w:val="2A6F2817"/>
    <w:rsid w:val="2A773C44"/>
    <w:rsid w:val="2A7D76B4"/>
    <w:rsid w:val="2A924D25"/>
    <w:rsid w:val="2A9D6249"/>
    <w:rsid w:val="2AB95A4C"/>
    <w:rsid w:val="2ACD65FF"/>
    <w:rsid w:val="2ADC6E62"/>
    <w:rsid w:val="2B1434D4"/>
    <w:rsid w:val="2B2E4B7E"/>
    <w:rsid w:val="2B437463"/>
    <w:rsid w:val="2B661EFF"/>
    <w:rsid w:val="2B7807EE"/>
    <w:rsid w:val="2B7D0FC5"/>
    <w:rsid w:val="2BB35EFC"/>
    <w:rsid w:val="2BBF00EC"/>
    <w:rsid w:val="2BC37CFD"/>
    <w:rsid w:val="2BD5237F"/>
    <w:rsid w:val="2BE536CE"/>
    <w:rsid w:val="2BE758D9"/>
    <w:rsid w:val="2C09049E"/>
    <w:rsid w:val="2C0A653C"/>
    <w:rsid w:val="2C191F85"/>
    <w:rsid w:val="2C516BFF"/>
    <w:rsid w:val="2C524714"/>
    <w:rsid w:val="2C5623DE"/>
    <w:rsid w:val="2C602C15"/>
    <w:rsid w:val="2C88528B"/>
    <w:rsid w:val="2CE22B18"/>
    <w:rsid w:val="2CE82D6F"/>
    <w:rsid w:val="2D0D76BC"/>
    <w:rsid w:val="2D343236"/>
    <w:rsid w:val="2D464230"/>
    <w:rsid w:val="2D7019FE"/>
    <w:rsid w:val="2D8C5854"/>
    <w:rsid w:val="2DAF4F38"/>
    <w:rsid w:val="2DD15014"/>
    <w:rsid w:val="2DEC6D43"/>
    <w:rsid w:val="2DF72DE4"/>
    <w:rsid w:val="2E0220AF"/>
    <w:rsid w:val="2E1F0C6B"/>
    <w:rsid w:val="2E4B082A"/>
    <w:rsid w:val="2E552C39"/>
    <w:rsid w:val="2E5D4E86"/>
    <w:rsid w:val="2E5D790B"/>
    <w:rsid w:val="2E8C76CD"/>
    <w:rsid w:val="2E8E0198"/>
    <w:rsid w:val="2E9A3C18"/>
    <w:rsid w:val="2EB40F66"/>
    <w:rsid w:val="2EBB0FEE"/>
    <w:rsid w:val="2EC43AF3"/>
    <w:rsid w:val="2EC63002"/>
    <w:rsid w:val="2EEF73B4"/>
    <w:rsid w:val="2F0A6B38"/>
    <w:rsid w:val="2F13041F"/>
    <w:rsid w:val="2F6537FD"/>
    <w:rsid w:val="2F946CCB"/>
    <w:rsid w:val="2FCC3BEE"/>
    <w:rsid w:val="2FD25781"/>
    <w:rsid w:val="2FDC74FE"/>
    <w:rsid w:val="2FFD7934"/>
    <w:rsid w:val="30733ACD"/>
    <w:rsid w:val="308C3862"/>
    <w:rsid w:val="309379D8"/>
    <w:rsid w:val="30A270F7"/>
    <w:rsid w:val="30C60FE1"/>
    <w:rsid w:val="30D50061"/>
    <w:rsid w:val="30DF1478"/>
    <w:rsid w:val="30EC586F"/>
    <w:rsid w:val="30ED2B9B"/>
    <w:rsid w:val="30F2784C"/>
    <w:rsid w:val="31176CBB"/>
    <w:rsid w:val="31490B0D"/>
    <w:rsid w:val="317D2503"/>
    <w:rsid w:val="318665B1"/>
    <w:rsid w:val="319C6071"/>
    <w:rsid w:val="31AC537E"/>
    <w:rsid w:val="31C067F7"/>
    <w:rsid w:val="31DA4C6D"/>
    <w:rsid w:val="31E3679B"/>
    <w:rsid w:val="31E732FD"/>
    <w:rsid w:val="3200080C"/>
    <w:rsid w:val="323C429B"/>
    <w:rsid w:val="32517576"/>
    <w:rsid w:val="326E1A66"/>
    <w:rsid w:val="32BE5C2C"/>
    <w:rsid w:val="32FB6478"/>
    <w:rsid w:val="330424B2"/>
    <w:rsid w:val="331538C4"/>
    <w:rsid w:val="331C40F6"/>
    <w:rsid w:val="331F4460"/>
    <w:rsid w:val="33263B3F"/>
    <w:rsid w:val="333E1183"/>
    <w:rsid w:val="333F7EF1"/>
    <w:rsid w:val="3341553A"/>
    <w:rsid w:val="335502B7"/>
    <w:rsid w:val="336963EB"/>
    <w:rsid w:val="336D632F"/>
    <w:rsid w:val="33816EEB"/>
    <w:rsid w:val="33872A24"/>
    <w:rsid w:val="33C341A1"/>
    <w:rsid w:val="33CA43DD"/>
    <w:rsid w:val="33E4496F"/>
    <w:rsid w:val="33EB55CD"/>
    <w:rsid w:val="33EC4C02"/>
    <w:rsid w:val="340D2360"/>
    <w:rsid w:val="3410665D"/>
    <w:rsid w:val="34211214"/>
    <w:rsid w:val="342E63AB"/>
    <w:rsid w:val="345D3B6E"/>
    <w:rsid w:val="346E1D8F"/>
    <w:rsid w:val="34877509"/>
    <w:rsid w:val="348778C5"/>
    <w:rsid w:val="34950E68"/>
    <w:rsid w:val="34986E94"/>
    <w:rsid w:val="34A561B4"/>
    <w:rsid w:val="34A91DA2"/>
    <w:rsid w:val="34AF62C9"/>
    <w:rsid w:val="34CB4388"/>
    <w:rsid w:val="34D545E9"/>
    <w:rsid w:val="34F571CF"/>
    <w:rsid w:val="34FA6E12"/>
    <w:rsid w:val="35514B93"/>
    <w:rsid w:val="355F7EFA"/>
    <w:rsid w:val="357C270F"/>
    <w:rsid w:val="35840A87"/>
    <w:rsid w:val="358646F5"/>
    <w:rsid w:val="358D0D07"/>
    <w:rsid w:val="358D5588"/>
    <w:rsid w:val="359D4E16"/>
    <w:rsid w:val="35C23A7C"/>
    <w:rsid w:val="35D667D1"/>
    <w:rsid w:val="3616392C"/>
    <w:rsid w:val="362C3C78"/>
    <w:rsid w:val="363A3B40"/>
    <w:rsid w:val="365302AE"/>
    <w:rsid w:val="36607A0A"/>
    <w:rsid w:val="366E227C"/>
    <w:rsid w:val="366F2E0D"/>
    <w:rsid w:val="367B6A5C"/>
    <w:rsid w:val="368A096B"/>
    <w:rsid w:val="36A74ADA"/>
    <w:rsid w:val="36AD60D5"/>
    <w:rsid w:val="36B224F9"/>
    <w:rsid w:val="36E12E9F"/>
    <w:rsid w:val="36E80B7E"/>
    <w:rsid w:val="36EC0CC9"/>
    <w:rsid w:val="371435A1"/>
    <w:rsid w:val="373F410B"/>
    <w:rsid w:val="37411FF3"/>
    <w:rsid w:val="374C0952"/>
    <w:rsid w:val="379E436C"/>
    <w:rsid w:val="37AD13F0"/>
    <w:rsid w:val="37B04CA3"/>
    <w:rsid w:val="37BD6974"/>
    <w:rsid w:val="37E138A3"/>
    <w:rsid w:val="37EE7094"/>
    <w:rsid w:val="38296C89"/>
    <w:rsid w:val="383002EB"/>
    <w:rsid w:val="38586797"/>
    <w:rsid w:val="386A5533"/>
    <w:rsid w:val="38AF7DE4"/>
    <w:rsid w:val="38BC0149"/>
    <w:rsid w:val="38CC3A88"/>
    <w:rsid w:val="38D87D1C"/>
    <w:rsid w:val="38DA7476"/>
    <w:rsid w:val="38EE1EE1"/>
    <w:rsid w:val="38F614F4"/>
    <w:rsid w:val="39047FAA"/>
    <w:rsid w:val="39216A8A"/>
    <w:rsid w:val="39423581"/>
    <w:rsid w:val="395C34FA"/>
    <w:rsid w:val="39604449"/>
    <w:rsid w:val="39636459"/>
    <w:rsid w:val="396B7F6C"/>
    <w:rsid w:val="39B417A9"/>
    <w:rsid w:val="39FC5695"/>
    <w:rsid w:val="3A006D8E"/>
    <w:rsid w:val="3A0A2E7E"/>
    <w:rsid w:val="3A115974"/>
    <w:rsid w:val="3A3651E5"/>
    <w:rsid w:val="3A3C70CC"/>
    <w:rsid w:val="3A402319"/>
    <w:rsid w:val="3A633BE2"/>
    <w:rsid w:val="3A6773C6"/>
    <w:rsid w:val="3A724C2D"/>
    <w:rsid w:val="3A744481"/>
    <w:rsid w:val="3A8C7BEF"/>
    <w:rsid w:val="3A906246"/>
    <w:rsid w:val="3A9D0F50"/>
    <w:rsid w:val="3AA80595"/>
    <w:rsid w:val="3ADA66A3"/>
    <w:rsid w:val="3AEF1277"/>
    <w:rsid w:val="3B2349B7"/>
    <w:rsid w:val="3B616CFF"/>
    <w:rsid w:val="3B6259F6"/>
    <w:rsid w:val="3B6B6572"/>
    <w:rsid w:val="3B7F2541"/>
    <w:rsid w:val="3B851036"/>
    <w:rsid w:val="3B8B18F1"/>
    <w:rsid w:val="3B976654"/>
    <w:rsid w:val="3BB81E66"/>
    <w:rsid w:val="3BBE650C"/>
    <w:rsid w:val="3BBF4578"/>
    <w:rsid w:val="3BC01EFC"/>
    <w:rsid w:val="3BCA786A"/>
    <w:rsid w:val="3BD31E2F"/>
    <w:rsid w:val="3BF15831"/>
    <w:rsid w:val="3C0F13C5"/>
    <w:rsid w:val="3C105946"/>
    <w:rsid w:val="3C40349D"/>
    <w:rsid w:val="3C421FDD"/>
    <w:rsid w:val="3C422B71"/>
    <w:rsid w:val="3C471448"/>
    <w:rsid w:val="3C5F759A"/>
    <w:rsid w:val="3C6C525A"/>
    <w:rsid w:val="3CC03FCC"/>
    <w:rsid w:val="3CC241C8"/>
    <w:rsid w:val="3CC66EDE"/>
    <w:rsid w:val="3CCA3798"/>
    <w:rsid w:val="3CCE23CB"/>
    <w:rsid w:val="3CD17D17"/>
    <w:rsid w:val="3D2B0827"/>
    <w:rsid w:val="3D3C7F39"/>
    <w:rsid w:val="3D440F09"/>
    <w:rsid w:val="3D4504A0"/>
    <w:rsid w:val="3D8734BB"/>
    <w:rsid w:val="3D9A11D4"/>
    <w:rsid w:val="3DA16D89"/>
    <w:rsid w:val="3DA364BE"/>
    <w:rsid w:val="3DD777FE"/>
    <w:rsid w:val="3DDA0F91"/>
    <w:rsid w:val="3DE041CB"/>
    <w:rsid w:val="3DFA3744"/>
    <w:rsid w:val="3E094DB5"/>
    <w:rsid w:val="3E0D48F6"/>
    <w:rsid w:val="3E1868B4"/>
    <w:rsid w:val="3E2B12C1"/>
    <w:rsid w:val="3E377251"/>
    <w:rsid w:val="3E42664B"/>
    <w:rsid w:val="3E445358"/>
    <w:rsid w:val="3E5A7334"/>
    <w:rsid w:val="3E7B5D6B"/>
    <w:rsid w:val="3E843E66"/>
    <w:rsid w:val="3E89624E"/>
    <w:rsid w:val="3E8F51FE"/>
    <w:rsid w:val="3E926F87"/>
    <w:rsid w:val="3E9A59DE"/>
    <w:rsid w:val="3EAF4836"/>
    <w:rsid w:val="3EC33DFA"/>
    <w:rsid w:val="3ED32403"/>
    <w:rsid w:val="3EE621B7"/>
    <w:rsid w:val="3F060E16"/>
    <w:rsid w:val="3F1D1096"/>
    <w:rsid w:val="3F2F0234"/>
    <w:rsid w:val="3F30575B"/>
    <w:rsid w:val="3F6363FE"/>
    <w:rsid w:val="3F672377"/>
    <w:rsid w:val="3F7171A7"/>
    <w:rsid w:val="3F756B8F"/>
    <w:rsid w:val="3F762A0F"/>
    <w:rsid w:val="3F784CFC"/>
    <w:rsid w:val="3F95482B"/>
    <w:rsid w:val="3F95733A"/>
    <w:rsid w:val="3FB13B63"/>
    <w:rsid w:val="3FC27A03"/>
    <w:rsid w:val="3FCF0C20"/>
    <w:rsid w:val="3FDA73C7"/>
    <w:rsid w:val="3FEC2CD2"/>
    <w:rsid w:val="3FF0377F"/>
    <w:rsid w:val="400B0C32"/>
    <w:rsid w:val="40185875"/>
    <w:rsid w:val="4019356B"/>
    <w:rsid w:val="40544572"/>
    <w:rsid w:val="40592157"/>
    <w:rsid w:val="40596103"/>
    <w:rsid w:val="40677AAE"/>
    <w:rsid w:val="406E1CAE"/>
    <w:rsid w:val="40A0133A"/>
    <w:rsid w:val="40AC52D1"/>
    <w:rsid w:val="40C31A53"/>
    <w:rsid w:val="40DF099F"/>
    <w:rsid w:val="40FF545D"/>
    <w:rsid w:val="410067C8"/>
    <w:rsid w:val="410D754E"/>
    <w:rsid w:val="41115290"/>
    <w:rsid w:val="41180364"/>
    <w:rsid w:val="4168282C"/>
    <w:rsid w:val="418C794D"/>
    <w:rsid w:val="418F0D2A"/>
    <w:rsid w:val="419E461F"/>
    <w:rsid w:val="41A37FB5"/>
    <w:rsid w:val="41AD33B6"/>
    <w:rsid w:val="41CA4920"/>
    <w:rsid w:val="41CF0701"/>
    <w:rsid w:val="41D01505"/>
    <w:rsid w:val="41D6211B"/>
    <w:rsid w:val="42474939"/>
    <w:rsid w:val="424C3C57"/>
    <w:rsid w:val="424E6A4B"/>
    <w:rsid w:val="42613FF3"/>
    <w:rsid w:val="42660D96"/>
    <w:rsid w:val="426B4382"/>
    <w:rsid w:val="428667D2"/>
    <w:rsid w:val="42B64197"/>
    <w:rsid w:val="42CD1CE0"/>
    <w:rsid w:val="42E1381E"/>
    <w:rsid w:val="42ED6459"/>
    <w:rsid w:val="42FE58DD"/>
    <w:rsid w:val="4308674D"/>
    <w:rsid w:val="43174B3D"/>
    <w:rsid w:val="43430E5B"/>
    <w:rsid w:val="43490209"/>
    <w:rsid w:val="434B790E"/>
    <w:rsid w:val="4360274F"/>
    <w:rsid w:val="43977AB6"/>
    <w:rsid w:val="43A3342B"/>
    <w:rsid w:val="43C21F95"/>
    <w:rsid w:val="43C77C27"/>
    <w:rsid w:val="43D52004"/>
    <w:rsid w:val="43DE09EE"/>
    <w:rsid w:val="43EC3523"/>
    <w:rsid w:val="44002FAD"/>
    <w:rsid w:val="440A4D5B"/>
    <w:rsid w:val="441F57B5"/>
    <w:rsid w:val="442B2B20"/>
    <w:rsid w:val="4448213B"/>
    <w:rsid w:val="44550E2B"/>
    <w:rsid w:val="447029A3"/>
    <w:rsid w:val="4476700E"/>
    <w:rsid w:val="44803FFE"/>
    <w:rsid w:val="449101DD"/>
    <w:rsid w:val="44A060BC"/>
    <w:rsid w:val="44B20335"/>
    <w:rsid w:val="44CD5094"/>
    <w:rsid w:val="44DE1391"/>
    <w:rsid w:val="451B225C"/>
    <w:rsid w:val="452410C9"/>
    <w:rsid w:val="45317DFB"/>
    <w:rsid w:val="45321187"/>
    <w:rsid w:val="45425F2A"/>
    <w:rsid w:val="45644FCC"/>
    <w:rsid w:val="45667082"/>
    <w:rsid w:val="456D3CE4"/>
    <w:rsid w:val="4579042C"/>
    <w:rsid w:val="457F0571"/>
    <w:rsid w:val="45851176"/>
    <w:rsid w:val="459D44EA"/>
    <w:rsid w:val="45C63B94"/>
    <w:rsid w:val="460E7DA5"/>
    <w:rsid w:val="46126B0C"/>
    <w:rsid w:val="46422483"/>
    <w:rsid w:val="465875E7"/>
    <w:rsid w:val="4659254A"/>
    <w:rsid w:val="465B0637"/>
    <w:rsid w:val="465E3F0D"/>
    <w:rsid w:val="466A16E6"/>
    <w:rsid w:val="46863CF4"/>
    <w:rsid w:val="46893F2B"/>
    <w:rsid w:val="46A240EA"/>
    <w:rsid w:val="46AD38A4"/>
    <w:rsid w:val="46C31C6D"/>
    <w:rsid w:val="46C4686E"/>
    <w:rsid w:val="46D5626E"/>
    <w:rsid w:val="46D66E51"/>
    <w:rsid w:val="46F619AE"/>
    <w:rsid w:val="4707219F"/>
    <w:rsid w:val="47086643"/>
    <w:rsid w:val="472B47F3"/>
    <w:rsid w:val="474B7018"/>
    <w:rsid w:val="477B778F"/>
    <w:rsid w:val="478203EC"/>
    <w:rsid w:val="479559FD"/>
    <w:rsid w:val="47B025FA"/>
    <w:rsid w:val="47FD3CCE"/>
    <w:rsid w:val="4809698F"/>
    <w:rsid w:val="4811697D"/>
    <w:rsid w:val="4814142F"/>
    <w:rsid w:val="48210669"/>
    <w:rsid w:val="486E4984"/>
    <w:rsid w:val="487A3E25"/>
    <w:rsid w:val="488718BA"/>
    <w:rsid w:val="488B5503"/>
    <w:rsid w:val="48937E21"/>
    <w:rsid w:val="489A0361"/>
    <w:rsid w:val="48B94FF3"/>
    <w:rsid w:val="48CA7928"/>
    <w:rsid w:val="48E37AAB"/>
    <w:rsid w:val="48E956AF"/>
    <w:rsid w:val="48F210A2"/>
    <w:rsid w:val="48F23D30"/>
    <w:rsid w:val="48F60788"/>
    <w:rsid w:val="48FD4B4C"/>
    <w:rsid w:val="490A68E0"/>
    <w:rsid w:val="491055FE"/>
    <w:rsid w:val="494E0382"/>
    <w:rsid w:val="495F5B3E"/>
    <w:rsid w:val="496F77D7"/>
    <w:rsid w:val="497654FD"/>
    <w:rsid w:val="49AA404F"/>
    <w:rsid w:val="49B64211"/>
    <w:rsid w:val="49D179FD"/>
    <w:rsid w:val="49F6167F"/>
    <w:rsid w:val="4A064FA0"/>
    <w:rsid w:val="4A0855E2"/>
    <w:rsid w:val="4A16615C"/>
    <w:rsid w:val="4A39294E"/>
    <w:rsid w:val="4A4424D7"/>
    <w:rsid w:val="4A4756D4"/>
    <w:rsid w:val="4AB82D0F"/>
    <w:rsid w:val="4ADB1B00"/>
    <w:rsid w:val="4ADE5773"/>
    <w:rsid w:val="4AE41175"/>
    <w:rsid w:val="4AEB7664"/>
    <w:rsid w:val="4AFD7C19"/>
    <w:rsid w:val="4B0567D1"/>
    <w:rsid w:val="4B236AAE"/>
    <w:rsid w:val="4B3256D7"/>
    <w:rsid w:val="4B40697B"/>
    <w:rsid w:val="4B56277B"/>
    <w:rsid w:val="4B707271"/>
    <w:rsid w:val="4B777615"/>
    <w:rsid w:val="4B7C7600"/>
    <w:rsid w:val="4B8A2FC0"/>
    <w:rsid w:val="4B9739F7"/>
    <w:rsid w:val="4BA2019B"/>
    <w:rsid w:val="4BE543F9"/>
    <w:rsid w:val="4BEE2503"/>
    <w:rsid w:val="4BF76084"/>
    <w:rsid w:val="4C245A30"/>
    <w:rsid w:val="4C6205A3"/>
    <w:rsid w:val="4C646D6B"/>
    <w:rsid w:val="4C973E4A"/>
    <w:rsid w:val="4CB6685F"/>
    <w:rsid w:val="4CBF59F6"/>
    <w:rsid w:val="4CC367FE"/>
    <w:rsid w:val="4CE91AB9"/>
    <w:rsid w:val="4D077F3C"/>
    <w:rsid w:val="4D096C71"/>
    <w:rsid w:val="4D123355"/>
    <w:rsid w:val="4D2A3B31"/>
    <w:rsid w:val="4D312C52"/>
    <w:rsid w:val="4D6C0776"/>
    <w:rsid w:val="4D905305"/>
    <w:rsid w:val="4D964A72"/>
    <w:rsid w:val="4D9C1254"/>
    <w:rsid w:val="4DD23A0B"/>
    <w:rsid w:val="4DD74FC1"/>
    <w:rsid w:val="4DD97637"/>
    <w:rsid w:val="4E36404E"/>
    <w:rsid w:val="4E5F368B"/>
    <w:rsid w:val="4E6561F4"/>
    <w:rsid w:val="4E793892"/>
    <w:rsid w:val="4E800872"/>
    <w:rsid w:val="4E8D103E"/>
    <w:rsid w:val="4EC569ED"/>
    <w:rsid w:val="4ECB14CC"/>
    <w:rsid w:val="4ED50EA1"/>
    <w:rsid w:val="4EEC050C"/>
    <w:rsid w:val="4F104EC3"/>
    <w:rsid w:val="4F2A2B6D"/>
    <w:rsid w:val="4F47354A"/>
    <w:rsid w:val="4F49619C"/>
    <w:rsid w:val="4F520447"/>
    <w:rsid w:val="4F7549D9"/>
    <w:rsid w:val="4F911C54"/>
    <w:rsid w:val="4FE625E0"/>
    <w:rsid w:val="4FED287A"/>
    <w:rsid w:val="50106568"/>
    <w:rsid w:val="501F3A6D"/>
    <w:rsid w:val="5021480F"/>
    <w:rsid w:val="50296FD2"/>
    <w:rsid w:val="5051105B"/>
    <w:rsid w:val="50617C11"/>
    <w:rsid w:val="5068006C"/>
    <w:rsid w:val="50962ECB"/>
    <w:rsid w:val="50A42E38"/>
    <w:rsid w:val="50A4577F"/>
    <w:rsid w:val="50B73D1F"/>
    <w:rsid w:val="50BD5BC9"/>
    <w:rsid w:val="50C11EEE"/>
    <w:rsid w:val="50DE6442"/>
    <w:rsid w:val="50E302C7"/>
    <w:rsid w:val="50E97CFC"/>
    <w:rsid w:val="50EC2E4E"/>
    <w:rsid w:val="50FA4028"/>
    <w:rsid w:val="510D65B7"/>
    <w:rsid w:val="511157AB"/>
    <w:rsid w:val="5142540C"/>
    <w:rsid w:val="518832C8"/>
    <w:rsid w:val="51A0432A"/>
    <w:rsid w:val="51A86090"/>
    <w:rsid w:val="51B7396D"/>
    <w:rsid w:val="51F4756D"/>
    <w:rsid w:val="51FB1357"/>
    <w:rsid w:val="520D1996"/>
    <w:rsid w:val="52264CCF"/>
    <w:rsid w:val="522E4CC3"/>
    <w:rsid w:val="5244713B"/>
    <w:rsid w:val="52615633"/>
    <w:rsid w:val="52977FD4"/>
    <w:rsid w:val="529C42E3"/>
    <w:rsid w:val="52A25790"/>
    <w:rsid w:val="52A96B6F"/>
    <w:rsid w:val="52AA5F7A"/>
    <w:rsid w:val="52B45975"/>
    <w:rsid w:val="52C06654"/>
    <w:rsid w:val="52CB6B84"/>
    <w:rsid w:val="52CF5E51"/>
    <w:rsid w:val="52D6298D"/>
    <w:rsid w:val="52D94AA4"/>
    <w:rsid w:val="52EA3A62"/>
    <w:rsid w:val="52F50BB8"/>
    <w:rsid w:val="52F842AA"/>
    <w:rsid w:val="53097272"/>
    <w:rsid w:val="53151AA9"/>
    <w:rsid w:val="53544462"/>
    <w:rsid w:val="535743F1"/>
    <w:rsid w:val="538D751A"/>
    <w:rsid w:val="5397158E"/>
    <w:rsid w:val="53A37E9D"/>
    <w:rsid w:val="53CD0F9D"/>
    <w:rsid w:val="53D00C3D"/>
    <w:rsid w:val="54013861"/>
    <w:rsid w:val="54257DCF"/>
    <w:rsid w:val="54444CDD"/>
    <w:rsid w:val="54487265"/>
    <w:rsid w:val="544D6070"/>
    <w:rsid w:val="54605E1E"/>
    <w:rsid w:val="54B3506A"/>
    <w:rsid w:val="54CA0D16"/>
    <w:rsid w:val="54DD4057"/>
    <w:rsid w:val="54E7490F"/>
    <w:rsid w:val="54F710FD"/>
    <w:rsid w:val="550764A4"/>
    <w:rsid w:val="550B2BF6"/>
    <w:rsid w:val="55214EB5"/>
    <w:rsid w:val="552D2B8A"/>
    <w:rsid w:val="55337700"/>
    <w:rsid w:val="55355567"/>
    <w:rsid w:val="55364EFD"/>
    <w:rsid w:val="55401913"/>
    <w:rsid w:val="555D4828"/>
    <w:rsid w:val="556E3D15"/>
    <w:rsid w:val="55757138"/>
    <w:rsid w:val="55773348"/>
    <w:rsid w:val="557A4C8B"/>
    <w:rsid w:val="557D79EB"/>
    <w:rsid w:val="558931E1"/>
    <w:rsid w:val="55923347"/>
    <w:rsid w:val="55925180"/>
    <w:rsid w:val="55983B1B"/>
    <w:rsid w:val="55A8376B"/>
    <w:rsid w:val="55BF7352"/>
    <w:rsid w:val="55C15B3A"/>
    <w:rsid w:val="55C3609C"/>
    <w:rsid w:val="55C7680D"/>
    <w:rsid w:val="55D36C44"/>
    <w:rsid w:val="55DC29B6"/>
    <w:rsid w:val="55DD4241"/>
    <w:rsid w:val="55E878A6"/>
    <w:rsid w:val="55F14746"/>
    <w:rsid w:val="56174569"/>
    <w:rsid w:val="562A5707"/>
    <w:rsid w:val="56394F68"/>
    <w:rsid w:val="565945AF"/>
    <w:rsid w:val="566B6D1E"/>
    <w:rsid w:val="56B0743E"/>
    <w:rsid w:val="57032A2C"/>
    <w:rsid w:val="570F5219"/>
    <w:rsid w:val="57476390"/>
    <w:rsid w:val="574B683A"/>
    <w:rsid w:val="575D12B5"/>
    <w:rsid w:val="57610A87"/>
    <w:rsid w:val="576F0DC6"/>
    <w:rsid w:val="577B1140"/>
    <w:rsid w:val="577B7F21"/>
    <w:rsid w:val="577F181B"/>
    <w:rsid w:val="57893C00"/>
    <w:rsid w:val="57921984"/>
    <w:rsid w:val="579737F0"/>
    <w:rsid w:val="579D793C"/>
    <w:rsid w:val="57AB7B30"/>
    <w:rsid w:val="57AF5251"/>
    <w:rsid w:val="57B26373"/>
    <w:rsid w:val="57B63F04"/>
    <w:rsid w:val="57CD20C2"/>
    <w:rsid w:val="57D675AB"/>
    <w:rsid w:val="57D95FDD"/>
    <w:rsid w:val="57E672A0"/>
    <w:rsid w:val="58341302"/>
    <w:rsid w:val="5838665C"/>
    <w:rsid w:val="586C4B4D"/>
    <w:rsid w:val="586E54F6"/>
    <w:rsid w:val="58833291"/>
    <w:rsid w:val="58917D2F"/>
    <w:rsid w:val="58923397"/>
    <w:rsid w:val="5894085C"/>
    <w:rsid w:val="58AE4F0C"/>
    <w:rsid w:val="58B85899"/>
    <w:rsid w:val="58D24891"/>
    <w:rsid w:val="58DF2886"/>
    <w:rsid w:val="58E363A9"/>
    <w:rsid w:val="58FB1715"/>
    <w:rsid w:val="590F2C64"/>
    <w:rsid w:val="59153D73"/>
    <w:rsid w:val="59276379"/>
    <w:rsid w:val="59320AB8"/>
    <w:rsid w:val="594F526F"/>
    <w:rsid w:val="595E1678"/>
    <w:rsid w:val="596D5BD4"/>
    <w:rsid w:val="597E3DD8"/>
    <w:rsid w:val="59C27724"/>
    <w:rsid w:val="59C75EEA"/>
    <w:rsid w:val="59E61C5F"/>
    <w:rsid w:val="59F80043"/>
    <w:rsid w:val="5A09252F"/>
    <w:rsid w:val="5A0B2778"/>
    <w:rsid w:val="5A266904"/>
    <w:rsid w:val="5A2A7C7B"/>
    <w:rsid w:val="5A3E2560"/>
    <w:rsid w:val="5A595EDE"/>
    <w:rsid w:val="5A5D3B6E"/>
    <w:rsid w:val="5A637A76"/>
    <w:rsid w:val="5A6D33BA"/>
    <w:rsid w:val="5A792B1F"/>
    <w:rsid w:val="5A855897"/>
    <w:rsid w:val="5A874767"/>
    <w:rsid w:val="5A952A7B"/>
    <w:rsid w:val="5AAD6F28"/>
    <w:rsid w:val="5AD63A24"/>
    <w:rsid w:val="5AE03BF9"/>
    <w:rsid w:val="5B2E1A1D"/>
    <w:rsid w:val="5B3A1FE9"/>
    <w:rsid w:val="5B4A3376"/>
    <w:rsid w:val="5B5E2026"/>
    <w:rsid w:val="5B7E1618"/>
    <w:rsid w:val="5B843A1C"/>
    <w:rsid w:val="5B873E3F"/>
    <w:rsid w:val="5B9A03B8"/>
    <w:rsid w:val="5BD41F3D"/>
    <w:rsid w:val="5BEF1728"/>
    <w:rsid w:val="5BFB45D1"/>
    <w:rsid w:val="5C02690E"/>
    <w:rsid w:val="5C196DA7"/>
    <w:rsid w:val="5C2A048C"/>
    <w:rsid w:val="5C61653E"/>
    <w:rsid w:val="5C761E49"/>
    <w:rsid w:val="5C80234E"/>
    <w:rsid w:val="5C8A680C"/>
    <w:rsid w:val="5C8F1F25"/>
    <w:rsid w:val="5CFC27D1"/>
    <w:rsid w:val="5D0C4701"/>
    <w:rsid w:val="5D0F0395"/>
    <w:rsid w:val="5D1B745A"/>
    <w:rsid w:val="5D221076"/>
    <w:rsid w:val="5D397964"/>
    <w:rsid w:val="5D4B4D00"/>
    <w:rsid w:val="5D4F7D45"/>
    <w:rsid w:val="5D542888"/>
    <w:rsid w:val="5D5A391C"/>
    <w:rsid w:val="5D5F10C0"/>
    <w:rsid w:val="5D76280B"/>
    <w:rsid w:val="5D79574D"/>
    <w:rsid w:val="5D891B7B"/>
    <w:rsid w:val="5DAD38EE"/>
    <w:rsid w:val="5DAF5613"/>
    <w:rsid w:val="5DC11136"/>
    <w:rsid w:val="5DDE31C9"/>
    <w:rsid w:val="5E006862"/>
    <w:rsid w:val="5E0207B9"/>
    <w:rsid w:val="5E1834A1"/>
    <w:rsid w:val="5E261785"/>
    <w:rsid w:val="5E3B5816"/>
    <w:rsid w:val="5E3E08EE"/>
    <w:rsid w:val="5E4A7017"/>
    <w:rsid w:val="5E510478"/>
    <w:rsid w:val="5E552BBA"/>
    <w:rsid w:val="5E611C10"/>
    <w:rsid w:val="5EB86749"/>
    <w:rsid w:val="5ECE15D1"/>
    <w:rsid w:val="5ED43A10"/>
    <w:rsid w:val="5EFC7377"/>
    <w:rsid w:val="5F06174D"/>
    <w:rsid w:val="5F147BCF"/>
    <w:rsid w:val="5F3A3602"/>
    <w:rsid w:val="5F6124F2"/>
    <w:rsid w:val="5F61293D"/>
    <w:rsid w:val="5F6277C6"/>
    <w:rsid w:val="5F66050D"/>
    <w:rsid w:val="5F6C21AF"/>
    <w:rsid w:val="5F6D0B1D"/>
    <w:rsid w:val="5F8D0B82"/>
    <w:rsid w:val="5F9B3E5A"/>
    <w:rsid w:val="5FB76531"/>
    <w:rsid w:val="5FBE7F17"/>
    <w:rsid w:val="5FCC5339"/>
    <w:rsid w:val="5FE34A5B"/>
    <w:rsid w:val="5FE5356E"/>
    <w:rsid w:val="5FFE1E36"/>
    <w:rsid w:val="60232584"/>
    <w:rsid w:val="60255718"/>
    <w:rsid w:val="60573C18"/>
    <w:rsid w:val="60574C28"/>
    <w:rsid w:val="60593614"/>
    <w:rsid w:val="607330CE"/>
    <w:rsid w:val="60825176"/>
    <w:rsid w:val="609F2AC4"/>
    <w:rsid w:val="60A872F3"/>
    <w:rsid w:val="60E51D18"/>
    <w:rsid w:val="60FA2EE8"/>
    <w:rsid w:val="61054A27"/>
    <w:rsid w:val="610A52BC"/>
    <w:rsid w:val="611D2366"/>
    <w:rsid w:val="61421856"/>
    <w:rsid w:val="615227C4"/>
    <w:rsid w:val="61641CA4"/>
    <w:rsid w:val="61654E3F"/>
    <w:rsid w:val="6182292A"/>
    <w:rsid w:val="6196689C"/>
    <w:rsid w:val="619F7F92"/>
    <w:rsid w:val="61A60ADB"/>
    <w:rsid w:val="61E03B70"/>
    <w:rsid w:val="61F94C26"/>
    <w:rsid w:val="62000E56"/>
    <w:rsid w:val="624F3E49"/>
    <w:rsid w:val="62632286"/>
    <w:rsid w:val="62716256"/>
    <w:rsid w:val="62885958"/>
    <w:rsid w:val="628B5072"/>
    <w:rsid w:val="62903FAE"/>
    <w:rsid w:val="629341F9"/>
    <w:rsid w:val="62B400C5"/>
    <w:rsid w:val="62D9190D"/>
    <w:rsid w:val="62F40B65"/>
    <w:rsid w:val="62FC2CFE"/>
    <w:rsid w:val="63024505"/>
    <w:rsid w:val="63025321"/>
    <w:rsid w:val="63331600"/>
    <w:rsid w:val="63520F1A"/>
    <w:rsid w:val="635B1DB5"/>
    <w:rsid w:val="63711FED"/>
    <w:rsid w:val="63880DDC"/>
    <w:rsid w:val="638D29AD"/>
    <w:rsid w:val="638D750D"/>
    <w:rsid w:val="63AC6CC0"/>
    <w:rsid w:val="63E84F5B"/>
    <w:rsid w:val="63EB6C79"/>
    <w:rsid w:val="64055776"/>
    <w:rsid w:val="64240056"/>
    <w:rsid w:val="643E143A"/>
    <w:rsid w:val="64473D34"/>
    <w:rsid w:val="64506276"/>
    <w:rsid w:val="648B6EEF"/>
    <w:rsid w:val="649D1B1E"/>
    <w:rsid w:val="64A21A2D"/>
    <w:rsid w:val="64C158BF"/>
    <w:rsid w:val="64C56682"/>
    <w:rsid w:val="64CE2EAA"/>
    <w:rsid w:val="64D375A4"/>
    <w:rsid w:val="65223DFD"/>
    <w:rsid w:val="65351612"/>
    <w:rsid w:val="653C3090"/>
    <w:rsid w:val="654D5FDE"/>
    <w:rsid w:val="657D3699"/>
    <w:rsid w:val="65854376"/>
    <w:rsid w:val="658767BE"/>
    <w:rsid w:val="65892531"/>
    <w:rsid w:val="65987DE9"/>
    <w:rsid w:val="65A36822"/>
    <w:rsid w:val="65DA30BA"/>
    <w:rsid w:val="65F142F5"/>
    <w:rsid w:val="66195831"/>
    <w:rsid w:val="662E75B1"/>
    <w:rsid w:val="66342C2E"/>
    <w:rsid w:val="663E784C"/>
    <w:rsid w:val="66404FCB"/>
    <w:rsid w:val="664C049A"/>
    <w:rsid w:val="66567124"/>
    <w:rsid w:val="668B6A45"/>
    <w:rsid w:val="66AB0941"/>
    <w:rsid w:val="66C3247D"/>
    <w:rsid w:val="671213BB"/>
    <w:rsid w:val="672F3F24"/>
    <w:rsid w:val="673E055F"/>
    <w:rsid w:val="67541A47"/>
    <w:rsid w:val="67551CE3"/>
    <w:rsid w:val="676D1307"/>
    <w:rsid w:val="677B772E"/>
    <w:rsid w:val="677E0A61"/>
    <w:rsid w:val="6785606A"/>
    <w:rsid w:val="67A22552"/>
    <w:rsid w:val="67B22DCC"/>
    <w:rsid w:val="67BB7225"/>
    <w:rsid w:val="67BE71AA"/>
    <w:rsid w:val="67C836D1"/>
    <w:rsid w:val="67D90273"/>
    <w:rsid w:val="67DE5875"/>
    <w:rsid w:val="67E55852"/>
    <w:rsid w:val="67EB1AB4"/>
    <w:rsid w:val="67FA1285"/>
    <w:rsid w:val="681D5876"/>
    <w:rsid w:val="682C1BEB"/>
    <w:rsid w:val="68303C5A"/>
    <w:rsid w:val="68551F4F"/>
    <w:rsid w:val="685E5C6B"/>
    <w:rsid w:val="686D70CF"/>
    <w:rsid w:val="68744D0C"/>
    <w:rsid w:val="687C10C9"/>
    <w:rsid w:val="68840C16"/>
    <w:rsid w:val="68876EFB"/>
    <w:rsid w:val="68884654"/>
    <w:rsid w:val="689F444F"/>
    <w:rsid w:val="68B96DBB"/>
    <w:rsid w:val="68CA2805"/>
    <w:rsid w:val="68D67EF7"/>
    <w:rsid w:val="68E937A3"/>
    <w:rsid w:val="68F62A33"/>
    <w:rsid w:val="691941C3"/>
    <w:rsid w:val="69233D1D"/>
    <w:rsid w:val="693E15D3"/>
    <w:rsid w:val="694C13A0"/>
    <w:rsid w:val="696023F4"/>
    <w:rsid w:val="69627681"/>
    <w:rsid w:val="696F6F71"/>
    <w:rsid w:val="6977531D"/>
    <w:rsid w:val="699452AE"/>
    <w:rsid w:val="69B77C36"/>
    <w:rsid w:val="69CC2BFF"/>
    <w:rsid w:val="69CD3257"/>
    <w:rsid w:val="69E954D0"/>
    <w:rsid w:val="69FD55B8"/>
    <w:rsid w:val="6A0B1C62"/>
    <w:rsid w:val="6A12185E"/>
    <w:rsid w:val="6A2406C8"/>
    <w:rsid w:val="6A653E5E"/>
    <w:rsid w:val="6A98164F"/>
    <w:rsid w:val="6AB6374D"/>
    <w:rsid w:val="6ADB04A7"/>
    <w:rsid w:val="6ADE0BD1"/>
    <w:rsid w:val="6AE96859"/>
    <w:rsid w:val="6B147746"/>
    <w:rsid w:val="6B24787C"/>
    <w:rsid w:val="6B452CC0"/>
    <w:rsid w:val="6B573233"/>
    <w:rsid w:val="6B5B6274"/>
    <w:rsid w:val="6B8C078E"/>
    <w:rsid w:val="6B935D53"/>
    <w:rsid w:val="6BC37306"/>
    <w:rsid w:val="6BCD3B6E"/>
    <w:rsid w:val="6BFC4814"/>
    <w:rsid w:val="6C10419A"/>
    <w:rsid w:val="6C196F71"/>
    <w:rsid w:val="6C226FCB"/>
    <w:rsid w:val="6C31226F"/>
    <w:rsid w:val="6C39011B"/>
    <w:rsid w:val="6C3C7AD9"/>
    <w:rsid w:val="6C552F0B"/>
    <w:rsid w:val="6C5975D7"/>
    <w:rsid w:val="6C673653"/>
    <w:rsid w:val="6C8C67B7"/>
    <w:rsid w:val="6C9D744C"/>
    <w:rsid w:val="6CAC70FD"/>
    <w:rsid w:val="6CBF33A9"/>
    <w:rsid w:val="6CD07B71"/>
    <w:rsid w:val="6D092978"/>
    <w:rsid w:val="6D167928"/>
    <w:rsid w:val="6D1844D7"/>
    <w:rsid w:val="6D1A47C7"/>
    <w:rsid w:val="6D237493"/>
    <w:rsid w:val="6D26299B"/>
    <w:rsid w:val="6D4772EC"/>
    <w:rsid w:val="6D8C40FF"/>
    <w:rsid w:val="6D9078AF"/>
    <w:rsid w:val="6DAA3FEF"/>
    <w:rsid w:val="6DC0172B"/>
    <w:rsid w:val="6DC87DB4"/>
    <w:rsid w:val="6DC92465"/>
    <w:rsid w:val="6DCB690C"/>
    <w:rsid w:val="6DD41A5B"/>
    <w:rsid w:val="6DDC6BAA"/>
    <w:rsid w:val="6DF43C2E"/>
    <w:rsid w:val="6DF51CA3"/>
    <w:rsid w:val="6E222636"/>
    <w:rsid w:val="6E3556C0"/>
    <w:rsid w:val="6E3B07FD"/>
    <w:rsid w:val="6E3C6AD0"/>
    <w:rsid w:val="6E516EFF"/>
    <w:rsid w:val="6E527913"/>
    <w:rsid w:val="6E62549C"/>
    <w:rsid w:val="6E654DA1"/>
    <w:rsid w:val="6E8335BD"/>
    <w:rsid w:val="6E8E12EF"/>
    <w:rsid w:val="6E906D9A"/>
    <w:rsid w:val="6E972936"/>
    <w:rsid w:val="6EB00A81"/>
    <w:rsid w:val="6EC145AA"/>
    <w:rsid w:val="6ED446C5"/>
    <w:rsid w:val="6F01767A"/>
    <w:rsid w:val="6F1F233B"/>
    <w:rsid w:val="6F2355FF"/>
    <w:rsid w:val="6F2A7D94"/>
    <w:rsid w:val="6F38459B"/>
    <w:rsid w:val="6F627626"/>
    <w:rsid w:val="6F8010EF"/>
    <w:rsid w:val="6F8331F1"/>
    <w:rsid w:val="6FAE1A09"/>
    <w:rsid w:val="6FB41BB9"/>
    <w:rsid w:val="6FB516D5"/>
    <w:rsid w:val="6FBC2301"/>
    <w:rsid w:val="6FCE69EA"/>
    <w:rsid w:val="6FD75BF8"/>
    <w:rsid w:val="6FEA0A74"/>
    <w:rsid w:val="6FF220A6"/>
    <w:rsid w:val="70290041"/>
    <w:rsid w:val="70453D78"/>
    <w:rsid w:val="70694546"/>
    <w:rsid w:val="707723D0"/>
    <w:rsid w:val="709C2785"/>
    <w:rsid w:val="70DF3545"/>
    <w:rsid w:val="70F5661B"/>
    <w:rsid w:val="71360107"/>
    <w:rsid w:val="713B688E"/>
    <w:rsid w:val="7150042A"/>
    <w:rsid w:val="7179075A"/>
    <w:rsid w:val="71CC62BC"/>
    <w:rsid w:val="71D43752"/>
    <w:rsid w:val="71D76A8E"/>
    <w:rsid w:val="71DB61A2"/>
    <w:rsid w:val="71F1796A"/>
    <w:rsid w:val="720F681F"/>
    <w:rsid w:val="7215154D"/>
    <w:rsid w:val="72154626"/>
    <w:rsid w:val="72262B5D"/>
    <w:rsid w:val="72283FF7"/>
    <w:rsid w:val="722E7212"/>
    <w:rsid w:val="723A0474"/>
    <w:rsid w:val="725923E4"/>
    <w:rsid w:val="72864BF7"/>
    <w:rsid w:val="729023FC"/>
    <w:rsid w:val="72B3511E"/>
    <w:rsid w:val="72CD5537"/>
    <w:rsid w:val="72DA5FDE"/>
    <w:rsid w:val="72FA3BD1"/>
    <w:rsid w:val="72FD657B"/>
    <w:rsid w:val="730B0C48"/>
    <w:rsid w:val="73570230"/>
    <w:rsid w:val="737A3B75"/>
    <w:rsid w:val="73A660AD"/>
    <w:rsid w:val="73C0646E"/>
    <w:rsid w:val="73D84597"/>
    <w:rsid w:val="73DD0F7A"/>
    <w:rsid w:val="73ED4E0A"/>
    <w:rsid w:val="73F00A06"/>
    <w:rsid w:val="7402176C"/>
    <w:rsid w:val="740722AA"/>
    <w:rsid w:val="74137152"/>
    <w:rsid w:val="74174C1F"/>
    <w:rsid w:val="74187D5C"/>
    <w:rsid w:val="742222F5"/>
    <w:rsid w:val="74476126"/>
    <w:rsid w:val="745E541E"/>
    <w:rsid w:val="74706664"/>
    <w:rsid w:val="74742332"/>
    <w:rsid w:val="747C2991"/>
    <w:rsid w:val="747F3682"/>
    <w:rsid w:val="749C4185"/>
    <w:rsid w:val="74DF6386"/>
    <w:rsid w:val="74F978C8"/>
    <w:rsid w:val="75067759"/>
    <w:rsid w:val="751854AA"/>
    <w:rsid w:val="752860C7"/>
    <w:rsid w:val="752E6DCD"/>
    <w:rsid w:val="7551380D"/>
    <w:rsid w:val="75600BE5"/>
    <w:rsid w:val="7564475C"/>
    <w:rsid w:val="7583797F"/>
    <w:rsid w:val="75D20F1D"/>
    <w:rsid w:val="75DA2C18"/>
    <w:rsid w:val="75F54412"/>
    <w:rsid w:val="7608585B"/>
    <w:rsid w:val="76124201"/>
    <w:rsid w:val="76184C67"/>
    <w:rsid w:val="761D08E0"/>
    <w:rsid w:val="763B31A3"/>
    <w:rsid w:val="765D347C"/>
    <w:rsid w:val="76826699"/>
    <w:rsid w:val="768D3BBF"/>
    <w:rsid w:val="76966E44"/>
    <w:rsid w:val="76C87133"/>
    <w:rsid w:val="76CD08D5"/>
    <w:rsid w:val="76DB4B92"/>
    <w:rsid w:val="76EE3BA4"/>
    <w:rsid w:val="76FA1519"/>
    <w:rsid w:val="77052AA4"/>
    <w:rsid w:val="77136511"/>
    <w:rsid w:val="77304C77"/>
    <w:rsid w:val="77340A39"/>
    <w:rsid w:val="77351FD0"/>
    <w:rsid w:val="77472422"/>
    <w:rsid w:val="77505594"/>
    <w:rsid w:val="777F31F2"/>
    <w:rsid w:val="77905715"/>
    <w:rsid w:val="77A85155"/>
    <w:rsid w:val="77C75995"/>
    <w:rsid w:val="77D1700D"/>
    <w:rsid w:val="77EC04CC"/>
    <w:rsid w:val="783A6E49"/>
    <w:rsid w:val="7840538D"/>
    <w:rsid w:val="784A0535"/>
    <w:rsid w:val="785A7C4F"/>
    <w:rsid w:val="786D57AF"/>
    <w:rsid w:val="78775729"/>
    <w:rsid w:val="7877616C"/>
    <w:rsid w:val="787E646B"/>
    <w:rsid w:val="78990442"/>
    <w:rsid w:val="78A42DB0"/>
    <w:rsid w:val="78A656AB"/>
    <w:rsid w:val="78B2245C"/>
    <w:rsid w:val="78E172CC"/>
    <w:rsid w:val="78EA1D1F"/>
    <w:rsid w:val="7904172F"/>
    <w:rsid w:val="790F7E27"/>
    <w:rsid w:val="79200674"/>
    <w:rsid w:val="792A231A"/>
    <w:rsid w:val="79316829"/>
    <w:rsid w:val="79490272"/>
    <w:rsid w:val="79571428"/>
    <w:rsid w:val="795B1456"/>
    <w:rsid w:val="797E66A9"/>
    <w:rsid w:val="79A97383"/>
    <w:rsid w:val="79E27E8B"/>
    <w:rsid w:val="79F850CE"/>
    <w:rsid w:val="79FD443C"/>
    <w:rsid w:val="7A0E34C3"/>
    <w:rsid w:val="7A1D1975"/>
    <w:rsid w:val="7A3C7DD6"/>
    <w:rsid w:val="7A3E5150"/>
    <w:rsid w:val="7A4670D6"/>
    <w:rsid w:val="7A534B63"/>
    <w:rsid w:val="7A615382"/>
    <w:rsid w:val="7A67303B"/>
    <w:rsid w:val="7A701D0C"/>
    <w:rsid w:val="7A77799D"/>
    <w:rsid w:val="7A7C2A6E"/>
    <w:rsid w:val="7AAB1D04"/>
    <w:rsid w:val="7ABA4368"/>
    <w:rsid w:val="7AC52F35"/>
    <w:rsid w:val="7AD05746"/>
    <w:rsid w:val="7AED0DD4"/>
    <w:rsid w:val="7B0D086D"/>
    <w:rsid w:val="7B257FFD"/>
    <w:rsid w:val="7B343476"/>
    <w:rsid w:val="7B4D3F2F"/>
    <w:rsid w:val="7B5A2978"/>
    <w:rsid w:val="7B5A7E4C"/>
    <w:rsid w:val="7B667AF9"/>
    <w:rsid w:val="7B6961DF"/>
    <w:rsid w:val="7B7468F8"/>
    <w:rsid w:val="7B911AEF"/>
    <w:rsid w:val="7BA45C33"/>
    <w:rsid w:val="7BAA3B4A"/>
    <w:rsid w:val="7BB93F18"/>
    <w:rsid w:val="7BCB31C0"/>
    <w:rsid w:val="7BCE5CDA"/>
    <w:rsid w:val="7BDE17F0"/>
    <w:rsid w:val="7BEE0103"/>
    <w:rsid w:val="7C0548E9"/>
    <w:rsid w:val="7C0A0FE4"/>
    <w:rsid w:val="7C254906"/>
    <w:rsid w:val="7C291BF3"/>
    <w:rsid w:val="7C590818"/>
    <w:rsid w:val="7C71611C"/>
    <w:rsid w:val="7C7C10F6"/>
    <w:rsid w:val="7C853BEA"/>
    <w:rsid w:val="7C881368"/>
    <w:rsid w:val="7CAB729B"/>
    <w:rsid w:val="7CE00EED"/>
    <w:rsid w:val="7CE27788"/>
    <w:rsid w:val="7CF36804"/>
    <w:rsid w:val="7D0A1FD8"/>
    <w:rsid w:val="7D0C32F1"/>
    <w:rsid w:val="7D0F408D"/>
    <w:rsid w:val="7D491C6C"/>
    <w:rsid w:val="7D4D5A07"/>
    <w:rsid w:val="7D5429C0"/>
    <w:rsid w:val="7D6E6D43"/>
    <w:rsid w:val="7D80447E"/>
    <w:rsid w:val="7D822A31"/>
    <w:rsid w:val="7DB57A34"/>
    <w:rsid w:val="7DE356A0"/>
    <w:rsid w:val="7DE60973"/>
    <w:rsid w:val="7DEF0916"/>
    <w:rsid w:val="7E1E5218"/>
    <w:rsid w:val="7E211A84"/>
    <w:rsid w:val="7E370FE0"/>
    <w:rsid w:val="7E651857"/>
    <w:rsid w:val="7E9A4E1F"/>
    <w:rsid w:val="7EA7723A"/>
    <w:rsid w:val="7EF56FBB"/>
    <w:rsid w:val="7F0768EB"/>
    <w:rsid w:val="7F143BEC"/>
    <w:rsid w:val="7F524845"/>
    <w:rsid w:val="7F5E209C"/>
    <w:rsid w:val="7F715AF2"/>
    <w:rsid w:val="7F886E69"/>
    <w:rsid w:val="7FC8057F"/>
    <w:rsid w:val="7FD55D6A"/>
    <w:rsid w:val="7FF82036"/>
    <w:rsid w:val="7FFE2F2B"/>
    <w:rsid w:val="BB7FA927"/>
    <w:rsid w:val="DB7D56C7"/>
    <w:rsid w:val="DFF34C54"/>
    <w:rsid w:val="E7E3F6AD"/>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970"/>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5"/>
    <w:autoRedefine/>
    <w:qFormat/>
    <w:uiPriority w:val="0"/>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autoRedefine/>
    <w:qFormat/>
    <w:uiPriority w:val="0"/>
    <w:pPr>
      <w:ind w:firstLine="420"/>
    </w:pPr>
    <w:rPr>
      <w:rFonts w:hAnsi="Calibri" w:cs="Times New Roman"/>
      <w:snapToGrid/>
      <w:szCs w:val="20"/>
    </w:rPr>
  </w:style>
  <w:style w:type="paragraph" w:styleId="25">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6"/>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2"/>
    <w:autoRedefine/>
    <w:qFormat/>
    <w:uiPriority w:val="0"/>
    <w:pPr>
      <w:ind w:left="100" w:leftChars="2500"/>
    </w:pPr>
    <w:rPr>
      <w:rFonts w:ascii="宋体"/>
      <w:sz w:val="24"/>
      <w:szCs w:val="21"/>
      <w:lang w:val="zh-CN"/>
    </w:rPr>
  </w:style>
  <w:style w:type="paragraph" w:styleId="37">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89"/>
    <w:autoRedefine/>
    <w:qFormat/>
    <w:uiPriority w:val="0"/>
    <w:rPr>
      <w:sz w:val="18"/>
      <w:szCs w:val="18"/>
    </w:rPr>
  </w:style>
  <w:style w:type="paragraph" w:styleId="40">
    <w:name w:val="footer"/>
    <w:basedOn w:val="1"/>
    <w:link w:val="384"/>
    <w:autoRedefine/>
    <w:qFormat/>
    <w:uiPriority w:val="0"/>
    <w:pPr>
      <w:tabs>
        <w:tab w:val="center" w:pos="4153"/>
        <w:tab w:val="right" w:pos="8306"/>
      </w:tabs>
      <w:snapToGrid w:val="0"/>
      <w:jc w:val="left"/>
    </w:pPr>
    <w:rPr>
      <w:sz w:val="18"/>
      <w:szCs w:val="18"/>
    </w:rPr>
  </w:style>
  <w:style w:type="paragraph" w:styleId="41">
    <w:name w:val="header"/>
    <w:basedOn w:val="1"/>
    <w:link w:val="393"/>
    <w:autoRedefine/>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1"/>
    <w:autoRedefine/>
    <w:qFormat/>
    <w:uiPriority w:val="99"/>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Message Header"/>
    <w:basedOn w:val="1"/>
    <w:link w:val="968"/>
    <w:autoRedefine/>
    <w:qFormat/>
    <w:uiPriority w:val="0"/>
    <w:pPr>
      <w:pBdr>
        <w:top w:val="single" w:color="auto" w:sz="6" w:space="1"/>
        <w:left w:val="single" w:color="auto" w:sz="6" w:space="1"/>
        <w:bottom w:val="single" w:color="auto" w:sz="6" w:space="1"/>
        <w:right w:val="single" w:color="auto" w:sz="6" w:space="1"/>
      </w:pBdr>
      <w:shd w:val="pct20" w:color="auto" w:fill="auto"/>
      <w:adjustRightInd/>
      <w:ind w:left="500" w:leftChars="500" w:hanging="1080" w:hangingChars="500"/>
    </w:pPr>
    <w:rPr>
      <w:rFonts w:ascii="Arial" w:hAnsi="Arial"/>
      <w:sz w:val="24"/>
    </w:r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60">
    <w:name w:val="Title"/>
    <w:basedOn w:val="1"/>
    <w:link w:val="287"/>
    <w:autoRedefine/>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7"/>
    <w:autoRedefine/>
    <w:qFormat/>
    <w:uiPriority w:val="0"/>
    <w:rPr>
      <w:b/>
      <w:bCs/>
    </w:rPr>
  </w:style>
  <w:style w:type="paragraph" w:styleId="62">
    <w:name w:val="Body Text First Indent 2"/>
    <w:basedOn w:val="25"/>
    <w:next w:val="1"/>
    <w:link w:val="122"/>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0"/>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footnote reference"/>
    <w:autoRedefine/>
    <w:unhideWhenUsed/>
    <w:qFormat/>
    <w:uiPriority w:val="99"/>
    <w:rPr>
      <w:vertAlign w:val="superscript"/>
    </w:rPr>
  </w:style>
  <w:style w:type="paragraph" w:customStyle="1" w:styleId="81">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首行缩进"/>
    <w:basedOn w:val="1"/>
    <w:autoRedefine/>
    <w:qFormat/>
    <w:uiPriority w:val="0"/>
    <w:pPr>
      <w:spacing w:line="360" w:lineRule="auto"/>
      <w:ind w:firstLine="480" w:firstLineChars="200"/>
    </w:pPr>
    <w:rPr>
      <w:rFonts w:ascii="宋体"/>
      <w:sz w:val="24"/>
      <w:szCs w:val="20"/>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1"/>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2"/>
    <w:autoRedefine/>
    <w:qFormat/>
    <w:uiPriority w:val="0"/>
    <w:rPr>
      <w:rFonts w:ascii="宋体" w:hAnsi="宋体"/>
      <w:kern w:val="2"/>
      <w:sz w:val="21"/>
      <w:szCs w:val="24"/>
    </w:rPr>
  </w:style>
  <w:style w:type="character" w:customStyle="1" w:styleId="123">
    <w:name w:val="font11"/>
    <w:basedOn w:val="70"/>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7"/>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99"/>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6"/>
    <w:autoRedefine/>
    <w:qFormat/>
    <w:uiPriority w:val="0"/>
    <w:rPr>
      <w:rFonts w:ascii="宋体"/>
      <w:kern w:val="2"/>
      <w:sz w:val="24"/>
      <w:szCs w:val="21"/>
      <w:lang w:val="zh-CN"/>
    </w:rPr>
  </w:style>
  <w:style w:type="character" w:customStyle="1" w:styleId="183">
    <w:name w:val="标题 9 Char"/>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0"/>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39"/>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99"/>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0"/>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next w:val="1"/>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5"/>
    <w:autoRedefine/>
    <w:qFormat/>
    <w:uiPriority w:val="0"/>
    <w:rPr>
      <w:rFonts w:ascii="宋体" w:hAnsi="宋体"/>
      <w:kern w:val="2"/>
      <w:sz w:val="24"/>
      <w:szCs w:val="24"/>
    </w:rPr>
  </w:style>
  <w:style w:type="character" w:customStyle="1" w:styleId="267">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2"/>
    <w:autoRedefine/>
    <w:qFormat/>
    <w:uiPriority w:val="0"/>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0"/>
    <w:autoRedefine/>
    <w:qFormat/>
    <w:uiPriority w:val="0"/>
    <w:rPr>
      <w:b/>
      <w:sz w:val="24"/>
      <w:lang w:val="en-GB"/>
    </w:rPr>
  </w:style>
  <w:style w:type="character" w:customStyle="1" w:styleId="288">
    <w:name w:val="font81"/>
    <w:basedOn w:val="70"/>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8"/>
    <w:autoRedefine/>
    <w:qFormat/>
    <w:uiPriority w:val="0"/>
    <w:rPr>
      <w:rFonts w:ascii="黑体" w:hAnsi="Courier New" w:eastAsia="黑体"/>
    </w:rPr>
  </w:style>
  <w:style w:type="character" w:customStyle="1" w:styleId="303">
    <w:name w:val="正文文本 2 Char1"/>
    <w:link w:val="56"/>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9"/>
    <w:autoRedefine/>
    <w:qFormat/>
    <w:uiPriority w:val="0"/>
    <w:rPr>
      <w:b/>
      <w:bCs/>
      <w:kern w:val="2"/>
      <w:sz w:val="24"/>
      <w:szCs w:val="24"/>
    </w:rPr>
  </w:style>
  <w:style w:type="character" w:customStyle="1" w:styleId="309">
    <w:name w:val="正文文本缩进 2 Char"/>
    <w:link w:val="37"/>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0"/>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24"/>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1"/>
    <w:autoRedefine/>
    <w:qFormat/>
    <w:uiPriority w:val="0"/>
    <w:rPr>
      <w:kern w:val="2"/>
      <w:sz w:val="21"/>
    </w:rPr>
  </w:style>
  <w:style w:type="character" w:customStyle="1" w:styleId="332">
    <w:name w:val="font31"/>
    <w:basedOn w:val="70"/>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99"/>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autoRedefine/>
    <w:qFormat/>
    <w:uiPriority w:val="0"/>
    <w:rPr>
      <w:kern w:val="2"/>
      <w:sz w:val="21"/>
      <w:szCs w:val="24"/>
    </w:rPr>
  </w:style>
  <w:style w:type="character" w:customStyle="1" w:styleId="346">
    <w:name w:val="签名 Char"/>
    <w:link w:val="42"/>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34"/>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0"/>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1"/>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99"/>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99"/>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outlineLvl w:val="5"/>
    </w:pPr>
  </w:style>
  <w:style w:type="paragraph" w:customStyle="1" w:styleId="475">
    <w:name w:val="5级标题"/>
    <w:basedOn w:val="476"/>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99"/>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3"/>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Lines="0" w:afterLines="0"/>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5"/>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next w:val="1"/>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9"/>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0"/>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4"/>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4"/>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9"/>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basedOn w:val="70"/>
    <w:autoRedefine/>
    <w:qFormat/>
    <w:uiPriority w:val="0"/>
    <w:rPr>
      <w:rFonts w:hint="eastAsia" w:ascii="宋体" w:hAnsi="宋体" w:eastAsia="宋体" w:cs="宋体"/>
      <w:color w:val="000000"/>
      <w:sz w:val="22"/>
      <w:szCs w:val="22"/>
      <w:u w:val="none"/>
    </w:rPr>
  </w:style>
  <w:style w:type="character" w:customStyle="1" w:styleId="963">
    <w:name w:val="font91"/>
    <w:basedOn w:val="70"/>
    <w:autoRedefine/>
    <w:qFormat/>
    <w:uiPriority w:val="0"/>
    <w:rPr>
      <w:rFonts w:hint="eastAsia" w:ascii="仿宋" w:hAnsi="仿宋" w:eastAsia="仿宋" w:cs="仿宋"/>
      <w:color w:val="000000"/>
      <w:sz w:val="22"/>
      <w:szCs w:val="22"/>
      <w:u w:val="none"/>
    </w:rPr>
  </w:style>
  <w:style w:type="character" w:customStyle="1" w:styleId="964">
    <w:name w:val="font101"/>
    <w:basedOn w:val="70"/>
    <w:autoRedefine/>
    <w:qFormat/>
    <w:uiPriority w:val="0"/>
    <w:rPr>
      <w:rFonts w:hint="eastAsia" w:ascii="宋体" w:hAnsi="宋体" w:eastAsia="宋体" w:cs="宋体"/>
      <w:color w:val="000000"/>
      <w:sz w:val="20"/>
      <w:szCs w:val="20"/>
      <w:u w:val="none"/>
    </w:rPr>
  </w:style>
  <w:style w:type="character" w:customStyle="1" w:styleId="965">
    <w:name w:val="批注主题 字符"/>
    <w:autoRedefine/>
    <w:semiHidden/>
    <w:qFormat/>
    <w:uiPriority w:val="99"/>
    <w:rPr>
      <w:b/>
      <w:bCs/>
      <w:kern w:val="2"/>
      <w:sz w:val="21"/>
      <w:szCs w:val="22"/>
    </w:rPr>
  </w:style>
  <w:style w:type="character" w:customStyle="1" w:styleId="966">
    <w:name w:val="脚注文本 字符"/>
    <w:autoRedefine/>
    <w:semiHidden/>
    <w:qFormat/>
    <w:uiPriority w:val="99"/>
    <w:rPr>
      <w:kern w:val="2"/>
      <w:sz w:val="18"/>
      <w:szCs w:val="18"/>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信息标题 Char"/>
    <w:basedOn w:val="70"/>
    <w:link w:val="57"/>
    <w:autoRedefine/>
    <w:qFormat/>
    <w:uiPriority w:val="0"/>
    <w:rPr>
      <w:rFonts w:ascii="Arial" w:hAnsi="Arial"/>
      <w:kern w:val="2"/>
      <w:sz w:val="24"/>
      <w:szCs w:val="24"/>
      <w:shd w:val="pct20" w:color="auto" w:fill="auto"/>
    </w:rPr>
  </w:style>
  <w:style w:type="character" w:customStyle="1" w:styleId="969">
    <w:name w:val="正文文本 字符"/>
    <w:basedOn w:val="70"/>
    <w:autoRedefine/>
    <w:semiHidden/>
    <w:qFormat/>
    <w:uiPriority w:val="0"/>
    <w:rPr>
      <w:kern w:val="2"/>
      <w:sz w:val="21"/>
      <w:szCs w:val="24"/>
    </w:rPr>
  </w:style>
  <w:style w:type="character" w:customStyle="1" w:styleId="970">
    <w:name w:val="标题 3 Char"/>
    <w:basedOn w:val="70"/>
    <w:link w:val="4"/>
    <w:autoRedefine/>
    <w:qFormat/>
    <w:uiPriority w:val="0"/>
    <w:rPr>
      <w:b/>
      <w:bCs/>
      <w:kern w:val="2"/>
      <w:sz w:val="32"/>
      <w:szCs w:val="32"/>
    </w:rPr>
  </w:style>
  <w:style w:type="character" w:customStyle="1" w:styleId="971">
    <w:name w:val="正文文本 Char3"/>
    <w:autoRedefine/>
    <w:qFormat/>
    <w:uiPriority w:val="0"/>
    <w:rPr>
      <w:rFonts w:ascii="宋体" w:hAnsi="Arial" w:eastAsia="宋体" w:cs="Arial"/>
      <w:snapToGrid w:val="0"/>
      <w:kern w:val="2"/>
      <w:sz w:val="24"/>
      <w:szCs w:val="21"/>
      <w:lang w:val="zh-CN" w:eastAsia="zh-CN" w:bidi="ar-SA"/>
    </w:rPr>
  </w:style>
  <w:style w:type="character" w:customStyle="1" w:styleId="972">
    <w:name w:val="不明显强调1"/>
    <w:autoRedefine/>
    <w:qFormat/>
    <w:uiPriority w:val="19"/>
    <w:rPr>
      <w:i/>
      <w:iCs/>
      <w:color w:val="808080"/>
    </w:rPr>
  </w:style>
  <w:style w:type="paragraph" w:customStyle="1" w:styleId="973">
    <w:name w:val="reader-word-layer reader-word-s1-11"/>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4">
    <w:name w:val="正文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5">
    <w:name w:val="_Style 974"/>
    <w:basedOn w:val="1"/>
    <w:next w:val="259"/>
    <w:autoRedefine/>
    <w:qFormat/>
    <w:uiPriority w:val="34"/>
    <w:pPr>
      <w:adjustRightInd/>
      <w:ind w:firstLine="420" w:firstLineChars="200"/>
    </w:pPr>
    <w:rPr>
      <w:rFonts w:ascii="Calibri" w:hAnsi="Calibri"/>
      <w:szCs w:val="22"/>
    </w:rPr>
  </w:style>
  <w:style w:type="paragraph" w:customStyle="1" w:styleId="976">
    <w:name w:val="正文7"/>
    <w:basedOn w:val="1"/>
    <w:autoRedefine/>
    <w:qFormat/>
    <w:uiPriority w:val="0"/>
    <w:pPr>
      <w:spacing w:line="318" w:lineRule="atLeast"/>
      <w:ind w:left="369" w:firstLine="369"/>
      <w:textAlignment w:val="baseline"/>
    </w:pPr>
    <w:rPr>
      <w:rFonts w:ascii="宋体"/>
      <w:szCs w:val="20"/>
    </w:rPr>
  </w:style>
  <w:style w:type="character" w:customStyle="1" w:styleId="977">
    <w:name w:val="font121"/>
    <w:basedOn w:val="70"/>
    <w:autoRedefine/>
    <w:qFormat/>
    <w:uiPriority w:val="0"/>
    <w:rPr>
      <w:rFonts w:ascii="Calibri" w:hAnsi="Calibri" w:cs="Calibri"/>
      <w:color w:val="000000"/>
      <w:sz w:val="18"/>
      <w:szCs w:val="18"/>
      <w:u w:val="none"/>
    </w:rPr>
  </w:style>
  <w:style w:type="character" w:customStyle="1" w:styleId="978">
    <w:name w:val="font111"/>
    <w:basedOn w:val="70"/>
    <w:autoRedefine/>
    <w:qFormat/>
    <w:uiPriority w:val="0"/>
    <w:rPr>
      <w:rFonts w:ascii="Calibri" w:hAnsi="Calibri" w:cs="Calibri"/>
      <w:color w:val="000000"/>
      <w:sz w:val="18"/>
      <w:szCs w:val="18"/>
      <w:u w:val="none"/>
    </w:rPr>
  </w:style>
  <w:style w:type="paragraph" w:customStyle="1" w:styleId="979">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80">
    <w:name w:val="正文空2字"/>
    <w:basedOn w:val="9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81">
    <w:name w:val="左对齐正文"/>
    <w:autoRedefine/>
    <w:qFormat/>
    <w:uiPriority w:val="99"/>
    <w:rPr>
      <w:rFonts w:ascii="Calibri" w:hAnsi="Calibri" w:eastAsia="仿宋_GB2312" w:cs="Calibri"/>
      <w:kern w:val="2"/>
      <w:sz w:val="32"/>
      <w:szCs w:val="32"/>
      <w:lang w:val="en-US" w:eastAsia="zh-CN" w:bidi="ar-SA"/>
    </w:rPr>
  </w:style>
  <w:style w:type="character" w:customStyle="1" w:styleId="982">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D8A464-9A3B-46CA-8A66-FEA78F743838}">
  <ds:schemaRefs/>
</ds:datastoreItem>
</file>

<file path=docProps/app.xml><?xml version="1.0" encoding="utf-8"?>
<Properties xmlns="http://schemas.openxmlformats.org/officeDocument/2006/extended-properties" xmlns:vt="http://schemas.openxmlformats.org/officeDocument/2006/docPropsVTypes">
  <Template>Normal.dotm</Template>
  <Pages>175</Pages>
  <Words>64891</Words>
  <Characters>79644</Characters>
  <Lines>369</Lines>
  <Paragraphs>104</Paragraphs>
  <TotalTime>33</TotalTime>
  <ScaleCrop>false</ScaleCrop>
  <LinksUpToDate>false</LinksUpToDate>
  <CharactersWithSpaces>84028</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user</dc:creator>
  <cp:lastModifiedBy>Thur</cp:lastModifiedBy>
  <cp:lastPrinted>2024-04-26T01:50:00Z</cp:lastPrinted>
  <dcterms:modified xsi:type="dcterms:W3CDTF">2024-04-28T10:40:07Z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3BA0DF9641894F28B1098CE11E18B5D6_13</vt:lpwstr>
  </property>
  <property fmtid="{D5CDD505-2E9C-101B-9397-08002B2CF9AE}" pid="5" name="commondata">
    <vt:lpwstr>eyJoZGlkIjoiNTU1ZWExZTlkNDQ2NTFhMGEwYWNiMDk1Y2IyZjlkYTMifQ==</vt:lpwstr>
  </property>
</Properties>
</file>