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779F8352">
      <w:pPr>
        <w:adjustRightInd/>
        <w:spacing w:line="360"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宁海县社会综合福利院</w:t>
      </w:r>
    </w:p>
    <w:p w14:paraId="4FB13BFD">
      <w:pPr>
        <w:adjustRightInd/>
        <w:spacing w:line="360" w:lineRule="auto"/>
        <w:jc w:val="center"/>
        <w:outlineLvl w:val="0"/>
        <w:rPr>
          <w:rFonts w:ascii="宋体" w:hAnsi="宋体" w:cs="宋体"/>
          <w:color w:val="auto"/>
          <w:sz w:val="48"/>
          <w:szCs w:val="48"/>
          <w:highlight w:val="none"/>
        </w:rPr>
      </w:pPr>
      <w:r>
        <w:rPr>
          <w:rFonts w:hint="eastAsia" w:ascii="宋体" w:hAnsi="宋体" w:cs="宋体"/>
          <w:color w:val="auto"/>
          <w:sz w:val="48"/>
          <w:szCs w:val="48"/>
          <w:highlight w:val="none"/>
          <w:lang w:eastAsia="zh-CN"/>
        </w:rPr>
        <w:t>食品原材料</w:t>
      </w: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lang w:eastAsia="zh-CN"/>
        </w:rPr>
        <w:t>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CBZJ-20256117G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宁海县社会综合福利院</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5FABE3AD">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67DFF42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6AB72663">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val="en-US" w:eastAsia="zh-CN"/>
        </w:rPr>
        <w:t>2025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08</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06</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13</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CBZJ-20256117G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宁海县社会综合福利院食品原材料采购项目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000000</w:t>
      </w:r>
      <w:r>
        <w:rPr>
          <w:rFonts w:hint="eastAsia" w:ascii="宋体" w:hAnsi="宋体" w:cs="宋体"/>
          <w:b/>
          <w:color w:val="auto"/>
          <w:sz w:val="24"/>
          <w:highlight w:val="none"/>
          <w:lang w:val="en-US" w:eastAsia="zh-CN"/>
        </w:rPr>
        <w:t>.00</w:t>
      </w:r>
    </w:p>
    <w:p w14:paraId="71ADE3C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最高限价（元）：</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000000</w:t>
      </w:r>
      <w:r>
        <w:rPr>
          <w:rFonts w:hint="eastAsia" w:ascii="宋体" w:hAnsi="宋体" w:cs="宋体"/>
          <w:b/>
          <w:bCs/>
          <w:color w:val="auto"/>
          <w:sz w:val="24"/>
          <w:highlight w:val="none"/>
          <w:lang w:val="en-US" w:eastAsia="zh-CN"/>
        </w:rPr>
        <w:t xml:space="preserve">.00 </w:t>
      </w:r>
    </w:p>
    <w:p w14:paraId="3708D84F">
      <w:pPr>
        <w:pStyle w:val="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7"/>
        <w:spacing w:line="360" w:lineRule="auto"/>
        <w:ind w:firstLine="480"/>
        <w:rPr>
          <w:rFonts w:hAnsi="宋体" w:cs="宋体"/>
          <w:color w:val="auto"/>
          <w:sz w:val="24"/>
          <w:highlight w:val="none"/>
        </w:rPr>
      </w:pPr>
      <w:r>
        <w:rPr>
          <w:rFonts w:hint="eastAsia" w:hAnsi="宋体" w:cs="宋体"/>
          <w:bCs/>
          <w:color w:val="auto"/>
          <w:kern w:val="2"/>
          <w:sz w:val="24"/>
          <w:szCs w:val="24"/>
          <w:highlight w:val="none"/>
        </w:rPr>
        <w:t>标项名称：</w:t>
      </w:r>
      <w:r>
        <w:rPr>
          <w:rFonts w:hint="eastAsia" w:hAnsi="宋体" w:cs="宋体"/>
          <w:color w:val="auto"/>
          <w:sz w:val="24"/>
          <w:highlight w:val="none"/>
          <w:lang w:eastAsia="zh-CN"/>
        </w:rPr>
        <w:t>宁海县社会综合福利院食品原材料采购</w:t>
      </w:r>
    </w:p>
    <w:p w14:paraId="029D4811">
      <w:pPr>
        <w:pStyle w:val="7"/>
        <w:spacing w:line="360" w:lineRule="auto"/>
        <w:ind w:firstLine="480"/>
        <w:rPr>
          <w:rFonts w:hint="default" w:hAnsi="宋体" w:eastAsia="宋体" w:cs="宋体"/>
          <w:bCs/>
          <w:color w:val="auto"/>
          <w:kern w:val="2"/>
          <w:sz w:val="24"/>
          <w:szCs w:val="24"/>
          <w:highlight w:val="none"/>
          <w:lang w:val="en-US" w:eastAsia="zh-CN"/>
        </w:rPr>
      </w:pPr>
      <w:r>
        <w:rPr>
          <w:rFonts w:hint="eastAsia" w:hAnsi="宋体" w:cs="宋体"/>
          <w:bCs/>
          <w:color w:val="auto"/>
          <w:kern w:val="2"/>
          <w:sz w:val="24"/>
          <w:szCs w:val="24"/>
          <w:highlight w:val="none"/>
        </w:rPr>
        <w:t>数量：</w:t>
      </w:r>
      <w:r>
        <w:rPr>
          <w:rFonts w:hint="eastAsia" w:hAnsi="宋体" w:cs="宋体"/>
          <w:bCs/>
          <w:color w:val="auto"/>
          <w:kern w:val="2"/>
          <w:sz w:val="24"/>
          <w:szCs w:val="24"/>
          <w:highlight w:val="none"/>
          <w:lang w:val="en-US" w:eastAsia="zh-CN"/>
        </w:rPr>
        <w:t>3年</w:t>
      </w:r>
    </w:p>
    <w:p w14:paraId="66E26F71">
      <w:pPr>
        <w:pStyle w:val="7"/>
        <w:spacing w:line="360" w:lineRule="auto"/>
        <w:ind w:firstLine="480"/>
        <w:rPr>
          <w:rFonts w:hint="default" w:hAnsi="宋体" w:cs="宋体"/>
          <w:bCs/>
          <w:color w:val="auto"/>
          <w:kern w:val="2"/>
          <w:sz w:val="24"/>
          <w:szCs w:val="24"/>
          <w:highlight w:val="none"/>
          <w:lang w:val="en-US"/>
        </w:rPr>
      </w:pPr>
      <w:r>
        <w:rPr>
          <w:rFonts w:hint="eastAsia" w:hAnsi="宋体" w:cs="宋体"/>
          <w:bCs/>
          <w:color w:val="auto"/>
          <w:kern w:val="2"/>
          <w:sz w:val="24"/>
          <w:szCs w:val="24"/>
          <w:highlight w:val="none"/>
        </w:rPr>
        <w:t>预算金额（元）：</w:t>
      </w:r>
      <w:r>
        <w:rPr>
          <w:rFonts w:hint="eastAsia" w:hAnsi="宋体" w:cs="宋体"/>
          <w:bCs/>
          <w:color w:val="auto"/>
          <w:kern w:val="2"/>
          <w:sz w:val="24"/>
          <w:szCs w:val="24"/>
          <w:highlight w:val="none"/>
          <w:lang w:val="en-US" w:eastAsia="zh-CN"/>
        </w:rPr>
        <w:t>3</w:t>
      </w:r>
      <w:r>
        <w:rPr>
          <w:rFonts w:hint="eastAsia" w:hAnsi="宋体" w:cs="宋体"/>
          <w:bCs/>
          <w:color w:val="auto"/>
          <w:kern w:val="2"/>
          <w:sz w:val="24"/>
          <w:szCs w:val="24"/>
          <w:highlight w:val="none"/>
        </w:rPr>
        <w:t>000000</w:t>
      </w:r>
      <w:r>
        <w:rPr>
          <w:rFonts w:hint="eastAsia" w:hAnsi="宋体" w:cs="宋体"/>
          <w:bCs/>
          <w:color w:val="auto"/>
          <w:kern w:val="2"/>
          <w:sz w:val="24"/>
          <w:szCs w:val="24"/>
          <w:highlight w:val="none"/>
          <w:lang w:val="en-US" w:eastAsia="zh-CN"/>
        </w:rPr>
        <w:t>.00</w:t>
      </w:r>
    </w:p>
    <w:p w14:paraId="17DA35E5">
      <w:pPr>
        <w:pStyle w:val="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简要规格描述或项目基本概况介绍、用途：采购范围包括</w:t>
      </w:r>
      <w:r>
        <w:rPr>
          <w:rFonts w:hint="eastAsia" w:hAnsi="宋体" w:cs="宋体"/>
          <w:bCs/>
          <w:color w:val="auto"/>
          <w:kern w:val="2"/>
          <w:sz w:val="24"/>
          <w:szCs w:val="24"/>
          <w:highlight w:val="none"/>
          <w:lang w:eastAsia="zh-CN"/>
        </w:rPr>
        <w:t>宁海县社会综合福利院</w:t>
      </w:r>
      <w:r>
        <w:rPr>
          <w:rFonts w:hint="eastAsia" w:hAnsi="宋体" w:cs="宋体"/>
          <w:bCs/>
          <w:color w:val="auto"/>
          <w:kern w:val="2"/>
          <w:sz w:val="24"/>
          <w:szCs w:val="24"/>
          <w:highlight w:val="none"/>
        </w:rPr>
        <w:t>食堂所需的</w:t>
      </w:r>
      <w:r>
        <w:rPr>
          <w:rFonts w:hint="eastAsia" w:hAnsi="宋体" w:cs="宋体"/>
          <w:bCs/>
          <w:color w:val="auto"/>
          <w:kern w:val="2"/>
          <w:sz w:val="24"/>
          <w:szCs w:val="24"/>
          <w:highlight w:val="none"/>
          <w:lang w:val="en-US" w:eastAsia="zh-CN"/>
        </w:rPr>
        <w:t>食品原材料，包括但不限于</w:t>
      </w:r>
      <w:r>
        <w:rPr>
          <w:rFonts w:hint="eastAsia" w:hAnsi="宋体" w:cs="宋体"/>
          <w:bCs/>
          <w:color w:val="auto"/>
          <w:kern w:val="2"/>
          <w:sz w:val="24"/>
          <w:szCs w:val="24"/>
          <w:highlight w:val="none"/>
        </w:rPr>
        <w:t>水果类、鲜蔬类、鲜肉和</w:t>
      </w:r>
      <w:r>
        <w:rPr>
          <w:rFonts w:hint="eastAsia" w:hAnsi="宋体" w:cs="宋体"/>
          <w:bCs/>
          <w:color w:val="auto"/>
          <w:kern w:val="2"/>
          <w:sz w:val="24"/>
          <w:szCs w:val="24"/>
          <w:highlight w:val="none"/>
          <w:lang w:val="en-US" w:eastAsia="zh-CN"/>
        </w:rPr>
        <w:t>海鲜</w:t>
      </w:r>
      <w:r>
        <w:rPr>
          <w:rFonts w:hint="eastAsia" w:hAnsi="宋体" w:cs="宋体"/>
          <w:bCs/>
          <w:color w:val="auto"/>
          <w:kern w:val="2"/>
          <w:sz w:val="24"/>
          <w:szCs w:val="24"/>
          <w:highlight w:val="none"/>
        </w:rPr>
        <w:t>类</w:t>
      </w:r>
      <w:r>
        <w:rPr>
          <w:rFonts w:hint="eastAsia" w:hAnsi="宋体" w:cs="宋体"/>
          <w:bCs/>
          <w:color w:val="auto"/>
          <w:kern w:val="2"/>
          <w:sz w:val="24"/>
          <w:szCs w:val="24"/>
          <w:highlight w:val="none"/>
          <w:lang w:val="en-US" w:eastAsia="zh-CN"/>
        </w:rPr>
        <w:t>等</w:t>
      </w:r>
      <w:r>
        <w:rPr>
          <w:rFonts w:hint="eastAsia" w:hAnsi="宋体" w:cs="宋体"/>
          <w:bCs/>
          <w:color w:val="auto"/>
          <w:kern w:val="2"/>
          <w:sz w:val="24"/>
          <w:szCs w:val="24"/>
          <w:highlight w:val="none"/>
        </w:rPr>
        <w:t>；具体以招标文件第三部分采购需求为准，供应商可点击本公告下方“浏览采购文件”查看采购需求。</w:t>
      </w:r>
    </w:p>
    <w:p w14:paraId="295255A1">
      <w:pPr>
        <w:pStyle w:val="7"/>
        <w:spacing w:line="360" w:lineRule="auto"/>
        <w:ind w:firstLine="480"/>
        <w:rPr>
          <w:rFonts w:hint="default" w:hAnsi="宋体" w:cs="宋体"/>
          <w:b/>
          <w:bCs w:val="0"/>
          <w:color w:val="auto"/>
          <w:kern w:val="2"/>
          <w:sz w:val="24"/>
          <w:szCs w:val="24"/>
          <w:highlight w:val="none"/>
          <w:lang w:val="en-US"/>
        </w:rPr>
      </w:pPr>
      <w:r>
        <w:rPr>
          <w:rFonts w:hint="eastAsia" w:hAnsi="宋体" w:cs="宋体"/>
          <w:b/>
          <w:bCs w:val="0"/>
          <w:color w:val="auto"/>
          <w:kern w:val="2"/>
          <w:sz w:val="24"/>
          <w:szCs w:val="24"/>
          <w:highlight w:val="none"/>
        </w:rPr>
        <w:t>备注：</w:t>
      </w:r>
      <w:r>
        <w:rPr>
          <w:rFonts w:hint="eastAsia" w:hAnsi="宋体" w:cs="宋体"/>
          <w:b/>
          <w:bCs w:val="0"/>
          <w:color w:val="auto"/>
          <w:kern w:val="2"/>
          <w:sz w:val="24"/>
          <w:szCs w:val="24"/>
          <w:highlight w:val="none"/>
          <w:lang w:val="en-US" w:eastAsia="zh-CN"/>
        </w:rPr>
        <w:t>1）单年预算金额为100万元。2）如为联合体投标，组成联合体的成员数（含联合体牵头人）不得超过2家。</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自合同签订之日起三年，合同一年一签。采购人根据中标人在上一年度合同履约情况决定是否续签。供应商如不能按时、按质、按量提供采购人所需食品原材料，由此造成的一切相关损失全部由供应商承担。</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4DBA8A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084F0FF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24E2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0E0AA72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9BC1ED9">
      <w:pPr>
        <w:rPr>
          <w:rFonts w:ascii="宋体" w:hAnsi="宋体" w:cs="宋体"/>
          <w:color w:val="auto"/>
          <w:highlight w:val="none"/>
        </w:rPr>
      </w:pPr>
    </w:p>
    <w:p w14:paraId="50F838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DA9209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41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4.本项目的特定资格要求：供应商具有有效的食品经营许可证[主体业态：食品销售经营者；经营项目：至少包含散装食品和预包装食品销售]。</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2025年08月06日13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2025年08月06日13点30分00秒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称：宁海县社会综合福利院</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址：宁波市宁海县跃龙街道中山东路76号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3F6DA2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陈</w:t>
      </w:r>
      <w:r>
        <w:rPr>
          <w:rFonts w:hint="eastAsia" w:ascii="宋体" w:hAnsi="宋体" w:cs="宋体"/>
          <w:color w:val="auto"/>
          <w:sz w:val="24"/>
          <w:highlight w:val="none"/>
          <w:lang w:eastAsia="zh-CN"/>
        </w:rPr>
        <w:t xml:space="preserve">老师 </w:t>
      </w:r>
    </w:p>
    <w:p w14:paraId="11C4799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项目联系方式（询问）：0574-65258100</w:t>
      </w:r>
    </w:p>
    <w:p w14:paraId="68B4150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w:t>
      </w:r>
      <w:r>
        <w:rPr>
          <w:rFonts w:hint="eastAsia" w:ascii="宋体" w:hAnsi="宋体" w:cs="宋体"/>
          <w:color w:val="auto"/>
          <w:sz w:val="24"/>
          <w:highlight w:val="none"/>
          <w:lang w:val="en-US" w:eastAsia="zh-CN"/>
        </w:rPr>
        <w:t>应老师</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质疑联系方式：0574-65258100</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朱贤东、史宇骁</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5279</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王近娜</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5583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691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1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1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1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（1）本项目服务专门面向中小企业。</w:t>
            </w:r>
          </w:p>
          <w:p w14:paraId="49BC20F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lang w:eastAsia="zh-CN"/>
              </w:rPr>
              <w:t>宁海县社会综合福利院食品原材料采购</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18" w:type="dxa"/>
            <w:tcBorders>
              <w:top w:val="single" w:color="000000" w:sz="8" w:space="0"/>
              <w:left w:val="single" w:color="000000" w:sz="2" w:space="0"/>
              <w:bottom w:val="single" w:color="000000" w:sz="8" w:space="0"/>
              <w:right w:val="single" w:color="000000" w:sz="8"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辅助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7816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1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1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1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1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color w:val="auto"/>
                <w:sz w:val="24"/>
                <w:highlight w:val="none"/>
              </w:rPr>
            </w:pPr>
          </w:p>
        </w:tc>
        <w:tc>
          <w:tcPr>
            <w:tcW w:w="691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473" w:type="dxa"/>
            <w:vMerge w:val="restart"/>
            <w:tcBorders>
              <w:top w:val="single" w:color="000000" w:sz="8" w:space="0"/>
              <w:left w:val="single" w:color="000000" w:sz="2" w:space="0"/>
              <w:right w:val="single" w:color="000000" w:sz="8"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18" w:type="dxa"/>
            <w:tcBorders>
              <w:top w:val="single" w:color="000000" w:sz="8" w:space="0"/>
              <w:left w:val="single" w:color="000000" w:sz="2" w:space="0"/>
              <w:bottom w:val="single" w:color="000000" w:sz="8" w:space="0"/>
              <w:right w:val="single" w:color="000000" w:sz="8" w:space="0"/>
            </w:tcBorders>
            <w:vAlign w:val="center"/>
          </w:tcPr>
          <w:p w14:paraId="43D4C409">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4CD2DFA7">
            <w:pPr>
              <w:snapToGrid w:val="0"/>
              <w:spacing w:line="360" w:lineRule="auto"/>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本项目采用投标折扣系数形式报价，要求分别报出鲜肉类、</w:t>
            </w:r>
            <w:r>
              <w:rPr>
                <w:rFonts w:hint="eastAsia" w:ascii="宋体" w:hAnsi="宋体" w:cs="宋体"/>
                <w:b/>
                <w:bCs/>
                <w:color w:val="auto"/>
                <w:kern w:val="0"/>
                <w:sz w:val="24"/>
                <w:highlight w:val="none"/>
                <w:lang w:val="en-US" w:eastAsia="zh-CN"/>
              </w:rPr>
              <w:t>海鲜</w:t>
            </w:r>
            <w:r>
              <w:rPr>
                <w:rFonts w:hint="eastAsia" w:ascii="宋体" w:hAnsi="宋体" w:cs="宋体"/>
                <w:b/>
                <w:bCs/>
                <w:color w:val="auto"/>
                <w:kern w:val="0"/>
                <w:sz w:val="24"/>
                <w:highlight w:val="none"/>
                <w:lang w:val="zh-CN"/>
              </w:rPr>
              <w:t>类、鲜蔬类、水果类的投标折扣系数。</w:t>
            </w:r>
          </w:p>
          <w:p w14:paraId="35209329">
            <w:pPr>
              <w:snapToGrid w:val="0"/>
              <w:spacing w:line="360" w:lineRule="auto"/>
              <w:jc w:val="left"/>
              <w:rPr>
                <w:rFonts w:ascii="宋体" w:hAnsi="宋体" w:cs="宋体"/>
                <w:color w:val="auto"/>
                <w:sz w:val="24"/>
                <w:highlight w:val="none"/>
              </w:rPr>
            </w:pPr>
            <w:r>
              <w:rPr>
                <w:rFonts w:hint="eastAsia" w:ascii="宋体" w:hAnsi="宋体" w:cs="宋体"/>
                <w:b/>
                <w:color w:val="auto"/>
                <w:kern w:val="0"/>
                <w:sz w:val="24"/>
                <w:highlight w:val="none"/>
                <w:lang w:val="zh-CN"/>
              </w:rPr>
              <w:t>具体供应食品价格须包含原材料成本、包装、运输费（送货到采购人指定的现场）、保险、上下车、利润、税金、政策性规费、售后服务等所有中标人应承担的全部费用。</w:t>
            </w:r>
          </w:p>
        </w:tc>
      </w:tr>
      <w:tr w14:paraId="14BE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7" w:hRule="atLeast"/>
          <w:tblHeader/>
        </w:trPr>
        <w:tc>
          <w:tcPr>
            <w:tcW w:w="629" w:type="dxa"/>
            <w:vMerge w:val="continue"/>
            <w:tcBorders>
              <w:left w:val="single" w:color="000000" w:sz="8" w:space="0"/>
              <w:bottom w:val="single" w:color="auto" w:sz="4" w:space="0"/>
              <w:right w:val="single" w:color="000000" w:sz="2" w:space="0"/>
            </w:tcBorders>
            <w:vAlign w:val="center"/>
          </w:tcPr>
          <w:p w14:paraId="76258A66">
            <w:pPr>
              <w:snapToGrid w:val="0"/>
              <w:spacing w:line="360" w:lineRule="auto"/>
              <w:jc w:val="center"/>
              <w:rPr>
                <w:rFonts w:hint="eastAsia" w:ascii="宋体" w:hAnsi="宋体" w:cs="宋体"/>
                <w:color w:val="auto"/>
                <w:sz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12D2BF0D">
            <w:pPr>
              <w:snapToGrid w:val="0"/>
              <w:spacing w:line="360" w:lineRule="auto"/>
              <w:jc w:val="center"/>
              <w:rPr>
                <w:rFonts w:hint="eastAsia" w:ascii="宋体" w:hAnsi="宋体" w:cs="宋体"/>
                <w:b/>
                <w:color w:val="auto"/>
                <w:sz w:val="24"/>
                <w:highlight w:val="none"/>
              </w:rPr>
            </w:pPr>
          </w:p>
        </w:tc>
        <w:tc>
          <w:tcPr>
            <w:tcW w:w="6918" w:type="dxa"/>
            <w:tcBorders>
              <w:top w:val="single" w:color="000000" w:sz="8" w:space="0"/>
              <w:left w:val="single" w:color="000000" w:sz="2" w:space="0"/>
              <w:bottom w:val="single" w:color="000000" w:sz="8" w:space="0"/>
              <w:right w:val="single" w:color="000000" w:sz="8" w:space="0"/>
            </w:tcBorders>
            <w:vAlign w:val="center"/>
          </w:tcPr>
          <w:p w14:paraId="1BF6556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3B127D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9E2F3E">
            <w:pPr>
              <w:spacing w:line="360" w:lineRule="auto"/>
              <w:ind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w:t>
            </w:r>
            <w:r>
              <w:rPr>
                <w:rFonts w:hint="eastAsia" w:ascii="宋体" w:hAnsi="宋体" w:cs="宋体"/>
                <w:b/>
                <w:color w:val="auto"/>
                <w:kern w:val="0"/>
                <w:sz w:val="24"/>
                <w:highlight w:val="none"/>
                <w:lang w:val="en-US" w:eastAsia="zh-CN"/>
              </w:rPr>
              <w:t>或者投标折扣系数高于100%</w:t>
            </w:r>
            <w:r>
              <w:rPr>
                <w:rFonts w:hint="eastAsia" w:ascii="宋体" w:hAnsi="宋体" w:cs="宋体"/>
                <w:b/>
                <w:color w:val="auto"/>
                <w:kern w:val="0"/>
                <w:sz w:val="24"/>
                <w:highlight w:val="none"/>
                <w:lang w:val="zh-CN"/>
              </w:rPr>
              <w:t>；</w:t>
            </w:r>
          </w:p>
          <w:p w14:paraId="6E3B9065">
            <w:pPr>
              <w:spacing w:line="360" w:lineRule="auto"/>
              <w:ind w:firstLine="241" w:firstLineChars="100"/>
              <w:rPr>
                <w:rFonts w:hint="eastAsia" w:ascii="宋体" w:hAnsi="宋体" w:cs="宋体"/>
                <w:b/>
                <w:color w:val="auto"/>
                <w:sz w:val="24"/>
                <w:szCs w:val="21"/>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zh-CN" w:eastAsia="zh-CN"/>
              </w:rPr>
              <w:t>投标折扣系数</w:t>
            </w:r>
            <w:r>
              <w:rPr>
                <w:rFonts w:hint="eastAsia" w:ascii="宋体" w:hAnsi="宋体" w:cs="宋体"/>
                <w:b/>
                <w:color w:val="auto"/>
                <w:kern w:val="0"/>
                <w:sz w:val="24"/>
                <w:highlight w:val="none"/>
                <w:lang w:val="en-US" w:eastAsia="zh-CN"/>
              </w:rPr>
              <w:t>低于50%</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B1931CE">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47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1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47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91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孔工</w:t>
            </w:r>
            <w:r>
              <w:rPr>
                <w:rFonts w:hint="eastAsia" w:hAnsi="宋体" w:cs="宋体"/>
                <w:color w:val="auto"/>
                <w:sz w:val="24"/>
                <w:highlight w:val="none"/>
                <w:u w:val="single"/>
              </w:rPr>
              <w:t>0574-8742</w:t>
            </w:r>
            <w:r>
              <w:rPr>
                <w:rFonts w:hint="eastAsia" w:hAnsi="宋体" w:cs="宋体"/>
                <w:color w:val="auto"/>
                <w:sz w:val="24"/>
                <w:highlight w:val="none"/>
                <w:u w:val="single"/>
                <w:lang w:val="en-US" w:eastAsia="zh-CN"/>
              </w:rPr>
              <w:t>5279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473"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91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47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918" w:type="dxa"/>
            <w:tcBorders>
              <w:top w:val="single" w:color="000000" w:sz="8" w:space="0"/>
              <w:left w:val="single" w:color="auto" w:sz="4" w:space="0"/>
              <w:bottom w:val="single" w:color="000000" w:sz="8" w:space="0"/>
              <w:right w:val="single" w:color="000000" w:sz="8" w:space="0"/>
            </w:tcBorders>
            <w:vAlign w:val="center"/>
          </w:tcPr>
          <w:p w14:paraId="7AB9CE4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lang w:eastAsia="zh-CN"/>
              </w:rPr>
              <w:t>招标代理服务费的收取标准：</w:t>
            </w:r>
            <w:r>
              <w:rPr>
                <w:rFonts w:hint="eastAsia" w:cs="Arial" w:asciiTheme="minorEastAsia" w:hAnsiTheme="minorEastAsia" w:eastAsiaTheme="minorEastAsia"/>
                <w:color w:val="auto"/>
                <w:kern w:val="0"/>
                <w:sz w:val="24"/>
                <w:highlight w:val="none"/>
              </w:rPr>
              <w:t>采购代理机构按下表中</w:t>
            </w:r>
            <w:r>
              <w:rPr>
                <w:rFonts w:hint="eastAsia" w:cs="Arial" w:asciiTheme="minorEastAsia" w:hAnsiTheme="minorEastAsia" w:eastAsiaTheme="minorEastAsia"/>
                <w:color w:val="auto"/>
                <w:kern w:val="0"/>
                <w:sz w:val="24"/>
                <w:highlight w:val="none"/>
                <w:lang w:val="en-US" w:eastAsia="zh-CN"/>
              </w:rPr>
              <w:t>服务</w:t>
            </w:r>
            <w:r>
              <w:rPr>
                <w:rFonts w:hint="eastAsia" w:cs="Arial" w:asciiTheme="minorEastAsia" w:hAnsiTheme="minorEastAsia" w:eastAsiaTheme="minorEastAsia"/>
                <w:color w:val="auto"/>
                <w:kern w:val="0"/>
                <w:sz w:val="24"/>
                <w:highlight w:val="none"/>
              </w:rPr>
              <w:t>招标的标准（按差额定率累进法计算），根据本项目的</w:t>
            </w:r>
            <w:r>
              <w:rPr>
                <w:rFonts w:hint="eastAsia" w:cs="Arial" w:asciiTheme="minorEastAsia" w:hAnsiTheme="minorEastAsia" w:eastAsiaTheme="minorEastAsia"/>
                <w:color w:val="auto"/>
                <w:kern w:val="0"/>
                <w:sz w:val="24"/>
                <w:highlight w:val="none"/>
                <w:lang w:val="en-US" w:eastAsia="zh-CN"/>
              </w:rPr>
              <w:t>预算</w:t>
            </w:r>
            <w:r>
              <w:rPr>
                <w:rFonts w:hint="eastAsia" w:cs="Arial" w:asciiTheme="minorEastAsia" w:hAnsiTheme="minorEastAsia" w:eastAsiaTheme="minorEastAsia"/>
                <w:color w:val="auto"/>
                <w:kern w:val="0"/>
                <w:sz w:val="24"/>
                <w:highlight w:val="none"/>
              </w:rPr>
              <w:t>金额，向中标人收取招标代理服务费。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22E8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15300" to="30000">
                          <wpsCustomData:border w:val="single" w:color="auto" w:sz="4" w:space="0"/>
                        </wpsCustomData:diagonal>
                        <wpsCustomData:diagonal from="10000" to="30000">
                          <wpsCustomData:border w:val="single" w:color="auto" w:sz="4" w:space="0"/>
                        </wpsCustomData:diagonal>
                      </wpsCustomData:diagonals>
                    </mc:Choice>
                  </mc:AlternateContent>
                </w:tcPr>
                <w:p w14:paraId="5BE6F995">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p>
                <w:p w14:paraId="2815BC1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mc:AlternateContent>
                      <mc:Choice Requires="wpsCustomData">
                        <wpsCustomData:diagonalParaType/>
                      </mc:Choice>
                    </mc:AlternateConten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金额（万元）</w:t>
                  </w:r>
                </w:p>
                <w:p w14:paraId="2AFBAFC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mc:AlternateContent>
                      <mc:Choice Requires="wpsCustomData">
                        <wpsCustomData:diagonalParaType/>
                      </mc:Choice>
                    </mc:AlternateConten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费率</w:t>
                  </w:r>
                </w:p>
                <w:p w14:paraId="7DD3939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服务类型</w:t>
                  </w:r>
                </w:p>
              </w:tc>
              <w:tc>
                <w:tcPr>
                  <w:tcW w:w="956" w:type="dxa"/>
                  <w:tcMar>
                    <w:top w:w="30" w:type="dxa"/>
                    <w:left w:w="150" w:type="dxa"/>
                    <w:bottom w:w="30" w:type="dxa"/>
                    <w:right w:w="150" w:type="dxa"/>
                  </w:tcMar>
                  <w:vAlign w:val="center"/>
                </w:tcPr>
                <w:p w14:paraId="2585118C">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货物招标</w:t>
                  </w:r>
                </w:p>
              </w:tc>
              <w:tc>
                <w:tcPr>
                  <w:tcW w:w="956" w:type="dxa"/>
                  <w:tcMar>
                    <w:top w:w="30" w:type="dxa"/>
                    <w:left w:w="150" w:type="dxa"/>
                    <w:bottom w:w="30" w:type="dxa"/>
                    <w:right w:w="150" w:type="dxa"/>
                  </w:tcMar>
                  <w:vAlign w:val="center"/>
                </w:tcPr>
                <w:p w14:paraId="173EC8B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服务招标</w:t>
                  </w:r>
                </w:p>
              </w:tc>
              <w:tc>
                <w:tcPr>
                  <w:tcW w:w="957" w:type="dxa"/>
                  <w:tcMar>
                    <w:top w:w="30" w:type="dxa"/>
                    <w:left w:w="150" w:type="dxa"/>
                    <w:bottom w:w="30" w:type="dxa"/>
                    <w:right w:w="150" w:type="dxa"/>
                  </w:tcMar>
                  <w:vAlign w:val="center"/>
                </w:tcPr>
                <w:p w14:paraId="7724A617">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工程招标</w:t>
                  </w:r>
                </w:p>
              </w:tc>
            </w:tr>
            <w:tr w14:paraId="185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15C6449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100以下</w:t>
                  </w:r>
                </w:p>
              </w:tc>
              <w:tc>
                <w:tcPr>
                  <w:tcW w:w="956" w:type="dxa"/>
                  <w:tcMar>
                    <w:top w:w="30" w:type="dxa"/>
                    <w:left w:w="150" w:type="dxa"/>
                    <w:bottom w:w="30" w:type="dxa"/>
                    <w:right w:w="150" w:type="dxa"/>
                  </w:tcMar>
                  <w:vAlign w:val="center"/>
                </w:tcPr>
                <w:p w14:paraId="67DBA975">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6" w:type="dxa"/>
                  <w:tcMar>
                    <w:top w:w="30" w:type="dxa"/>
                    <w:left w:w="150" w:type="dxa"/>
                    <w:bottom w:w="30" w:type="dxa"/>
                    <w:right w:w="150" w:type="dxa"/>
                  </w:tcMar>
                  <w:vAlign w:val="center"/>
                </w:tcPr>
                <w:p w14:paraId="222D8958">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7" w:type="dxa"/>
                  <w:tcMar>
                    <w:top w:w="30" w:type="dxa"/>
                    <w:left w:w="150" w:type="dxa"/>
                    <w:bottom w:w="30" w:type="dxa"/>
                    <w:right w:w="150" w:type="dxa"/>
                  </w:tcMar>
                  <w:vAlign w:val="center"/>
                </w:tcPr>
                <w:p w14:paraId="6009C5F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w:t>
                  </w:r>
                </w:p>
              </w:tc>
            </w:tr>
            <w:tr w14:paraId="7D96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76867A8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100-500</w:t>
                  </w:r>
                </w:p>
              </w:tc>
              <w:tc>
                <w:tcPr>
                  <w:tcW w:w="956" w:type="dxa"/>
                  <w:tcMar>
                    <w:top w:w="30" w:type="dxa"/>
                    <w:left w:w="150" w:type="dxa"/>
                    <w:bottom w:w="30" w:type="dxa"/>
                    <w:right w:w="150" w:type="dxa"/>
                  </w:tcMar>
                  <w:vAlign w:val="center"/>
                </w:tcPr>
                <w:p w14:paraId="624D08DB">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w:t>
                  </w:r>
                </w:p>
              </w:tc>
              <w:tc>
                <w:tcPr>
                  <w:tcW w:w="956" w:type="dxa"/>
                  <w:tcMar>
                    <w:top w:w="30" w:type="dxa"/>
                    <w:left w:w="150" w:type="dxa"/>
                    <w:bottom w:w="30" w:type="dxa"/>
                    <w:right w:w="150" w:type="dxa"/>
                  </w:tcMar>
                  <w:vAlign w:val="center"/>
                </w:tcPr>
                <w:p w14:paraId="1DCD511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0.8%</w:t>
                  </w:r>
                </w:p>
              </w:tc>
              <w:tc>
                <w:tcPr>
                  <w:tcW w:w="957" w:type="dxa"/>
                  <w:tcMar>
                    <w:top w:w="30" w:type="dxa"/>
                    <w:left w:w="150" w:type="dxa"/>
                    <w:bottom w:w="30" w:type="dxa"/>
                    <w:right w:w="150" w:type="dxa"/>
                  </w:tcMar>
                  <w:vAlign w:val="center"/>
                </w:tcPr>
                <w:p w14:paraId="2F2C3BF4">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0.7%</w:t>
                  </w:r>
                </w:p>
              </w:tc>
            </w:tr>
          </w:tbl>
          <w:p w14:paraId="0639842B">
            <w:pPr>
              <w:spacing w:line="360" w:lineRule="auto"/>
              <w:ind w:left="0" w:firstLine="0" w:firstLine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关于本次采购的服务费汇入以下账户：</w:t>
            </w:r>
          </w:p>
          <w:p w14:paraId="33537D5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宁波银行股份有限公司鄞州中心区支行</w:t>
            </w:r>
          </w:p>
          <w:p w14:paraId="7DD1F49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30010122001229488</w:t>
            </w:r>
          </w:p>
          <w:p w14:paraId="34F0C16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浙江中基正采管理咨询有限公司</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注：中标人接到本公司通知后5个工作日内向本采购代理机构领取中标通知书（根据中标人需求可采用邮寄或到采购代理机构现场领取）。</w:t>
            </w:r>
          </w:p>
        </w:tc>
      </w:tr>
    </w:tbl>
    <w:p w14:paraId="5C1C8E68">
      <w:pPr>
        <w:snapToGrid w:val="0"/>
        <w:spacing w:line="360" w:lineRule="auto"/>
        <w:jc w:val="center"/>
        <w:rPr>
          <w:rFonts w:ascii="宋体" w:hAnsi="宋体" w:cs="宋体"/>
          <w:b/>
          <w:color w:val="auto"/>
          <w:sz w:val="32"/>
          <w:szCs w:val="20"/>
          <w:highlight w:val="none"/>
        </w:rPr>
      </w:pPr>
    </w:p>
    <w:bookmarkEnd w:id="10"/>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第三部分"/>
      <w:bookmarkStart w:id="15" w:name="_Toc164416483"/>
      <w:r>
        <w:rPr>
          <w:rFonts w:hint="eastAsia" w:ascii="宋体" w:hAnsi="宋体" w:cs="宋体"/>
          <w:b/>
          <w:color w:val="auto"/>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6" w:name="_Toc22433"/>
      <w:r>
        <w:rPr>
          <w:rFonts w:hint="eastAsia" w:ascii="宋体" w:hAnsi="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6E4E6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7411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DD195C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D78A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68003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E8C1EB1">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4.2供应商询问</w:t>
      </w:r>
    </w:p>
    <w:p w14:paraId="0B6BA2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4.3供应商质疑</w:t>
      </w:r>
    </w:p>
    <w:p w14:paraId="66B2F96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15EBB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17E57EF">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70029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362DB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584290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260AA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740CE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F1FB80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EE3FB00">
      <w:pPr>
        <w:pStyle w:val="33"/>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4B20FEA6">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质疑函范本及制作说明详见附件2。</w:t>
      </w:r>
    </w:p>
    <w:p w14:paraId="6C4BF78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4.3.4对同一采购程序环节的质疑，供应商须在法定质疑期内一次性提出。</w:t>
      </w:r>
    </w:p>
    <w:p w14:paraId="3964C439">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hAnsi="宋体" w:cs="宋体"/>
          <w:color w:val="auto"/>
          <w:sz w:val="24"/>
          <w:highlight w:val="none"/>
          <w:lang w:val="en-US" w:eastAsia="zh-CN"/>
        </w:rPr>
        <w:t>2</w:t>
      </w:r>
      <w:r>
        <w:rPr>
          <w:rFonts w:hint="eastAsia" w:hAnsi="宋体" w:cs="宋体"/>
          <w:color w:val="auto"/>
          <w:sz w:val="24"/>
          <w:highlight w:val="none"/>
        </w:rPr>
        <w:t>号）</w:t>
      </w:r>
      <w:r>
        <w:rPr>
          <w:rFonts w:hint="eastAsia" w:hAnsi="宋体" w:cs="宋体"/>
          <w:color w:val="auto"/>
          <w:sz w:val="24"/>
          <w:highlight w:val="none"/>
          <w:lang w:eastAsia="zh-CN"/>
        </w:rPr>
        <w:t>，</w:t>
      </w:r>
      <w:r>
        <w:rPr>
          <w:rFonts w:hint="eastAsia" w:hAnsi="宋体" w:cs="宋体"/>
          <w:color w:val="auto"/>
          <w:sz w:val="24"/>
          <w:highlight w:val="none"/>
        </w:rPr>
        <w:t>采购人或者采购代理机构在质疑回复后5个工作日内，在浙江政府采购网的“</w:t>
      </w:r>
      <w:r>
        <w:rPr>
          <w:rFonts w:hint="eastAsia" w:hAnsi="宋体" w:cs="宋体"/>
          <w:color w:val="auto"/>
          <w:sz w:val="24"/>
          <w:highlight w:val="none"/>
          <w:lang w:val="en-US" w:eastAsia="zh-CN"/>
        </w:rPr>
        <w:t>质疑回复</w:t>
      </w:r>
      <w:r>
        <w:rPr>
          <w:rFonts w:hint="eastAsia" w:hAnsi="宋体" w:cs="宋体"/>
          <w:color w:val="auto"/>
          <w:sz w:val="24"/>
          <w:highlight w:val="none"/>
        </w:rPr>
        <w:t>公告”栏目公开质疑答复，答复内容应当完整。质疑函作为附件上传。</w:t>
      </w:r>
    </w:p>
    <w:p w14:paraId="69C89D0A">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.6询问或者质疑事项可能影响采购结果的，采购人应当暂停签订合同，已经签订合同的，应当中止履行合同。</w:t>
      </w:r>
    </w:p>
    <w:p w14:paraId="503D7CC5">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61E8803C">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w:t>
      </w:r>
      <w:r>
        <w:rPr>
          <w:rFonts w:hint="eastAsia" w:hAnsi="宋体" w:cs="宋体"/>
          <w:color w:val="auto"/>
          <w:sz w:val="24"/>
          <w:highlight w:val="none"/>
          <w:lang w:val="zh-CN"/>
        </w:rPr>
        <w:t>2</w:t>
      </w:r>
      <w:r>
        <w:rPr>
          <w:rFonts w:hint="eastAsia" w:hAnsi="宋体" w:cs="宋体"/>
          <w:color w:val="auto"/>
          <w:sz w:val="24"/>
          <w:highlight w:val="none"/>
        </w:rPr>
        <w:t>供应商投诉的事项不得超出已质疑事项的范围，基于质疑答复内容提出的投诉事项除外。</w:t>
      </w:r>
    </w:p>
    <w:p w14:paraId="37ABA723">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4.4.3供应商投诉应当有明确的请求和必要的证明材料。</w:t>
      </w:r>
    </w:p>
    <w:p w14:paraId="4F37AD0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4.4.4以联合体形式参加政府采购活动的，其投诉应当由组成联合体的所有供应商共同提出。</w:t>
      </w:r>
    </w:p>
    <w:p w14:paraId="25F4B73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4.4.5投诉材料寄送相关信息详见《第一部分  招标公告》。</w:t>
      </w:r>
    </w:p>
    <w:p w14:paraId="38246C47">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7" w:name="_Toc1367"/>
      <w:r>
        <w:rPr>
          <w:rFonts w:hint="eastAsia" w:ascii="宋体" w:hAnsi="宋体" w:cs="宋体"/>
          <w:b/>
          <w:color w:val="auto"/>
          <w:sz w:val="32"/>
          <w:szCs w:val="20"/>
          <w:highlight w:val="none"/>
        </w:rPr>
        <w:t>二、招标文件的构成、澄清、修改</w:t>
      </w:r>
      <w:bookmarkEnd w:id="17"/>
    </w:p>
    <w:p w14:paraId="7FDF9C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ascii="宋体" w:hAnsi="宋体" w:cs="宋体"/>
          <w:b/>
          <w:color w:val="auto"/>
          <w:sz w:val="30"/>
          <w:szCs w:val="20"/>
          <w:highlight w:val="none"/>
        </w:rPr>
      </w:pPr>
      <w:bookmarkStart w:id="18" w:name="_Toc14280"/>
      <w:r>
        <w:rPr>
          <w:rFonts w:hint="eastAsia" w:ascii="宋体" w:hAnsi="宋体" w:cs="宋体"/>
          <w:b/>
          <w:color w:val="auto"/>
          <w:sz w:val="30"/>
          <w:szCs w:val="20"/>
          <w:highlight w:val="none"/>
        </w:rPr>
        <w:t>三、投标</w:t>
      </w:r>
      <w:bookmarkEnd w:id="18"/>
    </w:p>
    <w:p w14:paraId="779ECAD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5F3755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7C0B96">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11.3.2</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F7D2DC">
      <w:pPr>
        <w:pStyle w:val="133"/>
        <w:snapToGrid w:val="0"/>
        <w:spacing w:before="0"/>
        <w:ind w:firstLine="0" w:firstLineChars="0"/>
        <w:outlineLvl w:val="0"/>
        <w:rPr>
          <w:rFonts w:ascii="宋体" w:hAnsi="宋体" w:cs="宋体"/>
          <w:b/>
          <w:color w:val="auto"/>
          <w:szCs w:val="24"/>
          <w:highlight w:val="none"/>
        </w:rPr>
      </w:pPr>
      <w:bookmarkStart w:id="19" w:name="_Toc25133"/>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7273B0">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w:t>
      </w:r>
      <w:r>
        <w:rPr>
          <w:rFonts w:hint="eastAsia" w:ascii="宋体" w:hAnsi="宋体" w:cs="宋体"/>
          <w:color w:val="auto"/>
          <w:highlight w:val="none"/>
          <w:lang w:val="en-US" w:eastAsia="zh-CN"/>
        </w:rPr>
        <w:t>3</w:t>
      </w:r>
      <w:r>
        <w:rPr>
          <w:rFonts w:hint="eastAsia" w:ascii="宋体" w:hAnsi="宋体" w:cs="宋体"/>
          <w:color w:val="auto"/>
          <w:highlight w:val="none"/>
        </w:rPr>
        <w:t>家的，不再评标。</w:t>
      </w:r>
    </w:p>
    <w:p w14:paraId="5371075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snapToGrid w:val="0"/>
        <w:spacing w:line="360" w:lineRule="auto"/>
        <w:jc w:val="center"/>
        <w:outlineLvl w:val="0"/>
        <w:rPr>
          <w:rFonts w:ascii="宋体" w:hAnsi="宋体" w:cs="宋体"/>
          <w:b/>
          <w:color w:val="auto"/>
          <w:sz w:val="36"/>
          <w:szCs w:val="36"/>
          <w:highlight w:val="none"/>
        </w:rPr>
      </w:pPr>
      <w:bookmarkStart w:id="20" w:name="_Toc132"/>
      <w:r>
        <w:rPr>
          <w:rFonts w:hint="eastAsia" w:ascii="宋体" w:hAnsi="宋体" w:cs="宋体"/>
          <w:b/>
          <w:color w:val="auto"/>
          <w:sz w:val="36"/>
          <w:szCs w:val="36"/>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snapToGrid w:val="0"/>
        <w:spacing w:line="360" w:lineRule="auto"/>
        <w:jc w:val="center"/>
        <w:outlineLvl w:val="0"/>
        <w:rPr>
          <w:rFonts w:ascii="宋体" w:hAnsi="宋体" w:cs="宋体"/>
          <w:b/>
          <w:color w:val="auto"/>
          <w:sz w:val="36"/>
          <w:szCs w:val="36"/>
          <w:highlight w:val="none"/>
        </w:rPr>
      </w:pPr>
      <w:bookmarkStart w:id="22" w:name="_Toc25823"/>
      <w:r>
        <w:rPr>
          <w:rFonts w:hint="eastAsia" w:ascii="宋体" w:hAnsi="宋体" w:cs="宋体"/>
          <w:b/>
          <w:color w:val="auto"/>
          <w:sz w:val="36"/>
          <w:szCs w:val="36"/>
          <w:highlight w:val="none"/>
        </w:rPr>
        <w:t>六、定 标</w:t>
      </w:r>
      <w:bookmarkEnd w:id="22"/>
    </w:p>
    <w:p w14:paraId="7A0BBA42">
      <w:pPr>
        <w:pStyle w:val="25"/>
        <w:spacing w:line="360" w:lineRule="auto"/>
        <w:ind w:left="487" w:hanging="479" w:hangingChars="199"/>
        <w:rPr>
          <w:rFonts w:cs="宋体"/>
          <w:b/>
          <w:color w:val="auto"/>
          <w:highlight w:val="none"/>
        </w:rPr>
      </w:pPr>
      <w:r>
        <w:rPr>
          <w:rFonts w:hint="eastAsia" w:cs="宋体"/>
          <w:b/>
          <w:color w:val="auto"/>
          <w:highlight w:val="none"/>
        </w:rPr>
        <w:t>22. 确定中标人</w:t>
      </w:r>
    </w:p>
    <w:p w14:paraId="2EF566F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7ECBBB25">
      <w:pPr>
        <w:pStyle w:val="133"/>
        <w:snapToGrid w:val="0"/>
        <w:spacing w:before="0"/>
        <w:ind w:firstLine="480"/>
        <w:rPr>
          <w:rFonts w:hint="eastAsia" w:ascii="宋体" w:hAnsi="宋体" w:eastAsia="宋体" w:cs="宋体"/>
          <w:b/>
          <w:bCs/>
          <w:color w:val="auto"/>
          <w:szCs w:val="24"/>
          <w:highlight w:val="none"/>
          <w:lang w:eastAsia="zh-CN"/>
        </w:rPr>
      </w:pPr>
      <w:r>
        <w:rPr>
          <w:rFonts w:hint="eastAsia" w:cs="宋体"/>
          <w:b/>
          <w:color w:val="auto"/>
          <w:highlight w:val="none"/>
          <w:lang w:val="en-US" w:eastAsia="zh-CN"/>
        </w:rPr>
        <w:t>本项目</w:t>
      </w:r>
      <w:r>
        <w:rPr>
          <w:rFonts w:hint="eastAsia" w:cs="宋体"/>
          <w:b/>
          <w:color w:val="auto"/>
          <w:highlight w:val="none"/>
        </w:rPr>
        <w:t>确定</w:t>
      </w:r>
      <w:r>
        <w:rPr>
          <w:rFonts w:hint="eastAsia" w:cs="宋体"/>
          <w:b/>
          <w:color w:val="auto"/>
          <w:highlight w:val="none"/>
          <w:lang w:val="en-US" w:eastAsia="zh-CN"/>
        </w:rPr>
        <w:t>1</w:t>
      </w:r>
      <w:r>
        <w:rPr>
          <w:rFonts w:hint="eastAsia" w:cs="宋体"/>
          <w:b/>
          <w:color w:val="auto"/>
          <w:highlight w:val="none"/>
        </w:rPr>
        <w:t>位中标人</w:t>
      </w:r>
      <w:r>
        <w:rPr>
          <w:rFonts w:hint="eastAsia" w:ascii="宋体" w:hAnsi="宋体" w:eastAsia="宋体" w:cs="宋体"/>
          <w:b/>
          <w:bCs/>
          <w:color w:val="auto"/>
          <w:szCs w:val="21"/>
          <w:highlight w:val="none"/>
          <w:lang w:val="en-US" w:eastAsia="zh-CN"/>
        </w:rPr>
        <w:t>。</w:t>
      </w:r>
    </w:p>
    <w:p w14:paraId="177C0EA4">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D4A5531">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w:t>
      </w:r>
    </w:p>
    <w:p w14:paraId="77B2E15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Cs w:val="24"/>
          <w:highlight w:val="none"/>
        </w:rPr>
        <w:t>资格审查情况、评审专家抽取规则、符合性审查情况、</w:t>
      </w:r>
      <w:bookmarkEnd w:id="23"/>
      <w:r>
        <w:rPr>
          <w:rFonts w:hint="eastAsia" w:ascii="宋体" w:hAnsi="宋体" w:cs="宋体"/>
          <w:color w:val="auto"/>
          <w:szCs w:val="24"/>
          <w:highlight w:val="none"/>
        </w:rPr>
        <w:t>未中标情况说明、中标公告期限以及评审专家名单、评分汇总及明细。</w:t>
      </w:r>
    </w:p>
    <w:p w14:paraId="247B8459">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1CF1CA">
      <w:pPr>
        <w:pStyle w:val="25"/>
        <w:spacing w:line="360" w:lineRule="auto"/>
        <w:ind w:left="48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74AE65">
      <w:pPr>
        <w:pStyle w:val="25"/>
        <w:spacing w:line="360" w:lineRule="auto"/>
        <w:ind w:left="487" w:hanging="479" w:hangingChars="199"/>
        <w:rPr>
          <w:rFonts w:cs="宋体"/>
          <w:b/>
          <w:color w:val="auto"/>
          <w:highlight w:val="none"/>
        </w:rPr>
      </w:pPr>
      <w:r>
        <w:rPr>
          <w:rFonts w:hint="eastAsia" w:cs="宋体"/>
          <w:b/>
          <w:color w:val="auto"/>
          <w:highlight w:val="none"/>
        </w:rPr>
        <w:t>25. 合同的签订</w:t>
      </w:r>
    </w:p>
    <w:p w14:paraId="5F5334A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021CEE4C">
      <w:pPr>
        <w:pStyle w:val="25"/>
        <w:spacing w:line="360" w:lineRule="auto"/>
        <w:ind w:left="487" w:hanging="479" w:hangingChars="199"/>
        <w:rPr>
          <w:rFonts w:cs="宋体"/>
          <w:b/>
          <w:color w:val="auto"/>
          <w:highlight w:val="none"/>
        </w:rPr>
      </w:pPr>
      <w:r>
        <w:rPr>
          <w:rFonts w:hint="eastAsia" w:cs="宋体"/>
          <w:b/>
          <w:color w:val="auto"/>
          <w:highlight w:val="none"/>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【保函保险服务】出具预付款保函，具体步骤：选择产品</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填写供应商信息</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选择中标项目</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确认信息</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等待保险/保函受理</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确认保单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支付保费</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成功出单。政采云金融专线400-903-9583。</w:t>
      </w:r>
    </w:p>
    <w:p w14:paraId="4ACA5A94">
      <w:pPr>
        <w:pStyle w:val="2"/>
        <w:rPr>
          <w:color w:val="auto"/>
          <w:highlight w:val="none"/>
        </w:rPr>
      </w:pPr>
    </w:p>
    <w:p w14:paraId="626C522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0986A2C">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371F882">
      <w:pPr>
        <w:pStyle w:val="25"/>
        <w:spacing w:line="360" w:lineRule="auto"/>
        <w:ind w:firstLine="0" w:firstLineChars="0"/>
        <w:rPr>
          <w:rFonts w:cs="宋体"/>
          <w:b/>
          <w:color w:val="auto"/>
          <w:highlight w:val="none"/>
        </w:rPr>
      </w:pPr>
      <w:r>
        <w:rPr>
          <w:rFonts w:hint="eastAsia" w:cs="宋体"/>
          <w:b/>
          <w:color w:val="auto"/>
          <w:highlight w:val="none"/>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B935C1">
      <w:pPr>
        <w:snapToGrid w:val="0"/>
        <w:spacing w:line="360" w:lineRule="auto"/>
        <w:ind w:left="120" w:leftChars="57" w:firstLine="482" w:firstLineChars="150"/>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十</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其他说明</w:t>
      </w:r>
    </w:p>
    <w:p w14:paraId="30C956F4">
      <w:pPr>
        <w:pStyle w:val="25"/>
        <w:spacing w:line="360" w:lineRule="auto"/>
        <w:ind w:firstLine="0" w:firstLineChars="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31.其他说明</w:t>
      </w:r>
    </w:p>
    <w:p w14:paraId="0C46B2AA">
      <w:pPr>
        <w:tabs>
          <w:tab w:val="left" w:pos="0"/>
        </w:tabs>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31.1</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eastAsia="zh-CN"/>
        </w:rPr>
        <w:t>中标人在合同签订前的资料核查过程中被发现存在提供虚假材料的，则取消其中标资格，</w:t>
      </w:r>
      <w:r>
        <w:rPr>
          <w:rFonts w:hint="eastAsia" w:ascii="宋体" w:hAnsi="宋体" w:eastAsia="宋体" w:cs="宋体"/>
          <w:color w:val="auto"/>
          <w:sz w:val="24"/>
          <w:szCs w:val="24"/>
          <w:highlight w:val="none"/>
          <w:lang w:val="en-US" w:eastAsia="zh-CN"/>
        </w:rPr>
        <w:t>不予替补，</w:t>
      </w:r>
      <w:r>
        <w:rPr>
          <w:rFonts w:hint="eastAsia" w:ascii="宋体" w:hAnsi="宋体" w:eastAsia="宋体" w:cs="宋体"/>
          <w:color w:val="auto"/>
          <w:sz w:val="24"/>
          <w:szCs w:val="24"/>
          <w:highlight w:val="none"/>
          <w:lang w:eastAsia="zh-CN"/>
        </w:rPr>
        <w:t>其应承担份额由其余中标人分担。</w:t>
      </w:r>
      <w:r>
        <w:rPr>
          <w:rFonts w:hint="eastAsia" w:ascii="宋体" w:hAnsi="宋体" w:cs="宋体"/>
          <w:color w:val="auto"/>
          <w:sz w:val="24"/>
          <w:szCs w:val="24"/>
          <w:highlight w:val="none"/>
          <w:lang w:val="en-US" w:eastAsia="zh-CN"/>
        </w:rPr>
        <w:t>同时记录在案，并报相关部门。</w:t>
      </w:r>
    </w:p>
    <w:p w14:paraId="29A6AE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kern w:val="0"/>
          <w:sz w:val="24"/>
          <w:highlight w:val="none"/>
          <w:lang w:val="en-US" w:eastAsia="zh-CN"/>
        </w:rPr>
        <w:t>若签订合同前确定的中标人数量少于</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家的，本项目重新组织招标。</w:t>
      </w:r>
    </w:p>
    <w:bookmarkEnd w:id="21"/>
    <w:p w14:paraId="72FE44BE">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057669"/>
      <w:bookmarkEnd w:id="24"/>
      <w:bookmarkStart w:id="25" w:name="_Hlt68073093"/>
      <w:bookmarkEnd w:id="25"/>
      <w:bookmarkStart w:id="26" w:name="_Hlt74730295"/>
      <w:bookmarkEnd w:id="26"/>
      <w:bookmarkStart w:id="27" w:name="_Hlt74714665"/>
      <w:bookmarkEnd w:id="27"/>
      <w:bookmarkStart w:id="28" w:name="_Hlt68072990"/>
      <w:bookmarkEnd w:id="28"/>
      <w:bookmarkStart w:id="29" w:name="_Hlt68072998"/>
      <w:bookmarkEnd w:id="29"/>
      <w:bookmarkStart w:id="30" w:name="_Hlt74729768"/>
      <w:bookmarkEnd w:id="30"/>
      <w:bookmarkStart w:id="31" w:name="_Hlt75236101"/>
      <w:bookmarkEnd w:id="31"/>
      <w:bookmarkStart w:id="32" w:name="_Hlt68403820"/>
      <w:bookmarkEnd w:id="32"/>
      <w:bookmarkStart w:id="33" w:name="_Hlt74707468"/>
      <w:bookmarkEnd w:id="33"/>
      <w:bookmarkStart w:id="34" w:name="_Hlt75236290"/>
      <w:bookmarkEnd w:id="34"/>
      <w:bookmarkStart w:id="35" w:name="_Hlt75236011"/>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rPr>
        <w:t>第三部分   采购需求</w:t>
      </w:r>
      <w:bookmarkEnd w:id="36"/>
    </w:p>
    <w:p w14:paraId="69FBB288">
      <w:pPr>
        <w:widowControl/>
        <w:adjustRightInd/>
        <w:spacing w:line="360" w:lineRule="auto"/>
        <w:jc w:val="left"/>
        <w:rPr>
          <w:rFonts w:hint="eastAsia" w:ascii="宋体" w:hAnsi="宋体" w:cs="宋体"/>
          <w:b/>
          <w:color w:val="auto"/>
          <w:kern w:val="0"/>
          <w:sz w:val="24"/>
          <w:highlight w:val="none"/>
        </w:rPr>
      </w:pPr>
      <w:bookmarkStart w:id="38" w:name="_Toc329697494"/>
      <w:bookmarkStart w:id="39" w:name="_Toc317685548"/>
      <w:r>
        <w:rPr>
          <w:rFonts w:hint="eastAsia" w:ascii="宋体" w:hAnsi="宋体" w:cs="宋体"/>
          <w:b/>
          <w:color w:val="auto"/>
          <w:kern w:val="0"/>
          <w:sz w:val="24"/>
          <w:highlight w:val="none"/>
        </w:rPr>
        <w:t>一、重要商务要求一览表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14:paraId="458D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59CADF2B">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bookmarkStart w:id="40" w:name="_Toc513103337"/>
            <w:r>
              <w:rPr>
                <w:rFonts w:hint="eastAsia" w:ascii="宋体" w:hAnsi="宋体" w:eastAsia="宋体" w:cs="宋体"/>
                <w:b/>
                <w:bCs/>
                <w:color w:val="auto"/>
                <w:sz w:val="24"/>
                <w:szCs w:val="24"/>
                <w:highlight w:val="none"/>
              </w:rPr>
              <w:t>项目</w:t>
            </w:r>
          </w:p>
        </w:tc>
        <w:tc>
          <w:tcPr>
            <w:tcW w:w="6989" w:type="dxa"/>
            <w:tcBorders>
              <w:top w:val="single" w:color="auto" w:sz="4" w:space="0"/>
              <w:left w:val="single" w:color="auto" w:sz="4" w:space="0"/>
              <w:bottom w:val="single" w:color="auto" w:sz="4" w:space="0"/>
              <w:right w:val="single" w:color="auto" w:sz="4" w:space="0"/>
            </w:tcBorders>
            <w:vAlign w:val="center"/>
          </w:tcPr>
          <w:p w14:paraId="707EE586">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2489C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6CAE545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▲1、合同履行期限</w:t>
            </w:r>
          </w:p>
        </w:tc>
        <w:tc>
          <w:tcPr>
            <w:tcW w:w="6989" w:type="dxa"/>
            <w:tcBorders>
              <w:top w:val="single" w:color="auto" w:sz="4" w:space="0"/>
              <w:left w:val="single" w:color="auto" w:sz="4" w:space="0"/>
              <w:bottom w:val="single" w:color="auto" w:sz="4" w:space="0"/>
              <w:right w:val="single" w:color="auto" w:sz="4" w:space="0"/>
            </w:tcBorders>
            <w:vAlign w:val="center"/>
          </w:tcPr>
          <w:p w14:paraId="5D6B94A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w:t>
            </w:r>
            <w:r>
              <w:rPr>
                <w:rFonts w:hint="eastAsia" w:ascii="宋体" w:hAnsi="宋体" w:eastAsia="宋体" w:cs="宋体"/>
                <w:bCs/>
                <w:color w:val="auto"/>
                <w:sz w:val="24"/>
                <w:szCs w:val="24"/>
                <w:highlight w:val="none"/>
              </w:rPr>
              <w:t>第一部分 招标公告</w:t>
            </w:r>
            <w:r>
              <w:rPr>
                <w:rFonts w:hint="eastAsia" w:ascii="宋体" w:hAnsi="宋体" w:eastAsia="宋体" w:cs="宋体"/>
                <w:color w:val="auto"/>
                <w:sz w:val="24"/>
                <w:szCs w:val="24"/>
                <w:highlight w:val="none"/>
                <w:lang w:eastAsia="zh-CN"/>
              </w:rPr>
              <w:t>。</w:t>
            </w:r>
          </w:p>
        </w:tc>
      </w:tr>
      <w:tr w14:paraId="6308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581F0F28">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tc>
        <w:tc>
          <w:tcPr>
            <w:tcW w:w="6989" w:type="dxa"/>
            <w:tcBorders>
              <w:top w:val="single" w:color="auto" w:sz="4" w:space="0"/>
              <w:left w:val="single" w:color="auto" w:sz="4" w:space="0"/>
              <w:bottom w:val="single" w:color="auto" w:sz="4" w:space="0"/>
              <w:right w:val="single" w:color="auto" w:sz="4" w:space="0"/>
            </w:tcBorders>
            <w:vAlign w:val="center"/>
          </w:tcPr>
          <w:p w14:paraId="472CAC03">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（1）货款每月一结，本月货款于次月初结算，结算时中标人须开具合法票据并提供汇总供货清单交采购人，采购人审核后付款。</w:t>
            </w:r>
          </w:p>
          <w:p w14:paraId="7B8C7269">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送货时必须提供三联的送货清单（清单内容包括供货日期、食品名称、规格、数量、生产批号、保质期、供货者名称、联系方式等），验收签字后一张留食堂记台账，一张作为结账凭据，每月结账一次。结账后中标人必须提供合法票据，否则采购人拒绝付款。</w:t>
            </w:r>
          </w:p>
          <w:p w14:paraId="6C603FC2">
            <w:pPr>
              <w:pStyle w:val="2"/>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w:t>
            </w:r>
            <w:r>
              <w:rPr>
                <w:rFonts w:hint="eastAsia" w:hAnsi="宋体" w:cs="宋体"/>
                <w:color w:val="auto"/>
                <w:sz w:val="24"/>
                <w:szCs w:val="24"/>
                <w:highlight w:val="none"/>
                <w:lang w:val="en-US" w:eastAsia="zh-CN"/>
              </w:rPr>
              <w:t>作为基准价</w:t>
            </w:r>
            <w:r>
              <w:rPr>
                <w:rFonts w:hint="eastAsia" w:ascii="宋体" w:hAnsi="宋体" w:eastAsia="宋体" w:cs="宋体"/>
                <w:color w:val="auto"/>
                <w:sz w:val="24"/>
                <w:szCs w:val="24"/>
                <w:highlight w:val="none"/>
                <w:lang w:val="en-US" w:eastAsia="zh-CN"/>
              </w:rPr>
              <w:t>，且该基准价不得高于当地当时的市场价</w:t>
            </w:r>
            <w:r>
              <w:rPr>
                <w:rFonts w:hint="eastAsia" w:hAnsi="宋体" w:cs="宋体"/>
                <w:color w:val="auto"/>
                <w:sz w:val="24"/>
                <w:szCs w:val="24"/>
                <w:highlight w:val="none"/>
                <w:lang w:val="en-US" w:eastAsia="zh-CN"/>
              </w:rPr>
              <w:t>（详见本部分五、货款结算及调价方式）</w:t>
            </w:r>
            <w:r>
              <w:rPr>
                <w:rFonts w:hint="eastAsia" w:ascii="宋体" w:hAnsi="宋体" w:eastAsia="宋体" w:cs="宋体"/>
                <w:color w:val="auto"/>
                <w:sz w:val="24"/>
                <w:szCs w:val="24"/>
                <w:highlight w:val="none"/>
                <w:lang w:val="en-US" w:eastAsia="zh-CN"/>
              </w:rPr>
              <w:t>。</w:t>
            </w:r>
          </w:p>
          <w:p w14:paraId="24D73878">
            <w:pPr>
              <w:pStyle w:val="2"/>
              <w:numPr>
                <w:ilvl w:val="0"/>
                <w:numId w:val="1"/>
              </w:numP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结算价格＝</w:t>
            </w:r>
            <w:r>
              <w:rPr>
                <w:rFonts w:hint="eastAsia" w:hAnsi="宋体" w:cs="宋体"/>
                <w:color w:val="auto"/>
                <w:sz w:val="24"/>
                <w:szCs w:val="24"/>
                <w:highlight w:val="none"/>
                <w:lang w:val="en-US" w:eastAsia="zh-CN"/>
              </w:rPr>
              <w:t>∑食品原材料</w:t>
            </w:r>
            <w:r>
              <w:rPr>
                <w:rFonts w:hint="eastAsia" w:ascii="宋体" w:hAnsi="宋体" w:eastAsia="宋体" w:cs="宋体"/>
                <w:color w:val="auto"/>
                <w:sz w:val="24"/>
                <w:szCs w:val="24"/>
                <w:highlight w:val="none"/>
                <w:lang w:val="en-US" w:eastAsia="zh-CN"/>
              </w:rPr>
              <w:t>基准价×</w:t>
            </w:r>
            <w:r>
              <w:rPr>
                <w:rFonts w:hint="eastAsia" w:hAnsi="宋体" w:cs="宋体"/>
                <w:color w:val="auto"/>
                <w:sz w:val="24"/>
                <w:szCs w:val="24"/>
                <w:highlight w:val="none"/>
                <w:lang w:val="en-US" w:eastAsia="zh-CN"/>
              </w:rPr>
              <w:t>对应类别</w:t>
            </w:r>
            <w:r>
              <w:rPr>
                <w:rFonts w:hint="eastAsia" w:ascii="宋体" w:hAnsi="宋体" w:eastAsia="宋体" w:cs="宋体"/>
                <w:color w:val="auto"/>
                <w:sz w:val="24"/>
                <w:szCs w:val="24"/>
                <w:highlight w:val="none"/>
                <w:lang w:val="en-US" w:eastAsia="zh-CN"/>
              </w:rPr>
              <w:t>中标折扣</w:t>
            </w:r>
            <w:r>
              <w:rPr>
                <w:rFonts w:hint="eastAsia" w:hAnsi="宋体" w:cs="宋体"/>
                <w:color w:val="auto"/>
                <w:sz w:val="24"/>
                <w:szCs w:val="24"/>
                <w:highlight w:val="none"/>
                <w:lang w:val="en-US" w:eastAsia="zh-CN"/>
              </w:rPr>
              <w:t>系数</w:t>
            </w:r>
          </w:p>
        </w:tc>
      </w:tr>
      <w:tr w14:paraId="3698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71ABEF7A">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w:t>
            </w:r>
          </w:p>
        </w:tc>
        <w:tc>
          <w:tcPr>
            <w:tcW w:w="6989" w:type="dxa"/>
            <w:tcBorders>
              <w:top w:val="single" w:color="auto" w:sz="4" w:space="0"/>
              <w:left w:val="single" w:color="auto" w:sz="4" w:space="0"/>
              <w:bottom w:val="single" w:color="auto" w:sz="4" w:space="0"/>
              <w:right w:val="single" w:color="auto" w:sz="4" w:space="0"/>
            </w:tcBorders>
            <w:vAlign w:val="center"/>
          </w:tcPr>
          <w:p w14:paraId="1BF5BD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2F36C2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（1）履约保证金金额：</w:t>
            </w:r>
            <w:r>
              <w:rPr>
                <w:rFonts w:hint="eastAsia" w:ascii="宋体" w:hAnsi="宋体" w:cs="宋体"/>
                <w:color w:val="auto"/>
                <w:sz w:val="24"/>
                <w:szCs w:val="24"/>
                <w:highlight w:val="none"/>
                <w:lang w:val="en-US" w:eastAsia="zh-CN"/>
              </w:rPr>
              <w:t>年度暂定合同金额的1%</w:t>
            </w:r>
            <w:r>
              <w:rPr>
                <w:rFonts w:hint="eastAsia" w:ascii="宋体" w:hAnsi="宋体" w:eastAsia="宋体" w:cs="宋体"/>
                <w:color w:val="auto"/>
                <w:sz w:val="24"/>
                <w:szCs w:val="24"/>
                <w:highlight w:val="none"/>
                <w:lang w:eastAsia="zh-CN"/>
              </w:rPr>
              <w:t>。</w:t>
            </w:r>
          </w:p>
          <w:p w14:paraId="33D70C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（2）履约保证金形式：银行汇票（电汇）、银行保函、保险</w:t>
            </w:r>
            <w:r>
              <w:rPr>
                <w:rFonts w:hint="eastAsia" w:ascii="宋体" w:hAnsi="宋体" w:eastAsia="宋体" w:cs="宋体"/>
                <w:color w:val="auto"/>
                <w:sz w:val="24"/>
                <w:szCs w:val="24"/>
                <w:highlight w:val="none"/>
                <w:lang w:val="en-US" w:eastAsia="zh-CN"/>
              </w:rPr>
              <w:t>保单</w:t>
            </w:r>
            <w:r>
              <w:rPr>
                <w:rFonts w:hint="eastAsia" w:ascii="宋体" w:hAnsi="宋体" w:eastAsia="宋体" w:cs="宋体"/>
                <w:color w:val="auto"/>
                <w:sz w:val="24"/>
                <w:szCs w:val="24"/>
                <w:highlight w:val="none"/>
                <w:lang w:eastAsia="zh-CN"/>
              </w:rPr>
              <w:t>或支票（仅限于使用宁波大市区范围内的银行开具的支票）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20CC6A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完成合同履约后无息退还（但如</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未能履行合同规定的任何义务，采购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有权从履约保证金中得到补偿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履约保证经扣罚后一周内，中标人需补足</w:t>
            </w:r>
            <w:r>
              <w:rPr>
                <w:rFonts w:hint="eastAsia" w:ascii="宋体" w:hAnsi="宋体" w:eastAsia="宋体" w:cs="宋体"/>
                <w:color w:val="auto"/>
                <w:sz w:val="24"/>
                <w:szCs w:val="24"/>
                <w:highlight w:val="none"/>
                <w:lang w:eastAsia="zh-CN"/>
              </w:rPr>
              <w:t>）。</w:t>
            </w:r>
          </w:p>
        </w:tc>
      </w:tr>
      <w:tr w14:paraId="08DE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359C0B95">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989" w:type="dxa"/>
            <w:tcBorders>
              <w:top w:val="single" w:color="auto" w:sz="4" w:space="0"/>
              <w:left w:val="single" w:color="auto" w:sz="4" w:space="0"/>
              <w:bottom w:val="single" w:color="auto" w:sz="4" w:space="0"/>
              <w:right w:val="single" w:color="auto" w:sz="4" w:space="0"/>
            </w:tcBorders>
            <w:vAlign w:val="center"/>
          </w:tcPr>
          <w:p w14:paraId="5BACBF03">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在合同有效期内，不得无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bookmarkEnd w:id="38"/>
      <w:bookmarkEnd w:id="39"/>
      <w:bookmarkEnd w:id="40"/>
    </w:tbl>
    <w:p w14:paraId="6F82E46C">
      <w:pPr>
        <w:adjustRightInd/>
        <w:spacing w:line="360" w:lineRule="auto"/>
        <w:rPr>
          <w:rFonts w:hint="eastAsia" w:ascii="宋体" w:hAnsi="宋体" w:eastAsia="宋体" w:cs="宋体"/>
          <w:b/>
          <w:color w:val="auto"/>
          <w:sz w:val="24"/>
          <w:highlight w:val="none"/>
          <w:lang w:val="en-US" w:eastAsia="zh-CN"/>
        </w:rPr>
      </w:pPr>
      <w:bookmarkStart w:id="41" w:name="_Toc17869"/>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采购</w:t>
      </w:r>
      <w:r>
        <w:rPr>
          <w:rFonts w:hint="eastAsia" w:ascii="宋体" w:hAnsi="宋体" w:eastAsia="宋体" w:cs="宋体"/>
          <w:b/>
          <w:color w:val="auto"/>
          <w:sz w:val="24"/>
          <w:highlight w:val="none"/>
          <w:lang w:val="en-US" w:eastAsia="zh-CN"/>
        </w:rPr>
        <w:t>内容：</w:t>
      </w:r>
    </w:p>
    <w:p w14:paraId="3C49A816">
      <w:pPr>
        <w:adjustRightInd/>
        <w:spacing w:line="360" w:lineRule="auto"/>
        <w:ind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鲜肉。质量要求：排肉是指无骨腿肉和无骨夹心肉，其中腿肉要求剔除大股骨，夹心肉要求割除下懒肉，整方供应。并提供《动物或动物产品分销信息凭证》或《动物检疫合格证》和《肉品品质检验合格证》。</w:t>
      </w:r>
    </w:p>
    <w:p w14:paraId="36A392F9">
      <w:pPr>
        <w:adjustRightInd/>
        <w:spacing w:line="360" w:lineRule="auto"/>
        <w:ind w:firstLine="48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鲜蔬类（土豆、西红柿、青椒、青菜、大白菜、包菜、茭白、芋艿、豆芽等）。质量要求：所提供的蔬菜必须保证新鲜、不腐烂变质，能提供蔬菜农药残留检测报告、产地合格证明，且符合《农产品质量安全法》要求，经过初步处理，没有腐叶和泥土。</w:t>
      </w:r>
    </w:p>
    <w:p w14:paraId="70719600">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水果类。质量要求：</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经营品种齐全，所提供的水果必须保证质量合格。</w:t>
      </w:r>
      <w:r>
        <w:rPr>
          <w:rFonts w:hint="eastAsia" w:ascii="宋体" w:hAnsi="宋体" w:eastAsia="宋体" w:cs="Times New Roman"/>
          <w:bCs/>
          <w:color w:val="auto"/>
          <w:sz w:val="24"/>
          <w:szCs w:val="24"/>
          <w:highlight w:val="none"/>
          <w:lang w:val="en-US" w:eastAsia="zh-CN"/>
        </w:rPr>
        <w:t>外观颜色鲜艳有光泽，外形端正，细腻光滑的为好。避免有挤压、磕碰的痕迹。</w:t>
      </w:r>
    </w:p>
    <w:p w14:paraId="18F56150">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eastAsia="zh-CN"/>
        </w:rPr>
        <w:t>.</w:t>
      </w:r>
      <w:r>
        <w:rPr>
          <w:rFonts w:hint="eastAsia" w:ascii="宋体" w:hAnsi="宋体" w:cs="Times New Roman"/>
          <w:bCs/>
          <w:color w:val="auto"/>
          <w:sz w:val="24"/>
          <w:szCs w:val="24"/>
          <w:highlight w:val="none"/>
          <w:lang w:val="en-US" w:eastAsia="zh-CN"/>
        </w:rPr>
        <w:t>海鲜类。</w:t>
      </w:r>
      <w:r>
        <w:rPr>
          <w:rFonts w:hint="eastAsia" w:ascii="宋体" w:hAnsi="宋体" w:eastAsia="宋体" w:cs="宋体"/>
          <w:color w:val="auto"/>
          <w:sz w:val="24"/>
          <w:szCs w:val="24"/>
          <w:highlight w:val="none"/>
        </w:rPr>
        <w:t>质量要求：</w:t>
      </w:r>
      <w:r>
        <w:rPr>
          <w:rFonts w:hint="eastAsia" w:ascii="宋体" w:hAnsi="宋体" w:eastAsia="宋体" w:cs="Times New Roman"/>
          <w:bCs/>
          <w:color w:val="auto"/>
          <w:sz w:val="24"/>
          <w:szCs w:val="24"/>
          <w:highlight w:val="none"/>
        </w:rPr>
        <w:t>符合水产品定性检测要求。</w:t>
      </w:r>
      <w:r>
        <w:rPr>
          <w:rFonts w:hint="eastAsia" w:ascii="宋体" w:hAnsi="宋体" w:eastAsia="宋体" w:cs="Times New Roman"/>
          <w:bCs/>
          <w:color w:val="auto"/>
          <w:sz w:val="24"/>
          <w:szCs w:val="24"/>
          <w:highlight w:val="none"/>
          <w:lang w:val="en-US" w:eastAsia="zh-CN"/>
        </w:rPr>
        <w:t>淡水水产要求鲜活；海鲜：非禁渔期内要求鲜活或冰鲜，禁渔期内可为冰冻。</w:t>
      </w:r>
    </w:p>
    <w:p w14:paraId="4FFA709A">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5</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以上所有</w:t>
      </w:r>
      <w:r>
        <w:rPr>
          <w:rFonts w:hint="eastAsia" w:ascii="宋体" w:hAnsi="宋体" w:cs="Times New Roman"/>
          <w:bCs/>
          <w:color w:val="auto"/>
          <w:sz w:val="24"/>
          <w:szCs w:val="24"/>
          <w:highlight w:val="none"/>
          <w:lang w:eastAsia="zh-CN"/>
        </w:rPr>
        <w:t>采购</w:t>
      </w:r>
      <w:r>
        <w:rPr>
          <w:rFonts w:hint="eastAsia" w:ascii="宋体" w:hAnsi="宋体" w:eastAsia="宋体" w:cs="Times New Roman"/>
          <w:bCs/>
          <w:color w:val="auto"/>
          <w:sz w:val="24"/>
          <w:szCs w:val="24"/>
          <w:highlight w:val="none"/>
        </w:rPr>
        <w:t>原材料均须符合《中华人民共和国食品安全法》及属地相关法律法规要求。</w:t>
      </w:r>
    </w:p>
    <w:p w14:paraId="57F9498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三、采购项目质量要求：</w:t>
      </w:r>
    </w:p>
    <w:p w14:paraId="4C7ED750">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供应商所提供的货物必须符合国家有关食品卫生、安全质量等方面的要求。所提供的货物数量、质量，必须经</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验收，验收合格后才能进入食堂。如验收达不到招标文件要求，则应立刻退回，由此造成的一切损失由供应商承担。若供应商不听劝告，一再坚持错误继续供货，采购人有权拒付货款，并有权终止与供应商的采购合同，由此造成的卫生、安全质量后果，全部由供应商承担。</w:t>
      </w:r>
    </w:p>
    <w:p w14:paraId="0036D968">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供应商提供的各类原料、货物食品必须符合卫生防疫部门检测标准，优质足量，根据</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通知要求按规定时间送到</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食堂并提供相应辅助服务，提供蔬果类食品农药残留检测报告，由于货物质量问题或超过送货时间造成事故的</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有权退货并追究责任，如不能提供规定品牌或要求的货物须提前向</w:t>
      </w:r>
      <w:r>
        <w:rPr>
          <w:rFonts w:hint="eastAsia" w:ascii="宋体" w:hAnsi="宋体" w:eastAsia="宋体" w:cs="Times New Roman"/>
          <w:bCs/>
          <w:color w:val="auto"/>
          <w:sz w:val="24"/>
          <w:szCs w:val="24"/>
          <w:highlight w:val="none"/>
          <w:lang w:val="en-US" w:eastAsia="zh-CN"/>
        </w:rPr>
        <w:t>采购人</w:t>
      </w:r>
      <w:r>
        <w:rPr>
          <w:rFonts w:hint="eastAsia" w:ascii="宋体" w:hAnsi="宋体" w:cs="Times New Roman"/>
          <w:bCs/>
          <w:color w:val="auto"/>
          <w:sz w:val="24"/>
          <w:szCs w:val="24"/>
          <w:highlight w:val="none"/>
          <w:lang w:val="en-US" w:eastAsia="zh-CN"/>
        </w:rPr>
        <w:t>汇报</w:t>
      </w:r>
      <w:r>
        <w:rPr>
          <w:rFonts w:hint="eastAsia" w:ascii="宋体" w:hAnsi="宋体" w:eastAsia="宋体" w:cs="Times New Roman"/>
          <w:bCs/>
          <w:color w:val="auto"/>
          <w:sz w:val="24"/>
          <w:szCs w:val="24"/>
          <w:highlight w:val="none"/>
        </w:rPr>
        <w:t>，经</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确认后，无质量问题方可提供。食品原料48小时留样备查。</w:t>
      </w:r>
    </w:p>
    <w:p w14:paraId="0EB0480F">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供货服务</w:t>
      </w:r>
      <w:r>
        <w:rPr>
          <w:rFonts w:hint="eastAsia" w:ascii="宋体" w:hAnsi="宋体" w:cs="Times New Roman"/>
          <w:bCs/>
          <w:color w:val="auto"/>
          <w:sz w:val="24"/>
          <w:szCs w:val="24"/>
          <w:highlight w:val="none"/>
          <w:lang w:val="en-US" w:eastAsia="zh-CN"/>
        </w:rPr>
        <w:t>应</w:t>
      </w:r>
      <w:r>
        <w:rPr>
          <w:rFonts w:hint="eastAsia" w:ascii="宋体" w:hAnsi="宋体" w:eastAsia="宋体" w:cs="Times New Roman"/>
          <w:bCs/>
          <w:color w:val="auto"/>
          <w:sz w:val="24"/>
          <w:szCs w:val="24"/>
          <w:highlight w:val="none"/>
        </w:rPr>
        <w:t>提供有关</w:t>
      </w:r>
      <w:r>
        <w:rPr>
          <w:rFonts w:hint="eastAsia" w:ascii="宋体" w:hAnsi="宋体" w:cs="Times New Roman"/>
          <w:bCs/>
          <w:color w:val="auto"/>
          <w:sz w:val="24"/>
          <w:szCs w:val="24"/>
          <w:highlight w:val="none"/>
          <w:lang w:val="en-US" w:eastAsia="zh-CN"/>
        </w:rPr>
        <w:t>质量保障</w:t>
      </w:r>
      <w:r>
        <w:rPr>
          <w:rFonts w:hint="eastAsia" w:ascii="宋体" w:hAnsi="宋体" w:eastAsia="宋体" w:cs="Times New Roman"/>
          <w:bCs/>
          <w:color w:val="auto"/>
          <w:sz w:val="24"/>
          <w:szCs w:val="24"/>
          <w:highlight w:val="none"/>
        </w:rPr>
        <w:t>资料</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如货物来源证明（生产地、厂家销售授权证书）、物资储备条件、运输车辆、职工人数等。</w:t>
      </w:r>
    </w:p>
    <w:p w14:paraId="3DB8526F">
      <w:pPr>
        <w:adjustRightInd/>
        <w:spacing w:line="360" w:lineRule="auto"/>
        <w:ind w:firstLine="448" w:firstLineChars="187"/>
        <w:rPr>
          <w:rFonts w:hint="eastAsia"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4</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供应商在签订</w:t>
      </w:r>
      <w:r>
        <w:rPr>
          <w:rFonts w:hint="eastAsia" w:ascii="宋体" w:hAnsi="宋体" w:cs="宋体"/>
          <w:color w:val="auto"/>
          <w:sz w:val="24"/>
          <w:szCs w:val="24"/>
          <w:highlight w:val="none"/>
          <w:lang w:val="en-US" w:eastAsia="zh-CN"/>
        </w:rPr>
        <w:t>采购</w:t>
      </w:r>
      <w:r>
        <w:rPr>
          <w:rFonts w:hint="eastAsia" w:ascii="宋体" w:hAnsi="宋体" w:eastAsia="宋体" w:cs="Times New Roman"/>
          <w:bCs/>
          <w:color w:val="auto"/>
          <w:sz w:val="24"/>
          <w:szCs w:val="24"/>
          <w:highlight w:val="none"/>
        </w:rPr>
        <w:t>协议前须提供有效的“食品安全责任险”保单复印件供采购人备案。</w:t>
      </w:r>
    </w:p>
    <w:p w14:paraId="3FA87A51">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四、承包方式</w:t>
      </w:r>
    </w:p>
    <w:p w14:paraId="25D598B0">
      <w:pPr>
        <w:adjustRightInd/>
        <w:spacing w:line="360" w:lineRule="auto"/>
        <w:ind w:firstLine="448" w:firstLineChars="187"/>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包工包料、送货到</w:t>
      </w:r>
      <w:r>
        <w:rPr>
          <w:rFonts w:hint="eastAsia" w:ascii="宋体" w:hAnsi="宋体" w:eastAsia="宋体" w:cs="Times New Roman"/>
          <w:bCs/>
          <w:color w:val="auto"/>
          <w:sz w:val="24"/>
          <w:szCs w:val="24"/>
          <w:highlight w:val="none"/>
          <w:lang w:val="en-US" w:eastAsia="zh-CN"/>
        </w:rPr>
        <w:t>采购人</w:t>
      </w:r>
      <w:r>
        <w:rPr>
          <w:rFonts w:hint="eastAsia" w:ascii="宋体" w:hAnsi="宋体" w:cs="Times New Roman"/>
          <w:bCs/>
          <w:color w:val="auto"/>
          <w:sz w:val="24"/>
          <w:szCs w:val="24"/>
          <w:highlight w:val="none"/>
          <w:lang w:val="en-US" w:eastAsia="zh-CN"/>
        </w:rPr>
        <w:t>指定地点</w:t>
      </w:r>
      <w:r>
        <w:rPr>
          <w:rFonts w:hint="eastAsia" w:ascii="宋体" w:hAnsi="宋体" w:eastAsia="宋体" w:cs="Times New Roman"/>
          <w:bCs/>
          <w:color w:val="auto"/>
          <w:sz w:val="24"/>
          <w:szCs w:val="24"/>
          <w:highlight w:val="none"/>
        </w:rPr>
        <w:t>。中标后未经采购人书面同意不得转包。</w:t>
      </w:r>
    </w:p>
    <w:p w14:paraId="2E949ED0">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五、货款结算及调价方式：</w:t>
      </w:r>
    </w:p>
    <w:p w14:paraId="7AE84FA4">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产品价格的约定：</w:t>
      </w:r>
    </w:p>
    <w:p w14:paraId="62ABB86C">
      <w:pPr>
        <w:tabs>
          <w:tab w:val="left" w:pos="0"/>
        </w:tabs>
        <w:spacing w:line="360" w:lineRule="auto"/>
        <w:ind w:leftChars="100"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指导价格：</w:t>
      </w:r>
    </w:p>
    <w:p w14:paraId="43873C1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本次招标配送项目中所包含的食品原材料价格每周确定一次，该周内的市场价格不论涨跌均按所确定的价格结算。</w:t>
      </w:r>
    </w:p>
    <w:p w14:paraId="479CE9FE">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1.2市场零售价</w:t>
      </w:r>
      <w:r>
        <w:rPr>
          <w:rFonts w:hint="eastAsia" w:ascii="宋体" w:hAnsi="宋体" w:eastAsia="宋体" w:cs="Times New Roman"/>
          <w:bCs/>
          <w:color w:val="auto"/>
          <w:sz w:val="24"/>
          <w:szCs w:val="24"/>
          <w:highlight w:val="none"/>
          <w:lang w:val="en-US" w:eastAsia="zh-CN"/>
        </w:rPr>
        <w:t>确定方法：以宁海跃龙、兴海、邻里等综合市场的平均零售价为准，如上述市场没有此种商品的，则调查范围扩大为大市范围内。禁止配送无市场实际零售商品或专供产品。</w:t>
      </w:r>
    </w:p>
    <w:p w14:paraId="1D4F161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每周四下午</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时前向配送企业报送下周的定货清单，配送企业在每周一（每批次）确定本周（本批次）定货清单中的食品原料的建议零售价目表，同时在货物送达</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的清单上注明各食品原料的建议零售价。</w:t>
      </w:r>
    </w:p>
    <w:p w14:paraId="5E091EC3">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如遇法定节假日，当周配送天数少于3天（含3天）的，按最近一周的结算价进行结算。</w:t>
      </w:r>
    </w:p>
    <w:p w14:paraId="4B0D3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val="en-US" w:eastAsia="zh-CN"/>
        </w:rPr>
        <w:t>结算价格＝∑食品原材料基准价×对应类别中标折扣系数</w:t>
      </w:r>
      <w:r>
        <w:rPr>
          <w:rFonts w:hint="eastAsia" w:ascii="宋体" w:hAnsi="宋体" w:eastAsia="宋体" w:cs="Times New Roman"/>
          <w:bCs/>
          <w:color w:val="auto"/>
          <w:sz w:val="24"/>
          <w:szCs w:val="24"/>
          <w:highlight w:val="none"/>
        </w:rPr>
        <w:t>（四舍五入，保留小数点后一位）。</w:t>
      </w:r>
    </w:p>
    <w:p w14:paraId="75D658F0">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货款结算方式：</w:t>
      </w:r>
    </w:p>
    <w:p w14:paraId="5E80D7DF">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2.1货款结算方式：货款每月一结，需提供正式销售发票结算。</w:t>
      </w:r>
    </w:p>
    <w:p w14:paraId="150A9720">
      <w:pPr>
        <w:adjustRightInd/>
        <w:spacing w:line="360" w:lineRule="auto"/>
        <w:ind w:firstLine="448" w:firstLineChars="187"/>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3.采购人对市场价格进行了解监督（每月不少于一次），若供应商恶意虚报价格，按惩处条款执行。</w:t>
      </w:r>
    </w:p>
    <w:p w14:paraId="58EA82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六、履约保证：</w:t>
      </w:r>
    </w:p>
    <w:p w14:paraId="0DEDF4B8">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若中标人不签订合同或签订合同后未能履行合同的，或中标后有转让合同的，</w:t>
      </w:r>
      <w:r>
        <w:rPr>
          <w:rFonts w:hint="eastAsia" w:ascii="宋体" w:hAnsi="宋体" w:eastAsia="宋体" w:cs="Times New Roman"/>
          <w:bCs/>
          <w:color w:val="auto"/>
          <w:sz w:val="24"/>
          <w:szCs w:val="24"/>
          <w:highlight w:val="none"/>
          <w:lang w:eastAsia="zh-CN"/>
        </w:rPr>
        <w:t>扣除</w:t>
      </w:r>
      <w:r>
        <w:rPr>
          <w:rFonts w:hint="eastAsia" w:ascii="宋体" w:hAnsi="宋体" w:cs="Times New Roman"/>
          <w:bCs/>
          <w:color w:val="auto"/>
          <w:sz w:val="24"/>
          <w:szCs w:val="24"/>
          <w:highlight w:val="none"/>
          <w:lang w:val="en-US" w:eastAsia="zh-CN"/>
        </w:rPr>
        <w:t>全部</w:t>
      </w:r>
      <w:r>
        <w:rPr>
          <w:rFonts w:hint="eastAsia" w:ascii="宋体" w:hAnsi="宋体" w:eastAsia="宋体" w:cs="Times New Roman"/>
          <w:bCs/>
          <w:color w:val="auto"/>
          <w:sz w:val="24"/>
          <w:szCs w:val="24"/>
          <w:highlight w:val="none"/>
        </w:rPr>
        <w:t>履约保证金。</w:t>
      </w:r>
    </w:p>
    <w:p w14:paraId="0443583E">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中标人应严格遵守《中华人民共和国食品安全法》和《中华人民共和国动物防疫法》等相关规定，一经发现供应以下食品，除全部退货外，将取消</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rPr>
        <w:t>的供货资格，</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全部履约保证金，供应商并承担由此造成的经济责任和法律责任：</w:t>
      </w:r>
    </w:p>
    <w:p w14:paraId="3049FBC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腐败变质、油脂酸败、霉变、生虫、污秽不洁、混有异物或者其他感官性状异常，对人体健康有害的；</w:t>
      </w:r>
    </w:p>
    <w:p w14:paraId="45C2C1B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含有毒、有害物质或者被有害物质污染，对人体健康有害的；</w:t>
      </w:r>
    </w:p>
    <w:p w14:paraId="1CB0FD62">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含有致病性寄生虫、微生物或者微生物含量超过国家限定标准的；</w:t>
      </w:r>
    </w:p>
    <w:p w14:paraId="55E1F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未经动物检疫部门检疫、检验或者检疫、检验不合格的肉类及其制品；</w:t>
      </w:r>
    </w:p>
    <w:p w14:paraId="491C263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病死、毒死或者死因不明的动物等及其制品；</w:t>
      </w:r>
    </w:p>
    <w:p w14:paraId="07CCB6B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掺假、掺杂、伪造</w:t>
      </w:r>
      <w:r>
        <w:rPr>
          <w:rFonts w:hint="eastAsia" w:ascii="宋体" w:hAnsi="宋体" w:cs="Times New Roman"/>
          <w:bCs/>
          <w:color w:val="auto"/>
          <w:sz w:val="24"/>
          <w:szCs w:val="24"/>
          <w:highlight w:val="none"/>
          <w:lang w:val="en-US" w:eastAsia="zh-CN"/>
        </w:rPr>
        <w:t>以及</w:t>
      </w:r>
      <w:r>
        <w:rPr>
          <w:rFonts w:hint="eastAsia" w:ascii="宋体" w:hAnsi="宋体" w:eastAsia="宋体" w:cs="Times New Roman"/>
          <w:bCs/>
          <w:color w:val="auto"/>
          <w:sz w:val="24"/>
          <w:szCs w:val="24"/>
          <w:highlight w:val="none"/>
        </w:rPr>
        <w:t>影响营养、卫生的；</w:t>
      </w:r>
    </w:p>
    <w:p w14:paraId="2FC93DB5">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用非食品原料加工的，加入非食品用化学物质或者将非食品当作食品的；</w:t>
      </w:r>
    </w:p>
    <w:p w14:paraId="50938582">
      <w:pPr>
        <w:tabs>
          <w:tab w:val="left" w:pos="0"/>
        </w:tabs>
        <w:spacing w:line="360" w:lineRule="auto"/>
        <w:ind w:leftChars="100" w:firstLine="480"/>
        <w:rPr>
          <w:rFonts w:hint="eastAsia" w:ascii="宋体" w:hAnsi="宋体" w:cs="Times New Roman"/>
          <w:bCs/>
          <w:color w:val="auto"/>
          <w:sz w:val="24"/>
          <w:szCs w:val="24"/>
          <w:highlight w:val="none"/>
          <w:lang w:eastAsia="zh-CN"/>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超过保质期限的</w:t>
      </w:r>
      <w:r>
        <w:rPr>
          <w:rFonts w:hint="eastAsia" w:ascii="宋体" w:hAnsi="宋体" w:cs="Times New Roman"/>
          <w:bCs/>
          <w:color w:val="auto"/>
          <w:sz w:val="24"/>
          <w:szCs w:val="24"/>
          <w:highlight w:val="none"/>
          <w:lang w:eastAsia="zh-CN"/>
        </w:rPr>
        <w:t>；</w:t>
      </w:r>
    </w:p>
    <w:p w14:paraId="1ACBA42D">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2.9四季豆、鲜黄花菜、亚硝酸盐、野生蘑菇、生乳、裱花蛋糕等高风险食品或食品原料。</w:t>
      </w:r>
    </w:p>
    <w:p w14:paraId="58B99971">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采购人与供应商在投标及履行合同过程中，必须遵守《中华人民共和国反不正当竞争法》、《中华人民共和国消费者权益保护法》、《中华人民共和国</w:t>
      </w:r>
      <w:r>
        <w:rPr>
          <w:rFonts w:hint="eastAsia" w:ascii="宋体" w:hAnsi="宋体" w:eastAsia="宋体" w:cs="Times New Roman"/>
          <w:bCs/>
          <w:color w:val="auto"/>
          <w:sz w:val="24"/>
          <w:szCs w:val="24"/>
          <w:highlight w:val="none"/>
          <w:lang w:eastAsia="zh-CN"/>
        </w:rPr>
        <w:t>民法典</w:t>
      </w:r>
      <w:r>
        <w:rPr>
          <w:rFonts w:hint="eastAsia" w:ascii="宋体" w:hAnsi="宋体" w:eastAsia="宋体" w:cs="Times New Roman"/>
          <w:bCs/>
          <w:color w:val="auto"/>
          <w:sz w:val="24"/>
          <w:szCs w:val="24"/>
          <w:highlight w:val="none"/>
        </w:rPr>
        <w:t>》及相关的国家法律、法规，如有违法行为，按法律法规相关规定予以处罚。</w:t>
      </w:r>
    </w:p>
    <w:p w14:paraId="6B3B3DF6">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供应商应承诺，愿意随时无条件接受宁海县有关监督部门对定点供货产品质量，价格等的抽查和检查。如违反承诺自愿接受处罚；情节严重的，将由采购人</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履约保证金并取消定点供应商资格。</w:t>
      </w:r>
    </w:p>
    <w:p w14:paraId="4D28C7CD">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在合同履行过程中，如中标人可以提供更优的服务解决方案，则以中标人的方案为准。</w:t>
      </w:r>
    </w:p>
    <w:p w14:paraId="003B0109">
      <w:pPr>
        <w:adjustRightInd/>
        <w:spacing w:line="360" w:lineRule="auto"/>
        <w:ind w:firstLine="393" w:firstLineChars="164"/>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中标人要有立足于为</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服务的良好思想，对食品生产经营管理有总体设想和</w:t>
      </w:r>
      <w:r>
        <w:rPr>
          <w:rFonts w:hint="eastAsia" w:ascii="宋体" w:hAnsi="宋体" w:eastAsia="宋体" w:cs="Times New Roman"/>
          <w:bCs/>
          <w:color w:val="auto"/>
          <w:sz w:val="24"/>
          <w:szCs w:val="24"/>
          <w:highlight w:val="none"/>
          <w:lang w:val="en-US" w:eastAsia="zh-CN"/>
        </w:rPr>
        <w:t>具体</w:t>
      </w:r>
      <w:r>
        <w:rPr>
          <w:rFonts w:hint="eastAsia" w:ascii="宋体" w:hAnsi="宋体" w:eastAsia="宋体" w:cs="Times New Roman"/>
          <w:bCs/>
          <w:color w:val="auto"/>
          <w:sz w:val="24"/>
          <w:szCs w:val="24"/>
          <w:highlight w:val="none"/>
        </w:rPr>
        <w:t>措施，有健全的规章制度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如：人事管理工作、安全防患、卫生保障、文明服务、食品来源安全追溯等制度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w:t>
      </w:r>
    </w:p>
    <w:p w14:paraId="3036B1BF">
      <w:pPr>
        <w:widowControl/>
        <w:adjustRightInd w:val="0"/>
        <w:snapToGrid w:val="0"/>
        <w:spacing w:line="360" w:lineRule="auto"/>
        <w:ind w:firstLine="480" w:firstLineChars="200"/>
        <w:jc w:val="left"/>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中标人必须建立并严格执行各项食品安全管理制度，如食品卫生安全承诺、食品准入质量查验、食品进货检查验收、食品准入</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登记、从业人员健康管理、消费投诉处理以及不合格食品下柜、召回、销毁等，参与食品配送的工作人员必须持健康证上岗。</w:t>
      </w:r>
    </w:p>
    <w:p w14:paraId="10999487">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中标人必须按规定索取所经销食品的生产企业（或</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）的营业执照、食品经营许可证、食品质量安全有效检验报告、食品包装上所明示的各类荣誉证书等其他有效证明，索证率达100%，建立食品来源安全追溯制度。</w:t>
      </w:r>
    </w:p>
    <w:p w14:paraId="324C02D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rPr>
        <w:t>乳制品企业应实施食品生产许可（SC</w:t>
      </w:r>
      <w:r>
        <w:rPr>
          <w:rFonts w:hint="eastAsia" w:ascii="宋体" w:hAnsi="宋体" w:eastAsia="宋体" w:cs="Times New Roman"/>
          <w:bCs/>
          <w:color w:val="auto"/>
          <w:sz w:val="24"/>
          <w:szCs w:val="24"/>
          <w:highlight w:val="none"/>
          <w:lang w:val="en-US" w:eastAsia="zh-CN"/>
        </w:rPr>
        <w:t>标志）</w:t>
      </w:r>
      <w:r>
        <w:rPr>
          <w:rFonts w:hint="eastAsia" w:ascii="宋体" w:hAnsi="宋体" w:eastAsia="宋体" w:cs="Times New Roman"/>
          <w:bCs/>
          <w:color w:val="auto"/>
          <w:sz w:val="24"/>
          <w:szCs w:val="24"/>
          <w:highlight w:val="none"/>
        </w:rPr>
        <w:t>和通过食品安全管理体系（HACCP管理体系）认证以及学生奶奶源升级计划的要求。按照《乳制品良好生产规范GB 12693-2023》、《灭菌乳GB25190</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2010》、《调制乳GB25191-2010》等国家标准和农业部的NY/T939</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2016《巴氏杀菌乳和UHT灭菌乳中复原乳的鉴定》农业行业标准组织生产。经乳品加工专家组对技术文件、生产设备、质量管理、卫生管理和人员素质等项测评，取得合格资格。</w:t>
      </w:r>
    </w:p>
    <w:p w14:paraId="5805A51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rPr>
        <w:t>中标人必须保证配送的食品从正规渠道采购，具有工商、质监及卫生部门认可的检验合格</w:t>
      </w:r>
      <w:r>
        <w:rPr>
          <w:rFonts w:hint="eastAsia" w:ascii="宋体" w:hAnsi="宋体" w:cs="Times New Roman"/>
          <w:bCs/>
          <w:color w:val="auto"/>
          <w:sz w:val="24"/>
          <w:szCs w:val="24"/>
          <w:highlight w:val="none"/>
          <w:lang w:val="en-US" w:eastAsia="zh-CN"/>
        </w:rPr>
        <w:t>证明文件</w:t>
      </w:r>
      <w:r>
        <w:rPr>
          <w:rFonts w:hint="eastAsia" w:ascii="宋体" w:hAnsi="宋体" w:eastAsia="宋体" w:cs="Times New Roman"/>
          <w:bCs/>
          <w:color w:val="auto"/>
          <w:sz w:val="24"/>
          <w:szCs w:val="24"/>
          <w:highlight w:val="none"/>
        </w:rPr>
        <w:t>或检测报告；所供肉类必须经农业</w:t>
      </w:r>
      <w:r>
        <w:rPr>
          <w:rFonts w:hint="eastAsia" w:ascii="宋体" w:hAnsi="宋体" w:cs="Times New Roman"/>
          <w:bCs/>
          <w:color w:val="auto"/>
          <w:sz w:val="24"/>
          <w:szCs w:val="24"/>
          <w:highlight w:val="none"/>
          <w:lang w:val="en-US" w:eastAsia="zh-CN"/>
        </w:rPr>
        <w:t>农村</w:t>
      </w:r>
      <w:r>
        <w:rPr>
          <w:rFonts w:hint="eastAsia" w:ascii="宋体" w:hAnsi="宋体" w:eastAsia="宋体" w:cs="Times New Roman"/>
          <w:bCs/>
          <w:color w:val="auto"/>
          <w:sz w:val="24"/>
          <w:szCs w:val="24"/>
          <w:highlight w:val="none"/>
        </w:rPr>
        <w:t>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严禁销售区域特供牛奶及其奶制品。</w:t>
      </w:r>
    </w:p>
    <w:p w14:paraId="2A21B770">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中标人必须按</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下达的配送数量，及时保质、保量完成配送任务，并附本次食品安全检测报告及配送单据（使用单据格式、内容由采购人统一指定，一式三联，验收签字后一张留食堂记</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，一张作为月底</w:t>
      </w:r>
      <w:r>
        <w:rPr>
          <w:rFonts w:hint="eastAsia" w:ascii="宋体" w:hAnsi="宋体" w:eastAsia="宋体" w:cs="Times New Roman"/>
          <w:bCs/>
          <w:color w:val="auto"/>
          <w:sz w:val="24"/>
          <w:szCs w:val="24"/>
          <w:highlight w:val="none"/>
          <w:lang w:eastAsia="zh-CN"/>
        </w:rPr>
        <w:t>结账</w:t>
      </w:r>
      <w:r>
        <w:rPr>
          <w:rFonts w:hint="eastAsia" w:ascii="宋体" w:hAnsi="宋体" w:eastAsia="宋体" w:cs="Times New Roman"/>
          <w:bCs/>
          <w:color w:val="auto"/>
          <w:sz w:val="24"/>
          <w:szCs w:val="24"/>
          <w:highlight w:val="none"/>
        </w:rPr>
        <w:t>凭据），不无故推诿或缓送，确保</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食堂正常运行。</w:t>
      </w:r>
    </w:p>
    <w:p w14:paraId="3B9D9E54">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中标人要加强自律、诚实守信、依法经营，并自觉接受各有关职能部门的监督检查。</w:t>
      </w:r>
    </w:p>
    <w:p w14:paraId="40DD3B0E">
      <w:pPr>
        <w:widowControl/>
        <w:adjustRightInd w:val="0"/>
        <w:snapToGrid w:val="0"/>
        <w:spacing w:line="360" w:lineRule="auto"/>
        <w:ind w:firstLine="530" w:firstLineChars="221"/>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凡有下列情况之一的，采购人可无条件取消</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rPr>
        <w:t>配送资格：</w:t>
      </w:r>
    </w:p>
    <w:p w14:paraId="6FD64C6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13.1</w:t>
      </w:r>
      <w:r>
        <w:rPr>
          <w:rFonts w:hint="eastAsia" w:ascii="宋体" w:hAnsi="宋体" w:eastAsia="宋体" w:cs="Times New Roman"/>
          <w:bCs/>
          <w:color w:val="auto"/>
          <w:sz w:val="24"/>
          <w:szCs w:val="24"/>
          <w:highlight w:val="none"/>
        </w:rPr>
        <w:t xml:space="preserve">因配送食品质量问题引发食品安全事故； </w:t>
      </w:r>
    </w:p>
    <w:p w14:paraId="7F56D55F">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13.2</w:t>
      </w:r>
      <w:r>
        <w:rPr>
          <w:rFonts w:hint="eastAsia" w:ascii="宋体" w:hAnsi="宋体" w:eastAsia="宋体" w:cs="Times New Roman"/>
          <w:bCs/>
          <w:color w:val="auto"/>
          <w:sz w:val="24"/>
          <w:szCs w:val="24"/>
          <w:highlight w:val="none"/>
        </w:rPr>
        <w:t>配送单位存在严重安全隐患整改不到位；</w:t>
      </w:r>
    </w:p>
    <w:p w14:paraId="68D0D39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13.3</w:t>
      </w:r>
      <w:r>
        <w:rPr>
          <w:rFonts w:hint="default" w:ascii="宋体" w:hAnsi="宋体" w:eastAsia="宋体" w:cs="Times New Roman"/>
          <w:bCs/>
          <w:color w:val="auto"/>
          <w:sz w:val="24"/>
          <w:szCs w:val="24"/>
          <w:highlight w:val="none"/>
        </w:rPr>
        <w:t>在同一年度内</w:t>
      </w:r>
      <w:r>
        <w:rPr>
          <w:rFonts w:hint="eastAsia" w:ascii="宋体" w:hAnsi="宋体" w:eastAsia="宋体" w:cs="Times New Roman"/>
          <w:bCs/>
          <w:color w:val="auto"/>
          <w:sz w:val="24"/>
          <w:szCs w:val="24"/>
          <w:highlight w:val="none"/>
        </w:rPr>
        <w:t>因配送单位配送假冒伪劣食品行为两次以上的；</w:t>
      </w:r>
    </w:p>
    <w:p w14:paraId="79C447B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13.4</w:t>
      </w:r>
      <w:r>
        <w:rPr>
          <w:rFonts w:hint="eastAsia" w:ascii="宋体" w:hAnsi="宋体" w:eastAsia="宋体" w:cs="Times New Roman"/>
          <w:bCs/>
          <w:color w:val="auto"/>
          <w:sz w:val="24"/>
          <w:szCs w:val="24"/>
          <w:highlight w:val="none"/>
        </w:rPr>
        <w:t>因存在不廉洁行为等造成不良社会影响的。</w:t>
      </w:r>
    </w:p>
    <w:p w14:paraId="1AAFBA8B">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七、惩处</w:t>
      </w:r>
    </w:p>
    <w:p w14:paraId="20824FD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1.项目品控：</w:t>
      </w:r>
    </w:p>
    <w:p w14:paraId="64F8E0C0">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1.1质量控制：供应商每周提供的配送商品质量需符合招标文件、《中华人民共和国食品安全法》及属地相关法律法规要求。如果在三年内的抽查中发现配送商品质量不合格的，经</w:t>
      </w:r>
      <w:r>
        <w:rPr>
          <w:rFonts w:hint="eastAsia" w:ascii="宋体" w:hAnsi="宋体" w:cs="Times New Roman"/>
          <w:bCs/>
          <w:color w:val="auto"/>
          <w:sz w:val="24"/>
          <w:szCs w:val="24"/>
          <w:highlight w:val="none"/>
          <w:lang w:val="en-US" w:eastAsia="zh-CN"/>
        </w:rPr>
        <w:t>宁海县社会综合福利院</w:t>
      </w:r>
      <w:r>
        <w:rPr>
          <w:rFonts w:hint="eastAsia" w:ascii="宋体" w:hAnsi="宋体" w:eastAsia="宋体" w:cs="Times New Roman"/>
          <w:bCs/>
          <w:color w:val="auto"/>
          <w:sz w:val="24"/>
          <w:szCs w:val="24"/>
          <w:highlight w:val="none"/>
          <w:lang w:val="en-US" w:eastAsia="zh-CN"/>
        </w:rPr>
        <w:t>核实，第一次扣履约保证金5000元，第二次扣履约保证金8000元，第三次扣完所有履约保证金并解除</w:t>
      </w:r>
      <w:r>
        <w:rPr>
          <w:rFonts w:hint="eastAsia" w:ascii="宋体" w:hAnsi="宋体" w:cs="Times New Roman"/>
          <w:bCs/>
          <w:color w:val="auto"/>
          <w:sz w:val="24"/>
          <w:szCs w:val="24"/>
          <w:highlight w:val="none"/>
          <w:lang w:val="en-US" w:eastAsia="zh-CN"/>
        </w:rPr>
        <w:t>采购</w:t>
      </w:r>
      <w:r>
        <w:rPr>
          <w:rFonts w:hint="eastAsia" w:ascii="宋体" w:hAnsi="宋体" w:eastAsia="宋体" w:cs="Times New Roman"/>
          <w:bCs/>
          <w:color w:val="auto"/>
          <w:sz w:val="24"/>
          <w:szCs w:val="24"/>
          <w:highlight w:val="none"/>
          <w:lang w:val="en-US" w:eastAsia="zh-CN"/>
        </w:rPr>
        <w:t>合同。</w:t>
      </w:r>
    </w:p>
    <w:p w14:paraId="06AA115D">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1.2价格控制：供应商每周提供的配送商品报价不得高于当时当地物价部门提供的同一等级产品市场零售价格，且不得高于其他任何非政府采购实际购供价格。如果在抽查中发现商品报价超出当日市场采价平均价的，每一种商品发现一次扣履约保证金2000元，有二种的扣履约保证金4000元，以此类推。</w:t>
      </w:r>
      <w:r>
        <w:rPr>
          <w:rFonts w:hint="eastAsia" w:ascii="宋体" w:hAnsi="宋体" w:cs="Times New Roman"/>
          <w:bCs/>
          <w:color w:val="auto"/>
          <w:sz w:val="24"/>
          <w:szCs w:val="24"/>
          <w:highlight w:val="none"/>
          <w:lang w:val="en-US" w:eastAsia="zh-CN"/>
        </w:rPr>
        <w:t>同时</w:t>
      </w:r>
      <w:r>
        <w:rPr>
          <w:rFonts w:hint="eastAsia" w:ascii="宋体" w:hAnsi="宋体" w:eastAsia="宋体" w:cs="Times New Roman"/>
          <w:bCs/>
          <w:color w:val="auto"/>
          <w:sz w:val="24"/>
          <w:szCs w:val="24"/>
          <w:highlight w:val="none"/>
          <w:lang w:val="en-US" w:eastAsia="zh-CN"/>
        </w:rPr>
        <w:t>以市场采价平均价重新结算，经查未重新结算的，按超出部分3倍处罚。</w:t>
      </w:r>
    </w:p>
    <w:p w14:paraId="39F9BC24">
      <w:pPr>
        <w:tabs>
          <w:tab w:val="left" w:pos="0"/>
        </w:tabs>
        <w:spacing w:line="360" w:lineRule="auto"/>
        <w:ind w:leftChars="100" w:firstLine="48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1.3服务控制：供应商提供的配送服务未达到</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配送要求的</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一经查实，第一次扣履约保证金3000元，第二次扣履约保证金6000元，以此类推。</w:t>
      </w:r>
    </w:p>
    <w:p w14:paraId="2199B1C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2.供应商每周提供的配送商品报价需严格执行合同</w:t>
      </w:r>
      <w:r>
        <w:rPr>
          <w:rFonts w:hint="eastAsia" w:ascii="宋体" w:hAnsi="宋体" w:cs="Times New Roman"/>
          <w:bCs/>
          <w:color w:val="auto"/>
          <w:sz w:val="24"/>
          <w:szCs w:val="24"/>
          <w:highlight w:val="none"/>
          <w:lang w:val="en-US" w:eastAsia="zh-CN"/>
        </w:rPr>
        <w:t>折扣系数</w:t>
      </w:r>
      <w:r>
        <w:rPr>
          <w:rFonts w:hint="eastAsia" w:ascii="宋体" w:hAnsi="宋体" w:eastAsia="宋体" w:cs="Times New Roman"/>
          <w:bCs/>
          <w:color w:val="auto"/>
          <w:sz w:val="24"/>
          <w:szCs w:val="24"/>
          <w:highlight w:val="none"/>
          <w:lang w:val="en-US" w:eastAsia="zh-CN"/>
        </w:rPr>
        <w:t>，经查未执行的，第一次扣履约保证金</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val="en-US" w:eastAsia="zh-CN"/>
        </w:rPr>
        <w:t>000元，第二次抽查发现有以上现象的扣履约保证金</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val="en-US" w:eastAsia="zh-CN"/>
        </w:rPr>
        <w:t>0000元，第三次抽查发现解除</w:t>
      </w:r>
      <w:r>
        <w:rPr>
          <w:rFonts w:hint="eastAsia" w:ascii="宋体" w:hAnsi="宋体" w:cs="Times New Roman"/>
          <w:bCs/>
          <w:color w:val="auto"/>
          <w:sz w:val="24"/>
          <w:szCs w:val="24"/>
          <w:highlight w:val="none"/>
          <w:lang w:val="en-US" w:eastAsia="zh-CN"/>
        </w:rPr>
        <w:t>采购</w:t>
      </w:r>
      <w:r>
        <w:rPr>
          <w:rFonts w:hint="eastAsia" w:ascii="宋体" w:hAnsi="宋体" w:eastAsia="宋体" w:cs="Times New Roman"/>
          <w:bCs/>
          <w:color w:val="auto"/>
          <w:sz w:val="24"/>
          <w:szCs w:val="24"/>
          <w:highlight w:val="none"/>
          <w:lang w:val="en-US" w:eastAsia="zh-CN"/>
        </w:rPr>
        <w:t>合同。</w:t>
      </w:r>
    </w:p>
    <w:p w14:paraId="26EC09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.宁海县相关监督部门对</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lang w:val="en-US" w:eastAsia="zh-CN"/>
        </w:rPr>
        <w:t>进行定期或不定期抽查，提高对所供食品的监督检验频率，发现定点供应商有不良行为或违反招标文件和投标文件中的服务承诺规定的，情节严重，一经查实，第一次扣除50%的履约保证金，第二次扣除所有的履约保证金，取消</w:t>
      </w:r>
      <w:r>
        <w:rPr>
          <w:rFonts w:hint="eastAsia" w:ascii="宋体" w:hAnsi="宋体" w:cs="Times New Roman"/>
          <w:bCs/>
          <w:color w:val="auto"/>
          <w:sz w:val="24"/>
          <w:szCs w:val="24"/>
          <w:highlight w:val="none"/>
          <w:lang w:val="en-US" w:eastAsia="zh-CN"/>
        </w:rPr>
        <w:t>供货</w:t>
      </w:r>
      <w:r>
        <w:rPr>
          <w:rFonts w:hint="eastAsia" w:ascii="宋体" w:hAnsi="宋体" w:eastAsia="宋体" w:cs="Times New Roman"/>
          <w:bCs/>
          <w:color w:val="auto"/>
          <w:sz w:val="24"/>
          <w:szCs w:val="24"/>
          <w:highlight w:val="none"/>
          <w:lang w:val="en-US" w:eastAsia="zh-CN"/>
        </w:rPr>
        <w:t>资格。</w:t>
      </w:r>
    </w:p>
    <w:p w14:paraId="7F05B904">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八、其他要求</w:t>
      </w:r>
    </w:p>
    <w:p w14:paraId="74D67D1F">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1.损失风险：服务中的一切风险由中标人承担。</w:t>
      </w:r>
    </w:p>
    <w:p w14:paraId="534650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.中标人应在保证服务质量和服务期限的前提下提供服务。</w:t>
      </w:r>
    </w:p>
    <w:p w14:paraId="34A0F0A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.中标人应保证在</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需要的时间内供货到指定地点。</w:t>
      </w:r>
    </w:p>
    <w:p w14:paraId="57BC931A">
      <w:pPr>
        <w:widowControl/>
        <w:snapToGrid w:val="0"/>
        <w:spacing w:line="360" w:lineRule="auto"/>
        <w:ind w:firstLine="530" w:firstLineChars="221"/>
        <w:jc w:val="left"/>
        <w:rPr>
          <w:rFonts w:hint="default" w:ascii="宋体" w:hAnsi="宋体"/>
          <w:bCs/>
          <w:color w:val="auto"/>
          <w:sz w:val="24"/>
          <w:highlight w:val="none"/>
          <w:lang w:val="en-US" w:eastAsia="zh-CN"/>
        </w:rPr>
      </w:pPr>
      <w:r>
        <w:rPr>
          <w:rFonts w:hint="eastAsia" w:ascii="宋体" w:hAnsi="宋体" w:cs="Times New Roman"/>
          <w:bCs/>
          <w:color w:val="auto"/>
          <w:sz w:val="24"/>
          <w:szCs w:val="24"/>
          <w:highlight w:val="none"/>
          <w:lang w:val="en-US" w:eastAsia="zh-CN"/>
        </w:rPr>
        <w:t>▲4.供应商须承诺所有配送车辆在项目实施前安装完成定位系统。</w:t>
      </w:r>
    </w:p>
    <w:p w14:paraId="21C47CA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九、验收</w:t>
      </w:r>
    </w:p>
    <w:p w14:paraId="10EF9969">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1.验收单位：由</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负责验收。</w:t>
      </w:r>
    </w:p>
    <w:p w14:paraId="515A7F7E">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2.验收标准：按照国家及行业相关标准及招标文件规定验收，如验收达不到规定要求，采购人可退货，对采购人造成一定的影响，中标供应商承担一切责任，并赔偿所造成的损失。</w:t>
      </w:r>
    </w:p>
    <w:p w14:paraId="30725D6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3.验收解决：采购人对服务质量提出异议要求检验或检测的，结果为合格的，费用由采购人承担，结果为不合格或达不到本条标准的，其费用由中标人承担。</w:t>
      </w:r>
    </w:p>
    <w:p w14:paraId="7EBA366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十、不可抗力</w:t>
      </w:r>
    </w:p>
    <w:p w14:paraId="73550295">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1.如一旦有构成不可抗力的事件发生，且签约被认为无力履行全部或部分合同中规定的职责，中标人需以书面形式通知采购人并告知有关细节。</w:t>
      </w:r>
    </w:p>
    <w:p w14:paraId="6B44109B">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2.本条款中的不可抗力应解释为自然灾害、战争（无论是否公开宣战）、入侵、暴动、叛乱、国家政策，或其它具有相似性质的事件。</w:t>
      </w:r>
    </w:p>
    <w:p w14:paraId="6CCBF4D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十一、投诉</w:t>
      </w:r>
    </w:p>
    <w:p w14:paraId="2C286D4D">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为了维护双方的权益，保证合同顺利执行，本合同建立投诉监管制。</w:t>
      </w:r>
    </w:p>
    <w:p w14:paraId="54A95413">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具体方式为：</w:t>
      </w:r>
    </w:p>
    <w:p w14:paraId="6DECDB5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采购人可就中标人提供货物的质量、价格、服务等问题向宁海县采购办、监察委、市场监督管理局、食品安全办公室、商务局及法定检验机构投诉，以上部门将对采购人的投诉进行核查，如情况属实，经有关部门批准后，第一次扣除50%的履约保证金，五日内补足扣除款项；第二次扣除所有的履约保证金，并取消</w:t>
      </w:r>
      <w:r>
        <w:rPr>
          <w:rFonts w:hint="eastAsia" w:ascii="宋体" w:hAnsi="宋体" w:cs="Times New Roman"/>
          <w:bCs/>
          <w:color w:val="auto"/>
          <w:sz w:val="24"/>
          <w:szCs w:val="24"/>
          <w:highlight w:val="none"/>
          <w:lang w:val="en-US" w:eastAsia="zh-CN"/>
        </w:rPr>
        <w:t>供货</w:t>
      </w:r>
      <w:r>
        <w:rPr>
          <w:rFonts w:hint="eastAsia" w:ascii="宋体" w:hAnsi="宋体" w:eastAsia="宋体" w:cs="Times New Roman"/>
          <w:bCs/>
          <w:color w:val="auto"/>
          <w:sz w:val="24"/>
          <w:szCs w:val="24"/>
          <w:highlight w:val="none"/>
          <w:lang w:val="en-US" w:eastAsia="zh-CN"/>
        </w:rPr>
        <w:t>资格。</w:t>
      </w:r>
    </w:p>
    <w:p w14:paraId="3FFABDD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2.中标人可就采购人的违反合同规定或违纪事项，向相关部门对采购人的投诉进行调查处理。</w:t>
      </w:r>
    </w:p>
    <w:p w14:paraId="49303F8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十二、转让</w:t>
      </w:r>
    </w:p>
    <w:p w14:paraId="391D26B9">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中标人不得将合同的任何部分或中标人的任何权利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利益或责任转让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委派</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许诺</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安排给其他人，除非有采购人书面同意并报宁海县政府采购管理办公室审核备案。</w:t>
      </w:r>
    </w:p>
    <w:p w14:paraId="69624D3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十三、考核</w:t>
      </w:r>
    </w:p>
    <w:p w14:paraId="0B4A2F57">
      <w:pPr>
        <w:adjustRightInd/>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采购人不定期将对供应商进行监督，结合相关职能部门监督结果，对供应商进行综合评定，</w:t>
      </w:r>
      <w:r>
        <w:rPr>
          <w:rFonts w:hint="eastAsia" w:ascii="宋体" w:hAnsi="宋体" w:cs="Times New Roman"/>
          <w:bCs/>
          <w:color w:val="auto"/>
          <w:sz w:val="24"/>
          <w:szCs w:val="24"/>
          <w:highlight w:val="none"/>
          <w:lang w:val="en-US" w:eastAsia="zh-CN"/>
        </w:rPr>
        <w:t>年度内</w:t>
      </w:r>
      <w:r>
        <w:rPr>
          <w:rFonts w:hint="eastAsia" w:ascii="宋体" w:hAnsi="宋体" w:eastAsia="宋体" w:cs="Times New Roman"/>
          <w:bCs/>
          <w:color w:val="auto"/>
          <w:sz w:val="24"/>
          <w:szCs w:val="24"/>
          <w:highlight w:val="none"/>
        </w:rPr>
        <w:t>评定结果为差的进行处罚，第一次扣履约保证金</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000元，第二次扣履约保证金</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0000元，第三次取消</w:t>
      </w:r>
      <w:r>
        <w:rPr>
          <w:rFonts w:hint="eastAsia" w:ascii="宋体" w:hAnsi="宋体" w:cs="Times New Roman"/>
          <w:bCs/>
          <w:color w:val="auto"/>
          <w:sz w:val="24"/>
          <w:szCs w:val="24"/>
          <w:highlight w:val="none"/>
          <w:lang w:eastAsia="zh-CN"/>
        </w:rPr>
        <w:t>采购</w:t>
      </w:r>
      <w:r>
        <w:rPr>
          <w:rFonts w:hint="eastAsia" w:ascii="宋体" w:hAnsi="宋体" w:eastAsia="宋体" w:cs="Times New Roman"/>
          <w:bCs/>
          <w:color w:val="auto"/>
          <w:sz w:val="24"/>
          <w:szCs w:val="24"/>
          <w:highlight w:val="none"/>
        </w:rPr>
        <w:t>协议。</w:t>
      </w:r>
    </w:p>
    <w:p w14:paraId="734F1D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十四、相关要求</w:t>
      </w:r>
    </w:p>
    <w:p w14:paraId="26A21264">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供应商应具有</w:t>
      </w:r>
      <w:r>
        <w:rPr>
          <w:rFonts w:hint="eastAsia" w:ascii="宋体" w:hAnsi="宋体" w:cs="Times New Roman"/>
          <w:bCs/>
          <w:color w:val="auto"/>
          <w:sz w:val="24"/>
          <w:szCs w:val="24"/>
          <w:highlight w:val="none"/>
          <w:lang w:val="en-US" w:eastAsia="zh-CN"/>
        </w:rPr>
        <w:t>综合服务</w:t>
      </w:r>
      <w:r>
        <w:rPr>
          <w:rFonts w:hint="default" w:ascii="宋体" w:hAnsi="宋体" w:eastAsia="宋体" w:cs="Times New Roman"/>
          <w:bCs/>
          <w:color w:val="auto"/>
          <w:sz w:val="24"/>
          <w:szCs w:val="24"/>
          <w:highlight w:val="none"/>
          <w:lang w:val="en-US" w:eastAsia="zh-CN"/>
        </w:rPr>
        <w:t>能力</w:t>
      </w:r>
      <w:r>
        <w:rPr>
          <w:rFonts w:hint="eastAsia" w:ascii="宋体" w:hAnsi="宋体" w:eastAsia="宋体" w:cs="Times New Roman"/>
          <w:bCs/>
          <w:color w:val="auto"/>
          <w:sz w:val="24"/>
          <w:szCs w:val="24"/>
          <w:highlight w:val="none"/>
          <w:lang w:val="en-US" w:eastAsia="zh-CN"/>
        </w:rPr>
        <w:t>：</w:t>
      </w:r>
      <w:r>
        <w:rPr>
          <w:rFonts w:hint="eastAsia" w:ascii="宋体" w:hAnsi="宋体" w:cs="Times New Roman"/>
          <w:bCs/>
          <w:color w:val="auto"/>
          <w:sz w:val="24"/>
          <w:szCs w:val="24"/>
          <w:highlight w:val="none"/>
          <w:lang w:val="en-US" w:eastAsia="zh-CN"/>
        </w:rPr>
        <w:t>投标文件中提供</w:t>
      </w:r>
      <w:r>
        <w:rPr>
          <w:rFonts w:hint="eastAsia" w:ascii="宋体" w:hAnsi="宋体" w:eastAsia="宋体" w:cs="Times New Roman"/>
          <w:bCs/>
          <w:color w:val="auto"/>
          <w:sz w:val="24"/>
          <w:szCs w:val="24"/>
          <w:highlight w:val="none"/>
          <w:lang w:val="en-US" w:eastAsia="zh-CN"/>
        </w:rPr>
        <w:t>配送处理车间、</w:t>
      </w:r>
      <w:r>
        <w:rPr>
          <w:rFonts w:hint="eastAsia" w:ascii="宋体" w:hAnsi="宋体" w:cs="Times New Roman"/>
          <w:bCs/>
          <w:color w:val="auto"/>
          <w:sz w:val="24"/>
          <w:szCs w:val="24"/>
          <w:highlight w:val="none"/>
          <w:lang w:val="en-US" w:eastAsia="zh-CN"/>
        </w:rPr>
        <w:t>与福利院规模相适应的</w:t>
      </w:r>
      <w:r>
        <w:rPr>
          <w:rFonts w:hint="eastAsia" w:ascii="宋体" w:hAnsi="宋体" w:eastAsia="宋体" w:cs="Times New Roman"/>
          <w:bCs/>
          <w:color w:val="auto"/>
          <w:sz w:val="24"/>
          <w:szCs w:val="24"/>
          <w:highlight w:val="none"/>
          <w:lang w:val="en-US" w:eastAsia="zh-CN"/>
        </w:rPr>
        <w:t>冷库（冷藏、保鲜）、副食品库、</w:t>
      </w:r>
      <w:r>
        <w:rPr>
          <w:rFonts w:hint="default" w:ascii="宋体" w:hAnsi="宋体" w:eastAsia="宋体" w:cs="Times New Roman"/>
          <w:bCs/>
          <w:color w:val="auto"/>
          <w:sz w:val="24"/>
          <w:szCs w:val="24"/>
          <w:highlight w:val="none"/>
          <w:lang w:val="en-US" w:eastAsia="zh-CN"/>
        </w:rPr>
        <w:t>本项目配送中心的地址</w:t>
      </w:r>
      <w:r>
        <w:rPr>
          <w:rFonts w:hint="eastAsia" w:ascii="宋体" w:hAnsi="宋体" w:eastAsia="宋体" w:cs="Times New Roman"/>
          <w:bCs/>
          <w:color w:val="auto"/>
          <w:sz w:val="24"/>
          <w:szCs w:val="24"/>
          <w:highlight w:val="none"/>
          <w:lang w:val="en-US" w:eastAsia="zh-CN"/>
        </w:rPr>
        <w:t>，服务响应速度及措施</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为本项目服务配置的车辆、其他配送能力情况等相关资料。</w:t>
      </w:r>
    </w:p>
    <w:p w14:paraId="691ECB5B">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应具有</w:t>
      </w:r>
      <w:r>
        <w:rPr>
          <w:rFonts w:hint="default" w:ascii="宋体" w:hAnsi="宋体" w:eastAsia="宋体" w:cs="Times New Roman"/>
          <w:bCs/>
          <w:color w:val="auto"/>
          <w:sz w:val="24"/>
          <w:szCs w:val="24"/>
          <w:highlight w:val="none"/>
          <w:lang w:val="en-US" w:eastAsia="zh-CN"/>
        </w:rPr>
        <w:t>质量实际控制能力</w:t>
      </w:r>
      <w:r>
        <w:rPr>
          <w:rFonts w:hint="eastAsia" w:ascii="宋体" w:hAnsi="宋体" w:eastAsia="宋体" w:cs="Times New Roman"/>
          <w:bCs/>
          <w:color w:val="auto"/>
          <w:sz w:val="24"/>
          <w:szCs w:val="24"/>
          <w:highlight w:val="none"/>
          <w:lang w:val="en-US" w:eastAsia="zh-CN"/>
        </w:rPr>
        <w:t>：质检室建设、质检设备、质检结果、质检人员等的相关资料；浙食链数据；其他质量控制措施。</w:t>
      </w:r>
    </w:p>
    <w:p w14:paraId="31EEC6E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w:t>
      </w:r>
      <w:r>
        <w:rPr>
          <w:rFonts w:hint="eastAsia" w:ascii="宋体" w:hAnsi="宋体" w:eastAsia="宋体" w:cs="Times New Roman"/>
          <w:bCs/>
          <w:color w:val="auto"/>
          <w:sz w:val="24"/>
          <w:szCs w:val="24"/>
          <w:highlight w:val="none"/>
          <w:lang w:val="en-US" w:eastAsia="zh-CN"/>
        </w:rPr>
        <w:t>提供</w:t>
      </w:r>
      <w:r>
        <w:rPr>
          <w:rFonts w:hint="default" w:ascii="宋体" w:hAnsi="宋体" w:eastAsia="宋体" w:cs="Times New Roman"/>
          <w:bCs/>
          <w:color w:val="auto"/>
          <w:sz w:val="24"/>
          <w:szCs w:val="24"/>
          <w:highlight w:val="none"/>
          <w:lang w:val="en-US" w:eastAsia="zh-CN"/>
        </w:rPr>
        <w:t>本项目人员配备及人员管理方案</w:t>
      </w:r>
      <w:r>
        <w:rPr>
          <w:rFonts w:hint="eastAsia" w:ascii="宋体" w:hAnsi="宋体" w:eastAsia="宋体" w:cs="Times New Roman"/>
          <w:bCs/>
          <w:color w:val="auto"/>
          <w:sz w:val="24"/>
          <w:szCs w:val="24"/>
          <w:highlight w:val="none"/>
          <w:lang w:val="en-US" w:eastAsia="zh-CN"/>
        </w:rPr>
        <w:t>。</w:t>
      </w:r>
    </w:p>
    <w:p w14:paraId="47AE189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供应商应提供食品安全保险单</w:t>
      </w:r>
      <w:r>
        <w:rPr>
          <w:rFonts w:hint="eastAsia" w:ascii="宋体" w:hAnsi="宋体" w:eastAsia="宋体" w:cs="Times New Roman"/>
          <w:bCs/>
          <w:color w:val="auto"/>
          <w:sz w:val="24"/>
          <w:szCs w:val="24"/>
          <w:highlight w:val="none"/>
          <w:lang w:val="en-US" w:eastAsia="zh-CN"/>
        </w:rPr>
        <w:t>、食品送达时间保证方案、食品数量保证方案</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质量问题处罚及改进措施</w:t>
      </w:r>
      <w:r>
        <w:rPr>
          <w:rFonts w:hint="eastAsia" w:ascii="宋体" w:hAnsi="宋体" w:cs="Times New Roman"/>
          <w:bCs/>
          <w:color w:val="auto"/>
          <w:sz w:val="24"/>
          <w:szCs w:val="24"/>
          <w:highlight w:val="none"/>
          <w:lang w:val="en-US" w:eastAsia="zh-CN"/>
        </w:rPr>
        <w:t>、针对服务内容的服务保障方案</w:t>
      </w:r>
      <w:r>
        <w:rPr>
          <w:rFonts w:hint="eastAsia" w:ascii="宋体" w:hAnsi="宋体" w:eastAsia="宋体" w:cs="Times New Roman"/>
          <w:bCs/>
          <w:color w:val="auto"/>
          <w:sz w:val="24"/>
          <w:szCs w:val="24"/>
          <w:highlight w:val="none"/>
          <w:lang w:val="en-US" w:eastAsia="zh-CN"/>
        </w:rPr>
        <w:t>。</w:t>
      </w:r>
    </w:p>
    <w:p w14:paraId="65DFBED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5.</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w:t>
      </w:r>
      <w:r>
        <w:rPr>
          <w:rFonts w:hint="default" w:ascii="宋体" w:hAnsi="宋体" w:eastAsia="宋体" w:cs="Times New Roman"/>
          <w:bCs/>
          <w:color w:val="auto"/>
          <w:sz w:val="24"/>
          <w:szCs w:val="24"/>
          <w:highlight w:val="none"/>
          <w:lang w:val="en-US" w:eastAsia="zh-CN"/>
        </w:rPr>
        <w:t>为本项目提供健全的规章制度</w:t>
      </w:r>
      <w:r>
        <w:rPr>
          <w:rFonts w:hint="eastAsia" w:ascii="宋体" w:hAnsi="宋体" w:cs="Times New Roman"/>
          <w:bCs/>
          <w:color w:val="auto"/>
          <w:sz w:val="24"/>
          <w:szCs w:val="24"/>
          <w:highlight w:val="none"/>
          <w:lang w:val="en-US" w:eastAsia="zh-CN"/>
        </w:rPr>
        <w:t>，制定应急保障措施</w:t>
      </w:r>
      <w:r>
        <w:rPr>
          <w:rFonts w:hint="eastAsia" w:ascii="宋体" w:hAnsi="宋体" w:eastAsia="宋体" w:cs="Times New Roman"/>
          <w:bCs/>
          <w:color w:val="auto"/>
          <w:sz w:val="24"/>
          <w:szCs w:val="24"/>
          <w:highlight w:val="none"/>
          <w:lang w:val="en-US" w:eastAsia="zh-CN"/>
        </w:rPr>
        <w:t>。</w:t>
      </w:r>
    </w:p>
    <w:p w14:paraId="5BFA4D3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6.供应商应对本项目服务地点进行熟悉并提出</w:t>
      </w:r>
      <w:r>
        <w:rPr>
          <w:rFonts w:hint="default" w:ascii="宋体" w:hAnsi="宋体" w:eastAsia="宋体" w:cs="Times New Roman"/>
          <w:bCs/>
          <w:color w:val="auto"/>
          <w:sz w:val="24"/>
          <w:szCs w:val="24"/>
          <w:highlight w:val="none"/>
          <w:lang w:val="en-US" w:eastAsia="zh-CN"/>
        </w:rPr>
        <w:t>优化配送方案</w:t>
      </w:r>
      <w:r>
        <w:rPr>
          <w:rFonts w:hint="eastAsia" w:ascii="宋体" w:hAnsi="宋体" w:eastAsia="宋体" w:cs="Times New Roman"/>
          <w:bCs/>
          <w:color w:val="auto"/>
          <w:sz w:val="24"/>
          <w:szCs w:val="24"/>
          <w:highlight w:val="none"/>
          <w:lang w:val="en-US" w:eastAsia="zh-CN"/>
        </w:rPr>
        <w:t>。</w:t>
      </w:r>
    </w:p>
    <w:bookmarkEnd w:id="41"/>
    <w:p w14:paraId="72142491">
      <w:pPr>
        <w:rPr>
          <w:rFonts w:hint="eastAsia" w:ascii="宋体" w:hAnsi="宋体"/>
          <w:bCs/>
          <w:color w:val="auto"/>
          <w:szCs w:val="21"/>
          <w:highlight w:val="none"/>
        </w:rPr>
        <w:sectPr>
          <w:footerReference r:id="rId8" w:type="default"/>
          <w:pgSz w:w="11907" w:h="16840"/>
          <w:pgMar w:top="1474" w:right="1814" w:bottom="1474" w:left="1814" w:header="851" w:footer="851" w:gutter="0"/>
          <w:cols w:space="720" w:num="1"/>
        </w:sectPr>
      </w:pPr>
    </w:p>
    <w:p w14:paraId="47D5B066">
      <w:pPr>
        <w:tabs>
          <w:tab w:val="left" w:pos="7740"/>
        </w:tabs>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附1：</w:t>
      </w:r>
      <w:r>
        <w:rPr>
          <w:rFonts w:hint="eastAsia" w:ascii="宋体" w:hAnsi="宋体"/>
          <w:bCs/>
          <w:color w:val="auto"/>
          <w:szCs w:val="21"/>
          <w:highlight w:val="none"/>
          <w:lang w:eastAsia="zh-CN"/>
        </w:rPr>
        <w:t>宁海县社会综合福利院</w:t>
      </w:r>
      <w:r>
        <w:rPr>
          <w:rFonts w:hint="eastAsia" w:ascii="宋体" w:hAnsi="宋体"/>
          <w:bCs/>
          <w:color w:val="auto"/>
          <w:szCs w:val="21"/>
          <w:highlight w:val="none"/>
        </w:rPr>
        <w:t>针对配送企业的年度考核表</w:t>
      </w:r>
    </w:p>
    <w:p w14:paraId="650F84C3">
      <w:pPr>
        <w:tabs>
          <w:tab w:val="left" w:pos="7740"/>
        </w:tabs>
        <w:spacing w:line="360" w:lineRule="auto"/>
        <w:jc w:val="center"/>
        <w:rPr>
          <w:rFonts w:ascii="宋体" w:hAnsi="宋体"/>
          <w:color w:val="auto"/>
          <w:szCs w:val="21"/>
          <w:highlight w:val="none"/>
        </w:rPr>
      </w:pPr>
      <w:r>
        <w:rPr>
          <w:rFonts w:hint="eastAsia" w:ascii="宋体" w:hAnsi="宋体"/>
          <w:color w:val="auto"/>
          <w:szCs w:val="21"/>
          <w:highlight w:val="none"/>
        </w:rPr>
        <w:t>配送企业考核表（暂定）</w:t>
      </w:r>
    </w:p>
    <w:p w14:paraId="6EC7CD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考核时间：   年   月   日</w:t>
      </w:r>
    </w:p>
    <w:tbl>
      <w:tblPr>
        <w:tblStyle w:val="6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33"/>
        <w:gridCol w:w="5519"/>
        <w:gridCol w:w="709"/>
        <w:gridCol w:w="709"/>
        <w:gridCol w:w="734"/>
      </w:tblGrid>
      <w:tr w14:paraId="260D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06F2D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大项</w:t>
            </w:r>
          </w:p>
        </w:tc>
        <w:tc>
          <w:tcPr>
            <w:tcW w:w="833" w:type="dxa"/>
            <w:vAlign w:val="center"/>
          </w:tcPr>
          <w:p w14:paraId="20B425C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小项</w:t>
            </w:r>
          </w:p>
        </w:tc>
        <w:tc>
          <w:tcPr>
            <w:tcW w:w="5519" w:type="dxa"/>
            <w:vAlign w:val="center"/>
          </w:tcPr>
          <w:p w14:paraId="576E99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考 评 细 则</w:t>
            </w:r>
          </w:p>
        </w:tc>
        <w:tc>
          <w:tcPr>
            <w:tcW w:w="709" w:type="dxa"/>
            <w:vAlign w:val="center"/>
          </w:tcPr>
          <w:p w14:paraId="14671A4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分值</w:t>
            </w:r>
          </w:p>
        </w:tc>
        <w:tc>
          <w:tcPr>
            <w:tcW w:w="709" w:type="dxa"/>
            <w:vAlign w:val="center"/>
          </w:tcPr>
          <w:p w14:paraId="302B15E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得分</w:t>
            </w:r>
          </w:p>
        </w:tc>
        <w:tc>
          <w:tcPr>
            <w:tcW w:w="734" w:type="dxa"/>
            <w:vAlign w:val="center"/>
          </w:tcPr>
          <w:p w14:paraId="0E953FC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8D0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restart"/>
            <w:textDirection w:val="tbRlV"/>
            <w:vAlign w:val="center"/>
          </w:tcPr>
          <w:p w14:paraId="6B0EA40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综合考核</w:t>
            </w:r>
          </w:p>
        </w:tc>
        <w:tc>
          <w:tcPr>
            <w:tcW w:w="833" w:type="dxa"/>
            <w:vAlign w:val="center"/>
          </w:tcPr>
          <w:p w14:paraId="59E1BE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质量保障</w:t>
            </w:r>
          </w:p>
        </w:tc>
        <w:tc>
          <w:tcPr>
            <w:tcW w:w="5519" w:type="dxa"/>
            <w:vAlign w:val="center"/>
          </w:tcPr>
          <w:p w14:paraId="138554E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1.从符合规定资质的单位进货，有协议和资质证明材料；2.有产品合格证、检疫证、检验报告等证件，包装产品有</w:t>
            </w:r>
            <w:r>
              <w:rPr>
                <w:rFonts w:hint="eastAsia" w:ascii="宋体" w:hAnsi="宋体" w:cs="宋体"/>
                <w:color w:val="auto"/>
                <w:szCs w:val="21"/>
                <w:highlight w:val="none"/>
                <w:lang w:val="en-US" w:eastAsia="zh-CN"/>
              </w:rPr>
              <w:t>SC</w:t>
            </w:r>
            <w:r>
              <w:rPr>
                <w:rFonts w:hint="eastAsia" w:ascii="宋体" w:hAnsi="宋体" w:cs="宋体"/>
                <w:color w:val="auto"/>
                <w:szCs w:val="21"/>
                <w:highlight w:val="none"/>
              </w:rPr>
              <w:t>标志；3.蔬菜、散装食品有检测记录或合格证明。</w:t>
            </w:r>
          </w:p>
        </w:tc>
        <w:tc>
          <w:tcPr>
            <w:tcW w:w="709" w:type="dxa"/>
            <w:vAlign w:val="center"/>
          </w:tcPr>
          <w:p w14:paraId="304683A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765ED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39E3268F">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4740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D5CCEA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47C7544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台账</w:t>
            </w:r>
            <w:r>
              <w:rPr>
                <w:rFonts w:hint="eastAsia" w:ascii="宋体" w:hAnsi="宋体" w:cs="宋体"/>
                <w:color w:val="auto"/>
                <w:szCs w:val="21"/>
                <w:highlight w:val="none"/>
              </w:rPr>
              <w:t>登记</w:t>
            </w:r>
          </w:p>
        </w:tc>
        <w:tc>
          <w:tcPr>
            <w:tcW w:w="5519" w:type="dxa"/>
            <w:vAlign w:val="center"/>
          </w:tcPr>
          <w:p w14:paraId="59ADCA0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1.食品进出库记录齐全，</w:t>
            </w:r>
            <w:r>
              <w:rPr>
                <w:rFonts w:hint="eastAsia" w:ascii="宋体" w:hAnsi="宋体" w:cs="宋体"/>
                <w:color w:val="auto"/>
                <w:szCs w:val="21"/>
                <w:highlight w:val="none"/>
                <w:lang w:eastAsia="zh-CN"/>
              </w:rPr>
              <w:t>账实</w:t>
            </w:r>
            <w:r>
              <w:rPr>
                <w:rFonts w:hint="eastAsia" w:ascii="宋体" w:hAnsi="宋体" w:cs="宋体"/>
                <w:color w:val="auto"/>
                <w:szCs w:val="21"/>
                <w:highlight w:val="none"/>
              </w:rPr>
              <w:t>相符；2.有退换货记录；3.有48小时食品留样记录。</w:t>
            </w:r>
          </w:p>
        </w:tc>
        <w:tc>
          <w:tcPr>
            <w:tcW w:w="709" w:type="dxa"/>
            <w:vAlign w:val="center"/>
          </w:tcPr>
          <w:p w14:paraId="4C525EB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09" w:type="dxa"/>
            <w:vAlign w:val="center"/>
          </w:tcPr>
          <w:p w14:paraId="6020CAB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3F88799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2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4DCEC39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446A19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环境卫生</w:t>
            </w:r>
          </w:p>
        </w:tc>
        <w:tc>
          <w:tcPr>
            <w:tcW w:w="5519" w:type="dxa"/>
            <w:vAlign w:val="center"/>
          </w:tcPr>
          <w:p w14:paraId="098FB34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1.配送场地整洁卫生；2.各种用具干净卫生，经常清洗消毒。</w:t>
            </w:r>
          </w:p>
        </w:tc>
        <w:tc>
          <w:tcPr>
            <w:tcW w:w="709" w:type="dxa"/>
            <w:vAlign w:val="center"/>
          </w:tcPr>
          <w:p w14:paraId="77DED9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468617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28C10A0C">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66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1E557E7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7D54330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食品储存</w:t>
            </w:r>
          </w:p>
        </w:tc>
        <w:tc>
          <w:tcPr>
            <w:tcW w:w="5519" w:type="dxa"/>
            <w:vAlign w:val="center"/>
          </w:tcPr>
          <w:p w14:paraId="7B4D7006">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1.冷冻库内货物堆放整齐清洁，无异味；2.货物存放离墙、离地，有货架、垫仓板；3.库内防鼠、防蝇、防火、防盗。</w:t>
            </w:r>
          </w:p>
        </w:tc>
        <w:tc>
          <w:tcPr>
            <w:tcW w:w="709" w:type="dxa"/>
            <w:vAlign w:val="center"/>
          </w:tcPr>
          <w:p w14:paraId="3D3FF8A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5D61B7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5B57E6C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DFA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24C5FE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6906F85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配送车辆</w:t>
            </w:r>
          </w:p>
        </w:tc>
        <w:tc>
          <w:tcPr>
            <w:tcW w:w="5519" w:type="dxa"/>
            <w:vAlign w:val="center"/>
          </w:tcPr>
          <w:p w14:paraId="06FB8FF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1.配送车辆及驾驶员证照齐全有效.2.配送车辆整洁，经常清洗消毒；3.车辆为食品配送专用车，不混用。</w:t>
            </w:r>
          </w:p>
        </w:tc>
        <w:tc>
          <w:tcPr>
            <w:tcW w:w="709" w:type="dxa"/>
            <w:vAlign w:val="center"/>
          </w:tcPr>
          <w:p w14:paraId="507B4AA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21564FE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68FD750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15E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A2D314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0700A9F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财务管理</w:t>
            </w:r>
          </w:p>
        </w:tc>
        <w:tc>
          <w:tcPr>
            <w:tcW w:w="5519" w:type="dxa"/>
            <w:vAlign w:val="center"/>
          </w:tcPr>
          <w:p w14:paraId="37FECB5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会计人员持证，财务制度</w:t>
            </w:r>
            <w:r>
              <w:rPr>
                <w:rFonts w:hint="eastAsia" w:ascii="宋体" w:hAnsi="宋体" w:cs="宋体"/>
                <w:color w:val="auto"/>
                <w:szCs w:val="21"/>
                <w:highlight w:val="none"/>
                <w:lang w:eastAsia="zh-CN"/>
              </w:rPr>
              <w:t>健全</w:t>
            </w:r>
            <w:r>
              <w:rPr>
                <w:rFonts w:hint="eastAsia" w:ascii="宋体" w:hAnsi="宋体" w:cs="宋体"/>
                <w:color w:val="auto"/>
                <w:szCs w:val="21"/>
                <w:highlight w:val="none"/>
              </w:rPr>
              <w:t>，结算及时差错少。</w:t>
            </w:r>
          </w:p>
        </w:tc>
        <w:tc>
          <w:tcPr>
            <w:tcW w:w="709" w:type="dxa"/>
            <w:vAlign w:val="center"/>
          </w:tcPr>
          <w:p w14:paraId="44BF863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5BBA5E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001A452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56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BD18CB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141D11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服务管理</w:t>
            </w:r>
          </w:p>
        </w:tc>
        <w:tc>
          <w:tcPr>
            <w:tcW w:w="5519" w:type="dxa"/>
            <w:vAlign w:val="center"/>
          </w:tcPr>
          <w:p w14:paraId="50CFF544">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1.从业人员健康证，检测人员有证照。2.内部分工明确，责任分明。3.配送工作合理有序。</w:t>
            </w:r>
          </w:p>
        </w:tc>
        <w:tc>
          <w:tcPr>
            <w:tcW w:w="709" w:type="dxa"/>
            <w:vAlign w:val="center"/>
          </w:tcPr>
          <w:p w14:paraId="64E5B76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21B8A77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4EF43530">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0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1338F3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531F93E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资料报送完整真实性</w:t>
            </w:r>
          </w:p>
        </w:tc>
        <w:tc>
          <w:tcPr>
            <w:tcW w:w="5519" w:type="dxa"/>
            <w:vAlign w:val="center"/>
          </w:tcPr>
          <w:p w14:paraId="44EE98F6">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1.配送车辆与驾驶员更新登记；2.从业人员更替后信息登记与健康证信息的更新。</w:t>
            </w:r>
          </w:p>
        </w:tc>
        <w:tc>
          <w:tcPr>
            <w:tcW w:w="709" w:type="dxa"/>
            <w:vAlign w:val="center"/>
          </w:tcPr>
          <w:p w14:paraId="0B19E01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1FCE50A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p>
        </w:tc>
        <w:tc>
          <w:tcPr>
            <w:tcW w:w="734" w:type="dxa"/>
            <w:vAlign w:val="center"/>
          </w:tcPr>
          <w:p w14:paraId="37EBF15C">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color w:val="auto"/>
                <w:szCs w:val="21"/>
                <w:highlight w:val="none"/>
              </w:rPr>
            </w:pPr>
          </w:p>
        </w:tc>
      </w:tr>
      <w:tr w14:paraId="65BF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restart"/>
            <w:vAlign w:val="center"/>
          </w:tcPr>
          <w:p w14:paraId="400D910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现场抽查考核</w:t>
            </w:r>
          </w:p>
        </w:tc>
        <w:tc>
          <w:tcPr>
            <w:tcW w:w="6352" w:type="dxa"/>
            <w:gridSpan w:val="2"/>
            <w:vAlign w:val="center"/>
          </w:tcPr>
          <w:p w14:paraId="00AC995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食品质量情况</w:t>
            </w:r>
          </w:p>
        </w:tc>
        <w:tc>
          <w:tcPr>
            <w:tcW w:w="709" w:type="dxa"/>
            <w:vAlign w:val="center"/>
          </w:tcPr>
          <w:p w14:paraId="14D769C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4B2ED3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641ABB2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2492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62A15FC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1BAFFC8E">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食品价格情况</w:t>
            </w:r>
          </w:p>
        </w:tc>
        <w:tc>
          <w:tcPr>
            <w:tcW w:w="709" w:type="dxa"/>
            <w:vAlign w:val="center"/>
          </w:tcPr>
          <w:p w14:paraId="25A7015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4B5005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3788B0B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335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34AEE33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701822D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配送时效情况</w:t>
            </w:r>
          </w:p>
        </w:tc>
        <w:tc>
          <w:tcPr>
            <w:tcW w:w="709" w:type="dxa"/>
            <w:vAlign w:val="center"/>
          </w:tcPr>
          <w:p w14:paraId="214588A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6751B6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3ED7AEF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4274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57286F9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1F7CEE5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服务态度</w:t>
            </w:r>
          </w:p>
        </w:tc>
        <w:tc>
          <w:tcPr>
            <w:tcW w:w="709" w:type="dxa"/>
            <w:vAlign w:val="center"/>
          </w:tcPr>
          <w:p w14:paraId="549D31C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78764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0F4EF943">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5AC6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044" w:type="dxa"/>
            <w:gridSpan w:val="3"/>
            <w:vAlign w:val="center"/>
          </w:tcPr>
          <w:p w14:paraId="204E411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合计得分</w:t>
            </w:r>
          </w:p>
        </w:tc>
        <w:tc>
          <w:tcPr>
            <w:tcW w:w="709" w:type="dxa"/>
            <w:vAlign w:val="center"/>
          </w:tcPr>
          <w:p w14:paraId="565DBD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100　</w:t>
            </w:r>
          </w:p>
        </w:tc>
        <w:tc>
          <w:tcPr>
            <w:tcW w:w="709" w:type="dxa"/>
            <w:vAlign w:val="center"/>
          </w:tcPr>
          <w:p w14:paraId="166EDFF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603F1CA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bl>
    <w:p w14:paraId="102C2B2D">
      <w:pPr>
        <w:pStyle w:val="3"/>
        <w:rPr>
          <w:rFonts w:hint="eastAsia"/>
          <w:color w:val="auto"/>
          <w:highlight w:val="none"/>
        </w:rPr>
        <w:sectPr>
          <w:pgSz w:w="11907" w:h="16840"/>
          <w:pgMar w:top="1474" w:right="1814" w:bottom="1474" w:left="1814" w:header="851" w:footer="851" w:gutter="0"/>
          <w:cols w:space="720" w:num="1"/>
        </w:sectPr>
      </w:pPr>
    </w:p>
    <w:p w14:paraId="014E60E7">
      <w:pPr>
        <w:spacing w:line="360" w:lineRule="auto"/>
        <w:jc w:val="center"/>
        <w:outlineLvl w:val="0"/>
        <w:rPr>
          <w:rFonts w:hint="eastAsia" w:ascii="宋体" w:hAnsi="宋体" w:cs="宋体"/>
          <w:b/>
          <w:color w:val="auto"/>
          <w:sz w:val="36"/>
          <w:szCs w:val="36"/>
          <w:highlight w:val="none"/>
        </w:rPr>
      </w:pPr>
      <w:bookmarkStart w:id="42" w:name="_Toc29737"/>
      <w:r>
        <w:rPr>
          <w:rFonts w:hint="eastAsia" w:ascii="宋体" w:hAnsi="宋体" w:cs="宋体"/>
          <w:b/>
          <w:color w:val="auto"/>
          <w:sz w:val="36"/>
          <w:szCs w:val="36"/>
          <w:highlight w:val="none"/>
        </w:rPr>
        <w:t xml:space="preserve">第四部分   </w:t>
      </w:r>
      <w:bookmarkStart w:id="43" w:name="_Toc184310334"/>
      <w:bookmarkEnd w:id="43"/>
      <w:bookmarkStart w:id="44" w:name="_Toc184313289"/>
      <w:bookmarkEnd w:id="44"/>
      <w:bookmarkStart w:id="45" w:name="_Toc184312113"/>
      <w:bookmarkEnd w:id="45"/>
      <w:bookmarkStart w:id="46" w:name="_Toc184312125"/>
      <w:bookmarkEnd w:id="46"/>
      <w:bookmarkStart w:id="47" w:name="_Toc184308049"/>
      <w:bookmarkEnd w:id="47"/>
      <w:bookmarkStart w:id="48" w:name="_Toc184310325"/>
      <w:bookmarkEnd w:id="48"/>
      <w:bookmarkStart w:id="49" w:name="_Toc184310310"/>
      <w:bookmarkEnd w:id="49"/>
      <w:bookmarkStart w:id="50" w:name="_Toc184312121"/>
      <w:bookmarkEnd w:id="50"/>
      <w:bookmarkStart w:id="51" w:name="_Toc184310281"/>
      <w:bookmarkEnd w:id="51"/>
      <w:bookmarkStart w:id="52" w:name="_Toc184313242"/>
      <w:bookmarkEnd w:id="52"/>
      <w:bookmarkStart w:id="53" w:name="_Toc184314448"/>
      <w:bookmarkEnd w:id="53"/>
      <w:bookmarkStart w:id="54" w:name="_Toc184310296"/>
      <w:bookmarkEnd w:id="54"/>
      <w:bookmarkStart w:id="55" w:name="_Toc184314417"/>
      <w:bookmarkEnd w:id="55"/>
      <w:bookmarkStart w:id="56" w:name="_Toc184308067"/>
      <w:bookmarkEnd w:id="56"/>
      <w:bookmarkStart w:id="57" w:name="_Toc184313310"/>
      <w:bookmarkEnd w:id="57"/>
      <w:bookmarkStart w:id="58" w:name="_Toc184313271"/>
      <w:bookmarkEnd w:id="58"/>
      <w:bookmarkStart w:id="59" w:name="_Toc184314412"/>
      <w:bookmarkEnd w:id="59"/>
      <w:bookmarkStart w:id="60" w:name="_Toc184312124"/>
      <w:bookmarkEnd w:id="60"/>
      <w:bookmarkStart w:id="61" w:name="_Toc184308091"/>
      <w:bookmarkEnd w:id="61"/>
      <w:bookmarkStart w:id="62" w:name="_Toc184312086"/>
      <w:bookmarkEnd w:id="62"/>
      <w:bookmarkStart w:id="63" w:name="_Toc184310290"/>
      <w:bookmarkEnd w:id="63"/>
      <w:bookmarkStart w:id="64" w:name="_Toc184308058"/>
      <w:bookmarkEnd w:id="64"/>
      <w:bookmarkStart w:id="65" w:name="_Toc184312111"/>
      <w:bookmarkEnd w:id="65"/>
      <w:bookmarkStart w:id="66" w:name="_Toc184312085"/>
      <w:bookmarkEnd w:id="66"/>
      <w:bookmarkStart w:id="67" w:name="_Toc184312070"/>
      <w:bookmarkEnd w:id="67"/>
      <w:bookmarkStart w:id="68" w:name="_Toc184314427"/>
      <w:bookmarkEnd w:id="68"/>
      <w:bookmarkStart w:id="69" w:name="_Toc184308070"/>
      <w:bookmarkEnd w:id="69"/>
      <w:bookmarkStart w:id="70" w:name="_Toc184313255"/>
      <w:bookmarkEnd w:id="70"/>
      <w:bookmarkStart w:id="71" w:name="_Toc184312114"/>
      <w:bookmarkEnd w:id="71"/>
      <w:bookmarkStart w:id="72" w:name="_Toc184314467"/>
      <w:bookmarkEnd w:id="72"/>
      <w:bookmarkStart w:id="73" w:name="_Toc184308089"/>
      <w:bookmarkEnd w:id="73"/>
      <w:bookmarkStart w:id="74" w:name="_Toc184313267"/>
      <w:bookmarkEnd w:id="74"/>
      <w:bookmarkStart w:id="75" w:name="_Toc184314476"/>
      <w:bookmarkEnd w:id="75"/>
      <w:bookmarkStart w:id="76" w:name="_Toc184308039"/>
      <w:bookmarkEnd w:id="76"/>
      <w:bookmarkStart w:id="77" w:name="_Toc184310324"/>
      <w:bookmarkEnd w:id="77"/>
      <w:bookmarkStart w:id="78" w:name="_Toc184312079"/>
      <w:bookmarkEnd w:id="78"/>
      <w:bookmarkStart w:id="79" w:name="_Toc184308080"/>
      <w:bookmarkEnd w:id="79"/>
      <w:bookmarkStart w:id="80" w:name="_Toc184312073"/>
      <w:bookmarkEnd w:id="80"/>
      <w:bookmarkStart w:id="81" w:name="_Toc184310283"/>
      <w:bookmarkEnd w:id="81"/>
      <w:bookmarkStart w:id="82" w:name="_Toc184313297"/>
      <w:bookmarkEnd w:id="82"/>
      <w:bookmarkStart w:id="83" w:name="_Toc184310341"/>
      <w:bookmarkEnd w:id="83"/>
      <w:bookmarkStart w:id="84" w:name="_Toc184313269"/>
      <w:bookmarkEnd w:id="84"/>
      <w:bookmarkStart w:id="85" w:name="_Toc184310343"/>
      <w:bookmarkEnd w:id="85"/>
      <w:bookmarkStart w:id="86" w:name="_Toc184314424"/>
      <w:bookmarkEnd w:id="86"/>
      <w:bookmarkStart w:id="87" w:name="_Toc184314442"/>
      <w:bookmarkEnd w:id="87"/>
      <w:bookmarkStart w:id="88" w:name="_Toc184314462"/>
      <w:bookmarkEnd w:id="88"/>
      <w:bookmarkStart w:id="89" w:name="_Toc184312119"/>
      <w:bookmarkEnd w:id="89"/>
      <w:bookmarkStart w:id="90" w:name="_Toc184312126"/>
      <w:bookmarkEnd w:id="90"/>
      <w:bookmarkStart w:id="91" w:name="_Toc184312135"/>
      <w:bookmarkEnd w:id="91"/>
      <w:bookmarkStart w:id="92" w:name="_Toc184310293"/>
      <w:bookmarkEnd w:id="92"/>
      <w:bookmarkStart w:id="93" w:name="_Toc184314450"/>
      <w:bookmarkEnd w:id="93"/>
      <w:bookmarkStart w:id="94" w:name="_Toc184314429"/>
      <w:bookmarkEnd w:id="94"/>
      <w:bookmarkStart w:id="95" w:name="_Toc184314477"/>
      <w:bookmarkEnd w:id="95"/>
      <w:bookmarkStart w:id="96" w:name="_Toc184308092"/>
      <w:bookmarkEnd w:id="96"/>
      <w:bookmarkStart w:id="97" w:name="_Toc184313249"/>
      <w:bookmarkEnd w:id="97"/>
      <w:bookmarkStart w:id="98" w:name="_Toc184314418"/>
      <w:bookmarkEnd w:id="98"/>
      <w:bookmarkStart w:id="99" w:name="_Toc184308094"/>
      <w:bookmarkEnd w:id="99"/>
      <w:bookmarkStart w:id="100" w:name="_Toc184310276"/>
      <w:bookmarkEnd w:id="100"/>
      <w:bookmarkStart w:id="101" w:name="_Toc184308061"/>
      <w:bookmarkEnd w:id="101"/>
      <w:bookmarkStart w:id="102" w:name="_Toc184314480"/>
      <w:bookmarkEnd w:id="102"/>
      <w:bookmarkStart w:id="103" w:name="_Toc184313248"/>
      <w:bookmarkEnd w:id="103"/>
      <w:bookmarkStart w:id="104" w:name="_Toc184308048"/>
      <w:bookmarkEnd w:id="104"/>
      <w:bookmarkStart w:id="105" w:name="_Toc184314438"/>
      <w:bookmarkEnd w:id="105"/>
      <w:bookmarkStart w:id="106" w:name="_Toc184314446"/>
      <w:bookmarkEnd w:id="106"/>
      <w:bookmarkStart w:id="107" w:name="_Toc184313261"/>
      <w:bookmarkEnd w:id="107"/>
      <w:bookmarkStart w:id="108" w:name="_Toc184314463"/>
      <w:bookmarkEnd w:id="108"/>
      <w:bookmarkStart w:id="109" w:name="_Toc184313286"/>
      <w:bookmarkEnd w:id="109"/>
      <w:bookmarkStart w:id="110" w:name="_Toc184312132"/>
      <w:bookmarkEnd w:id="110"/>
      <w:bookmarkStart w:id="111" w:name="_Toc184312081"/>
      <w:bookmarkEnd w:id="111"/>
      <w:bookmarkStart w:id="112" w:name="_Toc184312090"/>
      <w:bookmarkEnd w:id="112"/>
      <w:bookmarkStart w:id="113" w:name="_Toc184308093"/>
      <w:bookmarkEnd w:id="113"/>
      <w:bookmarkStart w:id="114" w:name="_Toc184308099"/>
      <w:bookmarkEnd w:id="114"/>
      <w:bookmarkStart w:id="115" w:name="_Toc184312108"/>
      <w:bookmarkEnd w:id="115"/>
      <w:bookmarkStart w:id="116" w:name="_Toc184312093"/>
      <w:bookmarkEnd w:id="116"/>
      <w:bookmarkStart w:id="117" w:name="_Toc184313259"/>
      <w:bookmarkEnd w:id="117"/>
      <w:bookmarkStart w:id="118" w:name="_Toc184313282"/>
      <w:bookmarkEnd w:id="118"/>
      <w:bookmarkStart w:id="119" w:name="_Toc184313260"/>
      <w:bookmarkEnd w:id="119"/>
      <w:bookmarkStart w:id="120" w:name="_Toc184313308"/>
      <w:bookmarkEnd w:id="120"/>
      <w:bookmarkStart w:id="121" w:name="_Toc184314435"/>
      <w:bookmarkEnd w:id="121"/>
      <w:bookmarkStart w:id="122" w:name="_Toc184313245"/>
      <w:bookmarkEnd w:id="122"/>
      <w:bookmarkStart w:id="123" w:name="_Toc184310311"/>
      <w:bookmarkEnd w:id="123"/>
      <w:bookmarkStart w:id="124" w:name="_Toc184313250"/>
      <w:bookmarkEnd w:id="124"/>
      <w:bookmarkStart w:id="125" w:name="_Toc184310291"/>
      <w:bookmarkEnd w:id="125"/>
      <w:bookmarkStart w:id="126" w:name="_Toc184312067"/>
      <w:bookmarkEnd w:id="126"/>
      <w:bookmarkStart w:id="127" w:name="_Toc184313266"/>
      <w:bookmarkEnd w:id="127"/>
      <w:bookmarkStart w:id="128" w:name="_Toc184310319"/>
      <w:bookmarkEnd w:id="128"/>
      <w:bookmarkStart w:id="129" w:name="_Toc184308056"/>
      <w:bookmarkEnd w:id="129"/>
      <w:bookmarkStart w:id="130" w:name="_Toc184308073"/>
      <w:bookmarkEnd w:id="130"/>
      <w:bookmarkStart w:id="131" w:name="_Toc184310285"/>
      <w:bookmarkEnd w:id="131"/>
      <w:bookmarkStart w:id="132" w:name="_Toc184312084"/>
      <w:bookmarkEnd w:id="132"/>
      <w:bookmarkStart w:id="133" w:name="_Toc184310300"/>
      <w:bookmarkEnd w:id="133"/>
      <w:bookmarkStart w:id="134" w:name="_Toc184314443"/>
      <w:bookmarkEnd w:id="134"/>
      <w:bookmarkStart w:id="135" w:name="_Toc184308098"/>
      <w:bookmarkEnd w:id="135"/>
      <w:bookmarkStart w:id="136" w:name="_Toc184313300"/>
      <w:bookmarkEnd w:id="136"/>
      <w:bookmarkStart w:id="137" w:name="_Toc184314447"/>
      <w:bookmarkEnd w:id="137"/>
      <w:bookmarkStart w:id="138" w:name="_Toc184308047"/>
      <w:bookmarkEnd w:id="138"/>
      <w:bookmarkStart w:id="139" w:name="_Toc184313239"/>
      <w:bookmarkEnd w:id="139"/>
      <w:bookmarkStart w:id="140" w:name="_Toc184313258"/>
      <w:bookmarkEnd w:id="140"/>
      <w:bookmarkStart w:id="141" w:name="_Toc184314461"/>
      <w:bookmarkEnd w:id="141"/>
      <w:bookmarkStart w:id="142" w:name="_Toc184310333"/>
      <w:bookmarkEnd w:id="142"/>
      <w:bookmarkStart w:id="143" w:name="_Toc184312074"/>
      <w:bookmarkEnd w:id="143"/>
      <w:bookmarkStart w:id="144" w:name="_Toc184312092"/>
      <w:bookmarkEnd w:id="144"/>
      <w:bookmarkStart w:id="145" w:name="_Toc184308055"/>
      <w:bookmarkEnd w:id="145"/>
      <w:bookmarkStart w:id="146" w:name="_Toc184313277"/>
      <w:bookmarkEnd w:id="146"/>
      <w:bookmarkStart w:id="147" w:name="_Toc184308105"/>
      <w:bookmarkEnd w:id="147"/>
      <w:bookmarkStart w:id="148" w:name="_Toc184313302"/>
      <w:bookmarkEnd w:id="148"/>
      <w:bookmarkStart w:id="149" w:name="_Toc184308064"/>
      <w:bookmarkEnd w:id="149"/>
      <w:bookmarkStart w:id="150" w:name="_Toc184308046"/>
      <w:bookmarkEnd w:id="150"/>
      <w:bookmarkStart w:id="151" w:name="_Toc184310313"/>
      <w:bookmarkEnd w:id="151"/>
      <w:bookmarkStart w:id="152" w:name="_Toc184313304"/>
      <w:bookmarkEnd w:id="152"/>
      <w:bookmarkStart w:id="153" w:name="_Toc184313283"/>
      <w:bookmarkEnd w:id="153"/>
      <w:bookmarkStart w:id="154" w:name="_Toc184308045"/>
      <w:bookmarkEnd w:id="154"/>
      <w:bookmarkStart w:id="155" w:name="_Toc184308103"/>
      <w:bookmarkEnd w:id="155"/>
      <w:bookmarkStart w:id="156" w:name="_Toc184308104"/>
      <w:bookmarkEnd w:id="156"/>
      <w:bookmarkStart w:id="157" w:name="_Toc184313292"/>
      <w:bookmarkEnd w:id="157"/>
      <w:bookmarkStart w:id="158" w:name="_Toc184310274"/>
      <w:bookmarkEnd w:id="158"/>
      <w:bookmarkStart w:id="159" w:name="_Toc184313262"/>
      <w:bookmarkEnd w:id="159"/>
      <w:bookmarkStart w:id="160" w:name="_Toc184313290"/>
      <w:bookmarkEnd w:id="160"/>
      <w:bookmarkStart w:id="161" w:name="_Toc184313254"/>
      <w:bookmarkEnd w:id="161"/>
      <w:bookmarkStart w:id="162" w:name="_Toc184314425"/>
      <w:bookmarkEnd w:id="162"/>
      <w:bookmarkStart w:id="163" w:name="_Toc184313246"/>
      <w:bookmarkEnd w:id="163"/>
      <w:bookmarkStart w:id="164" w:name="_Toc184314440"/>
      <w:bookmarkEnd w:id="164"/>
      <w:bookmarkStart w:id="165" w:name="_Toc184314455"/>
      <w:bookmarkEnd w:id="165"/>
      <w:bookmarkStart w:id="166" w:name="_Toc184314464"/>
      <w:bookmarkEnd w:id="166"/>
      <w:bookmarkStart w:id="167" w:name="_Toc184310305"/>
      <w:bookmarkEnd w:id="167"/>
      <w:bookmarkStart w:id="168" w:name="_Toc184308072"/>
      <w:bookmarkEnd w:id="168"/>
      <w:bookmarkStart w:id="169" w:name="_Toc184314437"/>
      <w:bookmarkEnd w:id="169"/>
      <w:bookmarkStart w:id="170" w:name="_Toc184310315"/>
      <w:bookmarkEnd w:id="170"/>
      <w:bookmarkStart w:id="171" w:name="_Toc184312128"/>
      <w:bookmarkEnd w:id="171"/>
      <w:bookmarkStart w:id="172" w:name="_Toc184312136"/>
      <w:bookmarkEnd w:id="172"/>
      <w:bookmarkStart w:id="173" w:name="_Toc184310289"/>
      <w:bookmarkEnd w:id="173"/>
      <w:bookmarkStart w:id="174" w:name="_Toc184308077"/>
      <w:bookmarkEnd w:id="174"/>
      <w:bookmarkStart w:id="175" w:name="_Toc184310318"/>
      <w:bookmarkEnd w:id="175"/>
      <w:bookmarkStart w:id="176" w:name="_Toc184312122"/>
      <w:bookmarkEnd w:id="176"/>
      <w:bookmarkStart w:id="177" w:name="_Toc184313281"/>
      <w:bookmarkEnd w:id="177"/>
      <w:bookmarkStart w:id="178" w:name="_Toc184308043"/>
      <w:bookmarkEnd w:id="178"/>
      <w:bookmarkStart w:id="179" w:name="_Toc184310332"/>
      <w:bookmarkEnd w:id="179"/>
      <w:bookmarkStart w:id="180" w:name="_Toc184312082"/>
      <w:bookmarkEnd w:id="180"/>
      <w:bookmarkStart w:id="181" w:name="_Toc184308074"/>
      <w:bookmarkEnd w:id="181"/>
      <w:bookmarkStart w:id="182" w:name="_Toc184314445"/>
      <w:bookmarkEnd w:id="182"/>
      <w:bookmarkStart w:id="183" w:name="_Toc184310323"/>
      <w:bookmarkEnd w:id="183"/>
      <w:bookmarkStart w:id="184" w:name="_Toc184308083"/>
      <w:bookmarkEnd w:id="184"/>
      <w:bookmarkStart w:id="185" w:name="_Toc184312116"/>
      <w:bookmarkEnd w:id="185"/>
      <w:bookmarkStart w:id="186" w:name="_Toc184314465"/>
      <w:bookmarkEnd w:id="186"/>
      <w:bookmarkStart w:id="187" w:name="_Toc184308076"/>
      <w:bookmarkEnd w:id="187"/>
      <w:bookmarkStart w:id="188" w:name="_Toc184308096"/>
      <w:bookmarkEnd w:id="188"/>
      <w:bookmarkStart w:id="189" w:name="_Toc184310337"/>
      <w:bookmarkEnd w:id="189"/>
      <w:bookmarkStart w:id="190" w:name="_Toc184312088"/>
      <w:bookmarkEnd w:id="190"/>
      <w:bookmarkStart w:id="191" w:name="_Toc184314428"/>
      <w:bookmarkEnd w:id="191"/>
      <w:bookmarkStart w:id="192" w:name="_Toc184308100"/>
      <w:bookmarkEnd w:id="192"/>
      <w:bookmarkStart w:id="193" w:name="_Toc184308108"/>
      <w:bookmarkEnd w:id="193"/>
      <w:bookmarkStart w:id="194" w:name="_Toc184313295"/>
      <w:bookmarkEnd w:id="194"/>
      <w:bookmarkStart w:id="195" w:name="_Toc184313294"/>
      <w:bookmarkEnd w:id="195"/>
      <w:bookmarkStart w:id="196" w:name="_Toc184312071"/>
      <w:bookmarkEnd w:id="196"/>
      <w:bookmarkStart w:id="197" w:name="_Toc184308106"/>
      <w:bookmarkEnd w:id="197"/>
      <w:bookmarkStart w:id="198" w:name="_Toc184312105"/>
      <w:bookmarkEnd w:id="198"/>
      <w:bookmarkStart w:id="199" w:name="_Toc184314415"/>
      <w:bookmarkEnd w:id="199"/>
      <w:bookmarkStart w:id="200" w:name="_Toc184310344"/>
      <w:bookmarkEnd w:id="200"/>
      <w:bookmarkStart w:id="201" w:name="_Toc184314459"/>
      <w:bookmarkEnd w:id="201"/>
      <w:bookmarkStart w:id="202" w:name="_Toc184308088"/>
      <w:bookmarkEnd w:id="202"/>
      <w:bookmarkStart w:id="203" w:name="_Toc184312134"/>
      <w:bookmarkEnd w:id="203"/>
      <w:bookmarkStart w:id="204" w:name="_Toc184314421"/>
      <w:bookmarkEnd w:id="204"/>
      <w:bookmarkStart w:id="205" w:name="_Toc184312078"/>
      <w:bookmarkEnd w:id="205"/>
      <w:bookmarkStart w:id="206" w:name="_Toc184308050"/>
      <w:bookmarkEnd w:id="206"/>
      <w:bookmarkStart w:id="207" w:name="_Toc184308066"/>
      <w:bookmarkEnd w:id="207"/>
      <w:bookmarkStart w:id="208" w:name="_Toc184313301"/>
      <w:bookmarkEnd w:id="208"/>
      <w:bookmarkStart w:id="209" w:name="_Toc184310321"/>
      <w:bookmarkEnd w:id="209"/>
      <w:bookmarkStart w:id="210" w:name="_Toc184312097"/>
      <w:bookmarkEnd w:id="210"/>
      <w:bookmarkStart w:id="211" w:name="_Toc184310286"/>
      <w:bookmarkEnd w:id="211"/>
      <w:bookmarkStart w:id="212" w:name="_Toc184312100"/>
      <w:bookmarkEnd w:id="212"/>
      <w:bookmarkStart w:id="213" w:name="_Toc184308086"/>
      <w:bookmarkEnd w:id="213"/>
      <w:bookmarkStart w:id="214" w:name="_Toc184312068"/>
      <w:bookmarkEnd w:id="214"/>
      <w:bookmarkStart w:id="215" w:name="_Toc184308038"/>
      <w:bookmarkEnd w:id="215"/>
      <w:bookmarkStart w:id="216" w:name="_Toc184310299"/>
      <w:bookmarkEnd w:id="216"/>
      <w:bookmarkStart w:id="217" w:name="_Toc184314479"/>
      <w:bookmarkEnd w:id="217"/>
      <w:bookmarkStart w:id="218" w:name="_Toc184314456"/>
      <w:bookmarkEnd w:id="218"/>
      <w:bookmarkStart w:id="219" w:name="_Toc184310277"/>
      <w:bookmarkEnd w:id="219"/>
      <w:bookmarkStart w:id="220" w:name="_Toc184310330"/>
      <w:bookmarkEnd w:id="220"/>
      <w:bookmarkStart w:id="221" w:name="_Toc184312138"/>
      <w:bookmarkEnd w:id="221"/>
      <w:bookmarkStart w:id="222" w:name="_Toc184310326"/>
      <w:bookmarkEnd w:id="222"/>
      <w:bookmarkStart w:id="223" w:name="_Toc184308090"/>
      <w:bookmarkEnd w:id="223"/>
      <w:bookmarkStart w:id="224" w:name="_Toc184314469"/>
      <w:bookmarkEnd w:id="224"/>
      <w:bookmarkStart w:id="225" w:name="_Toc184312123"/>
      <w:bookmarkEnd w:id="225"/>
      <w:bookmarkStart w:id="226" w:name="_Toc184314436"/>
      <w:bookmarkEnd w:id="226"/>
      <w:bookmarkStart w:id="227" w:name="_Toc184312076"/>
      <w:bookmarkEnd w:id="227"/>
      <w:bookmarkStart w:id="228" w:name="_Toc184313244"/>
      <w:bookmarkEnd w:id="228"/>
      <w:bookmarkStart w:id="229" w:name="_Toc184313253"/>
      <w:bookmarkEnd w:id="229"/>
      <w:bookmarkStart w:id="230" w:name="_Toc184310272"/>
      <w:bookmarkEnd w:id="230"/>
      <w:bookmarkStart w:id="231" w:name="_Toc184314441"/>
      <w:bookmarkEnd w:id="231"/>
      <w:bookmarkStart w:id="232" w:name="_Toc184314466"/>
      <w:bookmarkEnd w:id="232"/>
      <w:bookmarkStart w:id="233" w:name="_Toc184310316"/>
      <w:bookmarkEnd w:id="233"/>
      <w:bookmarkStart w:id="234" w:name="_Toc184308101"/>
      <w:bookmarkEnd w:id="234"/>
      <w:bookmarkStart w:id="235" w:name="_Toc184314419"/>
      <w:bookmarkEnd w:id="235"/>
      <w:bookmarkStart w:id="236" w:name="_Toc184312103"/>
      <w:bookmarkEnd w:id="236"/>
      <w:bookmarkStart w:id="237" w:name="_Toc184314452"/>
      <w:bookmarkEnd w:id="237"/>
      <w:bookmarkStart w:id="238" w:name="_Toc184313285"/>
      <w:bookmarkEnd w:id="238"/>
      <w:bookmarkStart w:id="239" w:name="_Toc184313305"/>
      <w:bookmarkEnd w:id="239"/>
      <w:bookmarkStart w:id="240" w:name="_Toc184310273"/>
      <w:bookmarkEnd w:id="240"/>
      <w:bookmarkStart w:id="241" w:name="_Toc184314431"/>
      <w:bookmarkEnd w:id="241"/>
      <w:bookmarkStart w:id="242" w:name="_Toc184308078"/>
      <w:bookmarkEnd w:id="242"/>
      <w:bookmarkStart w:id="243" w:name="_Toc184314453"/>
      <w:bookmarkEnd w:id="243"/>
      <w:bookmarkStart w:id="244" w:name="_Toc184314458"/>
      <w:bookmarkEnd w:id="244"/>
      <w:bookmarkStart w:id="245" w:name="_Toc184313278"/>
      <w:bookmarkEnd w:id="245"/>
      <w:bookmarkStart w:id="246" w:name="_Toc184312069"/>
      <w:bookmarkEnd w:id="246"/>
      <w:bookmarkStart w:id="247" w:name="_Toc184313240"/>
      <w:bookmarkEnd w:id="247"/>
      <w:bookmarkStart w:id="248" w:name="_Toc184308082"/>
      <w:bookmarkEnd w:id="248"/>
      <w:bookmarkStart w:id="249" w:name="_Toc184310297"/>
      <w:bookmarkEnd w:id="249"/>
      <w:bookmarkStart w:id="250" w:name="_Toc184312075"/>
      <w:bookmarkEnd w:id="250"/>
      <w:bookmarkStart w:id="251" w:name="_Toc184314426"/>
      <w:bookmarkEnd w:id="251"/>
      <w:bookmarkStart w:id="252" w:name="_Toc184310335"/>
      <w:bookmarkEnd w:id="252"/>
      <w:bookmarkStart w:id="253" w:name="_Toc184312099"/>
      <w:bookmarkEnd w:id="253"/>
      <w:bookmarkStart w:id="254" w:name="_Toc184313265"/>
      <w:bookmarkEnd w:id="254"/>
      <w:bookmarkStart w:id="255" w:name="_Toc184314481"/>
      <w:bookmarkEnd w:id="255"/>
      <w:bookmarkStart w:id="256" w:name="_Toc184310280"/>
      <w:bookmarkEnd w:id="256"/>
      <w:bookmarkStart w:id="257" w:name="_Toc184314473"/>
      <w:bookmarkEnd w:id="257"/>
      <w:bookmarkStart w:id="258" w:name="_Toc184308071"/>
      <w:bookmarkEnd w:id="258"/>
      <w:bookmarkStart w:id="259" w:name="_Toc184312127"/>
      <w:bookmarkEnd w:id="259"/>
      <w:bookmarkStart w:id="260" w:name="_Toc184308051"/>
      <w:bookmarkEnd w:id="260"/>
      <w:bookmarkStart w:id="261" w:name="_Toc184313303"/>
      <w:bookmarkEnd w:id="261"/>
      <w:bookmarkStart w:id="262" w:name="_Toc184310275"/>
      <w:bookmarkEnd w:id="262"/>
      <w:bookmarkStart w:id="263" w:name="_Toc184312137"/>
      <w:bookmarkEnd w:id="263"/>
      <w:bookmarkStart w:id="264" w:name="_Toc184313243"/>
      <w:bookmarkEnd w:id="264"/>
      <w:bookmarkStart w:id="265" w:name="_Toc184314468"/>
      <w:bookmarkEnd w:id="265"/>
      <w:bookmarkStart w:id="266" w:name="_Toc184310303"/>
      <w:bookmarkEnd w:id="266"/>
      <w:bookmarkStart w:id="267" w:name="_Toc184313299"/>
      <w:bookmarkEnd w:id="267"/>
      <w:bookmarkStart w:id="268" w:name="_Toc184313257"/>
      <w:bookmarkEnd w:id="268"/>
      <w:bookmarkStart w:id="269" w:name="_Toc184312083"/>
      <w:bookmarkEnd w:id="269"/>
      <w:bookmarkStart w:id="270" w:name="_Toc184310329"/>
      <w:bookmarkEnd w:id="270"/>
      <w:bookmarkStart w:id="271" w:name="_Toc184314444"/>
      <w:bookmarkEnd w:id="271"/>
      <w:bookmarkStart w:id="272" w:name="_Toc184312118"/>
      <w:bookmarkEnd w:id="272"/>
      <w:bookmarkStart w:id="273" w:name="_Toc184314474"/>
      <w:bookmarkEnd w:id="273"/>
      <w:bookmarkStart w:id="274" w:name="_Toc184314414"/>
      <w:bookmarkEnd w:id="274"/>
      <w:bookmarkStart w:id="275" w:name="_Toc184308053"/>
      <w:bookmarkEnd w:id="275"/>
      <w:bookmarkStart w:id="276" w:name="_Toc184310331"/>
      <w:bookmarkEnd w:id="276"/>
      <w:bookmarkStart w:id="277" w:name="_Toc184308063"/>
      <w:bookmarkEnd w:id="277"/>
      <w:bookmarkStart w:id="278" w:name="_Toc184310328"/>
      <w:bookmarkEnd w:id="278"/>
      <w:bookmarkStart w:id="279" w:name="_Toc184314420"/>
      <w:bookmarkEnd w:id="279"/>
      <w:bookmarkStart w:id="280" w:name="_Toc184312133"/>
      <w:bookmarkEnd w:id="280"/>
      <w:bookmarkStart w:id="281" w:name="_Toc184312098"/>
      <w:bookmarkEnd w:id="281"/>
      <w:bookmarkStart w:id="282" w:name="_Toc184308040"/>
      <w:bookmarkEnd w:id="282"/>
      <w:bookmarkStart w:id="283" w:name="_Toc184308087"/>
      <w:bookmarkEnd w:id="283"/>
      <w:bookmarkStart w:id="284" w:name="_Toc184308107"/>
      <w:bookmarkEnd w:id="284"/>
      <w:bookmarkStart w:id="285" w:name="_Toc184308085"/>
      <w:bookmarkEnd w:id="285"/>
      <w:bookmarkStart w:id="286" w:name="_Toc184310342"/>
      <w:bookmarkEnd w:id="286"/>
      <w:bookmarkStart w:id="287" w:name="_Toc184308052"/>
      <w:bookmarkEnd w:id="287"/>
      <w:bookmarkStart w:id="288" w:name="_Toc184314475"/>
      <w:bookmarkEnd w:id="288"/>
      <w:bookmarkStart w:id="289" w:name="_Toc184312101"/>
      <w:bookmarkEnd w:id="289"/>
      <w:bookmarkStart w:id="290" w:name="_Toc184312120"/>
      <w:bookmarkEnd w:id="290"/>
      <w:bookmarkStart w:id="291" w:name="_Toc184313274"/>
      <w:bookmarkEnd w:id="291"/>
      <w:bookmarkStart w:id="292" w:name="_Toc184310292"/>
      <w:bookmarkEnd w:id="292"/>
      <w:bookmarkStart w:id="293" w:name="_Toc184313273"/>
      <w:bookmarkEnd w:id="293"/>
      <w:bookmarkStart w:id="294" w:name="_Toc184312072"/>
      <w:bookmarkEnd w:id="294"/>
      <w:bookmarkStart w:id="295" w:name="_Toc184312130"/>
      <w:bookmarkEnd w:id="295"/>
      <w:bookmarkStart w:id="296" w:name="_Toc184314471"/>
      <w:bookmarkEnd w:id="296"/>
      <w:bookmarkStart w:id="297" w:name="_Toc184312104"/>
      <w:bookmarkEnd w:id="297"/>
      <w:bookmarkStart w:id="298" w:name="_Toc184312131"/>
      <w:bookmarkEnd w:id="298"/>
      <w:bookmarkStart w:id="299" w:name="_Toc184310284"/>
      <w:bookmarkEnd w:id="299"/>
      <w:bookmarkStart w:id="300" w:name="_Toc184313268"/>
      <w:bookmarkEnd w:id="300"/>
      <w:bookmarkStart w:id="301" w:name="_Toc184310338"/>
      <w:bookmarkEnd w:id="301"/>
      <w:bookmarkStart w:id="302" w:name="_Toc184308044"/>
      <w:bookmarkEnd w:id="302"/>
      <w:bookmarkStart w:id="303" w:name="_Toc184312080"/>
      <w:bookmarkEnd w:id="303"/>
      <w:bookmarkStart w:id="304" w:name="_Toc184313284"/>
      <w:bookmarkEnd w:id="304"/>
      <w:bookmarkStart w:id="305" w:name="_Toc184313241"/>
      <w:bookmarkEnd w:id="305"/>
      <w:bookmarkStart w:id="306" w:name="_Toc184312112"/>
      <w:bookmarkEnd w:id="306"/>
      <w:bookmarkStart w:id="307" w:name="_Toc184313296"/>
      <w:bookmarkEnd w:id="307"/>
      <w:bookmarkStart w:id="308" w:name="_Toc184313275"/>
      <w:bookmarkEnd w:id="308"/>
      <w:bookmarkStart w:id="309" w:name="_Toc184308065"/>
      <w:bookmarkEnd w:id="309"/>
      <w:bookmarkStart w:id="310" w:name="_Toc184308079"/>
      <w:bookmarkEnd w:id="310"/>
      <w:bookmarkStart w:id="311" w:name="_Toc184310322"/>
      <w:bookmarkEnd w:id="311"/>
      <w:bookmarkStart w:id="312" w:name="_Toc184313307"/>
      <w:bookmarkEnd w:id="312"/>
      <w:bookmarkStart w:id="313" w:name="_Toc184314472"/>
      <w:bookmarkEnd w:id="313"/>
      <w:bookmarkStart w:id="314" w:name="_Toc184308060"/>
      <w:bookmarkEnd w:id="314"/>
      <w:bookmarkStart w:id="315" w:name="_Toc184308041"/>
      <w:bookmarkEnd w:id="315"/>
      <w:bookmarkStart w:id="316" w:name="_Toc184308102"/>
      <w:bookmarkEnd w:id="316"/>
      <w:bookmarkStart w:id="317" w:name="_Toc184308042"/>
      <w:bookmarkEnd w:id="317"/>
      <w:bookmarkStart w:id="318" w:name="_Toc184310317"/>
      <w:bookmarkEnd w:id="318"/>
      <w:bookmarkStart w:id="319" w:name="_Toc184308059"/>
      <w:bookmarkEnd w:id="319"/>
      <w:bookmarkStart w:id="320" w:name="_Toc184310327"/>
      <w:bookmarkEnd w:id="320"/>
      <w:bookmarkStart w:id="321" w:name="_Toc184310301"/>
      <w:bookmarkEnd w:id="321"/>
      <w:bookmarkStart w:id="322" w:name="_Toc184310279"/>
      <w:bookmarkEnd w:id="322"/>
      <w:bookmarkStart w:id="323" w:name="_Toc184313279"/>
      <w:bookmarkEnd w:id="323"/>
      <w:bookmarkStart w:id="324" w:name="_Toc184313291"/>
      <w:bookmarkEnd w:id="324"/>
      <w:bookmarkStart w:id="325" w:name="_Toc184314439"/>
      <w:bookmarkEnd w:id="325"/>
      <w:bookmarkStart w:id="326" w:name="_Toc184314460"/>
      <w:bookmarkEnd w:id="326"/>
      <w:bookmarkStart w:id="327" w:name="_Toc184308069"/>
      <w:bookmarkEnd w:id="327"/>
      <w:bookmarkStart w:id="328" w:name="_Toc184313272"/>
      <w:bookmarkEnd w:id="328"/>
      <w:bookmarkStart w:id="329" w:name="_Toc184308057"/>
      <w:bookmarkEnd w:id="329"/>
      <w:bookmarkStart w:id="330" w:name="_Toc184314454"/>
      <w:bookmarkEnd w:id="330"/>
      <w:bookmarkStart w:id="331" w:name="_Toc184310306"/>
      <w:bookmarkEnd w:id="331"/>
      <w:bookmarkStart w:id="332" w:name="_Toc184310340"/>
      <w:bookmarkEnd w:id="332"/>
      <w:bookmarkStart w:id="333" w:name="_Toc184312117"/>
      <w:bookmarkEnd w:id="333"/>
      <w:bookmarkStart w:id="334" w:name="_Toc184310309"/>
      <w:bookmarkEnd w:id="334"/>
      <w:bookmarkStart w:id="335" w:name="_Toc184313309"/>
      <w:bookmarkEnd w:id="335"/>
      <w:bookmarkStart w:id="336" w:name="_Toc184308062"/>
      <w:bookmarkEnd w:id="336"/>
      <w:bookmarkStart w:id="337" w:name="_Toc184313247"/>
      <w:bookmarkEnd w:id="337"/>
      <w:bookmarkStart w:id="338" w:name="_Toc184314416"/>
      <w:bookmarkEnd w:id="338"/>
      <w:bookmarkStart w:id="339" w:name="_Toc184310307"/>
      <w:bookmarkEnd w:id="339"/>
      <w:bookmarkStart w:id="340" w:name="_Toc184314434"/>
      <w:bookmarkEnd w:id="340"/>
      <w:bookmarkStart w:id="341" w:name="_Toc184310298"/>
      <w:bookmarkEnd w:id="341"/>
      <w:bookmarkStart w:id="342" w:name="_Toc184313306"/>
      <w:bookmarkEnd w:id="342"/>
      <w:bookmarkStart w:id="343" w:name="_Toc184308036"/>
      <w:bookmarkEnd w:id="343"/>
      <w:bookmarkStart w:id="344" w:name="_Toc184313280"/>
      <w:bookmarkEnd w:id="344"/>
      <w:bookmarkStart w:id="345" w:name="_Toc184313256"/>
      <w:bookmarkEnd w:id="345"/>
      <w:bookmarkStart w:id="346" w:name="_Toc184312091"/>
      <w:bookmarkEnd w:id="346"/>
      <w:bookmarkStart w:id="347" w:name="_Toc184312110"/>
      <w:bookmarkEnd w:id="347"/>
      <w:bookmarkStart w:id="348" w:name="_Toc184310320"/>
      <w:bookmarkEnd w:id="348"/>
      <w:bookmarkStart w:id="349" w:name="_Toc184312106"/>
      <w:bookmarkEnd w:id="349"/>
      <w:bookmarkStart w:id="350" w:name="_Toc184314413"/>
      <w:bookmarkEnd w:id="350"/>
      <w:bookmarkStart w:id="351" w:name="_Toc184313288"/>
      <w:bookmarkEnd w:id="351"/>
      <w:bookmarkStart w:id="352" w:name="_Toc184312096"/>
      <w:bookmarkEnd w:id="352"/>
      <w:bookmarkStart w:id="353" w:name="_Toc184312087"/>
      <w:bookmarkEnd w:id="353"/>
      <w:bookmarkStart w:id="354" w:name="_Toc184314451"/>
      <w:bookmarkEnd w:id="354"/>
      <w:bookmarkStart w:id="355" w:name="_Toc184312109"/>
      <w:bookmarkEnd w:id="355"/>
      <w:bookmarkStart w:id="356" w:name="_Toc184310295"/>
      <w:bookmarkEnd w:id="356"/>
      <w:bookmarkStart w:id="357" w:name="_Toc184314411"/>
      <w:bookmarkEnd w:id="357"/>
      <w:bookmarkStart w:id="358" w:name="_Toc184313298"/>
      <w:bookmarkEnd w:id="358"/>
      <w:bookmarkStart w:id="359" w:name="_Toc184310287"/>
      <w:bookmarkEnd w:id="359"/>
      <w:bookmarkStart w:id="360" w:name="_Toc184308084"/>
      <w:bookmarkEnd w:id="360"/>
      <w:bookmarkStart w:id="361" w:name="_Toc184310312"/>
      <w:bookmarkEnd w:id="361"/>
      <w:bookmarkStart w:id="362" w:name="_Toc184314422"/>
      <w:bookmarkEnd w:id="362"/>
      <w:bookmarkStart w:id="363" w:name="_Toc184312139"/>
      <w:bookmarkEnd w:id="363"/>
      <w:bookmarkStart w:id="364" w:name="_Toc184310314"/>
      <w:bookmarkEnd w:id="364"/>
      <w:bookmarkStart w:id="365" w:name="_Toc184313276"/>
      <w:bookmarkEnd w:id="365"/>
      <w:bookmarkStart w:id="366" w:name="_Toc184310278"/>
      <w:bookmarkEnd w:id="366"/>
      <w:bookmarkStart w:id="367" w:name="_Toc184308075"/>
      <w:bookmarkEnd w:id="367"/>
      <w:bookmarkStart w:id="368" w:name="_Toc184308081"/>
      <w:bookmarkEnd w:id="368"/>
      <w:bookmarkStart w:id="369" w:name="_Toc184313252"/>
      <w:bookmarkEnd w:id="369"/>
      <w:bookmarkStart w:id="370" w:name="_Toc184310336"/>
      <w:bookmarkEnd w:id="370"/>
      <w:bookmarkStart w:id="371" w:name="_Toc184314449"/>
      <w:bookmarkEnd w:id="371"/>
      <w:bookmarkStart w:id="372" w:name="_Toc184312129"/>
      <w:bookmarkEnd w:id="372"/>
      <w:bookmarkStart w:id="373" w:name="_Toc184314432"/>
      <w:bookmarkEnd w:id="373"/>
      <w:bookmarkStart w:id="374" w:name="_Toc184312107"/>
      <w:bookmarkEnd w:id="374"/>
      <w:bookmarkStart w:id="375" w:name="_Toc184308037"/>
      <w:bookmarkEnd w:id="375"/>
      <w:bookmarkStart w:id="376" w:name="_Toc184312095"/>
      <w:bookmarkEnd w:id="376"/>
      <w:bookmarkStart w:id="377" w:name="_Toc184314430"/>
      <w:bookmarkEnd w:id="377"/>
      <w:bookmarkStart w:id="378" w:name="_Toc184314433"/>
      <w:bookmarkEnd w:id="378"/>
      <w:bookmarkStart w:id="379" w:name="_Toc184314478"/>
      <w:bookmarkEnd w:id="379"/>
      <w:bookmarkStart w:id="380" w:name="_Toc184310294"/>
      <w:bookmarkEnd w:id="380"/>
      <w:bookmarkStart w:id="381" w:name="_Toc184314423"/>
      <w:bookmarkEnd w:id="381"/>
      <w:bookmarkStart w:id="382" w:name="_Toc184314482"/>
      <w:bookmarkEnd w:id="382"/>
      <w:bookmarkStart w:id="383" w:name="_Toc184313293"/>
      <w:bookmarkEnd w:id="383"/>
      <w:bookmarkStart w:id="384" w:name="_Toc184314470"/>
      <w:bookmarkEnd w:id="384"/>
      <w:bookmarkStart w:id="385" w:name="_Toc184313270"/>
      <w:bookmarkEnd w:id="385"/>
      <w:bookmarkStart w:id="386" w:name="_Toc184312115"/>
      <w:bookmarkEnd w:id="386"/>
      <w:bookmarkStart w:id="387" w:name="_Toc184308097"/>
      <w:bookmarkEnd w:id="387"/>
      <w:bookmarkStart w:id="388" w:name="_Toc184312077"/>
      <w:bookmarkEnd w:id="388"/>
      <w:bookmarkStart w:id="389" w:name="_Toc184313263"/>
      <w:bookmarkEnd w:id="389"/>
      <w:bookmarkStart w:id="390" w:name="_Toc184312094"/>
      <w:bookmarkEnd w:id="390"/>
      <w:bookmarkStart w:id="391" w:name="_Toc184308068"/>
      <w:bookmarkEnd w:id="391"/>
      <w:bookmarkStart w:id="392" w:name="_Toc184313264"/>
      <w:bookmarkEnd w:id="392"/>
      <w:bookmarkStart w:id="393" w:name="_Toc184313238"/>
      <w:bookmarkEnd w:id="393"/>
      <w:bookmarkStart w:id="394" w:name="_Toc184308095"/>
      <w:bookmarkEnd w:id="394"/>
      <w:bookmarkStart w:id="395" w:name="_Toc184310308"/>
      <w:bookmarkEnd w:id="395"/>
      <w:bookmarkStart w:id="396" w:name="_Toc184313251"/>
      <w:bookmarkEnd w:id="396"/>
      <w:bookmarkStart w:id="397" w:name="_Toc184308054"/>
      <w:bookmarkEnd w:id="397"/>
      <w:bookmarkStart w:id="398" w:name="_Toc184313287"/>
      <w:bookmarkEnd w:id="398"/>
      <w:bookmarkStart w:id="399" w:name="_Toc184310339"/>
      <w:bookmarkEnd w:id="399"/>
      <w:bookmarkStart w:id="400" w:name="_Toc184312089"/>
      <w:bookmarkEnd w:id="400"/>
      <w:bookmarkStart w:id="401" w:name="_Toc184310282"/>
      <w:bookmarkEnd w:id="401"/>
      <w:bookmarkStart w:id="402" w:name="_Toc184310302"/>
      <w:bookmarkEnd w:id="402"/>
      <w:bookmarkStart w:id="403" w:name="_Toc184314410"/>
      <w:bookmarkEnd w:id="403"/>
      <w:bookmarkStart w:id="404" w:name="_Toc184314457"/>
      <w:bookmarkEnd w:id="404"/>
      <w:bookmarkStart w:id="405" w:name="_Toc184310288"/>
      <w:bookmarkEnd w:id="405"/>
      <w:bookmarkStart w:id="406" w:name="_Toc184312102"/>
      <w:bookmarkEnd w:id="406"/>
      <w:bookmarkStart w:id="407" w:name="_Toc184310304"/>
      <w:bookmarkEnd w:id="407"/>
      <w:r>
        <w:rPr>
          <w:rFonts w:hint="eastAsia" w:ascii="宋体" w:hAnsi="宋体" w:cs="宋体"/>
          <w:b/>
          <w:color w:val="auto"/>
          <w:sz w:val="36"/>
          <w:szCs w:val="36"/>
          <w:highlight w:val="none"/>
        </w:rPr>
        <w:t>评标办法</w:t>
      </w:r>
      <w:bookmarkEnd w:id="42"/>
    </w:p>
    <w:p w14:paraId="482163A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0"/>
        <w:gridCol w:w="5203"/>
        <w:gridCol w:w="600"/>
        <w:gridCol w:w="692"/>
      </w:tblGrid>
      <w:tr w14:paraId="022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vAlign w:val="center"/>
          </w:tcPr>
          <w:p w14:paraId="00118A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类  别</w:t>
            </w:r>
          </w:p>
        </w:tc>
        <w:tc>
          <w:tcPr>
            <w:tcW w:w="6363" w:type="dxa"/>
            <w:gridSpan w:val="2"/>
            <w:vAlign w:val="center"/>
          </w:tcPr>
          <w:p w14:paraId="330AD7F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原材料类</w:t>
            </w:r>
            <w:r>
              <w:rPr>
                <w:rFonts w:ascii="Times New Roman" w:hAnsi="Times New Roman" w:eastAsia="宋体" w:cs="Times New Roman"/>
                <w:color w:val="auto"/>
                <w:sz w:val="24"/>
                <w:szCs w:val="24"/>
                <w:highlight w:val="none"/>
              </w:rPr>
              <w:t>评标内容</w:t>
            </w:r>
          </w:p>
        </w:tc>
        <w:tc>
          <w:tcPr>
            <w:tcW w:w="600" w:type="dxa"/>
            <w:vAlign w:val="center"/>
          </w:tcPr>
          <w:p w14:paraId="4F20110C">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w:t>
            </w:r>
          </w:p>
        </w:tc>
        <w:tc>
          <w:tcPr>
            <w:tcW w:w="692" w:type="dxa"/>
            <w:vAlign w:val="center"/>
          </w:tcPr>
          <w:p w14:paraId="09805A43">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分值类型</w:t>
            </w:r>
          </w:p>
        </w:tc>
      </w:tr>
      <w:tr w14:paraId="3FA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743" w:type="dxa"/>
            <w:vMerge w:val="restart"/>
            <w:vAlign w:val="center"/>
          </w:tcPr>
          <w:p w14:paraId="1AAB626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价格分</w:t>
            </w:r>
          </w:p>
          <w:p w14:paraId="60ABE7A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30</w:t>
            </w:r>
            <w:r>
              <w:rPr>
                <w:rFonts w:ascii="Times New Roman" w:hAnsi="Times New Roman" w:eastAsia="宋体" w:cs="Times New Roman"/>
                <w:color w:val="auto"/>
                <w:sz w:val="24"/>
                <w:szCs w:val="24"/>
                <w:highlight w:val="none"/>
              </w:rPr>
              <w:t>分</w:t>
            </w:r>
          </w:p>
        </w:tc>
        <w:tc>
          <w:tcPr>
            <w:tcW w:w="6363" w:type="dxa"/>
            <w:gridSpan w:val="2"/>
            <w:vAlign w:val="center"/>
          </w:tcPr>
          <w:p w14:paraId="760F89CE">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rPr>
              <w:t>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投标折扣系数</w:t>
            </w:r>
          </w:p>
          <w:p w14:paraId="71D027C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以满足招标要求的该副食品类别有效投标（初步评审合格且商务技术、报价部分评审合格）中的最低的参与评审的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为评标基准价，得该类别满分；该类别投标报价得分计算公式如下：投标报价得分=评标基准价/参与评审的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×该类别价格分满分值占本评分标准总分值的百分比×100。供应商最终价格得分为供应商在各类别所得价格分之和。</w:t>
            </w:r>
          </w:p>
        </w:tc>
        <w:tc>
          <w:tcPr>
            <w:tcW w:w="600" w:type="dxa"/>
            <w:vMerge w:val="restart"/>
            <w:vAlign w:val="center"/>
          </w:tcPr>
          <w:p w14:paraId="7F706D9F">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30</w:t>
            </w:r>
          </w:p>
        </w:tc>
        <w:tc>
          <w:tcPr>
            <w:tcW w:w="692" w:type="dxa"/>
            <w:vMerge w:val="restart"/>
            <w:vAlign w:val="center"/>
          </w:tcPr>
          <w:p w14:paraId="31DDBF3E">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ED1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BFBB2FC">
            <w:pPr>
              <w:keepNext w:val="0"/>
              <w:keepLines w:val="0"/>
              <w:pageBreakBefore w:val="0"/>
              <w:widowControl w:val="0"/>
              <w:kinsoku/>
              <w:wordWrap/>
              <w:overflowPunct/>
              <w:topLinePunct w:val="0"/>
              <w:autoSpaceDE/>
              <w:autoSpaceDN/>
              <w:bidi w:val="0"/>
              <w:adjustRightInd/>
              <w:snapToGrid/>
              <w:spacing w:line="24" w:lineRule="atLeast"/>
              <w:textAlignment w:val="auto"/>
              <w:rPr>
                <w:color w:val="auto"/>
                <w:highlight w:val="none"/>
              </w:rPr>
            </w:pPr>
          </w:p>
        </w:tc>
        <w:tc>
          <w:tcPr>
            <w:tcW w:w="6363" w:type="dxa"/>
            <w:gridSpan w:val="2"/>
            <w:vAlign w:val="center"/>
          </w:tcPr>
          <w:p w14:paraId="35C27877">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r>
              <w:rPr>
                <w:rFonts w:hint="eastAsia" w:ascii="宋体" w:hAnsi="宋体" w:eastAsia="宋体" w:cs="宋体"/>
                <w:b/>
                <w:bCs/>
                <w:color w:val="auto"/>
                <w:sz w:val="24"/>
                <w:szCs w:val="24"/>
                <w:highlight w:val="none"/>
                <w:lang w:val="en-US" w:eastAsia="zh-CN"/>
              </w:rPr>
              <w:t>各副食品类别价格分满分值：</w:t>
            </w:r>
            <w:r>
              <w:rPr>
                <w:rFonts w:hint="eastAsia" w:ascii="宋体" w:hAnsi="宋体" w:eastAsia="宋体" w:cs="宋体"/>
                <w:b/>
                <w:bCs/>
                <w:color w:val="auto"/>
                <w:sz w:val="24"/>
                <w:szCs w:val="24"/>
                <w:highlight w:val="none"/>
                <w:lang w:val="en-US" w:eastAsia="zh-CN"/>
              </w:rPr>
              <w:t>鲜肉类：7分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鲜蔬类：8分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海鲜类：</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水果类：</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w:t>
            </w:r>
          </w:p>
        </w:tc>
        <w:tc>
          <w:tcPr>
            <w:tcW w:w="600" w:type="dxa"/>
            <w:vMerge w:val="continue"/>
            <w:vAlign w:val="center"/>
          </w:tcPr>
          <w:p w14:paraId="119BC8D9">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c>
          <w:tcPr>
            <w:tcW w:w="692" w:type="dxa"/>
            <w:vMerge w:val="continue"/>
            <w:vAlign w:val="center"/>
          </w:tcPr>
          <w:p w14:paraId="7E509A8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r>
      <w:tr w14:paraId="6BF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restart"/>
            <w:vAlign w:val="center"/>
          </w:tcPr>
          <w:p w14:paraId="521F0F4D">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商务技术分</w:t>
            </w:r>
            <w:r>
              <w:rPr>
                <w:rFonts w:hint="eastAsia" w:eastAsia="宋体" w:cs="Times New Roman"/>
                <w:color w:val="auto"/>
                <w:sz w:val="24"/>
                <w:szCs w:val="24"/>
                <w:highlight w:val="none"/>
                <w:lang w:val="en-US" w:eastAsia="zh-CN"/>
              </w:rPr>
              <w:t>70</w:t>
            </w:r>
            <w:r>
              <w:rPr>
                <w:rFonts w:ascii="Times New Roman" w:hAnsi="Times New Roman" w:eastAsia="宋体" w:cs="Times New Roman"/>
                <w:color w:val="auto"/>
                <w:sz w:val="24"/>
                <w:szCs w:val="24"/>
                <w:highlight w:val="none"/>
              </w:rPr>
              <w:t>分</w:t>
            </w:r>
          </w:p>
        </w:tc>
        <w:tc>
          <w:tcPr>
            <w:tcW w:w="1160" w:type="dxa"/>
            <w:vAlign w:val="center"/>
          </w:tcPr>
          <w:p w14:paraId="2FF6AB6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履约能力</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w:t>
            </w:r>
          </w:p>
        </w:tc>
        <w:tc>
          <w:tcPr>
            <w:tcW w:w="5203" w:type="dxa"/>
            <w:vAlign w:val="center"/>
          </w:tcPr>
          <w:p w14:paraId="549C499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1.1投标人具备</w:t>
            </w:r>
            <w:r>
              <w:rPr>
                <w:rFonts w:hint="eastAsia" w:ascii="宋体" w:hAnsi="宋体" w:cs="宋体"/>
                <w:color w:val="auto"/>
                <w:sz w:val="24"/>
                <w:szCs w:val="24"/>
                <w:highlight w:val="none"/>
                <w:lang w:val="en-US" w:eastAsia="zh-CN"/>
              </w:rPr>
              <w:t>有效期内的</w:t>
            </w:r>
            <w:r>
              <w:rPr>
                <w:rFonts w:hint="eastAsia" w:ascii="宋体" w:hAnsi="宋体" w:eastAsia="宋体" w:cs="宋体"/>
                <w:color w:val="auto"/>
                <w:sz w:val="24"/>
                <w:szCs w:val="24"/>
                <w:highlight w:val="none"/>
                <w:lang w:val="en-US" w:eastAsia="zh-CN"/>
              </w:rPr>
              <w:t>质量管理体系认证、环境管理体系认证、职业健康安全管理体系认证、食品安全管理体系认证，任意一个认证得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分。本项满分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分。（供应商需提供以上证明资料复印件</w:t>
            </w:r>
            <w:r>
              <w:rPr>
                <w:rFonts w:hint="eastAsia" w:ascii="宋体" w:hAnsi="宋体" w:cs="宋体"/>
                <w:color w:val="auto"/>
                <w:sz w:val="24"/>
                <w:szCs w:val="24"/>
                <w:highlight w:val="none"/>
                <w:lang w:val="en-US" w:eastAsia="zh-CN"/>
              </w:rPr>
              <w:t>（或扫描件）及全国认证认可信息公共服务平台查询有效截图</w:t>
            </w:r>
            <w:r>
              <w:rPr>
                <w:rFonts w:hint="eastAsia" w:ascii="宋体" w:hAnsi="宋体" w:eastAsia="宋体" w:cs="宋体"/>
                <w:color w:val="auto"/>
                <w:sz w:val="24"/>
                <w:szCs w:val="24"/>
                <w:highlight w:val="none"/>
                <w:lang w:val="en-US" w:eastAsia="zh-CN"/>
              </w:rPr>
              <w:t>；未提供不得分。）</w:t>
            </w:r>
          </w:p>
        </w:tc>
        <w:tc>
          <w:tcPr>
            <w:tcW w:w="600" w:type="dxa"/>
            <w:vAlign w:val="center"/>
          </w:tcPr>
          <w:p w14:paraId="5FEFC1F2">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w:t>
            </w:r>
          </w:p>
        </w:tc>
        <w:tc>
          <w:tcPr>
            <w:tcW w:w="692" w:type="dxa"/>
            <w:vAlign w:val="center"/>
          </w:tcPr>
          <w:p w14:paraId="176C82D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08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43" w:type="dxa"/>
            <w:vMerge w:val="continue"/>
            <w:vAlign w:val="center"/>
          </w:tcPr>
          <w:p w14:paraId="3862207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Align w:val="center"/>
          </w:tcPr>
          <w:p w14:paraId="72C7C82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2、业绩（</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分）</w:t>
            </w:r>
          </w:p>
          <w:p w14:paraId="6999C87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vAlign w:val="center"/>
          </w:tcPr>
          <w:p w14:paraId="27B5A71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 </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lang w:val="en-US" w:eastAsia="zh-CN"/>
              </w:rPr>
              <w:t>2022年1月1日以来（以合同签订时间为准）</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完成过或正在供货</w:t>
            </w:r>
            <w:r>
              <w:rPr>
                <w:rFonts w:hint="eastAsia" w:ascii="宋体" w:hAnsi="宋体" w:cs="宋体"/>
                <w:color w:val="auto"/>
                <w:sz w:val="24"/>
                <w:szCs w:val="24"/>
                <w:highlight w:val="none"/>
                <w:lang w:val="en-US" w:eastAsia="zh-CN"/>
              </w:rPr>
              <w:t>（供货内容包含食堂原材料，含本次招标任意一品类即可）</w:t>
            </w:r>
            <w:r>
              <w:rPr>
                <w:rFonts w:hint="eastAsia" w:ascii="宋体" w:hAnsi="宋体" w:eastAsia="宋体" w:cs="宋体"/>
                <w:color w:val="auto"/>
                <w:sz w:val="24"/>
                <w:szCs w:val="24"/>
                <w:highlight w:val="none"/>
                <w:lang w:val="en-US" w:eastAsia="zh-CN"/>
              </w:rPr>
              <w:t>。每一例业绩得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分；累计最多得3分。【投标文件需提供供货合同（或供货单）、供货发票及银行往来凭证复印件、业主单位好评证明加盖公章为准】</w:t>
            </w:r>
          </w:p>
        </w:tc>
        <w:tc>
          <w:tcPr>
            <w:tcW w:w="600" w:type="dxa"/>
            <w:vAlign w:val="center"/>
          </w:tcPr>
          <w:p w14:paraId="3D9809C1">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4F5DCA27">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2AC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43" w:type="dxa"/>
            <w:vMerge w:val="continue"/>
            <w:vAlign w:val="center"/>
          </w:tcPr>
          <w:p w14:paraId="2378B8E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771333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3、综合服务能力（2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分）</w:t>
            </w:r>
          </w:p>
          <w:p w14:paraId="6E0ECEE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本项评审时仅以一个地址为打分依据。以上处理车间、配送中心非同一地址的，只以配送中心场地作为评审依据。</w:t>
            </w:r>
          </w:p>
        </w:tc>
        <w:tc>
          <w:tcPr>
            <w:tcW w:w="5203" w:type="dxa"/>
            <w:shd w:val="clear" w:color="auto" w:fill="auto"/>
            <w:vAlign w:val="center"/>
          </w:tcPr>
          <w:p w14:paraId="069C9DB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提供的配送处理车间情况进行评议：</w:t>
            </w:r>
          </w:p>
          <w:p w14:paraId="2745212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①配送处理车间布局合理，专业加工处理设备齐全的得3分；</w:t>
            </w:r>
          </w:p>
          <w:p w14:paraId="396A954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②配送处理车间布局基本合理，专业加工处理设备数量略有欠缺的得2分；</w:t>
            </w:r>
          </w:p>
          <w:p w14:paraId="5993195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③配送处理车间布局不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合理，专业加工处理设备数量少的得1分。</w:t>
            </w:r>
          </w:p>
          <w:p w14:paraId="44210A3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2C859E1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（投标文件需提供照片平面图、文字说明）</w:t>
            </w:r>
          </w:p>
        </w:tc>
        <w:tc>
          <w:tcPr>
            <w:tcW w:w="600" w:type="dxa"/>
            <w:shd w:val="clear" w:color="auto" w:fill="auto"/>
            <w:vAlign w:val="center"/>
          </w:tcPr>
          <w:p w14:paraId="0BEEC9C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p>
          <w:p w14:paraId="53E20AA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692" w:type="dxa"/>
            <w:shd w:val="clear" w:color="auto" w:fill="auto"/>
            <w:vAlign w:val="center"/>
          </w:tcPr>
          <w:p w14:paraId="6734CF2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p>
          <w:p w14:paraId="5C1592B5">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6DBD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2E2F5C2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3A10F8A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6FC3892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提供的冷库</w:t>
            </w:r>
            <w:r>
              <w:rPr>
                <w:rFonts w:hint="eastAsia" w:ascii="宋体" w:hAnsi="宋体" w:cs="宋体"/>
                <w:color w:val="auto"/>
                <w:sz w:val="24"/>
                <w:szCs w:val="24"/>
                <w:highlight w:val="none"/>
                <w:lang w:val="en-US" w:eastAsia="zh-CN"/>
              </w:rPr>
              <w:t>（包含冷冻库、冷藏库）</w:t>
            </w:r>
            <w:r>
              <w:rPr>
                <w:rFonts w:hint="eastAsia" w:ascii="宋体" w:hAnsi="宋体" w:eastAsia="宋体" w:cs="宋体"/>
                <w:color w:val="auto"/>
                <w:sz w:val="24"/>
                <w:szCs w:val="24"/>
                <w:highlight w:val="none"/>
                <w:lang w:val="en-US" w:eastAsia="zh-CN"/>
              </w:rPr>
              <w:t>情况进行评议：</w:t>
            </w:r>
          </w:p>
          <w:p w14:paraId="1743FBE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①冷库面积符合本项目实际要求，冷库布局合理的得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F91645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②冷库面积与本项目实际要求略有欠缺，冷库布局</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7905D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③冷库面积</w:t>
            </w:r>
            <w:r>
              <w:rPr>
                <w:rFonts w:hint="eastAsia" w:ascii="宋体" w:hAnsi="宋体" w:cs="宋体"/>
                <w:color w:val="auto"/>
                <w:sz w:val="24"/>
                <w:szCs w:val="24"/>
                <w:highlight w:val="none"/>
                <w:lang w:val="en-US" w:eastAsia="zh-CN"/>
              </w:rPr>
              <w:t>基本满足</w:t>
            </w:r>
            <w:r>
              <w:rPr>
                <w:rFonts w:hint="eastAsia" w:ascii="宋体" w:hAnsi="宋体" w:eastAsia="宋体" w:cs="宋体"/>
                <w:color w:val="auto"/>
                <w:sz w:val="24"/>
                <w:szCs w:val="24"/>
                <w:highlight w:val="none"/>
                <w:lang w:val="en-US" w:eastAsia="zh-CN"/>
              </w:rPr>
              <w:t>本项目实际要求，冷库布局基本合理的得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623EFC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④冷库面积</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本项目要求</w:t>
            </w:r>
            <w:r>
              <w:rPr>
                <w:rFonts w:hint="eastAsia" w:ascii="宋体" w:hAnsi="宋体" w:cs="宋体"/>
                <w:color w:val="auto"/>
                <w:sz w:val="24"/>
                <w:szCs w:val="24"/>
                <w:highlight w:val="none"/>
                <w:lang w:val="en-US" w:eastAsia="zh-CN"/>
              </w:rPr>
              <w:t>存在偏差</w:t>
            </w:r>
            <w:r>
              <w:rPr>
                <w:rFonts w:hint="eastAsia" w:ascii="宋体" w:hAnsi="宋体" w:eastAsia="宋体" w:cs="宋体"/>
                <w:color w:val="auto"/>
                <w:sz w:val="24"/>
                <w:szCs w:val="24"/>
                <w:highlight w:val="none"/>
                <w:lang w:val="en-US" w:eastAsia="zh-CN"/>
              </w:rPr>
              <w:t>，或冷库布局不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7C7AF84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⑤冷库面积与本项目要求存在较大偏差，或冷库布局混乱的得1分</w:t>
            </w:r>
            <w:r>
              <w:rPr>
                <w:rFonts w:hint="eastAsia" w:ascii="宋体" w:hAnsi="宋体" w:eastAsia="宋体" w:cs="宋体"/>
                <w:color w:val="auto"/>
                <w:sz w:val="24"/>
                <w:szCs w:val="24"/>
                <w:highlight w:val="none"/>
                <w:lang w:val="en-US" w:eastAsia="zh-CN"/>
              </w:rPr>
              <w:t>。</w:t>
            </w:r>
          </w:p>
          <w:p w14:paraId="3217DCD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p w14:paraId="1AD5F58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冷库所在地</w:t>
            </w:r>
            <w:r>
              <w:rPr>
                <w:rFonts w:hint="eastAsia" w:ascii="宋体" w:hAnsi="宋体" w:eastAsia="宋体" w:cs="宋体"/>
                <w:color w:val="auto"/>
                <w:sz w:val="24"/>
                <w:szCs w:val="24"/>
                <w:highlight w:val="none"/>
                <w:lang w:val="en-US" w:eastAsia="zh-CN"/>
              </w:rPr>
              <w:t>房屋</w:t>
            </w:r>
            <w:r>
              <w:rPr>
                <w:rFonts w:hint="default" w:ascii="宋体" w:hAnsi="宋体" w:eastAsia="宋体" w:cs="宋体"/>
                <w:color w:val="auto"/>
                <w:sz w:val="24"/>
                <w:szCs w:val="24"/>
                <w:highlight w:val="none"/>
                <w:lang w:val="en-US" w:eastAsia="zh-CN"/>
              </w:rPr>
              <w:t>不动产证或房屋租赁协议、租赁发票复印件。提供实际场地平面图、全景照片（三张以上）</w:t>
            </w:r>
            <w:r>
              <w:rPr>
                <w:rFonts w:hint="eastAsia" w:ascii="宋体" w:hAnsi="宋体" w:eastAsia="宋体" w:cs="宋体"/>
                <w:color w:val="auto"/>
                <w:sz w:val="24"/>
                <w:szCs w:val="24"/>
                <w:highlight w:val="none"/>
                <w:lang w:val="en-US" w:eastAsia="zh-CN"/>
              </w:rPr>
              <w:t>以及</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认为需要提供的其他资料；</w:t>
            </w:r>
            <w:r>
              <w:rPr>
                <w:rFonts w:hint="eastAsia" w:ascii="宋体" w:hAnsi="宋体" w:cs="宋体"/>
                <w:color w:val="auto"/>
                <w:sz w:val="24"/>
                <w:szCs w:val="24"/>
                <w:highlight w:val="none"/>
                <w:lang w:val="en-US" w:eastAsia="zh-CN"/>
              </w:rPr>
              <w:t>如冷库所在地无法提供房产证的，需提供当地乡镇街道（含乡镇街道所属城建部门）及以上政府部门出具的相关证明材料，</w:t>
            </w:r>
            <w:r>
              <w:rPr>
                <w:rFonts w:hint="eastAsia" w:ascii="宋体" w:hAnsi="宋体" w:eastAsia="宋体" w:cs="宋体"/>
                <w:color w:val="auto"/>
                <w:sz w:val="24"/>
                <w:szCs w:val="24"/>
                <w:highlight w:val="none"/>
                <w:lang w:val="en-US" w:eastAsia="zh-CN"/>
              </w:rPr>
              <w:t>未提供或提供不全的不得分</w:t>
            </w:r>
            <w:r>
              <w:rPr>
                <w:rFonts w:hint="default" w:ascii="宋体" w:hAnsi="宋体" w:eastAsia="宋体" w:cs="宋体"/>
                <w:color w:val="auto"/>
                <w:sz w:val="24"/>
                <w:szCs w:val="24"/>
                <w:highlight w:val="none"/>
                <w:lang w:val="en-US" w:eastAsia="zh-CN"/>
              </w:rPr>
              <w:t>）</w:t>
            </w:r>
          </w:p>
        </w:tc>
        <w:tc>
          <w:tcPr>
            <w:tcW w:w="600" w:type="dxa"/>
            <w:shd w:val="clear" w:color="auto" w:fill="auto"/>
            <w:vAlign w:val="center"/>
          </w:tcPr>
          <w:p w14:paraId="5D51ACA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p>
        </w:tc>
        <w:tc>
          <w:tcPr>
            <w:tcW w:w="692" w:type="dxa"/>
            <w:shd w:val="clear" w:color="auto" w:fill="auto"/>
            <w:vAlign w:val="center"/>
          </w:tcPr>
          <w:p w14:paraId="346A992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1F1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1E6371F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56F3043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2437143C">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提供的配送中心情况进行评议：</w:t>
            </w:r>
          </w:p>
          <w:p w14:paraId="2503E00E">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①配送中心面积</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本项目实际要求</w:t>
            </w:r>
            <w:r>
              <w:rPr>
                <w:rFonts w:hint="eastAsia" w:ascii="宋体" w:hAnsi="宋体" w:cs="宋体"/>
                <w:color w:val="auto"/>
                <w:sz w:val="24"/>
                <w:szCs w:val="24"/>
                <w:highlight w:val="none"/>
                <w:lang w:val="en-US" w:eastAsia="zh-CN"/>
              </w:rPr>
              <w:t>匹配</w:t>
            </w:r>
            <w:r>
              <w:rPr>
                <w:rFonts w:hint="eastAsia" w:ascii="宋体" w:hAnsi="宋体" w:eastAsia="宋体" w:cs="宋体"/>
                <w:color w:val="auto"/>
                <w:sz w:val="24"/>
                <w:szCs w:val="24"/>
                <w:highlight w:val="none"/>
                <w:lang w:val="en-US" w:eastAsia="zh-CN"/>
              </w:rPr>
              <w:t>的得3分；</w:t>
            </w:r>
          </w:p>
          <w:p w14:paraId="5DB0630D">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②配送中心面积与本项目实际要求略有欠缺的得2分；</w:t>
            </w:r>
          </w:p>
          <w:p w14:paraId="67BF4DD9">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③配送中心面积与本项目要求存在较大偏差的得1分。</w:t>
            </w:r>
          </w:p>
          <w:p w14:paraId="527ECC27">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p w14:paraId="6098EBD4">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投标文件中须提供房产证复印件或租赁合同复印件并加盖公章；如为租赁的，还需提供租金发票、银行凭证复印件加盖公章；</w:t>
            </w:r>
            <w:r>
              <w:rPr>
                <w:rFonts w:hint="eastAsia" w:cs="Times New Roman"/>
                <w:color w:val="auto"/>
                <w:sz w:val="24"/>
                <w:szCs w:val="24"/>
                <w:highlight w:val="none"/>
                <w:lang w:val="en-US" w:eastAsia="zh-CN"/>
              </w:rPr>
              <w:t>如为自有但无法提供房产证的，需提供当地</w:t>
            </w:r>
            <w:r>
              <w:rPr>
                <w:rFonts w:hint="eastAsia" w:ascii="宋体" w:hAnsi="宋体" w:cs="宋体"/>
                <w:color w:val="auto"/>
                <w:sz w:val="24"/>
                <w:szCs w:val="24"/>
                <w:highlight w:val="none"/>
                <w:lang w:val="en-US" w:eastAsia="zh-CN"/>
              </w:rPr>
              <w:t>乡镇街道（含乡镇街道所属城建部门）及以上政府部门出具的相关证明材料（含建筑面积）</w:t>
            </w:r>
            <w:r>
              <w:rPr>
                <w:rFonts w:hint="eastAsia" w:ascii="Times New Roman" w:hAnsi="Times New Roman" w:eastAsia="宋体" w:cs="Times New Roman"/>
                <w:color w:val="auto"/>
                <w:sz w:val="24"/>
                <w:szCs w:val="24"/>
                <w:highlight w:val="none"/>
                <w:lang w:val="en-US" w:eastAsia="zh-CN"/>
              </w:rPr>
              <w:t>；未提供或提供不全的不得分</w:t>
            </w:r>
            <w:r>
              <w:rPr>
                <w:rFonts w:hint="eastAsia" w:cs="Times New Roman"/>
                <w:color w:val="auto"/>
                <w:sz w:val="24"/>
                <w:szCs w:val="24"/>
                <w:highlight w:val="none"/>
                <w:lang w:val="en-US" w:eastAsia="zh-CN"/>
              </w:rPr>
              <w:t>）</w:t>
            </w:r>
          </w:p>
        </w:tc>
        <w:tc>
          <w:tcPr>
            <w:tcW w:w="600" w:type="dxa"/>
            <w:shd w:val="clear" w:color="auto" w:fill="auto"/>
            <w:vAlign w:val="center"/>
          </w:tcPr>
          <w:p w14:paraId="146233B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3</w:t>
            </w:r>
          </w:p>
        </w:tc>
        <w:tc>
          <w:tcPr>
            <w:tcW w:w="692" w:type="dxa"/>
            <w:shd w:val="clear" w:color="auto" w:fill="auto"/>
            <w:vAlign w:val="center"/>
          </w:tcPr>
          <w:p w14:paraId="4698623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cs="Times New Roman"/>
                <w:snapToGrid w:val="0"/>
                <w:color w:val="auto"/>
                <w:spacing w:val="-4"/>
                <w:kern w:val="2"/>
                <w:sz w:val="24"/>
                <w:szCs w:val="24"/>
                <w:highlight w:val="none"/>
                <w:lang w:val="en-US" w:eastAsia="zh-CN"/>
              </w:rPr>
              <w:t>主</w:t>
            </w:r>
            <w:r>
              <w:rPr>
                <w:rFonts w:hint="eastAsia" w:ascii="宋体" w:hAnsi="宋体" w:eastAsia="宋体" w:cs="Times New Roman"/>
                <w:snapToGrid w:val="0"/>
                <w:color w:val="auto"/>
                <w:spacing w:val="-4"/>
                <w:kern w:val="2"/>
                <w:sz w:val="24"/>
                <w:szCs w:val="24"/>
                <w:highlight w:val="none"/>
                <w:lang w:val="en-US" w:eastAsia="zh-CN"/>
              </w:rPr>
              <w:t>观评议</w:t>
            </w:r>
          </w:p>
        </w:tc>
      </w:tr>
      <w:tr w14:paraId="4EF0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7B03F9B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4CC7184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4EC1B3A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提供的配送中心与本项目服务对象的服务时效进行评议：</w:t>
            </w:r>
          </w:p>
          <w:p w14:paraId="0FB6AC39">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①响应速度快，送达时间短，超时处理机制全面合理的得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F1F7C5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②响应速度较快，送达时间较短，超时处理机制较全面合理的得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E506D4C">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③响应速度一般，送达时间尚可，超时处理机制全面性、合理性一般的得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A305818">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④响应速度</w:t>
            </w:r>
            <w:r>
              <w:rPr>
                <w:rFonts w:hint="eastAsia" w:ascii="宋体" w:hAnsi="宋体" w:cs="宋体"/>
                <w:color w:val="auto"/>
                <w:sz w:val="24"/>
                <w:szCs w:val="24"/>
                <w:highlight w:val="none"/>
                <w:lang w:val="en-US" w:eastAsia="zh-CN"/>
              </w:rPr>
              <w:t>较慢</w:t>
            </w:r>
            <w:r>
              <w:rPr>
                <w:rFonts w:hint="eastAsia" w:ascii="宋体" w:hAnsi="宋体" w:eastAsia="宋体" w:cs="宋体"/>
                <w:color w:val="auto"/>
                <w:sz w:val="24"/>
                <w:szCs w:val="24"/>
                <w:highlight w:val="none"/>
                <w:lang w:val="en-US" w:eastAsia="zh-CN"/>
              </w:rPr>
              <w:t>，送达时间较长，超时处理机制全面性、合理性欠缺的得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387396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⑤响应速度慢，送达时间长，超时处理机制全面性、合理性差的得0分。</w:t>
            </w:r>
          </w:p>
        </w:tc>
        <w:tc>
          <w:tcPr>
            <w:tcW w:w="600" w:type="dxa"/>
            <w:shd w:val="clear" w:color="auto" w:fill="auto"/>
            <w:vAlign w:val="center"/>
          </w:tcPr>
          <w:p w14:paraId="646B5B1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p>
        </w:tc>
        <w:tc>
          <w:tcPr>
            <w:tcW w:w="692" w:type="dxa"/>
            <w:shd w:val="clear" w:color="auto" w:fill="auto"/>
            <w:vAlign w:val="center"/>
          </w:tcPr>
          <w:p w14:paraId="1D244F5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cs="Times New Roman"/>
                <w:snapToGrid w:val="0"/>
                <w:color w:val="auto"/>
                <w:spacing w:val="-4"/>
                <w:kern w:val="2"/>
                <w:sz w:val="24"/>
                <w:szCs w:val="24"/>
                <w:highlight w:val="none"/>
                <w:lang w:val="en-US" w:eastAsia="zh-CN" w:bidi="ar-SA"/>
              </w:rPr>
              <w:t>主</w:t>
            </w:r>
            <w:r>
              <w:rPr>
                <w:rFonts w:hint="eastAsia" w:ascii="宋体" w:hAnsi="宋体" w:eastAsia="宋体" w:cs="Times New Roman"/>
                <w:snapToGrid w:val="0"/>
                <w:color w:val="auto"/>
                <w:spacing w:val="-4"/>
                <w:kern w:val="2"/>
                <w:sz w:val="24"/>
                <w:szCs w:val="24"/>
                <w:highlight w:val="none"/>
                <w:lang w:val="en-US" w:eastAsia="zh-CN" w:bidi="ar-SA"/>
              </w:rPr>
              <w:t>观评议</w:t>
            </w:r>
          </w:p>
        </w:tc>
      </w:tr>
      <w:tr w14:paraId="602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743" w:type="dxa"/>
            <w:vMerge w:val="continue"/>
            <w:vAlign w:val="center"/>
          </w:tcPr>
          <w:p w14:paraId="58D7260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5BA2820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0A5FA16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提供的服务响应内容、服务便捷性方案进行评议：</w:t>
            </w:r>
          </w:p>
          <w:p w14:paraId="50823C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①服务响应内容全面，服务便捷性方案合理、可实施的得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EACBDA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②服务响应内容较全面，服务便捷性方案略有欠缺但基本能满足项目要求的得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F033B5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③服务响应内容不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全面，服务便捷性方案</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项目实际需求</w:t>
            </w:r>
            <w:r>
              <w:rPr>
                <w:rFonts w:hint="eastAsia" w:ascii="宋体" w:hAnsi="宋体" w:cs="宋体"/>
                <w:color w:val="auto"/>
                <w:sz w:val="24"/>
                <w:szCs w:val="24"/>
                <w:highlight w:val="none"/>
                <w:lang w:val="en-US" w:eastAsia="zh-CN"/>
              </w:rPr>
              <w:t>存在较大偏差</w:t>
            </w:r>
            <w:r>
              <w:rPr>
                <w:rFonts w:hint="eastAsia" w:ascii="宋体" w:hAnsi="宋体" w:eastAsia="宋体" w:cs="宋体"/>
                <w:color w:val="auto"/>
                <w:sz w:val="24"/>
                <w:szCs w:val="24"/>
                <w:highlight w:val="none"/>
                <w:lang w:val="en-US" w:eastAsia="zh-CN"/>
              </w:rPr>
              <w:t>的得1分。</w:t>
            </w:r>
          </w:p>
          <w:p w14:paraId="6D1E580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4E09826">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vAlign w:val="center"/>
          </w:tcPr>
          <w:p w14:paraId="33279219">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6F3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43" w:type="dxa"/>
            <w:vMerge w:val="continue"/>
            <w:vAlign w:val="center"/>
          </w:tcPr>
          <w:p w14:paraId="091EAD98">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076516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396FBC8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为本项目服务配置的自有车辆：</w:t>
            </w:r>
          </w:p>
          <w:p w14:paraId="0F7959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厢式车辆的，每提供1辆得0.5分；冷藏车的，每提供1辆得1分；本项满分3分。</w:t>
            </w:r>
          </w:p>
          <w:p w14:paraId="3848C8B3">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【投标文件中须提供车辆照片（能显示车牌）、行驶证、购买发票加盖公章。如提供的证明材料不全的，本项不得分】</w:t>
            </w:r>
          </w:p>
        </w:tc>
        <w:tc>
          <w:tcPr>
            <w:tcW w:w="600" w:type="dxa"/>
            <w:shd w:val="clear" w:color="auto" w:fill="auto"/>
            <w:vAlign w:val="center"/>
          </w:tcPr>
          <w:p w14:paraId="562BAFA0">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shd w:val="clear" w:color="auto" w:fill="auto"/>
            <w:vAlign w:val="center"/>
          </w:tcPr>
          <w:p w14:paraId="555716C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AC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3" w:type="dxa"/>
            <w:vMerge w:val="continue"/>
            <w:vAlign w:val="center"/>
          </w:tcPr>
          <w:p w14:paraId="07840F5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03AE8E0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4、质量</w:t>
            </w:r>
            <w:r>
              <w:rPr>
                <w:rFonts w:hint="eastAsia" w:ascii="Times New Roman" w:hAnsi="Times New Roman" w:eastAsia="宋体" w:cs="Times New Roman"/>
                <w:color w:val="auto"/>
                <w:sz w:val="24"/>
                <w:szCs w:val="24"/>
                <w:highlight w:val="none"/>
                <w:lang w:eastAsia="zh-CN"/>
              </w:rPr>
              <w:t>实际</w:t>
            </w:r>
            <w:r>
              <w:rPr>
                <w:rFonts w:hint="eastAsia" w:ascii="Times New Roman" w:hAnsi="Times New Roman" w:eastAsia="宋体" w:cs="Times New Roman"/>
                <w:color w:val="auto"/>
                <w:sz w:val="24"/>
                <w:szCs w:val="24"/>
                <w:highlight w:val="none"/>
              </w:rPr>
              <w:t>控制能力（</w:t>
            </w:r>
            <w:r>
              <w:rPr>
                <w:rFonts w:hint="eastAsia"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分）</w:t>
            </w:r>
          </w:p>
        </w:tc>
        <w:tc>
          <w:tcPr>
            <w:tcW w:w="5203" w:type="dxa"/>
            <w:vAlign w:val="center"/>
          </w:tcPr>
          <w:p w14:paraId="165A00D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提供的质检室建设</w:t>
            </w:r>
            <w:r>
              <w:rPr>
                <w:rFonts w:hint="eastAsia" w:ascii="宋体" w:hAnsi="宋体" w:cs="宋体"/>
                <w:color w:val="auto"/>
                <w:sz w:val="24"/>
                <w:szCs w:val="24"/>
                <w:highlight w:val="none"/>
                <w:lang w:val="en-US" w:eastAsia="zh-CN"/>
              </w:rPr>
              <w:t>及质检设备投入情况及检测措施方案进行评议：</w:t>
            </w:r>
          </w:p>
          <w:p w14:paraId="015E1E7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①质检室建设方案合理，设备投入齐全，有针对本项目的检测措施方案的得3分；</w:t>
            </w:r>
          </w:p>
          <w:p w14:paraId="6724962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②质检室建设方案基本合理，有一定数量的质检设备但种类略有欠缺，检测措施方案基本能满足项目要求的得2分；</w:t>
            </w:r>
          </w:p>
          <w:p w14:paraId="71C3350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③质检室建设方案不够合理，质检设备数量少，检测措施方案与项目需求存在较大偏差的得1分。</w:t>
            </w:r>
          </w:p>
          <w:p w14:paraId="4C76B75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vAlign w:val="center"/>
          </w:tcPr>
          <w:p w14:paraId="4DFB9EF8">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4688A0AF">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A7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43" w:type="dxa"/>
            <w:vMerge w:val="continue"/>
            <w:vAlign w:val="center"/>
          </w:tcPr>
          <w:p w14:paraId="31E01DB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284484C">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79B5D68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提供的质检人员技术能力、经验及最能反映检测水平结果的质检报告、合格证进行评议：</w:t>
            </w:r>
          </w:p>
          <w:p w14:paraId="3BF1314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①质检人员技术能力优异、质检经验丰富，质检报告或合格证的种类齐全且能反映检测水平的得3分；</w:t>
            </w:r>
          </w:p>
          <w:p w14:paraId="106FC56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②质检人员技术能力略有欠缺、质检经验一般，质检报告或合格证的种类基本符合项目要求，但数量略有欠缺，仅能反映</w:t>
            </w:r>
            <w:r>
              <w:rPr>
                <w:rFonts w:hint="eastAsia" w:ascii="宋体" w:hAnsi="宋体" w:cs="宋体"/>
                <w:color w:val="auto"/>
                <w:sz w:val="24"/>
                <w:szCs w:val="24"/>
                <w:highlight w:val="none"/>
                <w:lang w:val="en-US" w:eastAsia="zh-CN"/>
              </w:rPr>
              <w:t>大</w:t>
            </w:r>
            <w:r>
              <w:rPr>
                <w:rFonts w:hint="eastAsia" w:ascii="宋体" w:hAnsi="宋体" w:eastAsia="宋体" w:cs="宋体"/>
                <w:color w:val="auto"/>
                <w:sz w:val="24"/>
                <w:szCs w:val="24"/>
                <w:highlight w:val="none"/>
                <w:lang w:val="en-US" w:eastAsia="zh-CN"/>
              </w:rPr>
              <w:t>部分产品的检测水平的得2分；</w:t>
            </w:r>
          </w:p>
          <w:p w14:paraId="08112CF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③质检人员技术能力差、质检经验少，质检报告或合格证的种类或数量少，</w:t>
            </w:r>
            <w:r>
              <w:rPr>
                <w:rFonts w:hint="eastAsia" w:ascii="宋体" w:hAnsi="宋体" w:cs="宋体"/>
                <w:color w:val="auto"/>
                <w:sz w:val="24"/>
                <w:szCs w:val="24"/>
                <w:highlight w:val="none"/>
                <w:lang w:val="en-US" w:eastAsia="zh-CN"/>
              </w:rPr>
              <w:t>仅能</w:t>
            </w:r>
            <w:r>
              <w:rPr>
                <w:rFonts w:hint="eastAsia" w:ascii="宋体" w:hAnsi="宋体" w:eastAsia="宋体" w:cs="宋体"/>
                <w:color w:val="auto"/>
                <w:sz w:val="24"/>
                <w:szCs w:val="24"/>
                <w:highlight w:val="none"/>
                <w:lang w:val="en-US" w:eastAsia="zh-CN"/>
              </w:rPr>
              <w:t>反映</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lang w:val="en-US" w:eastAsia="zh-CN"/>
              </w:rPr>
              <w:t>部分产品的检测水平的得1分。</w:t>
            </w:r>
          </w:p>
          <w:p w14:paraId="518026E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vAlign w:val="center"/>
          </w:tcPr>
          <w:p w14:paraId="658561D3">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178D119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CA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43" w:type="dxa"/>
            <w:vMerge w:val="continue"/>
            <w:vAlign w:val="center"/>
          </w:tcPr>
          <w:p w14:paraId="07E359EE">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251B054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0A794B3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4.3投标商品的索证备案台账：根据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提供的浙食链数据进行评议。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用户注册激活得0.5分，有产品信息接收得0.5分；</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属地市场监督管理局监管端入库码、出库码数据证明完整的得2分。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数据以加盖</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属地市场监督管理局公章的证明为准</w:t>
            </w:r>
            <w:r>
              <w:rPr>
                <w:rFonts w:hint="eastAsia" w:ascii="宋体" w:hAnsi="宋体" w:cs="宋体"/>
                <w:color w:val="auto"/>
                <w:sz w:val="24"/>
                <w:szCs w:val="24"/>
                <w:highlight w:val="none"/>
                <w:lang w:val="en-US" w:eastAsia="zh-CN"/>
              </w:rPr>
              <w:t>）</w:t>
            </w:r>
          </w:p>
        </w:tc>
        <w:tc>
          <w:tcPr>
            <w:tcW w:w="600" w:type="dxa"/>
            <w:vAlign w:val="center"/>
          </w:tcPr>
          <w:p w14:paraId="07E15328">
            <w:pPr>
              <w:widowControl/>
              <w:shd w:val="clear"/>
              <w:adjustRightInd/>
              <w:spacing w:line="24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692" w:type="dxa"/>
            <w:vAlign w:val="center"/>
          </w:tcPr>
          <w:p w14:paraId="2B9F4E50">
            <w:pPr>
              <w:widowControl/>
              <w:shd w:val="clear" w:color="auto"/>
              <w:adjustRightInd/>
              <w:spacing w:line="240" w:lineRule="auto"/>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3D71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4C9FAE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Align w:val="center"/>
          </w:tcPr>
          <w:p w14:paraId="7E6BB8ED">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本项目人员配备及人员管理方案</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w:t>
            </w:r>
          </w:p>
        </w:tc>
        <w:tc>
          <w:tcPr>
            <w:tcW w:w="5203" w:type="dxa"/>
            <w:vAlign w:val="center"/>
          </w:tcPr>
          <w:p w14:paraId="32BBCF6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lang w:val="en-US" w:eastAsia="zh-CN"/>
              </w:rPr>
              <w:t>根据投入本项目的人员配备方案进行评议：</w:t>
            </w:r>
          </w:p>
          <w:p w14:paraId="4F19A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①人员分工合理、组织架构科学完善，完全满足本项目对人员投入的要求得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EAA40C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②人员分工基本符合项目要求，有基础的组织架构，人员配置基本能满足项目的要求但略有欠缺的得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38EC6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③人员分工不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合理、组织架构不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科学，人员总体配置与项目的实际需求差距较大的得1分。</w:t>
            </w:r>
          </w:p>
          <w:p w14:paraId="4AFF91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vAlign w:val="center"/>
          </w:tcPr>
          <w:p w14:paraId="67B7B411">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7A8B6E5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B29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3897025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6D4324B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、售后服务保证承诺及质量问题处罚措施（</w:t>
            </w:r>
            <w:r>
              <w:rPr>
                <w:rFonts w:hint="eastAsia" w:cs="Times New Roman"/>
                <w:color w:val="auto"/>
                <w:sz w:val="24"/>
                <w:szCs w:val="24"/>
                <w:highlight w:val="none"/>
                <w:lang w:val="en-US" w:eastAsia="zh-CN"/>
              </w:rPr>
              <w:t>13</w:t>
            </w:r>
            <w:r>
              <w:rPr>
                <w:rFonts w:hint="eastAsia" w:ascii="Times New Roman" w:hAnsi="Times New Roman" w:eastAsia="宋体" w:cs="Times New Roman"/>
                <w:color w:val="auto"/>
                <w:sz w:val="24"/>
                <w:szCs w:val="24"/>
                <w:highlight w:val="none"/>
              </w:rPr>
              <w:t>分）</w:t>
            </w:r>
          </w:p>
        </w:tc>
        <w:tc>
          <w:tcPr>
            <w:tcW w:w="5203" w:type="dxa"/>
            <w:vAlign w:val="center"/>
          </w:tcPr>
          <w:p w14:paraId="34FFE11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提供的“食品安全责任险”进行评议（3分）：</w:t>
            </w:r>
          </w:p>
          <w:p w14:paraId="1C947E0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00万元≤保额，得3分；</w:t>
            </w:r>
          </w:p>
          <w:p w14:paraId="74C00CF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00万元≤保额＜</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00万元，得2分；</w:t>
            </w:r>
          </w:p>
          <w:p w14:paraId="19FB0F0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0万元≤保额＜</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00万元，得1分；</w:t>
            </w:r>
          </w:p>
          <w:p w14:paraId="06B54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保额＜</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0万元，得0分。</w:t>
            </w:r>
          </w:p>
          <w:p w14:paraId="6958CA3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（投标文件中须提供保险单复印件加盖公章）</w:t>
            </w:r>
          </w:p>
        </w:tc>
        <w:tc>
          <w:tcPr>
            <w:tcW w:w="600" w:type="dxa"/>
            <w:vAlign w:val="center"/>
          </w:tcPr>
          <w:p w14:paraId="30D7E1E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3D3B66A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客观评议</w:t>
            </w:r>
          </w:p>
        </w:tc>
      </w:tr>
      <w:tr w14:paraId="7B9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3" w:type="dxa"/>
            <w:vMerge w:val="continue"/>
            <w:vAlign w:val="center"/>
          </w:tcPr>
          <w:p w14:paraId="1E7DDA3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1C238D4A">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5C11029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提供的食品送达时间保证方案、食品数量保证方案进行评议：</w:t>
            </w:r>
          </w:p>
          <w:p w14:paraId="7AFD741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①方案内容完全结合项目实际情况，便于实施，且对食品送达时间、数量保障有针对性措施的得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3D722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B6C4C5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完整，内容不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2DB90F1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299BD36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2DD55476">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BB4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00C278C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421350D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299AF2C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.3评委根据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提供的质量问题处罚与改进措施进行评议：</w:t>
            </w:r>
          </w:p>
          <w:p w14:paraId="7B7201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①方案内容完全结合项目实际情况，处罚制度合理、改进措施完善的得3分；</w:t>
            </w:r>
          </w:p>
          <w:p w14:paraId="6C95891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②方案内容基本符合项目的要求，但处罚制度或改进措施存在一定缺陷有待改进的得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826993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6ED9DCF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685ACCB3">
            <w:pPr>
              <w:widowControl/>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7C10E534">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28D3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0A6175B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0C8EA1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shd w:val="clear" w:color="auto" w:fill="auto"/>
            <w:vAlign w:val="center"/>
          </w:tcPr>
          <w:p w14:paraId="5BD87A7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w:t>
            </w:r>
            <w:r>
              <w:rPr>
                <w:rFonts w:hint="eastAsia" w:ascii="宋体" w:hAnsi="宋体" w:cs="宋体"/>
                <w:color w:val="auto"/>
                <w:sz w:val="24"/>
                <w:szCs w:val="24"/>
                <w:highlight w:val="none"/>
                <w:lang w:val="en-US" w:eastAsia="zh-CN"/>
              </w:rPr>
              <w:t>福利院</w:t>
            </w:r>
            <w:r>
              <w:rPr>
                <w:rFonts w:hint="eastAsia" w:ascii="宋体" w:hAnsi="宋体" w:eastAsia="宋体" w:cs="宋体"/>
                <w:color w:val="auto"/>
                <w:sz w:val="24"/>
                <w:szCs w:val="24"/>
                <w:highlight w:val="none"/>
                <w:lang w:val="en-US" w:eastAsia="zh-CN"/>
              </w:rPr>
              <w:t>的服务保障方案进行评议：</w:t>
            </w:r>
          </w:p>
          <w:p w14:paraId="1B58840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①方案内容完全结合项目实际情况，能提出有利于福利院监督管理及实施的有效措施的得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E69A3A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②方案内容基本符合项目的要求，但保障措施存在一定缺陷有待改进或服务内容针对性不强的得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2B5F89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3C66020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600" w:type="dxa"/>
            <w:shd w:val="clear" w:color="auto" w:fill="auto"/>
            <w:vAlign w:val="center"/>
          </w:tcPr>
          <w:p w14:paraId="204755CA">
            <w:pPr>
              <w:keepNext w:val="0"/>
              <w:keepLines w:val="0"/>
              <w:widowControl/>
              <w:suppressLineNumbers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vAlign w:val="center"/>
          </w:tcPr>
          <w:p w14:paraId="6A4B234F">
            <w:pPr>
              <w:keepNext w:val="0"/>
              <w:keepLines w:val="0"/>
              <w:widowControl/>
              <w:suppressLineNumbers w:val="0"/>
              <w:shd w:val="clear" w:color="auto"/>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709D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vAlign w:val="center"/>
          </w:tcPr>
          <w:p w14:paraId="4F18261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6943E597">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规章制度</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分）</w:t>
            </w:r>
          </w:p>
        </w:tc>
        <w:tc>
          <w:tcPr>
            <w:tcW w:w="5203" w:type="dxa"/>
            <w:vAlign w:val="center"/>
          </w:tcPr>
          <w:p w14:paraId="36E5218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为本项目提供的安全防范管理制度、卫生保障制度、文明服务制度进行评议：</w:t>
            </w:r>
          </w:p>
          <w:p w14:paraId="2746E67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①安全防范管理制度科学、卫生保障制度规范、文明服务制度健全，可以有效实施的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5411D48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1B9CEF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68D0611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vAlign w:val="center"/>
          </w:tcPr>
          <w:p w14:paraId="13A5D3EE">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5ADEE7B3">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92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vAlign w:val="center"/>
          </w:tcPr>
          <w:p w14:paraId="2C9E34E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1987515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p>
        </w:tc>
        <w:tc>
          <w:tcPr>
            <w:tcW w:w="5203" w:type="dxa"/>
            <w:vAlign w:val="center"/>
          </w:tcPr>
          <w:p w14:paraId="42B2B4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为本项目提供的应急管理制度、企业内部考核制度及记录进行评议：</w:t>
            </w:r>
          </w:p>
          <w:p w14:paraId="13A21C2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①应急管理制度科学、企业内部考核制度及记录健全，可以有效实施的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0D1D99B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58C829C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33E70E4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vAlign w:val="center"/>
          </w:tcPr>
          <w:p w14:paraId="29B0B7D2">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03E4EE8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E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52601EB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2324606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、应急保障措施（</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分）</w:t>
            </w:r>
          </w:p>
        </w:tc>
        <w:tc>
          <w:tcPr>
            <w:tcW w:w="5203" w:type="dxa"/>
            <w:vAlign w:val="center"/>
          </w:tcPr>
          <w:p w14:paraId="641F1B1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提供的应急预案进行评议：</w:t>
            </w:r>
          </w:p>
          <w:p w14:paraId="6FE0CB0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①方案内容完全结合项目实际情况，配送食品质量保障应急预案可行、配送食品时限保障应急预案科学的得3分；</w:t>
            </w:r>
          </w:p>
          <w:p w14:paraId="0402F90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②方案内容基本符合项目的要求，但预案存在一定缺陷有待改进的得2分；</w:t>
            </w:r>
          </w:p>
          <w:p w14:paraId="628A07A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0C7FC6C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363B1EF4">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6442D74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B5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760740C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p>
        </w:tc>
        <w:tc>
          <w:tcPr>
            <w:tcW w:w="1160" w:type="dxa"/>
            <w:vMerge w:val="continue"/>
            <w:vAlign w:val="center"/>
          </w:tcPr>
          <w:p w14:paraId="37A8EA33">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p>
        </w:tc>
        <w:tc>
          <w:tcPr>
            <w:tcW w:w="5203" w:type="dxa"/>
            <w:vAlign w:val="center"/>
          </w:tcPr>
          <w:p w14:paraId="48817B6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针对本项目的特殊时期</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抗台、防雪</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应急保障预案进行评议：</w:t>
            </w:r>
          </w:p>
          <w:p w14:paraId="3EE3EF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抗台、防雪应急保障方案可行</w:t>
            </w:r>
            <w:r>
              <w:rPr>
                <w:rFonts w:hint="default"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eastAsia="zh-CN"/>
              </w:rPr>
              <w:t>提供完善的解决措施</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EA23B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抗台、防雪应急保障方案欠可行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解决措施基本符合项目要求但略有欠缺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7EB9AA5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抗台、防雪应急保障方案</w:t>
            </w:r>
            <w:r>
              <w:rPr>
                <w:rFonts w:hint="eastAsia" w:ascii="宋体" w:hAnsi="宋体" w:cs="宋体"/>
                <w:color w:val="auto"/>
                <w:sz w:val="24"/>
                <w:szCs w:val="24"/>
                <w:highlight w:val="none"/>
                <w:lang w:val="en-US" w:eastAsia="zh-CN"/>
              </w:rPr>
              <w:t>与本项目要求存在较大差距</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w:t>
            </w:r>
          </w:p>
          <w:p w14:paraId="36FFBED7">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vAlign w:val="center"/>
          </w:tcPr>
          <w:p w14:paraId="4CF9F3E4">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92" w:type="dxa"/>
            <w:vAlign w:val="center"/>
          </w:tcPr>
          <w:p w14:paraId="4F608CD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4DCC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93DC246">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184C88B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cs="宋体"/>
                <w:b w:val="0"/>
                <w:bCs/>
                <w:color w:val="auto"/>
                <w:spacing w:val="0"/>
                <w:w w:val="100"/>
                <w:kern w:val="2"/>
                <w:position w:val="0"/>
                <w:sz w:val="24"/>
                <w:szCs w:val="24"/>
                <w:highlight w:val="none"/>
                <w:shd w:val="clear" w:color="auto" w:fill="auto"/>
                <w:lang w:val="en-US" w:eastAsia="zh-CN" w:bidi="ar-SA"/>
              </w:rPr>
              <w:t>9</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、服务</w:t>
            </w:r>
            <w:r>
              <w:rPr>
                <w:rFonts w:hint="eastAsia" w:ascii="宋体" w:hAnsi="宋体" w:cs="宋体"/>
                <w:b w:val="0"/>
                <w:bCs/>
                <w:color w:val="auto"/>
                <w:spacing w:val="0"/>
                <w:w w:val="100"/>
                <w:kern w:val="2"/>
                <w:position w:val="0"/>
                <w:sz w:val="24"/>
                <w:szCs w:val="24"/>
                <w:highlight w:val="none"/>
                <w:shd w:val="clear" w:color="auto" w:fill="auto"/>
                <w:lang w:val="en-US" w:eastAsia="zh-CN" w:bidi="ar-SA"/>
              </w:rPr>
              <w:t>地点</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的熟悉及对应的优化配送方案（</w:t>
            </w:r>
            <w:r>
              <w:rPr>
                <w:rFonts w:hint="eastAsia" w:ascii="宋体" w:hAnsi="宋体" w:cs="宋体"/>
                <w:b w:val="0"/>
                <w:bCs/>
                <w:color w:val="auto"/>
                <w:spacing w:val="0"/>
                <w:w w:val="100"/>
                <w:kern w:val="2"/>
                <w:position w:val="0"/>
                <w:sz w:val="24"/>
                <w:szCs w:val="24"/>
                <w:highlight w:val="none"/>
                <w:shd w:val="clear" w:color="auto" w:fill="auto"/>
                <w:lang w:val="en-US" w:eastAsia="zh-CN" w:bidi="ar-SA"/>
              </w:rPr>
              <w:t>7</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分）</w:t>
            </w:r>
          </w:p>
        </w:tc>
        <w:tc>
          <w:tcPr>
            <w:tcW w:w="5203" w:type="dxa"/>
            <w:shd w:val="clear" w:color="auto" w:fill="auto"/>
            <w:vAlign w:val="center"/>
          </w:tcPr>
          <w:p w14:paraId="5F77D31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.1根据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针对本项目的服务地点的熟悉程度进行评议：</w:t>
            </w:r>
          </w:p>
          <w:p w14:paraId="7DFE533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对服务地点熟悉了解，对配送服务过程可能存在的困难或可能出现的突发事件分析全面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169B55D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对服务地点熟悉了解程度一般，对配送服务过程可能存在的困难或可能出现的突发事件分析欠全面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60842A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对服务地点不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熟悉，对配送服务过程可能存在的困难或可能出现的突发事件分析简单，无针对性</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44CCA51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6420A2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92" w:type="dxa"/>
            <w:shd w:val="clear" w:color="auto" w:fill="auto"/>
            <w:vAlign w:val="center"/>
          </w:tcPr>
          <w:p w14:paraId="190FF63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B1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7C692F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771B3FD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pPr>
          </w:p>
        </w:tc>
        <w:tc>
          <w:tcPr>
            <w:tcW w:w="5203" w:type="dxa"/>
            <w:shd w:val="clear" w:color="auto" w:fill="auto"/>
            <w:vAlign w:val="center"/>
          </w:tcPr>
          <w:p w14:paraId="4EE3D2C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针对本项目的服务地点的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进行评议：</w:t>
            </w:r>
          </w:p>
          <w:p w14:paraId="77B6007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①能</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针对配送各区域特殊性</w:t>
            </w:r>
            <w:r>
              <w:rPr>
                <w:rFonts w:hint="eastAsia" w:ascii="宋体" w:hAnsi="宋体" w:eastAsia="宋体" w:cs="宋体"/>
                <w:color w:val="auto"/>
                <w:sz w:val="24"/>
                <w:szCs w:val="24"/>
                <w:highlight w:val="none"/>
                <w:lang w:val="en-US" w:eastAsia="zh-CN"/>
              </w:rPr>
              <w:t>提供完善的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优化配送方案的，</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分；</w:t>
            </w:r>
          </w:p>
          <w:p w14:paraId="5979672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基本符合项目</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配送各区域的情况，</w:t>
            </w:r>
            <w:r>
              <w:rPr>
                <w:rFonts w:hint="eastAsia" w:ascii="宋体" w:hAnsi="宋体" w:eastAsia="宋体" w:cs="宋体"/>
                <w:color w:val="auto"/>
                <w:sz w:val="24"/>
                <w:szCs w:val="24"/>
                <w:highlight w:val="none"/>
                <w:lang w:val="en-US" w:eastAsia="zh-CN"/>
              </w:rPr>
              <w:t>但可行性略有欠缺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6997B6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优化配送方案未针对配送各区域情况，</w:t>
            </w:r>
            <w:r>
              <w:rPr>
                <w:rFonts w:hint="eastAsia" w:ascii="宋体" w:hAnsi="宋体" w:eastAsia="宋体" w:cs="宋体"/>
                <w:color w:val="auto"/>
                <w:sz w:val="24"/>
                <w:szCs w:val="24"/>
                <w:highlight w:val="none"/>
                <w:lang w:val="en-US" w:eastAsia="zh-CN"/>
              </w:rPr>
              <w:t>或可行性差</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2EA94A86">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75365B5">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92" w:type="dxa"/>
            <w:shd w:val="clear" w:color="auto" w:fill="auto"/>
            <w:vAlign w:val="center"/>
          </w:tcPr>
          <w:p w14:paraId="296C5223">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0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6" w:type="dxa"/>
            <w:gridSpan w:val="3"/>
            <w:vAlign w:val="center"/>
          </w:tcPr>
          <w:p w14:paraId="57D788B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总分（100分）</w:t>
            </w:r>
          </w:p>
        </w:tc>
        <w:tc>
          <w:tcPr>
            <w:tcW w:w="600" w:type="dxa"/>
            <w:vAlign w:val="center"/>
          </w:tcPr>
          <w:p w14:paraId="26BF4D5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692" w:type="dxa"/>
            <w:vAlign w:val="center"/>
          </w:tcPr>
          <w:p w14:paraId="148099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E0449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08" w:name="_Toc11047"/>
      <w:r>
        <w:rPr>
          <w:rFonts w:hint="eastAsia" w:ascii="宋体" w:hAnsi="宋体" w:cs="宋体"/>
          <w:b/>
          <w:color w:val="auto"/>
          <w:sz w:val="32"/>
          <w:szCs w:val="32"/>
          <w:highlight w:val="none"/>
        </w:rPr>
        <w:t>三、评标程序</w:t>
      </w:r>
      <w:bookmarkEnd w:id="408"/>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3.4.3投标报价超过招标文件中规定的预算金额或者超出报价区间</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color w:val="auto"/>
          <w:kern w:val="0"/>
          <w:sz w:val="24"/>
          <w:highlight w:val="none"/>
          <w:lang w:val="en-US" w:eastAsia="zh-CN"/>
        </w:rPr>
        <w:t>第一</w:t>
      </w:r>
      <w:r>
        <w:rPr>
          <w:rFonts w:hint="eastAsia" w:ascii="宋体" w:hAnsi="宋体" w:cs="宋体"/>
          <w:color w:val="auto"/>
          <w:kern w:val="0"/>
          <w:sz w:val="24"/>
          <w:highlight w:val="none"/>
        </w:rPr>
        <w:t>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排名第</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第二</w:t>
      </w:r>
      <w:r>
        <w:rPr>
          <w:rFonts w:hint="eastAsia" w:ascii="宋体" w:hAnsi="宋体" w:cs="宋体"/>
          <w:color w:val="auto"/>
          <w:kern w:val="0"/>
          <w:sz w:val="24"/>
          <w:highlight w:val="none"/>
        </w:rPr>
        <w:t>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以此类推</w:t>
      </w:r>
      <w:r>
        <w:rPr>
          <w:rFonts w:hint="eastAsia" w:ascii="宋体" w:hAnsi="宋体" w:cs="宋体"/>
          <w:color w:val="auto"/>
          <w:kern w:val="0"/>
          <w:sz w:val="24"/>
          <w:highlight w:val="none"/>
        </w:rPr>
        <w:t>。</w:t>
      </w:r>
      <w:r>
        <w:rPr>
          <w:rFonts w:hint="eastAsia" w:ascii="宋体" w:hAnsi="宋体" w:eastAsia="宋体" w:cs="宋体"/>
          <w:b/>
          <w:bCs/>
          <w:color w:val="auto"/>
          <w:kern w:val="0"/>
          <w:sz w:val="24"/>
          <w:highlight w:val="none"/>
          <w:lang w:val="en-US" w:eastAsia="zh-CN"/>
        </w:rPr>
        <w:t>备注：有效投标供应商数量等于3家时，中标候选人数量为1家；有效投标供应商数量等于4家时，中标候选人数量为2家；有效投标供应商数量大于等于5家时，中标候选人数量为3家。</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4.2.7投标报价超过招标文件中规定的预算金额或者超出报价区间的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上传投标文件同一网卡地址、同一IP地址且不能进行有效说明的为无效标。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w:t>
      </w:r>
      <w:r>
        <w:rPr>
          <w:rFonts w:hint="eastAsia" w:cs="宋体"/>
          <w:color w:val="auto"/>
          <w:highlight w:val="none"/>
          <w:lang w:val="en-US" w:eastAsia="zh-CN"/>
        </w:rPr>
        <w:t>3</w:t>
      </w:r>
      <w:r>
        <w:rPr>
          <w:rFonts w:hint="eastAsia" w:cs="宋体"/>
          <w:color w:val="auto"/>
          <w:highlight w:val="none"/>
        </w:rPr>
        <w:t>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hint="eastAsia" w:ascii="宋体" w:hAnsi="宋体" w:eastAsia="宋体" w:cs="宋体"/>
          <w:color w:val="auto"/>
          <w:highlight w:val="none"/>
        </w:rPr>
      </w:pPr>
      <w:r>
        <w:rPr>
          <w:rFonts w:hint="eastAsia" w:cs="宋体"/>
          <w:color w:val="auto"/>
          <w:highlight w:val="none"/>
        </w:rPr>
        <w:t>5.3</w:t>
      </w:r>
      <w:r>
        <w:rPr>
          <w:rFonts w:hint="eastAsia" w:ascii="宋体" w:hAnsi="宋体" w:eastAsia="宋体" w:cs="宋体"/>
          <w:color w:val="auto"/>
          <w:highlight w:val="none"/>
        </w:rPr>
        <w:t>投标人的报价均超过了采购预算，采购人不能支付的；</w:t>
      </w:r>
    </w:p>
    <w:p w14:paraId="1EDA6C9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9" w:name="第五部分"/>
      <w:bookmarkStart w:id="410" w:name="_Toc86217003"/>
    </w:p>
    <w:p w14:paraId="60D3EB0F">
      <w:pPr>
        <w:pStyle w:val="2"/>
        <w:rPr>
          <w:rFonts w:hAnsi="宋体" w:cs="宋体"/>
          <w:color w:val="auto"/>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11" w:name="_Toc24422"/>
      <w:r>
        <w:rPr>
          <w:rFonts w:hint="eastAsia" w:ascii="宋体" w:hAnsi="宋体" w:cs="宋体"/>
          <w:b/>
          <w:color w:val="auto"/>
          <w:sz w:val="36"/>
          <w:szCs w:val="36"/>
          <w:highlight w:val="none"/>
        </w:rPr>
        <w:t>第五部分 拟签订的合同文本</w:t>
      </w:r>
      <w:bookmarkEnd w:id="411"/>
    </w:p>
    <w:p w14:paraId="62EB8BB0">
      <w:pPr>
        <w:rPr>
          <w:rFonts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EF38699">
      <w:pPr>
        <w:spacing w:line="480" w:lineRule="auto"/>
        <w:jc w:val="center"/>
        <w:rPr>
          <w:rFonts w:ascii="宋体" w:hAnsi="宋体" w:eastAsia="宋体" w:cs="宋体"/>
          <w:b/>
          <w:color w:val="auto"/>
          <w:sz w:val="28"/>
          <w:szCs w:val="28"/>
          <w:highlight w:val="none"/>
        </w:rPr>
      </w:pPr>
    </w:p>
    <w:p w14:paraId="0612C2F0">
      <w:pPr>
        <w:spacing w:line="480" w:lineRule="auto"/>
        <w:jc w:val="center"/>
        <w:rPr>
          <w:rFonts w:ascii="宋体" w:hAnsi="宋体" w:eastAsia="宋体" w:cs="宋体"/>
          <w:b/>
          <w:color w:val="auto"/>
          <w:sz w:val="24"/>
          <w:highlight w:val="none"/>
        </w:rPr>
      </w:pPr>
    </w:p>
    <w:p w14:paraId="5B12F4A4">
      <w:pPr>
        <w:spacing w:line="480" w:lineRule="auto"/>
        <w:jc w:val="center"/>
        <w:rPr>
          <w:rFonts w:ascii="宋体" w:hAnsi="宋体" w:eastAsia="宋体" w:cs="宋体"/>
          <w:b/>
          <w:color w:val="auto"/>
          <w:sz w:val="24"/>
          <w:highlight w:val="none"/>
        </w:rPr>
      </w:pPr>
    </w:p>
    <w:p w14:paraId="5ADA111A">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B63F53C">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392FB25">
      <w:pPr>
        <w:widowControl w:val="0"/>
        <w:autoSpaceDE w:val="0"/>
        <w:autoSpaceDN w:val="0"/>
        <w:adjustRightInd w:val="0"/>
        <w:snapToGrid w:val="0"/>
        <w:spacing w:after="120" w:line="360" w:lineRule="auto"/>
        <w:ind w:left="420" w:leftChars="200" w:firstLine="2843" w:firstLineChars="118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32CD2B6B">
      <w:pPr>
        <w:spacing w:before="120" w:line="22" w:lineRule="atLeast"/>
        <w:rPr>
          <w:rFonts w:ascii="宋体" w:hAnsi="宋体" w:eastAsia="宋体" w:cs="宋体"/>
          <w:color w:val="auto"/>
          <w:sz w:val="24"/>
          <w:highlight w:val="none"/>
        </w:rPr>
      </w:pPr>
    </w:p>
    <w:p w14:paraId="07764B10">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highlight w:val="none"/>
          <w:lang w:val="zh-CN" w:eastAsia="zh-CN" w:bidi="ar-SA"/>
        </w:rPr>
      </w:pPr>
    </w:p>
    <w:p w14:paraId="3D8466FB">
      <w:pPr>
        <w:spacing w:before="120" w:line="22" w:lineRule="atLeast"/>
        <w:ind w:left="960"/>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宁海县社会综合福利院食品原材料</w:t>
      </w:r>
      <w:r>
        <w:rPr>
          <w:rFonts w:hint="eastAsia" w:ascii="宋体" w:hAnsi="宋体" w:eastAsia="宋体" w:cs="宋体"/>
          <w:color w:val="auto"/>
          <w:sz w:val="24"/>
          <w:highlight w:val="none"/>
          <w:u w:val="single"/>
          <w:lang w:val="en-US" w:eastAsia="zh-CN"/>
        </w:rPr>
        <w:t>采购</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u w:val="single"/>
        </w:rPr>
        <w:t xml:space="preserve">    </w:t>
      </w:r>
    </w:p>
    <w:p w14:paraId="3A9DC360">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6E9B86B6">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03DEA567">
      <w:pPr>
        <w:rPr>
          <w:rFonts w:ascii="宋体" w:hAnsi="宋体" w:eastAsia="宋体" w:cs="宋体"/>
          <w:color w:val="auto"/>
          <w:sz w:val="24"/>
          <w:highlight w:val="none"/>
        </w:rPr>
      </w:pPr>
    </w:p>
    <w:p w14:paraId="54D899ED">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宁海县社会综合福利院</w:t>
      </w:r>
      <w:r>
        <w:rPr>
          <w:rFonts w:hint="eastAsia" w:ascii="宋体" w:hAnsi="宋体" w:eastAsia="宋体" w:cs="宋体"/>
          <w:color w:val="auto"/>
          <w:sz w:val="24"/>
          <w:highlight w:val="none"/>
          <w:u w:val="single"/>
        </w:rPr>
        <w:t xml:space="preserve">           </w:t>
      </w:r>
    </w:p>
    <w:p w14:paraId="5D4F1F23">
      <w:pPr>
        <w:spacing w:before="120" w:line="22" w:lineRule="atLeast"/>
        <w:rPr>
          <w:rFonts w:ascii="宋体" w:hAnsi="宋体" w:eastAsia="宋体" w:cs="宋体"/>
          <w:color w:val="auto"/>
          <w:sz w:val="24"/>
          <w:highlight w:val="none"/>
        </w:rPr>
      </w:pPr>
    </w:p>
    <w:p w14:paraId="6ABE3532">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ECDD6AD">
      <w:pPr>
        <w:spacing w:before="120" w:line="22" w:lineRule="atLeast"/>
        <w:rPr>
          <w:rFonts w:ascii="宋体" w:hAnsi="宋体" w:eastAsia="宋体" w:cs="宋体"/>
          <w:color w:val="auto"/>
          <w:sz w:val="24"/>
          <w:highlight w:val="none"/>
        </w:rPr>
      </w:pPr>
    </w:p>
    <w:p w14:paraId="70205D93">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宁海县</w:t>
      </w:r>
      <w:r>
        <w:rPr>
          <w:rFonts w:hint="eastAsia" w:ascii="宋体" w:hAnsi="宋体" w:eastAsia="宋体" w:cs="宋体"/>
          <w:color w:val="auto"/>
          <w:sz w:val="24"/>
          <w:highlight w:val="none"/>
          <w:u w:val="single"/>
        </w:rPr>
        <w:t xml:space="preserve">                             </w:t>
      </w:r>
    </w:p>
    <w:p w14:paraId="314D17DE">
      <w:pPr>
        <w:spacing w:before="120" w:line="22" w:lineRule="atLeast"/>
        <w:rPr>
          <w:rFonts w:ascii="宋体" w:hAnsi="宋体" w:eastAsia="宋体" w:cs="宋体"/>
          <w:color w:val="auto"/>
          <w:sz w:val="24"/>
          <w:highlight w:val="none"/>
        </w:rPr>
      </w:pPr>
    </w:p>
    <w:p w14:paraId="2320ADBF">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EB5025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37A25E7">
      <w:pPr>
        <w:rPr>
          <w:rFonts w:ascii="宋体" w:hAnsi="宋体" w:eastAsia="宋体" w:cs="宋体"/>
          <w:b/>
          <w:color w:val="auto"/>
          <w:sz w:val="24"/>
          <w:highlight w:val="none"/>
        </w:rPr>
      </w:pPr>
    </w:p>
    <w:p w14:paraId="706D86D5">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（采购人）</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宁海县社会综合福利院食品原材料采购项目</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评标委员会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0日内，按照采购文件确定的事项签订本合同。</w:t>
      </w:r>
    </w:p>
    <w:p w14:paraId="15781F1E">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宁海县社会综合福利院</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中标</w:t>
      </w:r>
      <w:r>
        <w:rPr>
          <w:rFonts w:ascii="宋体" w:hAnsi="宋体" w:eastAsia="宋体" w:cs="Times New Roman"/>
          <w:color w:val="auto"/>
          <w:sz w:val="24"/>
          <w:highlight w:val="none"/>
          <w:u w:val="single"/>
        </w:rPr>
        <w:t xml:space="preserve">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29122451">
      <w:pPr>
        <w:spacing w:line="560" w:lineRule="exact"/>
        <w:ind w:firstLine="482" w:firstLineChars="200"/>
        <w:outlineLvl w:val="0"/>
        <w:rPr>
          <w:rFonts w:ascii="宋体" w:hAnsi="宋体" w:eastAsia="宋体" w:cs="Times New Roman"/>
          <w:color w:val="auto"/>
          <w:sz w:val="24"/>
          <w:highlight w:val="none"/>
        </w:rPr>
      </w:pPr>
      <w:bookmarkStart w:id="412" w:name="_Toc20421"/>
      <w:bookmarkStart w:id="413" w:name="_Toc19273"/>
      <w:bookmarkStart w:id="414" w:name="_Toc15367"/>
      <w:bookmarkStart w:id="415" w:name="_Toc28855"/>
      <w:bookmarkStart w:id="416"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12"/>
      <w:bookmarkEnd w:id="413"/>
      <w:bookmarkEnd w:id="414"/>
      <w:bookmarkEnd w:id="415"/>
      <w:bookmarkEnd w:id="416"/>
    </w:p>
    <w:p w14:paraId="69025746">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0BFE6F">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12B7BDE4">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A3BA466">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03A91C3A">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FEAA92B">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1CA91EAC">
      <w:pPr>
        <w:spacing w:line="560" w:lineRule="exact"/>
        <w:ind w:firstLine="482" w:firstLineChars="200"/>
        <w:outlineLvl w:val="0"/>
        <w:rPr>
          <w:rFonts w:ascii="宋体" w:hAnsi="宋体" w:eastAsia="宋体" w:cs="Times New Roman"/>
          <w:b/>
          <w:color w:val="auto"/>
          <w:sz w:val="24"/>
          <w:highlight w:val="none"/>
        </w:rPr>
      </w:pPr>
      <w:bookmarkStart w:id="417" w:name="_Toc6311"/>
      <w:bookmarkStart w:id="418" w:name="_Toc22185"/>
      <w:bookmarkStart w:id="419" w:name="_Toc6773"/>
      <w:bookmarkStart w:id="420" w:name="_Toc18585"/>
      <w:bookmarkStart w:id="421" w:name="_Toc2918"/>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7"/>
      <w:bookmarkEnd w:id="418"/>
      <w:bookmarkEnd w:id="419"/>
      <w:bookmarkEnd w:id="420"/>
      <w:bookmarkEnd w:id="421"/>
    </w:p>
    <w:p w14:paraId="44A088C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食品原材料</w:t>
      </w:r>
      <w:r>
        <w:rPr>
          <w:rFonts w:hint="eastAsia" w:ascii="宋体" w:hAnsi="宋体" w:eastAsia="宋体" w:cs="Times New Roman"/>
          <w:color w:val="auto"/>
          <w:sz w:val="24"/>
          <w:highlight w:val="none"/>
          <w:u w:val="single"/>
          <w:lang w:val="en-US" w:eastAsia="zh-CN"/>
        </w:rPr>
        <w:t>供应</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4250F2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按招标文件规定及投标响应的标准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67881BFC">
      <w:pPr>
        <w:spacing w:line="560" w:lineRule="exact"/>
        <w:ind w:firstLine="482" w:firstLineChars="200"/>
        <w:outlineLvl w:val="0"/>
        <w:rPr>
          <w:rFonts w:ascii="宋体" w:hAnsi="宋体" w:eastAsia="宋体" w:cs="Times New Roman"/>
          <w:b/>
          <w:color w:val="auto"/>
          <w:sz w:val="24"/>
          <w:highlight w:val="none"/>
        </w:rPr>
      </w:pPr>
      <w:bookmarkStart w:id="422" w:name="_Toc4929"/>
      <w:bookmarkStart w:id="423" w:name="_Toc5635"/>
      <w:bookmarkStart w:id="424" w:name="_Toc1386"/>
      <w:bookmarkStart w:id="425" w:name="_Toc21124"/>
      <w:bookmarkStart w:id="426" w:name="_Toc13918"/>
      <w:r>
        <w:rPr>
          <w:rFonts w:ascii="宋体" w:hAnsi="宋体" w:eastAsia="宋体" w:cs="Times New Roman"/>
          <w:b/>
          <w:color w:val="auto"/>
          <w:sz w:val="24"/>
          <w:highlight w:val="none"/>
        </w:rPr>
        <w:t>1.3 价款</w:t>
      </w:r>
      <w:bookmarkEnd w:id="422"/>
      <w:bookmarkEnd w:id="423"/>
      <w:bookmarkEnd w:id="424"/>
      <w:bookmarkEnd w:id="425"/>
      <w:bookmarkEnd w:id="426"/>
    </w:p>
    <w:p w14:paraId="402F6BCF">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1534CB1A">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5A0A1F6D">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7A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71EC7C">
            <w:pPr>
              <w:widowControl w:val="0"/>
              <w:adjustRightInd/>
              <w:spacing w:line="560" w:lineRule="exact"/>
              <w:jc w:val="center"/>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46F904F1">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0EA5F7C2">
            <w:pPr>
              <w:widowControl w:val="0"/>
              <w:adjustRightInd/>
              <w:spacing w:line="560" w:lineRule="exact"/>
              <w:jc w:val="center"/>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772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EF113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4E9D8730">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5B8CB7C7">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7E7A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4059F">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0D172F5E">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0F397411">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678B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BC6C8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3BD6C6D9">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37D3332C">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6D7E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87DA5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13E93D30">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0C1B7274">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217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B8F128">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479CCBD5">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bl>
    <w:p w14:paraId="2778EEBB">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eastAsia="宋体" w:cs="Times New Roman"/>
          <w:color w:val="auto"/>
          <w:sz w:val="24"/>
          <w:highlight w:val="none"/>
        </w:rPr>
      </w:pPr>
      <w:bookmarkStart w:id="427" w:name="_Toc30506"/>
      <w:bookmarkStart w:id="428" w:name="_Toc14993"/>
      <w:bookmarkStart w:id="429" w:name="_Toc30158"/>
      <w:bookmarkStart w:id="430" w:name="_Toc26916"/>
      <w:bookmarkStart w:id="431" w:name="_Toc3654"/>
      <w:r>
        <w:rPr>
          <w:rFonts w:hint="eastAsia" w:ascii="宋体" w:hAnsi="宋体" w:eastAsia="宋体" w:cs="Times New Roman"/>
          <w:bCs/>
          <w:color w:val="auto"/>
          <w:sz w:val="24"/>
          <w:highlight w:val="none"/>
        </w:rPr>
        <w:t>1.3.2单价合同，本合同单价（含税）</w:t>
      </w:r>
      <w:r>
        <w:rPr>
          <w:rFonts w:hint="eastAsia" w:ascii="宋体" w:hAnsi="宋体" w:eastAsia="宋体" w:cs="Times New Roman"/>
          <w:bCs/>
          <w:color w:val="auto"/>
          <w:sz w:val="24"/>
          <w:highlight w:val="none"/>
          <w:lang w:val="en-US" w:eastAsia="zh-CN"/>
        </w:rPr>
        <w:t>折扣系数</w:t>
      </w:r>
      <w:r>
        <w:rPr>
          <w:rFonts w:hint="eastAsia" w:ascii="宋体" w:hAnsi="宋体" w:eastAsia="宋体" w:cs="Times New Roman"/>
          <w:bCs/>
          <w:color w:val="auto"/>
          <w:sz w:val="24"/>
          <w:highlight w:val="none"/>
        </w:rPr>
        <w:t>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w:t>
      </w:r>
    </w:p>
    <w:p w14:paraId="1C19F69B">
      <w:pPr>
        <w:keepNext/>
        <w:keepLines/>
        <w:pageBreakBefore w:val="0"/>
        <w:widowControl w:val="0"/>
        <w:kinsoku/>
        <w:wordWrap/>
        <w:overflowPunct/>
        <w:topLinePunct w:val="0"/>
        <w:autoSpaceDE/>
        <w:autoSpaceDN/>
        <w:bidi w:val="0"/>
        <w:adjustRightInd/>
        <w:snapToGrid/>
        <w:spacing w:line="560" w:lineRule="exact"/>
        <w:ind w:left="432" w:hanging="432"/>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24"/>
          <w:szCs w:val="32"/>
          <w:highlight w:val="none"/>
          <w:lang w:val="en-US" w:eastAsia="zh-CN" w:bidi="ar-SA"/>
        </w:rPr>
        <w:t xml:space="preserve">    </w:t>
      </w:r>
      <w:r>
        <w:rPr>
          <w:rFonts w:hint="eastAsia" w:ascii="宋体" w:hAnsi="宋体" w:eastAsia="宋体" w:cs="宋体"/>
          <w:b w:val="0"/>
          <w:bCs w:val="0"/>
          <w:color w:val="auto"/>
          <w:kern w:val="2"/>
          <w:sz w:val="24"/>
          <w:szCs w:val="32"/>
          <w:highlight w:val="none"/>
          <w:lang w:val="en-US" w:eastAsia="zh-CN" w:bidi="ar-SA"/>
        </w:rPr>
        <w:t>1.3.3其他计价方式：</w:t>
      </w:r>
      <w:r>
        <w:rPr>
          <w:rFonts w:hint="eastAsia" w:ascii="宋体" w:hAnsi="宋体" w:eastAsia="宋体" w:cs="宋体"/>
          <w:b w:val="0"/>
          <w:bCs w:val="0"/>
          <w:color w:val="auto"/>
          <w:kern w:val="2"/>
          <w:sz w:val="24"/>
          <w:szCs w:val="32"/>
          <w:highlight w:val="none"/>
          <w:u w:val="single"/>
          <w:lang w:val="en-US" w:eastAsia="zh-CN" w:bidi="ar-SA"/>
        </w:rPr>
        <w:t xml:space="preserve">                   </w:t>
      </w:r>
      <w:r>
        <w:rPr>
          <w:rFonts w:hint="eastAsia" w:ascii="宋体" w:hAnsi="宋体" w:eastAsia="宋体" w:cs="宋体"/>
          <w:b w:val="0"/>
          <w:bCs w:val="0"/>
          <w:color w:val="auto"/>
          <w:kern w:val="2"/>
          <w:sz w:val="24"/>
          <w:szCs w:val="32"/>
          <w:highlight w:val="none"/>
          <w:lang w:val="zh-CN" w:eastAsia="zh-CN" w:bidi="ar-SA"/>
        </w:rPr>
        <w:t>。</w:t>
      </w:r>
    </w:p>
    <w:bookmarkEnd w:id="427"/>
    <w:bookmarkEnd w:id="428"/>
    <w:bookmarkEnd w:id="429"/>
    <w:bookmarkEnd w:id="430"/>
    <w:bookmarkEnd w:id="431"/>
    <w:p w14:paraId="6ED7F01D">
      <w:pPr>
        <w:widowControl/>
        <w:adjustRightInd/>
        <w:spacing w:before="0" w:beforeAutospacing="0" w:after="0" w:afterAutospacing="0" w:line="360" w:lineRule="auto"/>
        <w:ind w:firstLine="480"/>
        <w:jc w:val="left"/>
        <w:rPr>
          <w:rFonts w:ascii="宋体" w:hAnsi="宋体" w:eastAsia="宋体" w:cs="宋体"/>
          <w:b/>
          <w:color w:val="auto"/>
          <w:kern w:val="0"/>
          <w:sz w:val="24"/>
          <w:szCs w:val="24"/>
          <w:highlight w:val="none"/>
          <w:lang w:val="en-US" w:eastAsia="zh-CN" w:bidi="ar-SA"/>
        </w:rPr>
      </w:pPr>
      <w:bookmarkStart w:id="432" w:name="_Toc10340"/>
      <w:bookmarkStart w:id="433" w:name="_Toc22618"/>
      <w:bookmarkStart w:id="434" w:name="_Toc1814"/>
      <w:bookmarkStart w:id="435" w:name="_Toc3625"/>
      <w:bookmarkStart w:id="436" w:name="_Toc31421"/>
      <w:bookmarkStart w:id="437" w:name="_Toc4760"/>
      <w:bookmarkStart w:id="438" w:name="_Toc11108"/>
      <w:bookmarkStart w:id="439" w:name="_Toc8772"/>
      <w:r>
        <w:rPr>
          <w:rFonts w:hint="eastAsia" w:ascii="宋体" w:hAnsi="宋体" w:eastAsia="宋体" w:cs="宋体"/>
          <w:b/>
          <w:color w:val="auto"/>
          <w:kern w:val="0"/>
          <w:sz w:val="24"/>
          <w:szCs w:val="24"/>
          <w:highlight w:val="none"/>
          <w:lang w:val="en-US" w:eastAsia="zh-CN" w:bidi="ar-SA"/>
        </w:rPr>
        <w:t>1.4履约保证金</w:t>
      </w:r>
    </w:p>
    <w:p w14:paraId="0C797073">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6D9B8A00">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F748D0">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30DB0C1">
      <w:pPr>
        <w:keepNext/>
        <w:keepLines/>
        <w:widowControl w:val="0"/>
        <w:tabs>
          <w:tab w:val="left" w:pos="0"/>
        </w:tabs>
        <w:adjustRightInd/>
        <w:spacing w:line="560" w:lineRule="exact"/>
        <w:ind w:left="0" w:firstLine="480" w:firstLineChars="200"/>
        <w:jc w:val="left"/>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8AFFDA">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4002B5">
      <w:pPr>
        <w:spacing w:line="560" w:lineRule="exact"/>
        <w:ind w:firstLine="482" w:firstLineChars="200"/>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32"/>
      <w:bookmarkEnd w:id="433"/>
      <w:bookmarkEnd w:id="434"/>
      <w:r>
        <w:rPr>
          <w:rFonts w:hint="eastAsia" w:ascii="宋体" w:hAnsi="宋体" w:eastAsia="宋体" w:cs="宋体"/>
          <w:b/>
          <w:color w:val="auto"/>
          <w:sz w:val="24"/>
          <w:highlight w:val="none"/>
        </w:rPr>
        <w:t>预付款</w:t>
      </w:r>
    </w:p>
    <w:p w14:paraId="4C4C77EE">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473640E8">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12F25BA">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60FAE85">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EA496FD">
      <w:pPr>
        <w:widowControl/>
        <w:adjustRightInd/>
        <w:spacing w:before="0" w:beforeAutospacing="0" w:after="0" w:afterAutospacing="0" w:line="360" w:lineRule="auto"/>
        <w:ind w:firstLine="480"/>
        <w:jc w:val="left"/>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300EB583">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9B3E7A">
      <w:pPr>
        <w:spacing w:line="560" w:lineRule="exact"/>
        <w:ind w:firstLine="480" w:firstLineChars="200"/>
        <w:outlineLvl w:val="0"/>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E90A54">
      <w:pPr>
        <w:spacing w:line="560" w:lineRule="exact"/>
        <w:ind w:firstLine="482" w:firstLineChars="200"/>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35"/>
      <w:bookmarkEnd w:id="436"/>
      <w:bookmarkEnd w:id="437"/>
      <w:bookmarkEnd w:id="438"/>
      <w:bookmarkEnd w:id="439"/>
    </w:p>
    <w:p w14:paraId="75E254B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F7E58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AD52A95">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3B8CC7E">
      <w:pPr>
        <w:spacing w:line="560" w:lineRule="exact"/>
        <w:ind w:firstLine="480" w:firstLineChars="200"/>
        <w:outlineLvl w:val="0"/>
        <w:rPr>
          <w:rFonts w:ascii="宋体" w:hAnsi="宋体" w:eastAsia="宋体" w:cs="Times New Roman"/>
          <w:bCs/>
          <w:color w:val="auto"/>
          <w:sz w:val="24"/>
          <w:highlight w:val="none"/>
        </w:rPr>
      </w:pPr>
      <w:bookmarkStart w:id="440" w:name="_Toc24662"/>
      <w:bookmarkStart w:id="441" w:name="_Toc2375"/>
      <w:bookmarkStart w:id="442" w:name="_Toc5698"/>
      <w:bookmarkStart w:id="443" w:name="_Toc8586"/>
      <w:bookmarkStart w:id="444" w:name="_Toc3079"/>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6B0E709D">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02DEDA6">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B8A4C0">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DB5863">
      <w:pPr>
        <w:spacing w:line="560" w:lineRule="exact"/>
        <w:ind w:firstLine="482" w:firstLineChars="200"/>
        <w:outlineLvl w:val="0"/>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40"/>
      <w:bookmarkEnd w:id="441"/>
      <w:bookmarkEnd w:id="442"/>
      <w:bookmarkEnd w:id="443"/>
      <w:bookmarkEnd w:id="444"/>
    </w:p>
    <w:p w14:paraId="3544AA3D">
      <w:pPr>
        <w:spacing w:line="560" w:lineRule="exact"/>
        <w:ind w:firstLine="480" w:firstLineChars="200"/>
        <w:rPr>
          <w:rFonts w:hint="eastAsia"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736702E5">
      <w:pPr>
        <w:spacing w:line="560" w:lineRule="exact"/>
        <w:ind w:firstLine="480" w:firstLineChars="200"/>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235455B6">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79878B58">
      <w:pPr>
        <w:spacing w:line="560" w:lineRule="exact"/>
        <w:ind w:firstLine="480" w:firstLineChars="200"/>
        <w:rPr>
          <w:rFonts w:ascii="宋体" w:hAnsi="宋体" w:eastAsia="宋体" w:cs="宋体"/>
          <w:color w:val="auto"/>
          <w:sz w:val="24"/>
          <w:highlight w:val="none"/>
        </w:rPr>
      </w:pPr>
      <w:bookmarkStart w:id="445" w:name="_Toc26807"/>
      <w:bookmarkStart w:id="446" w:name="_Toc32454"/>
      <w:bookmarkStart w:id="447" w:name="_Toc9497"/>
      <w:bookmarkStart w:id="448" w:name="_Toc30329"/>
      <w:bookmarkStart w:id="449"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7FA142">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782F3B">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944E0CB">
      <w:pPr>
        <w:spacing w:line="560" w:lineRule="exact"/>
        <w:ind w:right="-420" w:rightChars="-200"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5"/>
    <w:bookmarkEnd w:id="446"/>
    <w:bookmarkEnd w:id="447"/>
    <w:bookmarkEnd w:id="448"/>
    <w:bookmarkEnd w:id="449"/>
    <w:p w14:paraId="147BE37A">
      <w:pPr>
        <w:spacing w:line="560" w:lineRule="exact"/>
        <w:ind w:firstLine="482" w:firstLineChars="200"/>
        <w:outlineLvl w:val="0"/>
        <w:rPr>
          <w:rFonts w:ascii="宋体" w:hAnsi="宋体" w:eastAsia="宋体" w:cs="宋体"/>
          <w:b/>
          <w:color w:val="auto"/>
          <w:sz w:val="24"/>
          <w:highlight w:val="none"/>
        </w:rPr>
      </w:pPr>
      <w:bookmarkStart w:id="450" w:name="_Toc15583"/>
      <w:bookmarkStart w:id="451" w:name="_Toc16021"/>
      <w:bookmarkStart w:id="452" w:name="_Toc28375"/>
      <w:r>
        <w:rPr>
          <w:rFonts w:hint="eastAsia" w:ascii="宋体" w:hAnsi="宋体" w:eastAsia="宋体" w:cs="宋体"/>
          <w:b/>
          <w:color w:val="auto"/>
          <w:sz w:val="24"/>
          <w:highlight w:val="none"/>
        </w:rPr>
        <w:t>1.9合同争议的解决</w:t>
      </w:r>
      <w:bookmarkEnd w:id="450"/>
      <w:bookmarkEnd w:id="451"/>
      <w:bookmarkEnd w:id="452"/>
    </w:p>
    <w:p w14:paraId="6E9F5D19">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DB4C3C8">
      <w:pPr>
        <w:spacing w:line="560" w:lineRule="exact"/>
        <w:ind w:left="-420" w:leftChars="-200" w:right="-420" w:rightChars="-200"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33A7381">
      <w:pPr>
        <w:spacing w:line="560" w:lineRule="exact"/>
        <w:ind w:left="-420" w:leftChars="-200" w:right="-420" w:rightChars="-200"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E370797">
      <w:pPr>
        <w:spacing w:line="560" w:lineRule="exact"/>
        <w:ind w:firstLine="482" w:firstLineChars="200"/>
        <w:outlineLvl w:val="0"/>
        <w:rPr>
          <w:rFonts w:ascii="宋体" w:hAnsi="宋体" w:eastAsia="宋体" w:cs="宋体"/>
          <w:b/>
          <w:color w:val="auto"/>
          <w:sz w:val="24"/>
          <w:highlight w:val="none"/>
        </w:rPr>
      </w:pPr>
      <w:bookmarkStart w:id="453" w:name="_Toc11173"/>
      <w:bookmarkStart w:id="454" w:name="_Toc15322"/>
      <w:bookmarkStart w:id="455" w:name="_Toc7245"/>
      <w:r>
        <w:rPr>
          <w:rFonts w:hint="eastAsia" w:ascii="宋体" w:hAnsi="宋体" w:eastAsia="宋体" w:cs="宋体"/>
          <w:b/>
          <w:color w:val="auto"/>
          <w:sz w:val="24"/>
          <w:highlight w:val="none"/>
        </w:rPr>
        <w:t>2.0 合同生效</w:t>
      </w:r>
      <w:bookmarkEnd w:id="453"/>
      <w:bookmarkEnd w:id="454"/>
      <w:bookmarkEnd w:id="455"/>
    </w:p>
    <w:p w14:paraId="729E33DC">
      <w:pPr>
        <w:spacing w:line="560" w:lineRule="exact"/>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0FAAF8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17B8FF8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22FFB755">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0ED211F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20D933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4AD6C9C4">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3F72543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0558DE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694018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3788E2B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5BA83B11">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305594CC">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0888C4F0">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A21CA67">
      <w:pPr>
        <w:autoSpaceDE w:val="0"/>
        <w:autoSpaceDN w:val="0"/>
        <w:spacing w:line="56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E32E393">
      <w:pPr>
        <w:autoSpaceDE w:val="0"/>
        <w:autoSpaceDN w:val="0"/>
        <w:spacing w:line="560" w:lineRule="exact"/>
        <w:rPr>
          <w:rFonts w:hint="default" w:ascii="宋体" w:hAnsi="宋体" w:eastAsia="宋体" w:cs="Times New Roman"/>
          <w:b/>
          <w:color w:val="auto"/>
          <w:sz w:val="24"/>
          <w:highlight w:val="none"/>
          <w:lang w:val="en-US" w:eastAsia="zh-CN"/>
        </w:rPr>
      </w:pPr>
      <w:r>
        <w:rPr>
          <w:rFonts w:hint="eastAsia" w:ascii="宋体" w:hAnsi="宋体" w:eastAsia="宋体" w:cs="Times New Roman"/>
          <w:color w:val="auto"/>
          <w:sz w:val="24"/>
          <w:highlight w:val="none"/>
          <w:lang w:val="en-US" w:eastAsia="zh-CN"/>
        </w:rPr>
        <w:t>见证方：浙江中基正采管理咨询有限公司</w:t>
      </w:r>
    </w:p>
    <w:p w14:paraId="6A958CF8">
      <w:pPr>
        <w:widowControl/>
        <w:adjustRightInd/>
        <w:jc w:val="left"/>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02B5A4D4">
      <w:pPr>
        <w:widowControl w:val="0"/>
        <w:autoSpaceDE w:val="0"/>
        <w:autoSpaceDN w:val="0"/>
        <w:adjustRightInd w:val="0"/>
        <w:snapToGrid w:val="0"/>
        <w:spacing w:after="120" w:line="560" w:lineRule="exact"/>
        <w:ind w:left="420" w:leftChars="200" w:firstLine="482" w:firstLineChars="200"/>
        <w:jc w:val="center"/>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p>
    <w:p w14:paraId="724AF5C8">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56" w:name="_Toc25079"/>
      <w:bookmarkStart w:id="457" w:name="_Toc19680"/>
      <w:bookmarkStart w:id="458" w:name="_Toc31297"/>
      <w:bookmarkStart w:id="459" w:name="_Toc14021"/>
      <w:bookmarkStart w:id="460" w:name="_Toc5228"/>
      <w:r>
        <w:rPr>
          <w:rFonts w:ascii="宋体" w:hAnsi="宋体" w:eastAsia="宋体" w:cs="Times New Roman"/>
          <w:b/>
          <w:color w:val="auto"/>
          <w:sz w:val="24"/>
          <w:highlight w:val="none"/>
        </w:rPr>
        <w:t>2.1 定义</w:t>
      </w:r>
      <w:bookmarkEnd w:id="456"/>
      <w:bookmarkEnd w:id="457"/>
      <w:bookmarkEnd w:id="458"/>
      <w:bookmarkEnd w:id="459"/>
      <w:bookmarkEnd w:id="460"/>
    </w:p>
    <w:p w14:paraId="5B41856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00759F4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64DF052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260E21EB">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0E846FD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1AD3A684">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B6EBD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D4BE3D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61" w:name="_Toc3769"/>
      <w:bookmarkStart w:id="462" w:name="_Toc31402"/>
      <w:bookmarkStart w:id="463" w:name="_Toc23289"/>
      <w:bookmarkStart w:id="464" w:name="_Toc16752"/>
      <w:bookmarkStart w:id="465" w:name="_Toc19539"/>
      <w:r>
        <w:rPr>
          <w:rFonts w:ascii="宋体" w:hAnsi="宋体" w:eastAsia="宋体" w:cs="Times New Roman"/>
          <w:b/>
          <w:color w:val="auto"/>
          <w:sz w:val="24"/>
          <w:highlight w:val="none"/>
        </w:rPr>
        <w:t>2.2 技术规范</w:t>
      </w:r>
      <w:bookmarkEnd w:id="461"/>
      <w:bookmarkEnd w:id="462"/>
      <w:bookmarkEnd w:id="463"/>
      <w:bookmarkEnd w:id="464"/>
      <w:bookmarkEnd w:id="465"/>
    </w:p>
    <w:p w14:paraId="28036B3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4C136FAC">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66" w:name="_Toc13673"/>
      <w:bookmarkStart w:id="467" w:name="_Toc4133"/>
      <w:bookmarkStart w:id="468" w:name="_Toc9161"/>
      <w:bookmarkStart w:id="469" w:name="_Toc27945"/>
      <w:bookmarkStart w:id="470" w:name="_Toc12412"/>
      <w:r>
        <w:rPr>
          <w:rFonts w:ascii="宋体" w:hAnsi="宋体" w:eastAsia="宋体" w:cs="Times New Roman"/>
          <w:b/>
          <w:color w:val="auto"/>
          <w:sz w:val="24"/>
          <w:highlight w:val="none"/>
        </w:rPr>
        <w:t>2.3 知识产权</w:t>
      </w:r>
      <w:bookmarkEnd w:id="466"/>
      <w:bookmarkEnd w:id="467"/>
      <w:bookmarkEnd w:id="468"/>
      <w:bookmarkEnd w:id="469"/>
      <w:bookmarkEnd w:id="470"/>
    </w:p>
    <w:p w14:paraId="71F6FD7F">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077D795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3FD2F63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55A95DF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5425EF">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3C52889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71" w:name="_Toc32670"/>
      <w:bookmarkStart w:id="472" w:name="_Toc22011"/>
      <w:bookmarkStart w:id="473" w:name="_Toc15447"/>
      <w:bookmarkStart w:id="474" w:name="_Toc31233"/>
      <w:bookmarkStart w:id="475" w:name="_Toc26555"/>
      <w:r>
        <w:rPr>
          <w:rFonts w:ascii="宋体" w:hAnsi="宋体" w:eastAsia="宋体" w:cs="Times New Roman"/>
          <w:b/>
          <w:color w:val="auto"/>
          <w:sz w:val="24"/>
          <w:highlight w:val="none"/>
        </w:rPr>
        <w:t>2.5 结算方式和付款条件</w:t>
      </w:r>
      <w:bookmarkEnd w:id="471"/>
      <w:bookmarkEnd w:id="472"/>
      <w:bookmarkEnd w:id="473"/>
      <w:bookmarkEnd w:id="474"/>
      <w:bookmarkEnd w:id="475"/>
    </w:p>
    <w:p w14:paraId="5F4354E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56BCDAE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76" w:name="_Toc18990"/>
      <w:bookmarkStart w:id="477" w:name="_Toc30507"/>
      <w:bookmarkStart w:id="478" w:name="_Toc13467"/>
      <w:bookmarkStart w:id="479" w:name="_Toc16163"/>
      <w:bookmarkStart w:id="480" w:name="_Toc13154"/>
      <w:r>
        <w:rPr>
          <w:rFonts w:ascii="宋体" w:hAnsi="宋体" w:eastAsia="宋体" w:cs="Times New Roman"/>
          <w:b/>
          <w:color w:val="auto"/>
          <w:sz w:val="24"/>
          <w:highlight w:val="none"/>
        </w:rPr>
        <w:t>2.6 技术资料和保密义务</w:t>
      </w:r>
      <w:bookmarkEnd w:id="476"/>
      <w:bookmarkEnd w:id="477"/>
      <w:bookmarkEnd w:id="478"/>
      <w:bookmarkEnd w:id="479"/>
      <w:bookmarkEnd w:id="480"/>
    </w:p>
    <w:p w14:paraId="1CC9BFC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1760B8C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6A7E9F4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79E54B1">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1"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81"/>
    </w:p>
    <w:p w14:paraId="28355B2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72177D5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666C34D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2"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82"/>
    </w:p>
    <w:p w14:paraId="76456D54">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08B311E6">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3"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83"/>
    </w:p>
    <w:p w14:paraId="2260A8E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049F30">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4" w:name="_Toc23368"/>
      <w:bookmarkStart w:id="485" w:name="_Toc21830"/>
      <w:bookmarkStart w:id="486" w:name="_Toc42"/>
      <w:bookmarkStart w:id="487" w:name="_Toc10663"/>
      <w:bookmarkStart w:id="488" w:name="_Toc26689"/>
      <w:r>
        <w:rPr>
          <w:rFonts w:ascii="宋体" w:hAnsi="宋体" w:eastAsia="宋体" w:cs="Times New Roman"/>
          <w:b/>
          <w:color w:val="auto"/>
          <w:sz w:val="24"/>
          <w:highlight w:val="none"/>
        </w:rPr>
        <w:t>2.10 合同转让和分包</w:t>
      </w:r>
      <w:bookmarkEnd w:id="484"/>
      <w:bookmarkEnd w:id="485"/>
      <w:bookmarkEnd w:id="486"/>
      <w:bookmarkEnd w:id="487"/>
      <w:bookmarkEnd w:id="488"/>
    </w:p>
    <w:p w14:paraId="41A75F4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C98D85B">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9" w:name="_Toc32494"/>
      <w:bookmarkStart w:id="490" w:name="_Toc14371"/>
      <w:bookmarkStart w:id="491" w:name="_Toc25571"/>
      <w:bookmarkStart w:id="492" w:name="_Toc26633"/>
      <w:bookmarkStart w:id="493" w:name="_Toc4720"/>
      <w:r>
        <w:rPr>
          <w:rFonts w:ascii="宋体" w:hAnsi="宋体" w:eastAsia="宋体" w:cs="Times New Roman"/>
          <w:b/>
          <w:color w:val="auto"/>
          <w:sz w:val="24"/>
          <w:highlight w:val="none"/>
        </w:rPr>
        <w:t>2.11 不可抗力</w:t>
      </w:r>
      <w:bookmarkEnd w:id="489"/>
      <w:bookmarkEnd w:id="490"/>
      <w:bookmarkEnd w:id="491"/>
      <w:bookmarkEnd w:id="492"/>
      <w:bookmarkEnd w:id="493"/>
    </w:p>
    <w:p w14:paraId="3B0549A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648E6EA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6D04680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7F665AF2">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6752BD0E">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94" w:name="_Toc14115"/>
      <w:bookmarkStart w:id="495" w:name="_Toc25783"/>
      <w:bookmarkStart w:id="496" w:name="_Toc23854"/>
      <w:bookmarkStart w:id="497" w:name="_Toc3638"/>
      <w:bookmarkStart w:id="498" w:name="_Toc24465"/>
      <w:r>
        <w:rPr>
          <w:rFonts w:ascii="宋体" w:hAnsi="宋体" w:eastAsia="宋体" w:cs="Times New Roman"/>
          <w:b/>
          <w:color w:val="auto"/>
          <w:sz w:val="24"/>
          <w:highlight w:val="none"/>
        </w:rPr>
        <w:t>2.12 税费</w:t>
      </w:r>
      <w:bookmarkEnd w:id="494"/>
      <w:bookmarkEnd w:id="495"/>
      <w:bookmarkEnd w:id="496"/>
      <w:bookmarkEnd w:id="497"/>
      <w:bookmarkEnd w:id="498"/>
    </w:p>
    <w:p w14:paraId="7DAB639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216DBCAA">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99" w:name="_Toc30105"/>
      <w:bookmarkStart w:id="500" w:name="_Toc7315"/>
      <w:bookmarkStart w:id="501" w:name="_Toc14814"/>
      <w:bookmarkStart w:id="502" w:name="_Toc26883"/>
      <w:bookmarkStart w:id="503" w:name="_Toc25525"/>
      <w:r>
        <w:rPr>
          <w:rFonts w:ascii="宋体" w:hAnsi="宋体" w:eastAsia="宋体" w:cs="Times New Roman"/>
          <w:b/>
          <w:color w:val="auto"/>
          <w:sz w:val="24"/>
          <w:highlight w:val="none"/>
        </w:rPr>
        <w:t>2.13 乙方破产</w:t>
      </w:r>
      <w:bookmarkEnd w:id="499"/>
      <w:bookmarkEnd w:id="500"/>
      <w:bookmarkEnd w:id="501"/>
      <w:bookmarkEnd w:id="502"/>
      <w:bookmarkEnd w:id="503"/>
    </w:p>
    <w:p w14:paraId="6B39E722">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2A11C7F5">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04" w:name="_Toc23323"/>
      <w:bookmarkStart w:id="505" w:name="_Toc2016"/>
      <w:bookmarkStart w:id="506" w:name="_Toc1123"/>
      <w:r>
        <w:rPr>
          <w:rFonts w:ascii="宋体" w:hAnsi="宋体" w:eastAsia="宋体" w:cs="Times New Roman"/>
          <w:b/>
          <w:color w:val="auto"/>
          <w:sz w:val="24"/>
          <w:highlight w:val="none"/>
        </w:rPr>
        <w:t>2.14 合同中止、终止</w:t>
      </w:r>
      <w:bookmarkEnd w:id="504"/>
      <w:bookmarkEnd w:id="505"/>
      <w:bookmarkEnd w:id="506"/>
    </w:p>
    <w:p w14:paraId="52978D2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D3D3FF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52C5FF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07" w:name="_Toc1969"/>
      <w:bookmarkStart w:id="508" w:name="_Toc17363"/>
      <w:bookmarkStart w:id="509" w:name="_Toc14525"/>
      <w:r>
        <w:rPr>
          <w:rFonts w:ascii="宋体" w:hAnsi="宋体" w:eastAsia="宋体" w:cs="Times New Roman"/>
          <w:b/>
          <w:color w:val="auto"/>
          <w:sz w:val="24"/>
          <w:highlight w:val="none"/>
        </w:rPr>
        <w:t>2.15 检验和验收</w:t>
      </w:r>
      <w:bookmarkEnd w:id="507"/>
      <w:bookmarkEnd w:id="508"/>
      <w:bookmarkEnd w:id="509"/>
    </w:p>
    <w:p w14:paraId="78697283">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8AC725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6E869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089C0CFF">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10" w:name="_Toc9808"/>
      <w:bookmarkStart w:id="511" w:name="_Toc31892"/>
      <w:bookmarkStart w:id="512" w:name="_Toc25198"/>
      <w:bookmarkStart w:id="513" w:name="_Toc2308"/>
      <w:bookmarkStart w:id="514" w:name="_Toc12666"/>
      <w:r>
        <w:rPr>
          <w:rFonts w:ascii="宋体" w:hAnsi="宋体" w:eastAsia="宋体" w:cs="Times New Roman"/>
          <w:b/>
          <w:color w:val="auto"/>
          <w:sz w:val="24"/>
          <w:highlight w:val="none"/>
        </w:rPr>
        <w:t>2.16 通知和送达</w:t>
      </w:r>
      <w:bookmarkEnd w:id="510"/>
      <w:bookmarkEnd w:id="511"/>
      <w:bookmarkEnd w:id="512"/>
      <w:bookmarkEnd w:id="513"/>
      <w:bookmarkEnd w:id="514"/>
    </w:p>
    <w:p w14:paraId="7907C5B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bookmarkStart w:id="515" w:name="_Toc27674"/>
      <w:bookmarkStart w:id="516"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51C2D35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15"/>
      <w:bookmarkEnd w:id="516"/>
    </w:p>
    <w:p w14:paraId="74C0AAE7">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17" w:name="_Toc20808"/>
      <w:bookmarkStart w:id="518" w:name="_Toc12254"/>
      <w:bookmarkStart w:id="519" w:name="_Toc27644"/>
      <w:bookmarkStart w:id="520" w:name="_Toc28906"/>
      <w:bookmarkStart w:id="521"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17"/>
      <w:bookmarkEnd w:id="518"/>
      <w:bookmarkEnd w:id="519"/>
      <w:bookmarkEnd w:id="520"/>
      <w:bookmarkEnd w:id="521"/>
    </w:p>
    <w:p w14:paraId="66727CE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310996BC">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7C261660">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宋体"/>
          <w:b/>
          <w:color w:val="auto"/>
          <w:sz w:val="24"/>
          <w:highlight w:val="none"/>
        </w:rPr>
      </w:pPr>
      <w:bookmarkStart w:id="522" w:name="_Toc30599"/>
      <w:bookmarkStart w:id="523" w:name="_Toc4355"/>
      <w:bookmarkStart w:id="524" w:name="_Toc18540"/>
      <w:r>
        <w:rPr>
          <w:rFonts w:hint="eastAsia" w:ascii="宋体" w:hAnsi="宋体" w:eastAsia="宋体" w:cs="宋体"/>
          <w:b/>
          <w:color w:val="auto"/>
          <w:sz w:val="24"/>
          <w:highlight w:val="none"/>
        </w:rPr>
        <w:t>2.18 计量单位</w:t>
      </w:r>
      <w:bookmarkEnd w:id="522"/>
      <w:bookmarkEnd w:id="523"/>
      <w:bookmarkEnd w:id="524"/>
    </w:p>
    <w:p w14:paraId="7B2E172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75FAABA">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2320432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D9E6E50">
      <w:pPr>
        <w:spacing w:line="360" w:lineRule="auto"/>
        <w:jc w:val="center"/>
        <w:outlineLvl w:val="0"/>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5" w:name="_Toc331685784"/>
      <w:r>
        <w:rPr>
          <w:rFonts w:hint="eastAsia" w:ascii="宋体" w:hAnsi="宋体" w:eastAsia="宋体" w:cs="宋体"/>
          <w:b/>
          <w:color w:val="auto"/>
          <w:sz w:val="24"/>
          <w:highlight w:val="none"/>
        </w:rPr>
        <w:t xml:space="preserve"> </w:t>
      </w:r>
      <w:bookmarkEnd w:id="525"/>
      <w:r>
        <w:rPr>
          <w:rFonts w:hint="eastAsia" w:ascii="宋体" w:hAnsi="宋体" w:eastAsia="宋体" w:cs="宋体"/>
          <w:b/>
          <w:color w:val="auto"/>
          <w:sz w:val="24"/>
          <w:highlight w:val="none"/>
        </w:rPr>
        <w:t>第三部分  合同专用条款</w:t>
      </w:r>
    </w:p>
    <w:p w14:paraId="7DAAA39E">
      <w:pPr>
        <w:keepNext w:val="0"/>
        <w:keepLines w:val="0"/>
        <w:pageBreakBefore w:val="0"/>
        <w:widowControl w:val="0"/>
        <w:kinsoku/>
        <w:wordWrap/>
        <w:overflowPunct/>
        <w:topLinePunct w:val="0"/>
        <w:autoSpaceDE/>
        <w:autoSpaceDN/>
        <w:bidi w:val="0"/>
        <w:adjustRightInd w:val="0"/>
        <w:snapToGrid/>
        <w:spacing w:line="520" w:lineRule="exact"/>
        <w:ind w:left="-420" w:leftChars="-200"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6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8261"/>
      </w:tblGrid>
      <w:tr w14:paraId="474D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rPr>
        <w:tc>
          <w:tcPr>
            <w:tcW w:w="975" w:type="dxa"/>
            <w:tcBorders>
              <w:left w:val="single" w:color="auto" w:sz="4" w:space="0"/>
            </w:tcBorders>
            <w:vAlign w:val="center"/>
          </w:tcPr>
          <w:p w14:paraId="0821937A">
            <w:pPr>
              <w:keepNext w:val="0"/>
              <w:keepLines w:val="0"/>
              <w:pageBreakBefore w:val="0"/>
              <w:kinsoku/>
              <w:wordWrap/>
              <w:overflowPunct/>
              <w:topLinePunct w:val="0"/>
              <w:autoSpaceDE/>
              <w:autoSpaceDN/>
              <w:bidi w:val="0"/>
              <w:snapToGrid/>
              <w:spacing w:line="24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61" w:type="dxa"/>
            <w:vAlign w:val="center"/>
          </w:tcPr>
          <w:p w14:paraId="2CDF3D17">
            <w:pPr>
              <w:keepNext w:val="0"/>
              <w:keepLines w:val="0"/>
              <w:pageBreakBefore w:val="0"/>
              <w:kinsoku/>
              <w:wordWrap/>
              <w:overflowPunct/>
              <w:topLinePunct w:val="0"/>
              <w:autoSpaceDE/>
              <w:autoSpaceDN/>
              <w:bidi w:val="0"/>
              <w:snapToGrid/>
              <w:spacing w:line="24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F08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A7D7BF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261" w:type="dxa"/>
            <w:vAlign w:val="center"/>
          </w:tcPr>
          <w:p w14:paraId="2FDCC973">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5C4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4B5F543">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61" w:type="dxa"/>
            <w:vAlign w:val="center"/>
          </w:tcPr>
          <w:p w14:paraId="5B4D48DB">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D8E3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70E081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261" w:type="dxa"/>
            <w:vAlign w:val="center"/>
          </w:tcPr>
          <w:p w14:paraId="3009D46C">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w:t>
            </w:r>
          </w:p>
        </w:tc>
      </w:tr>
      <w:tr w14:paraId="617B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851C50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261" w:type="dxa"/>
            <w:vAlign w:val="center"/>
          </w:tcPr>
          <w:p w14:paraId="05F3B451">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4E6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C468FC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261" w:type="dxa"/>
            <w:vAlign w:val="center"/>
          </w:tcPr>
          <w:p w14:paraId="33670F3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B90A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75E4551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61" w:type="dxa"/>
            <w:vAlign w:val="center"/>
          </w:tcPr>
          <w:p w14:paraId="0004743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（1）货款每月一结，本月货款于次月初结算，结算时乙方须开具合法票据并提供汇总供货清单交甲方，采购人审核后付款。</w:t>
            </w:r>
          </w:p>
          <w:p w14:paraId="78B6AA2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送货时必须提供三联的送货清单（清单内容包括供货日期、食品名称、规格、数量、生产批号、保质期、供货者名称、联系方式等），验收签字后一张留食堂记台账，一张作为结账凭据，每月结账一次。结账后乙方必须提供合法票据，否则甲方拒绝付款。</w:t>
            </w:r>
          </w:p>
          <w:p w14:paraId="37CEDD2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作为基准价，且该基准价不得高于当地当时的市场价。</w:t>
            </w:r>
          </w:p>
          <w:p w14:paraId="646DD18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结算价格＝∑食品原材料基准价×对应类别中标折扣系数</w:t>
            </w:r>
          </w:p>
        </w:tc>
      </w:tr>
      <w:tr w14:paraId="6164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D3D4427">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61" w:type="dxa"/>
            <w:vAlign w:val="center"/>
          </w:tcPr>
          <w:p w14:paraId="2DD314D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lang w:val="zh-CN" w:eastAsia="zh-CN"/>
              </w:rPr>
              <w:t>本项目供货期限暂定三年，合同一年一签。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eastAsia="zh-CN"/>
              </w:rPr>
              <w:t>在上一年度合同履约情况决定是否续签。乙方如不能按时、按质、按量提供</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eastAsia="zh-CN"/>
              </w:rPr>
              <w:t>所需食品原材料，由此造成的一切相关损失全部由乙方承担。</w:t>
            </w:r>
          </w:p>
        </w:tc>
      </w:tr>
      <w:tr w14:paraId="611C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6B0005F5">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61" w:type="dxa"/>
            <w:vAlign w:val="center"/>
          </w:tcPr>
          <w:p w14:paraId="39AD4219">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宁波市宁海县</w:t>
            </w:r>
          </w:p>
        </w:tc>
      </w:tr>
      <w:tr w14:paraId="4FCF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3CD6F25">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61" w:type="dxa"/>
            <w:vAlign w:val="center"/>
          </w:tcPr>
          <w:p w14:paraId="31DCBD96">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4F06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771E895F">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261" w:type="dxa"/>
            <w:vAlign w:val="center"/>
          </w:tcPr>
          <w:p w14:paraId="2AC6588F">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D4E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AE6563F">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261" w:type="dxa"/>
            <w:vAlign w:val="center"/>
          </w:tcPr>
          <w:p w14:paraId="0BA2AF65">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C9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309D16C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261" w:type="dxa"/>
            <w:vAlign w:val="center"/>
          </w:tcPr>
          <w:p w14:paraId="132144A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870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6D33C530">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261" w:type="dxa"/>
            <w:vAlign w:val="center"/>
          </w:tcPr>
          <w:p w14:paraId="06499DFC">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55C8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09A1870">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261" w:type="dxa"/>
            <w:vAlign w:val="center"/>
          </w:tcPr>
          <w:p w14:paraId="1DAD2503">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164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C8F2C3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261" w:type="dxa"/>
            <w:vAlign w:val="center"/>
          </w:tcPr>
          <w:p w14:paraId="653FF58F">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宁波市宁海县</w:t>
            </w:r>
          </w:p>
        </w:tc>
      </w:tr>
      <w:tr w14:paraId="7123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8AA6B4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61" w:type="dxa"/>
            <w:vAlign w:val="center"/>
          </w:tcPr>
          <w:p w14:paraId="7E02B44D">
            <w:pPr>
              <w:keepNext w:val="0"/>
              <w:keepLines w:val="0"/>
              <w:pageBreakBefore w:val="0"/>
              <w:kinsoku/>
              <w:wordWrap/>
              <w:overflowPunct/>
              <w:topLinePunct w:val="0"/>
              <w:autoSpaceDE/>
              <w:autoSpaceDN/>
              <w:bidi w:val="0"/>
              <w:snapToGrid/>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E1F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DB825F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261" w:type="dxa"/>
            <w:vAlign w:val="center"/>
          </w:tcPr>
          <w:p w14:paraId="5E47DC89">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（1）货款每月一结，本月货款于次月初结算，结算时乙方须开具合法票据并提供汇总供货清单交甲方，采购人审核后付款。</w:t>
            </w:r>
          </w:p>
          <w:p w14:paraId="5E9907A1">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送货时必须提供三联的送货清单（清单内容包括供货日期、食品名称、规格、数量、生产批号、保质期、供货者名称、联系方式等），验收签字后一张留食堂记台账，一张作为结账凭据，每月结账一次。结账后乙方必须提供合法票据，否则甲方拒绝付款。</w:t>
            </w:r>
          </w:p>
          <w:p w14:paraId="38EC11B4">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作为基准价，且该基准价不得高于当地当时的市场价。</w:t>
            </w:r>
          </w:p>
          <w:p w14:paraId="6FC3FEB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结算价格＝∑食品原材料基准价×对应类别中标折扣系数</w:t>
            </w:r>
          </w:p>
        </w:tc>
      </w:tr>
      <w:tr w14:paraId="5857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AA5B39C">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61" w:type="dxa"/>
            <w:vAlign w:val="center"/>
          </w:tcPr>
          <w:p w14:paraId="34D7919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5B3E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tcPr>
          <w:p w14:paraId="01E320D7">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261" w:type="dxa"/>
            <w:vAlign w:val="top"/>
          </w:tcPr>
          <w:p w14:paraId="1CD7E7B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p>
        </w:tc>
      </w:tr>
      <w:tr w14:paraId="40B6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1B9C3C7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261" w:type="dxa"/>
            <w:vAlign w:val="center"/>
          </w:tcPr>
          <w:p w14:paraId="53DE47C2">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以甲方约定为准</w:t>
            </w:r>
          </w:p>
        </w:tc>
      </w:tr>
      <w:tr w14:paraId="3184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33C2B919">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61" w:type="dxa"/>
            <w:vAlign w:val="center"/>
          </w:tcPr>
          <w:p w14:paraId="0E746608">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满足甲方要求</w:t>
            </w:r>
          </w:p>
        </w:tc>
      </w:tr>
      <w:tr w14:paraId="27B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tcPr>
          <w:p w14:paraId="64E9CE54">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261" w:type="dxa"/>
            <w:vAlign w:val="top"/>
          </w:tcPr>
          <w:p w14:paraId="4D9661D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采购办执一份</w:t>
            </w:r>
            <w:r>
              <w:rPr>
                <w:rFonts w:hint="eastAsia" w:ascii="宋体" w:hAnsi="宋体" w:eastAsia="宋体" w:cs="宋体"/>
                <w:color w:val="auto"/>
                <w:sz w:val="24"/>
                <w:highlight w:val="none"/>
              </w:rPr>
              <w:t>。每份均具有同等法律效力。</w:t>
            </w:r>
          </w:p>
        </w:tc>
      </w:tr>
    </w:tbl>
    <w:p w14:paraId="5F6B6038">
      <w:pPr>
        <w:widowControl/>
        <w:adjustRightInd/>
        <w:spacing w:line="360" w:lineRule="auto"/>
        <w:ind w:left="-420" w:leftChars="-200" w:right="-420" w:rightChars="-200" w:firstLine="960" w:firstLineChars="400"/>
        <w:jc w:val="both"/>
        <w:outlineLvl w:val="9"/>
        <w:rPr>
          <w:rFonts w:ascii="宋体" w:hAnsi="宋体" w:cs="宋体"/>
          <w:b/>
          <w:color w:val="auto"/>
          <w:sz w:val="36"/>
          <w:szCs w:val="20"/>
          <w:highlight w:val="none"/>
        </w:rPr>
      </w:pPr>
      <w:r>
        <w:rPr>
          <w:rFonts w:hint="eastAsia" w:ascii="宋体" w:hAnsi="宋体" w:eastAsia="宋体" w:cs="宋体"/>
          <w:color w:val="auto"/>
          <w:sz w:val="24"/>
          <w:szCs w:val="24"/>
          <w:highlight w:val="none"/>
        </w:rPr>
        <w:t xml:space="preserve"> </w:t>
      </w:r>
    </w:p>
    <w:p w14:paraId="515B97B7">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526" w:name="_Toc22947"/>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bookmarkEnd w:id="526"/>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527" w:name="_Toc8313"/>
      <w:r>
        <w:rPr>
          <w:rFonts w:hint="eastAsia" w:ascii="宋体" w:hAnsi="宋体" w:cs="宋体"/>
          <w:b/>
          <w:color w:val="auto"/>
          <w:kern w:val="0"/>
          <w:sz w:val="36"/>
          <w:szCs w:val="36"/>
          <w:highlight w:val="none"/>
        </w:rPr>
        <w:t>资格文件部分</w:t>
      </w:r>
      <w:bookmarkEnd w:id="527"/>
    </w:p>
    <w:p w14:paraId="77D33A58">
      <w:pPr>
        <w:spacing w:line="360" w:lineRule="auto"/>
        <w:jc w:val="center"/>
        <w:outlineLvl w:val="0"/>
        <w:rPr>
          <w:rFonts w:ascii="宋体" w:hAnsi="宋体" w:cs="宋体"/>
          <w:b/>
          <w:color w:val="auto"/>
          <w:kern w:val="0"/>
          <w:sz w:val="36"/>
          <w:szCs w:val="36"/>
          <w:highlight w:val="none"/>
        </w:rPr>
      </w:pPr>
      <w:bookmarkStart w:id="528" w:name="_Toc32371"/>
      <w:r>
        <w:rPr>
          <w:rFonts w:hint="eastAsia" w:ascii="宋体" w:hAnsi="宋体" w:cs="宋体"/>
          <w:b/>
          <w:color w:val="auto"/>
          <w:kern w:val="0"/>
          <w:sz w:val="36"/>
          <w:szCs w:val="36"/>
          <w:highlight w:val="none"/>
        </w:rPr>
        <w:t>目录</w:t>
      </w:r>
      <w:bookmarkEnd w:id="528"/>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w:t>
      </w: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rPr>
        <w:t>………（页码）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529" w:name="_Toc4930"/>
      <w:r>
        <w:rPr>
          <w:rFonts w:hint="eastAsia" w:ascii="宋体" w:hAnsi="宋体" w:cs="宋体"/>
          <w:b/>
          <w:color w:val="auto"/>
          <w:kern w:val="0"/>
          <w:sz w:val="28"/>
          <w:szCs w:val="28"/>
          <w:highlight w:val="none"/>
        </w:rPr>
        <w:t>目录</w:t>
      </w:r>
      <w:bookmarkEnd w:id="529"/>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530"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530"/>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31"/>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9CAE8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935A615">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39AEE98">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0CD07C">
      <w:pPr>
        <w:snapToGrid w:val="0"/>
        <w:spacing w:line="360" w:lineRule="auto"/>
        <w:rPr>
          <w:rFonts w:ascii="宋体" w:hAnsi="宋体" w:cs="宋体"/>
          <w:color w:val="auto"/>
          <w:kern w:val="0"/>
          <w:sz w:val="24"/>
          <w:highlight w:val="none"/>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003CE">
      <w:pPr>
        <w:jc w:val="center"/>
        <w:rPr>
          <w:rFonts w:ascii="宋体" w:hAnsi="宋体" w:cs="宋体"/>
          <w:b/>
          <w:color w:val="auto"/>
          <w:kern w:val="0"/>
          <w:sz w:val="32"/>
          <w:szCs w:val="32"/>
          <w:highlight w:val="none"/>
        </w:rPr>
      </w:pPr>
    </w:p>
    <w:p w14:paraId="366EB9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D1F7AC">
      <w:pPr>
        <w:jc w:val="center"/>
        <w:rPr>
          <w:rFonts w:ascii="宋体" w:hAnsi="宋体" w:cs="宋体"/>
          <w:b/>
          <w:color w:val="auto"/>
          <w:kern w:val="0"/>
          <w:sz w:val="32"/>
          <w:szCs w:val="32"/>
          <w:highlight w:val="none"/>
        </w:rPr>
      </w:pPr>
    </w:p>
    <w:p w14:paraId="22174EF6">
      <w:pPr>
        <w:jc w:val="center"/>
        <w:rPr>
          <w:rFonts w:ascii="宋体" w:hAnsi="宋体" w:cs="宋体"/>
          <w:b/>
          <w:color w:val="auto"/>
          <w:kern w:val="0"/>
          <w:sz w:val="32"/>
          <w:szCs w:val="32"/>
          <w:highlight w:val="none"/>
        </w:rPr>
      </w:pPr>
    </w:p>
    <w:p w14:paraId="733D0629">
      <w:pPr>
        <w:jc w:val="center"/>
        <w:rPr>
          <w:rFonts w:ascii="宋体" w:hAnsi="宋体" w:cs="宋体"/>
          <w:b/>
          <w:color w:val="auto"/>
          <w:kern w:val="0"/>
          <w:sz w:val="32"/>
          <w:szCs w:val="32"/>
          <w:highlight w:val="none"/>
        </w:rPr>
      </w:pPr>
    </w:p>
    <w:p w14:paraId="07224816">
      <w:pPr>
        <w:jc w:val="center"/>
        <w:rPr>
          <w:rFonts w:ascii="宋体" w:hAnsi="宋体" w:cs="宋体"/>
          <w:b/>
          <w:color w:val="auto"/>
          <w:kern w:val="0"/>
          <w:sz w:val="32"/>
          <w:szCs w:val="32"/>
          <w:highlight w:val="none"/>
        </w:rPr>
      </w:pPr>
    </w:p>
    <w:p w14:paraId="49342AC4">
      <w:pPr>
        <w:jc w:val="center"/>
        <w:rPr>
          <w:rFonts w:ascii="宋体" w:hAnsi="宋体" w:cs="宋体"/>
          <w:b/>
          <w:color w:val="auto"/>
          <w:kern w:val="0"/>
          <w:sz w:val="32"/>
          <w:szCs w:val="32"/>
          <w:highlight w:val="none"/>
        </w:rPr>
      </w:pPr>
    </w:p>
    <w:p w14:paraId="71597293">
      <w:pPr>
        <w:jc w:val="center"/>
        <w:rPr>
          <w:rFonts w:ascii="宋体" w:hAnsi="宋体" w:cs="宋体"/>
          <w:b/>
          <w:color w:val="auto"/>
          <w:kern w:val="0"/>
          <w:sz w:val="32"/>
          <w:szCs w:val="32"/>
          <w:highlight w:val="none"/>
        </w:rPr>
      </w:pPr>
    </w:p>
    <w:p w14:paraId="0F8D5549">
      <w:pPr>
        <w:jc w:val="center"/>
        <w:rPr>
          <w:rFonts w:ascii="宋体" w:hAnsi="宋体" w:cs="宋体"/>
          <w:b/>
          <w:color w:val="auto"/>
          <w:kern w:val="0"/>
          <w:sz w:val="32"/>
          <w:szCs w:val="32"/>
          <w:highlight w:val="none"/>
        </w:rPr>
      </w:pPr>
    </w:p>
    <w:p w14:paraId="3C0D89F1">
      <w:pPr>
        <w:jc w:val="center"/>
        <w:rPr>
          <w:rFonts w:ascii="宋体" w:hAnsi="宋体" w:cs="宋体"/>
          <w:b/>
          <w:color w:val="auto"/>
          <w:kern w:val="0"/>
          <w:sz w:val="32"/>
          <w:szCs w:val="32"/>
          <w:highlight w:val="none"/>
        </w:rPr>
      </w:pPr>
    </w:p>
    <w:p w14:paraId="6E71B3C5">
      <w:pPr>
        <w:jc w:val="center"/>
        <w:rPr>
          <w:rFonts w:ascii="宋体" w:hAnsi="宋体" w:cs="宋体"/>
          <w:b/>
          <w:color w:val="auto"/>
          <w:kern w:val="0"/>
          <w:sz w:val="32"/>
          <w:szCs w:val="32"/>
          <w:highlight w:val="none"/>
        </w:rPr>
      </w:pPr>
    </w:p>
    <w:p w14:paraId="1B0A88E0">
      <w:pPr>
        <w:jc w:val="center"/>
        <w:rPr>
          <w:rFonts w:ascii="宋体" w:hAnsi="宋体" w:cs="宋体"/>
          <w:b/>
          <w:color w:val="auto"/>
          <w:kern w:val="0"/>
          <w:sz w:val="32"/>
          <w:szCs w:val="32"/>
          <w:highlight w:val="none"/>
        </w:rPr>
      </w:pPr>
    </w:p>
    <w:p w14:paraId="7E31BA09">
      <w:pPr>
        <w:jc w:val="center"/>
        <w:rPr>
          <w:rFonts w:ascii="宋体" w:hAnsi="宋体" w:cs="宋体"/>
          <w:b/>
          <w:color w:val="auto"/>
          <w:kern w:val="0"/>
          <w:sz w:val="32"/>
          <w:szCs w:val="32"/>
          <w:highlight w:val="none"/>
        </w:rPr>
      </w:pPr>
    </w:p>
    <w:p w14:paraId="54BAE21B">
      <w:pPr>
        <w:jc w:val="center"/>
        <w:rPr>
          <w:rFonts w:ascii="宋体" w:hAnsi="宋体" w:cs="宋体"/>
          <w:b/>
          <w:color w:val="auto"/>
          <w:kern w:val="0"/>
          <w:sz w:val="32"/>
          <w:szCs w:val="32"/>
          <w:highlight w:val="none"/>
        </w:r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42339F">
      <w:pPr>
        <w:jc w:val="center"/>
        <w:rPr>
          <w:rFonts w:ascii="宋体" w:hAnsi="宋体" w:cs="宋体"/>
          <w:b/>
          <w:color w:val="auto"/>
          <w:kern w:val="0"/>
          <w:sz w:val="32"/>
          <w:szCs w:val="32"/>
          <w:highlight w:val="none"/>
        </w:rPr>
      </w:pPr>
    </w:p>
    <w:p w14:paraId="48C3125C">
      <w:pPr>
        <w:jc w:val="center"/>
        <w:rPr>
          <w:rFonts w:ascii="宋体" w:hAnsi="宋体" w:cs="宋体"/>
          <w:b/>
          <w:color w:val="auto"/>
          <w:kern w:val="0"/>
          <w:sz w:val="32"/>
          <w:szCs w:val="32"/>
          <w:highlight w:val="none"/>
        </w:rPr>
      </w:pPr>
    </w:p>
    <w:p w14:paraId="7EA424B7">
      <w:pPr>
        <w:jc w:val="center"/>
        <w:rPr>
          <w:rFonts w:ascii="宋体" w:hAnsi="宋体" w:cs="宋体"/>
          <w:b/>
          <w:color w:val="auto"/>
          <w:kern w:val="0"/>
          <w:sz w:val="32"/>
          <w:szCs w:val="32"/>
          <w:highlight w:val="none"/>
        </w:r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2FEA90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F90F88F">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814852">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532" w:name="_Toc8616"/>
      <w:r>
        <w:rPr>
          <w:rFonts w:hint="eastAsia" w:ascii="宋体" w:hAnsi="宋体" w:cs="宋体"/>
          <w:b/>
          <w:color w:val="auto"/>
          <w:kern w:val="0"/>
          <w:sz w:val="36"/>
          <w:szCs w:val="36"/>
          <w:highlight w:val="none"/>
        </w:rPr>
        <w:t>报价文件部分</w:t>
      </w:r>
      <w:bookmarkEnd w:id="532"/>
    </w:p>
    <w:p w14:paraId="51F37381">
      <w:pPr>
        <w:spacing w:line="360" w:lineRule="auto"/>
        <w:jc w:val="center"/>
        <w:outlineLvl w:val="0"/>
        <w:rPr>
          <w:rFonts w:ascii="宋体" w:hAnsi="宋体" w:cs="宋体"/>
          <w:b/>
          <w:color w:val="auto"/>
          <w:kern w:val="0"/>
          <w:sz w:val="36"/>
          <w:szCs w:val="36"/>
          <w:highlight w:val="none"/>
        </w:rPr>
      </w:pPr>
      <w:bookmarkStart w:id="533" w:name="_Toc15307"/>
      <w:r>
        <w:rPr>
          <w:rFonts w:hint="eastAsia" w:ascii="宋体" w:hAnsi="宋体" w:cs="宋体"/>
          <w:b/>
          <w:color w:val="auto"/>
          <w:kern w:val="0"/>
          <w:sz w:val="36"/>
          <w:szCs w:val="36"/>
          <w:highlight w:val="none"/>
        </w:rPr>
        <w:t>目录</w:t>
      </w:r>
      <w:bookmarkEnd w:id="533"/>
    </w:p>
    <w:p w14:paraId="03A30A9C">
      <w:pPr>
        <w:spacing w:line="360" w:lineRule="auto"/>
        <w:jc w:val="center"/>
        <w:outlineLvl w:val="9"/>
        <w:rPr>
          <w:rFonts w:ascii="宋体" w:hAnsi="宋体" w:cs="宋体"/>
          <w:b/>
          <w:color w:val="auto"/>
          <w:kern w:val="0"/>
          <w:sz w:val="36"/>
          <w:szCs w:val="36"/>
          <w:highlight w:val="none"/>
        </w:rPr>
      </w:pPr>
    </w:p>
    <w:p w14:paraId="7091873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0436C2B3">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如供应商报价低于项目预算50%的，应当提交本文档，详细阐述不影响产品质量或者诚信履约的具体原因</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53050A9A">
      <w:pPr>
        <w:pStyle w:val="2"/>
        <w:rPr>
          <w:rFonts w:hAnsi="宋体" w:cs="宋体"/>
          <w:color w:val="auto"/>
          <w:highlight w:val="none"/>
        </w:rPr>
      </w:pPr>
    </w:p>
    <w:p w14:paraId="0374878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79C228D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18"/>
        <w:gridCol w:w="2634"/>
        <w:gridCol w:w="3597"/>
      </w:tblGrid>
      <w:tr w14:paraId="339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14:paraId="251DC5ED">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18" w:type="dxa"/>
            <w:vAlign w:val="center"/>
          </w:tcPr>
          <w:p w14:paraId="023ED577">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2634" w:type="dxa"/>
            <w:vAlign w:val="center"/>
          </w:tcPr>
          <w:p w14:paraId="3F8FEAD5">
            <w:pPr>
              <w:adjustRightInd/>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投标折扣系数</w:t>
            </w:r>
          </w:p>
        </w:tc>
        <w:tc>
          <w:tcPr>
            <w:tcW w:w="3597" w:type="dxa"/>
            <w:vAlign w:val="center"/>
          </w:tcPr>
          <w:p w14:paraId="22720A5A">
            <w:pPr>
              <w:adjustRightInd/>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合同履行期限</w:t>
            </w:r>
          </w:p>
        </w:tc>
      </w:tr>
      <w:tr w14:paraId="10D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53AC5F79">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218" w:type="dxa"/>
            <w:vAlign w:val="center"/>
          </w:tcPr>
          <w:p w14:paraId="16D78970">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鲜肉类</w:t>
            </w:r>
          </w:p>
        </w:tc>
        <w:tc>
          <w:tcPr>
            <w:tcW w:w="2634" w:type="dxa"/>
            <w:vAlign w:val="center"/>
          </w:tcPr>
          <w:p w14:paraId="65C0576A">
            <w:pPr>
              <w:spacing w:line="460" w:lineRule="exact"/>
              <w:jc w:val="center"/>
              <w:rPr>
                <w:rFonts w:ascii="宋体" w:hAnsi="宋体" w:cs="宋体"/>
                <w:color w:val="auto"/>
                <w:sz w:val="24"/>
                <w:highlight w:val="none"/>
              </w:rPr>
            </w:pPr>
          </w:p>
        </w:tc>
        <w:tc>
          <w:tcPr>
            <w:tcW w:w="3597" w:type="dxa"/>
            <w:vMerge w:val="restart"/>
            <w:vAlign w:val="center"/>
          </w:tcPr>
          <w:p w14:paraId="1DCFD1F2">
            <w:pPr>
              <w:adjustRightInd/>
              <w:snapToGrid w:val="0"/>
              <w:spacing w:line="360" w:lineRule="auto"/>
              <w:jc w:val="center"/>
              <w:rPr>
                <w:rFonts w:ascii="宋体" w:hAnsi="宋体" w:cs="宋体"/>
                <w:color w:val="auto"/>
                <w:sz w:val="24"/>
                <w:highlight w:val="none"/>
              </w:rPr>
            </w:pPr>
          </w:p>
        </w:tc>
      </w:tr>
      <w:tr w14:paraId="145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79D456A7">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218" w:type="dxa"/>
            <w:vAlign w:val="center"/>
          </w:tcPr>
          <w:p w14:paraId="38A4FB1F">
            <w:pPr>
              <w:adjustRightInd/>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海鲜类</w:t>
            </w:r>
          </w:p>
        </w:tc>
        <w:tc>
          <w:tcPr>
            <w:tcW w:w="2634" w:type="dxa"/>
            <w:vAlign w:val="center"/>
          </w:tcPr>
          <w:p w14:paraId="17E5C026">
            <w:pPr>
              <w:spacing w:line="460" w:lineRule="exact"/>
              <w:jc w:val="center"/>
              <w:rPr>
                <w:rFonts w:ascii="宋体" w:hAnsi="宋体" w:cs="宋体"/>
                <w:color w:val="auto"/>
                <w:sz w:val="24"/>
                <w:highlight w:val="none"/>
              </w:rPr>
            </w:pPr>
          </w:p>
        </w:tc>
        <w:tc>
          <w:tcPr>
            <w:tcW w:w="3597" w:type="dxa"/>
            <w:vMerge w:val="continue"/>
            <w:vAlign w:val="center"/>
          </w:tcPr>
          <w:p w14:paraId="26C26468">
            <w:pPr>
              <w:adjustRightInd/>
              <w:snapToGrid w:val="0"/>
              <w:spacing w:line="360" w:lineRule="auto"/>
              <w:jc w:val="center"/>
              <w:rPr>
                <w:rFonts w:ascii="宋体" w:hAnsi="宋体" w:cs="宋体"/>
                <w:color w:val="auto"/>
                <w:sz w:val="24"/>
                <w:highlight w:val="none"/>
              </w:rPr>
            </w:pPr>
          </w:p>
        </w:tc>
      </w:tr>
      <w:tr w14:paraId="3B6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4FBCD6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218" w:type="dxa"/>
            <w:vAlign w:val="center"/>
          </w:tcPr>
          <w:p w14:paraId="56F0E38A">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鲜蔬类</w:t>
            </w:r>
          </w:p>
        </w:tc>
        <w:tc>
          <w:tcPr>
            <w:tcW w:w="2634" w:type="dxa"/>
            <w:vAlign w:val="center"/>
          </w:tcPr>
          <w:p w14:paraId="011BF07C">
            <w:pPr>
              <w:spacing w:line="460" w:lineRule="exact"/>
              <w:jc w:val="center"/>
              <w:rPr>
                <w:rFonts w:hint="eastAsia" w:ascii="宋体" w:hAnsi="宋体" w:eastAsia="宋体" w:cs="宋体"/>
                <w:color w:val="auto"/>
                <w:sz w:val="24"/>
                <w:szCs w:val="24"/>
                <w:highlight w:val="none"/>
                <w:lang w:val="en-US" w:eastAsia="zh-CN"/>
              </w:rPr>
            </w:pPr>
          </w:p>
        </w:tc>
        <w:tc>
          <w:tcPr>
            <w:tcW w:w="3597" w:type="dxa"/>
            <w:vMerge w:val="continue"/>
            <w:vAlign w:val="center"/>
          </w:tcPr>
          <w:p w14:paraId="56EB34B5">
            <w:pPr>
              <w:adjustRightInd/>
              <w:snapToGrid w:val="0"/>
              <w:spacing w:line="360" w:lineRule="auto"/>
              <w:jc w:val="center"/>
              <w:rPr>
                <w:rFonts w:ascii="宋体" w:hAnsi="宋体" w:cs="宋体"/>
                <w:color w:val="auto"/>
                <w:sz w:val="24"/>
                <w:highlight w:val="none"/>
              </w:rPr>
            </w:pPr>
          </w:p>
        </w:tc>
      </w:tr>
      <w:tr w14:paraId="0F1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472631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218" w:type="dxa"/>
            <w:vAlign w:val="center"/>
          </w:tcPr>
          <w:p w14:paraId="0F248E53">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水果类</w:t>
            </w:r>
          </w:p>
        </w:tc>
        <w:tc>
          <w:tcPr>
            <w:tcW w:w="2634" w:type="dxa"/>
            <w:vAlign w:val="center"/>
          </w:tcPr>
          <w:p w14:paraId="6AA0CCDD">
            <w:pPr>
              <w:spacing w:line="460" w:lineRule="exact"/>
              <w:jc w:val="center"/>
              <w:rPr>
                <w:rFonts w:hint="eastAsia" w:ascii="宋体" w:hAnsi="宋体" w:eastAsia="宋体" w:cs="宋体"/>
                <w:color w:val="auto"/>
                <w:sz w:val="24"/>
                <w:szCs w:val="24"/>
                <w:highlight w:val="none"/>
                <w:lang w:val="en-US" w:eastAsia="zh-CN"/>
              </w:rPr>
            </w:pPr>
          </w:p>
        </w:tc>
        <w:tc>
          <w:tcPr>
            <w:tcW w:w="3597" w:type="dxa"/>
            <w:vMerge w:val="continue"/>
            <w:vAlign w:val="center"/>
          </w:tcPr>
          <w:p w14:paraId="6BECDE31">
            <w:pPr>
              <w:adjustRightInd/>
              <w:snapToGrid w:val="0"/>
              <w:spacing w:line="360" w:lineRule="auto"/>
              <w:jc w:val="center"/>
              <w:rPr>
                <w:rFonts w:ascii="宋体" w:hAnsi="宋体" w:cs="宋体"/>
                <w:color w:val="auto"/>
                <w:sz w:val="24"/>
                <w:highlight w:val="none"/>
              </w:rPr>
            </w:pP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3048" w:type="dxa"/>
            <w:gridSpan w:val="2"/>
            <w:vAlign w:val="center"/>
          </w:tcPr>
          <w:p w14:paraId="6B011A03">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6231" w:type="dxa"/>
            <w:gridSpan w:val="2"/>
            <w:vAlign w:val="center"/>
          </w:tcPr>
          <w:p w14:paraId="244FC9DF">
            <w:pPr>
              <w:adjustRightInd/>
              <w:snapToGrid w:val="0"/>
              <w:spacing w:line="360" w:lineRule="auto"/>
              <w:jc w:val="left"/>
              <w:rPr>
                <w:rFonts w:ascii="宋体" w:hAnsi="宋体" w:cs="宋体"/>
                <w:color w:val="auto"/>
                <w:sz w:val="24"/>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B081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4F6BA7DB">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34" w:name="_Toc3024"/>
      <w:r>
        <w:rPr>
          <w:rFonts w:hint="eastAsia" w:ascii="宋体" w:hAnsi="宋体" w:cs="宋体"/>
          <w:color w:val="auto"/>
          <w:highlight w:val="none"/>
        </w:rPr>
        <w:t>附件</w:t>
      </w:r>
      <w:bookmarkEnd w:id="534"/>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535" w:name="OLE_LINK14"/>
      <w:bookmarkStart w:id="536" w:name="OLE_LINK13"/>
      <w:r>
        <w:rPr>
          <w:rFonts w:hint="eastAsia" w:ascii="宋体" w:hAnsi="宋体" w:cs="宋体"/>
          <w:b/>
          <w:color w:val="auto"/>
          <w:spacing w:val="6"/>
          <w:sz w:val="32"/>
          <w:szCs w:val="32"/>
          <w:highlight w:val="none"/>
        </w:rPr>
        <w:t>残疾人福利性单位声明函</w:t>
      </w:r>
    </w:p>
    <w:bookmarkEnd w:id="535"/>
    <w:bookmarkEnd w:id="536"/>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宁海县社会综合福利院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7" w:name="_Hlk101131882"/>
      <w:r>
        <w:rPr>
          <w:rFonts w:hint="eastAsia" w:ascii="宋体" w:hAnsi="宋体" w:cs="宋体"/>
          <w:color w:val="auto"/>
          <w:kern w:val="0"/>
          <w:sz w:val="24"/>
          <w:highlight w:val="none"/>
          <w:u w:val="single"/>
        </w:rPr>
        <w:t>联合体成员X,……</w:t>
      </w:r>
      <w:bookmarkEnd w:id="53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38"/>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9"/>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540"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540"/>
    </w:p>
    <w:p w14:paraId="0BD89C0C">
      <w:pPr>
        <w:spacing w:line="360" w:lineRule="auto"/>
        <w:jc w:val="center"/>
        <w:rPr>
          <w:rFonts w:ascii="宋体" w:hAnsi="宋体" w:cs="宋体"/>
          <w:color w:val="auto"/>
          <w:sz w:val="24"/>
          <w:highlight w:val="none"/>
          <w:u w:val="single"/>
        </w:rPr>
      </w:pPr>
    </w:p>
    <w:p w14:paraId="0FE73534">
      <w:pPr>
        <w:spacing w:line="360" w:lineRule="auto"/>
        <w:jc w:val="center"/>
        <w:outlineLvl w:val="0"/>
        <w:rPr>
          <w:rFonts w:ascii="宋体" w:hAnsi="宋体" w:cs="宋体"/>
          <w:b/>
          <w:color w:val="auto"/>
          <w:sz w:val="32"/>
          <w:szCs w:val="32"/>
          <w:highlight w:val="none"/>
        </w:rPr>
      </w:pPr>
      <w:bookmarkStart w:id="541" w:name="_Toc28889"/>
      <w:r>
        <w:rPr>
          <w:rFonts w:hint="eastAsia" w:ascii="宋体" w:hAnsi="宋体" w:cs="宋体"/>
          <w:b/>
          <w:color w:val="auto"/>
          <w:sz w:val="32"/>
          <w:szCs w:val="32"/>
          <w:highlight w:val="none"/>
        </w:rPr>
        <w:t>中小企业声明函（服务）</w:t>
      </w:r>
      <w:bookmarkEnd w:id="541"/>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宁海县社会综合福利院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宁海县社会综合福利院食品原材料采购</w:t>
      </w:r>
      <w:bookmarkStart w:id="542" w:name="_GoBack"/>
      <w:bookmarkEnd w:id="542"/>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103243">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B73A2C">
      <w:pPr>
        <w:pStyle w:val="2"/>
        <w:rPr>
          <w:rFonts w:hAnsi="宋体" w:cs="宋体"/>
          <w:color w:val="auto"/>
          <w:highlight w:val="none"/>
        </w:rPr>
      </w:pPr>
    </w:p>
    <w:p w14:paraId="753F8279">
      <w:pPr>
        <w:pStyle w:val="5"/>
        <w:outlineLvl w:val="9"/>
        <w:rPr>
          <w:rFonts w:ascii="宋体" w:hAnsi="宋体" w:eastAsia="宋体" w:cs="宋体"/>
          <w:color w:val="auto"/>
          <w:highlight w:val="none"/>
          <w:lang w:val="en-US"/>
        </w:rPr>
      </w:pPr>
    </w:p>
    <w:p w14:paraId="207D49A8">
      <w:pPr>
        <w:spacing w:line="360" w:lineRule="auto"/>
        <w:ind w:right="420"/>
        <w:rPr>
          <w:rFonts w:ascii="宋体" w:hAnsi="宋体" w:cs="宋体"/>
          <w:color w:val="auto"/>
          <w:highlight w:val="none"/>
        </w:rPr>
      </w:pPr>
    </w:p>
    <w:p w14:paraId="5E176AA7">
      <w:pPr>
        <w:spacing w:line="360" w:lineRule="auto"/>
        <w:rPr>
          <w:rFonts w:ascii="宋体" w:hAnsi="宋体" w:cs="宋体"/>
          <w:bCs/>
          <w:color w:val="auto"/>
          <w:sz w:val="24"/>
          <w:highlight w:val="none"/>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ymbol">
    <w:panose1 w:val="05050102010706020507"/>
    <w:charset w:val="00"/>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1"/>
      <w:pBdr>
        <w:bottom w:val="single" w:color="auto" w:sz="6" w:space="4"/>
      </w:pBdr>
      <w:jc w:val="right"/>
    </w:pPr>
    <w:r>
      <w:t></w:t>
    </w:r>
    <w:r>
      <w:rPr>
        <w:rFonts w:hint="eastAsia"/>
      </w:rPr>
      <w:t xml:space="preserve">             </w:t>
    </w:r>
    <w:r>
      <w:t>政府采购公开招标文件</w:t>
    </w:r>
  </w:p>
  <w:p w14:paraId="54C7A0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D3399"/>
    <w:multiLevelType w:val="singleLevel"/>
    <w:tmpl w:val="202D33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7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4"/>
    <w:qFormat/>
    <w:uiPriority w:val="0"/>
    <w:pPr>
      <w:ind w:firstLine="420"/>
    </w:pPr>
    <w:rPr>
      <w:rFonts w:hAnsi="Calibri" w:cs="Times New Roman"/>
      <w:szCs w:val="20"/>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标准"/>
    <w:basedOn w:val="1"/>
    <w:qFormat/>
    <w:uiPriority w:val="0"/>
    <w:pPr>
      <w:adjustRightInd w:val="0"/>
      <w:spacing w:line="312"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5519</Words>
  <Characters>5980</Characters>
  <Lines>311</Lines>
  <Paragraphs>87</Paragraphs>
  <TotalTime>15</TotalTime>
  <ScaleCrop>false</ScaleCrop>
  <LinksUpToDate>false</LinksUpToDate>
  <CharactersWithSpaces>6264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Jnkun</cp:lastModifiedBy>
  <cp:lastPrinted>2025-03-13T17:51:00Z</cp:lastPrinted>
  <dcterms:modified xsi:type="dcterms:W3CDTF">2025-07-14T09:35:33Z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62A5FD689C9649169C23F9ADD769F424_13</vt:lpwstr>
  </property>
  <property fmtid="{D5CDD505-2E9C-101B-9397-08002B2CF9AE}" pid="5" name="KSOTemplateDocerSaveRecord">
    <vt:lpwstr>eyJoZGlkIjoiZDQ3MTgzNzA2NzdiZWM1Yjg1YzAxNmU3NWNmODFjMmMiLCJ1c2VySWQiOiIxNzg2MzQ1MCJ9</vt:lpwstr>
  </property>
</Properties>
</file>