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5EF65">
      <w:pPr>
        <w:spacing w:line="360" w:lineRule="auto"/>
        <w:jc w:val="center"/>
        <w:rPr>
          <w:rFonts w:hint="eastAsia" w:ascii="宋体" w:hAnsi="宋体" w:eastAsia="宋体" w:cs="宋体"/>
          <w:b/>
          <w:color w:val="auto"/>
          <w:sz w:val="24"/>
          <w:highlight w:val="none"/>
        </w:rPr>
      </w:pPr>
    </w:p>
    <w:p w14:paraId="574237C1">
      <w:pPr>
        <w:spacing w:line="360" w:lineRule="auto"/>
        <w:jc w:val="center"/>
        <w:rPr>
          <w:rFonts w:hint="eastAsia" w:ascii="宋体" w:hAnsi="宋体" w:eastAsia="宋体" w:cs="宋体"/>
          <w:b/>
          <w:color w:val="auto"/>
          <w:sz w:val="24"/>
          <w:highlight w:val="none"/>
        </w:rPr>
      </w:pPr>
    </w:p>
    <w:p w14:paraId="0D678F1A">
      <w:pPr>
        <w:adjustRightInd/>
        <w:spacing w:line="360" w:lineRule="auto"/>
        <w:jc w:val="center"/>
        <w:outlineLvl w:val="0"/>
        <w:rPr>
          <w:rFonts w:hint="eastAsia" w:ascii="宋体" w:hAnsi="宋体" w:eastAsia="宋体" w:cs="宋体"/>
          <w:b/>
          <w:color w:val="auto"/>
          <w:sz w:val="72"/>
          <w:szCs w:val="72"/>
          <w:highlight w:val="none"/>
        </w:rPr>
      </w:pPr>
      <w:bookmarkStart w:id="0" w:name="_Toc26006"/>
      <w:bookmarkStart w:id="1" w:name="_Toc21891"/>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bookmarkEnd w:id="0"/>
      <w:bookmarkEnd w:id="1"/>
    </w:p>
    <w:p w14:paraId="4FF8EA1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2F238AFC">
      <w:pPr>
        <w:snapToGrid w:val="0"/>
        <w:spacing w:line="360" w:lineRule="auto"/>
        <w:jc w:val="center"/>
        <w:rPr>
          <w:rFonts w:hint="eastAsia" w:ascii="宋体" w:hAnsi="宋体" w:eastAsia="宋体" w:cs="宋体"/>
          <w:color w:val="auto"/>
          <w:sz w:val="30"/>
          <w:szCs w:val="30"/>
          <w:highlight w:val="none"/>
        </w:rPr>
      </w:pPr>
    </w:p>
    <w:p w14:paraId="7037C9BA">
      <w:pPr>
        <w:snapToGrid w:val="0"/>
        <w:spacing w:line="360" w:lineRule="auto"/>
        <w:rPr>
          <w:rFonts w:hint="eastAsia" w:ascii="宋体" w:hAnsi="宋体" w:eastAsia="宋体" w:cs="宋体"/>
          <w:color w:val="auto"/>
          <w:sz w:val="30"/>
          <w:szCs w:val="30"/>
          <w:highlight w:val="none"/>
        </w:rPr>
      </w:pPr>
      <w:bookmarkStart w:id="2" w:name="_Toc30047"/>
    </w:p>
    <w:p w14:paraId="514BD9DB">
      <w:pPr>
        <w:snapToGrid w:val="0"/>
        <w:spacing w:line="360" w:lineRule="auto"/>
        <w:jc w:val="left"/>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rPr>
        <w:t>项目编号</w:t>
      </w:r>
      <w:bookmarkEnd w:id="2"/>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CBZJ-20256100GGC-2</w:t>
      </w:r>
      <w:r>
        <w:rPr>
          <w:rFonts w:hint="eastAsia" w:ascii="宋体" w:hAnsi="宋体" w:cs="宋体"/>
          <w:color w:val="auto"/>
          <w:sz w:val="32"/>
          <w:szCs w:val="32"/>
          <w:highlight w:val="none"/>
          <w:lang w:val="en-US" w:eastAsia="zh-CN"/>
        </w:rPr>
        <w:t xml:space="preserve"> </w:t>
      </w:r>
    </w:p>
    <w:p w14:paraId="71E1029C">
      <w:pPr>
        <w:snapToGrid w:val="0"/>
        <w:spacing w:line="360" w:lineRule="auto"/>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宁海县知恩中学卫生间、宿舍维修改造工程</w:t>
      </w:r>
      <w:r>
        <w:rPr>
          <w:rFonts w:hint="eastAsia" w:ascii="宋体" w:hAnsi="宋体" w:eastAsia="宋体" w:cs="宋体"/>
          <w:color w:val="auto"/>
          <w:sz w:val="32"/>
          <w:szCs w:val="32"/>
          <w:highlight w:val="none"/>
          <w:lang w:val="en-US" w:eastAsia="zh-CN"/>
        </w:rPr>
        <w:t xml:space="preserve"> </w:t>
      </w:r>
    </w:p>
    <w:p w14:paraId="6E5A520F">
      <w:pPr>
        <w:spacing w:line="360" w:lineRule="auto"/>
        <w:jc w:val="center"/>
        <w:rPr>
          <w:rFonts w:hint="eastAsia" w:ascii="宋体" w:hAnsi="宋体" w:eastAsia="宋体" w:cs="宋体"/>
          <w:color w:val="auto"/>
          <w:sz w:val="24"/>
          <w:highlight w:val="none"/>
        </w:rPr>
      </w:pPr>
    </w:p>
    <w:p w14:paraId="72C7BB01">
      <w:pPr>
        <w:spacing w:line="360" w:lineRule="auto"/>
        <w:jc w:val="center"/>
        <w:rPr>
          <w:rFonts w:hint="eastAsia" w:ascii="宋体" w:hAnsi="宋体" w:eastAsia="宋体" w:cs="宋体"/>
          <w:color w:val="auto"/>
          <w:sz w:val="24"/>
          <w:highlight w:val="none"/>
        </w:rPr>
      </w:pPr>
    </w:p>
    <w:p w14:paraId="78E7F3CE">
      <w:pPr>
        <w:widowControl w:val="0"/>
        <w:adjustRightInd w:val="0"/>
        <w:spacing w:before="0" w:beforeAutospacing="0" w:after="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p>
    <w:p w14:paraId="072A4645">
      <w:pPr>
        <w:widowControl w:val="0"/>
        <w:adjustRightInd w:val="0"/>
        <w:spacing w:before="0" w:beforeAutospacing="0" w:after="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p>
    <w:p w14:paraId="10703C24">
      <w:pPr>
        <w:widowControl w:val="0"/>
        <w:adjustRightInd w:val="0"/>
        <w:spacing w:before="0" w:beforeAutospacing="0" w:after="0" w:afterAutospacing="0" w:line="360" w:lineRule="auto"/>
        <w:jc w:val="center"/>
        <w:textAlignment w:val="auto"/>
        <w:rPr>
          <w:rFonts w:hint="eastAsia" w:ascii="宋体" w:hAnsi="宋体" w:eastAsia="宋体" w:cs="宋体"/>
          <w:b/>
          <w:color w:val="auto"/>
          <w:sz w:val="24"/>
          <w:highlight w:val="none"/>
        </w:rPr>
      </w:pPr>
    </w:p>
    <w:p w14:paraId="72DC8C2D">
      <w:pPr>
        <w:snapToGrid w:val="0"/>
        <w:spacing w:line="360" w:lineRule="auto"/>
        <w:jc w:val="center"/>
        <w:rPr>
          <w:rFonts w:hint="eastAsia" w:ascii="宋体" w:hAnsi="宋体" w:eastAsia="宋体" w:cs="宋体"/>
          <w:color w:val="auto"/>
          <w:sz w:val="32"/>
          <w:szCs w:val="32"/>
          <w:highlight w:val="none"/>
        </w:rPr>
      </w:pPr>
    </w:p>
    <w:p w14:paraId="7AEDD42A">
      <w:pPr>
        <w:snapToGrid w:val="0"/>
        <w:spacing w:line="360" w:lineRule="auto"/>
        <w:jc w:val="center"/>
        <w:rPr>
          <w:rFonts w:hint="eastAsia" w:ascii="宋体" w:hAnsi="宋体" w:eastAsia="宋体" w:cs="宋体"/>
          <w:color w:val="auto"/>
          <w:sz w:val="32"/>
          <w:szCs w:val="32"/>
          <w:highlight w:val="none"/>
        </w:rPr>
      </w:pPr>
      <w:bookmarkStart w:id="3" w:name="_Toc24447"/>
    </w:p>
    <w:p w14:paraId="68237B97">
      <w:pPr>
        <w:snapToGrid w:val="0"/>
        <w:spacing w:line="360" w:lineRule="auto"/>
        <w:ind w:firstLine="1600" w:firstLineChars="5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bookmarkEnd w:id="3"/>
      <w:r>
        <w:rPr>
          <w:rFonts w:hint="eastAsia" w:ascii="宋体" w:hAnsi="宋体" w:cs="宋体"/>
          <w:color w:val="auto"/>
          <w:sz w:val="32"/>
          <w:szCs w:val="32"/>
          <w:highlight w:val="none"/>
          <w:lang w:eastAsia="zh-CN"/>
        </w:rPr>
        <w:t>宁海县知恩中学</w:t>
      </w:r>
    </w:p>
    <w:p w14:paraId="1CCCB683">
      <w:pPr>
        <w:spacing w:line="360" w:lineRule="auto"/>
        <w:ind w:firstLine="1600" w:firstLineChars="500"/>
        <w:jc w:val="both"/>
        <w:rPr>
          <w:rFonts w:hint="eastAsia" w:ascii="宋体" w:hAnsi="宋体" w:eastAsia="宋体" w:cs="宋体"/>
          <w:bCs/>
          <w:color w:val="auto"/>
          <w:sz w:val="32"/>
          <w:szCs w:val="32"/>
          <w:highlight w:val="none"/>
          <w:lang w:eastAsia="zh-CN"/>
        </w:rPr>
      </w:pPr>
      <w:bookmarkStart w:id="4" w:name="_Toc7448"/>
      <w:r>
        <w:rPr>
          <w:rFonts w:hint="eastAsia" w:ascii="宋体" w:hAnsi="宋体" w:eastAsia="宋体" w:cs="宋体"/>
          <w:bCs/>
          <w:color w:val="auto"/>
          <w:sz w:val="32"/>
          <w:szCs w:val="32"/>
          <w:highlight w:val="none"/>
        </w:rPr>
        <w:t>采购代理机构：</w:t>
      </w:r>
      <w:bookmarkEnd w:id="4"/>
      <w:r>
        <w:rPr>
          <w:rFonts w:hint="eastAsia" w:ascii="宋体" w:hAnsi="宋体" w:cs="宋体"/>
          <w:bCs/>
          <w:color w:val="auto"/>
          <w:sz w:val="32"/>
          <w:szCs w:val="32"/>
          <w:highlight w:val="none"/>
          <w:lang w:eastAsia="zh-CN"/>
        </w:rPr>
        <w:t>浙江中基正采管理咨询有限公司</w:t>
      </w:r>
    </w:p>
    <w:p w14:paraId="3D962EF7">
      <w:pPr>
        <w:snapToGrid w:val="0"/>
        <w:spacing w:line="360" w:lineRule="auto"/>
        <w:jc w:val="center"/>
        <w:rPr>
          <w:rFonts w:hint="eastAsia" w:ascii="宋体" w:hAnsi="宋体" w:eastAsia="宋体" w:cs="宋体"/>
          <w:bCs/>
          <w:color w:val="auto"/>
          <w:sz w:val="32"/>
          <w:szCs w:val="32"/>
          <w:highlight w:val="none"/>
        </w:rPr>
      </w:pPr>
    </w:p>
    <w:p w14:paraId="7C34BE1D">
      <w:pPr>
        <w:snapToGrid w:val="0"/>
        <w:spacing w:line="360" w:lineRule="auto"/>
        <w:jc w:val="center"/>
        <w:rPr>
          <w:rFonts w:hint="eastAsia" w:ascii="宋体" w:hAnsi="宋体" w:eastAsia="宋体" w:cs="宋体"/>
          <w:bCs/>
          <w:color w:val="auto"/>
          <w:sz w:val="32"/>
          <w:szCs w:val="32"/>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六月</w:t>
      </w:r>
    </w:p>
    <w:p w14:paraId="0324F27F">
      <w:pPr>
        <w:snapToGrid w:val="0"/>
        <w:spacing w:line="360" w:lineRule="auto"/>
        <w:jc w:val="both"/>
        <w:rPr>
          <w:rFonts w:hint="eastAsia" w:ascii="宋体" w:hAnsi="宋体" w:eastAsia="宋体" w:cs="宋体"/>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32F40441">
      <w:pPr>
        <w:pStyle w:val="24"/>
        <w:rPr>
          <w:rFonts w:hint="eastAsia"/>
          <w:color w:val="auto"/>
          <w:highlight w:val="none"/>
        </w:rPr>
      </w:pPr>
    </w:p>
    <w:p w14:paraId="0EF7F5C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3371ACF">
      <w:pPr>
        <w:spacing w:line="360" w:lineRule="auto"/>
        <w:rPr>
          <w:rFonts w:hint="eastAsia" w:ascii="宋体" w:hAnsi="宋体" w:eastAsia="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5850"/>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74CD46D8">
          <w:pPr>
            <w:spacing w:before="0" w:beforeLines="0" w:after="0" w:afterLines="0" w:line="240" w:lineRule="auto"/>
            <w:ind w:left="0" w:leftChars="0" w:right="0" w:rightChars="0" w:firstLine="0" w:firstLineChars="0"/>
            <w:jc w:val="center"/>
            <w:rPr>
              <w:color w:val="auto"/>
              <w:highlight w:val="none"/>
            </w:rPr>
          </w:pPr>
        </w:p>
        <w:p w14:paraId="51322E10">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_Toc4180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_Toc4180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891E54">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_Toc23841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第二部分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_Toc23841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7FAB51B">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_Toc561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_Toc561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0D990E5">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_Toc31295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_Toc31295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71C9C4E">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_Toc27383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_Toc27383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4B4EAE6">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_Toc10046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_Toc10046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E4C4217">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1D05A3E">
      <w:pPr>
        <w:spacing w:line="360" w:lineRule="auto"/>
        <w:ind w:firstLine="1280" w:firstLineChars="400"/>
        <w:rPr>
          <w:rFonts w:hint="eastAsia" w:ascii="宋体" w:hAnsi="宋体" w:eastAsia="宋体" w:cs="宋体"/>
          <w:color w:val="auto"/>
          <w:sz w:val="32"/>
          <w:szCs w:val="32"/>
          <w:highlight w:val="none"/>
        </w:rPr>
      </w:pPr>
    </w:p>
    <w:p w14:paraId="7122B086">
      <w:pPr>
        <w:spacing w:line="360" w:lineRule="auto"/>
        <w:ind w:firstLine="549" w:firstLineChars="229"/>
        <w:rPr>
          <w:rFonts w:hint="eastAsia" w:ascii="宋体" w:hAnsi="宋体" w:eastAsia="宋体" w:cs="宋体"/>
          <w:color w:val="auto"/>
          <w:sz w:val="24"/>
          <w:highlight w:val="none"/>
        </w:rPr>
      </w:pPr>
      <w:bookmarkStart w:id="5" w:name="_Hlt91233176"/>
      <w:bookmarkEnd w:id="5"/>
      <w:bookmarkStart w:id="6" w:name="_Toc91899869"/>
    </w:p>
    <w:p w14:paraId="3A374939">
      <w:pPr>
        <w:spacing w:line="360" w:lineRule="auto"/>
        <w:ind w:firstLine="549" w:firstLineChars="229"/>
        <w:rPr>
          <w:rFonts w:hint="eastAsia" w:ascii="宋体" w:hAnsi="宋体" w:eastAsia="宋体" w:cs="宋体"/>
          <w:color w:val="auto"/>
          <w:sz w:val="24"/>
          <w:highlight w:val="none"/>
        </w:rPr>
      </w:pPr>
    </w:p>
    <w:p w14:paraId="5BC66A07">
      <w:pPr>
        <w:spacing w:line="360" w:lineRule="auto"/>
        <w:ind w:firstLine="549" w:firstLineChars="229"/>
        <w:rPr>
          <w:rFonts w:hint="eastAsia" w:ascii="宋体" w:hAnsi="宋体" w:eastAsia="宋体" w:cs="宋体"/>
          <w:color w:val="auto"/>
          <w:sz w:val="24"/>
          <w:highlight w:val="none"/>
        </w:rPr>
      </w:pPr>
    </w:p>
    <w:p w14:paraId="67107A7E">
      <w:pPr>
        <w:spacing w:line="360" w:lineRule="auto"/>
        <w:ind w:firstLine="549" w:firstLineChars="229"/>
        <w:rPr>
          <w:rFonts w:hint="eastAsia" w:ascii="宋体" w:hAnsi="宋体" w:eastAsia="宋体" w:cs="宋体"/>
          <w:color w:val="auto"/>
          <w:sz w:val="24"/>
          <w:highlight w:val="none"/>
        </w:rPr>
      </w:pPr>
    </w:p>
    <w:p w14:paraId="661A6B76">
      <w:pPr>
        <w:spacing w:line="360" w:lineRule="auto"/>
        <w:ind w:firstLine="549" w:firstLineChars="229"/>
        <w:rPr>
          <w:rFonts w:hint="eastAsia" w:ascii="宋体" w:hAnsi="宋体" w:eastAsia="宋体" w:cs="宋体"/>
          <w:color w:val="auto"/>
          <w:sz w:val="24"/>
          <w:highlight w:val="none"/>
        </w:rPr>
      </w:pPr>
    </w:p>
    <w:p w14:paraId="563C62F1">
      <w:pPr>
        <w:spacing w:line="360" w:lineRule="auto"/>
        <w:ind w:firstLine="549" w:firstLineChars="229"/>
        <w:rPr>
          <w:rFonts w:hint="eastAsia" w:ascii="宋体" w:hAnsi="宋体" w:eastAsia="宋体" w:cs="宋体"/>
          <w:color w:val="auto"/>
          <w:sz w:val="24"/>
          <w:highlight w:val="none"/>
        </w:rPr>
      </w:pPr>
    </w:p>
    <w:p w14:paraId="55BBD943">
      <w:pPr>
        <w:spacing w:line="360" w:lineRule="auto"/>
        <w:ind w:firstLine="549" w:firstLineChars="229"/>
        <w:rPr>
          <w:rFonts w:hint="eastAsia" w:ascii="宋体" w:hAnsi="宋体" w:eastAsia="宋体" w:cs="宋体"/>
          <w:color w:val="auto"/>
          <w:sz w:val="24"/>
          <w:highlight w:val="none"/>
        </w:rPr>
      </w:pPr>
    </w:p>
    <w:p w14:paraId="1363063F">
      <w:pPr>
        <w:spacing w:line="360" w:lineRule="auto"/>
        <w:ind w:firstLine="549" w:firstLineChars="229"/>
        <w:rPr>
          <w:rFonts w:hint="eastAsia" w:ascii="宋体" w:hAnsi="宋体" w:eastAsia="宋体" w:cs="宋体"/>
          <w:color w:val="auto"/>
          <w:sz w:val="24"/>
          <w:highlight w:val="none"/>
        </w:rPr>
      </w:pPr>
    </w:p>
    <w:p w14:paraId="737D126C">
      <w:pPr>
        <w:spacing w:line="360" w:lineRule="auto"/>
        <w:ind w:firstLine="549" w:firstLineChars="229"/>
        <w:rPr>
          <w:rFonts w:hint="eastAsia" w:ascii="宋体" w:hAnsi="宋体" w:eastAsia="宋体" w:cs="宋体"/>
          <w:color w:val="auto"/>
          <w:sz w:val="24"/>
          <w:highlight w:val="none"/>
        </w:rPr>
      </w:pPr>
    </w:p>
    <w:p w14:paraId="2CEEF680">
      <w:pPr>
        <w:spacing w:line="360" w:lineRule="auto"/>
        <w:ind w:firstLine="549" w:firstLineChars="229"/>
        <w:rPr>
          <w:rFonts w:hint="eastAsia" w:ascii="宋体" w:hAnsi="宋体" w:eastAsia="宋体" w:cs="宋体"/>
          <w:color w:val="auto"/>
          <w:sz w:val="24"/>
          <w:highlight w:val="none"/>
        </w:rPr>
        <w:sectPr>
          <w:footerReference r:id="rId4" w:type="first"/>
          <w:footerReference r:id="rId3" w:type="default"/>
          <w:pgSz w:w="11906" w:h="16838"/>
          <w:pgMar w:top="1440" w:right="1080" w:bottom="1440" w:left="1080" w:header="851" w:footer="992" w:gutter="0"/>
          <w:pgNumType w:fmt="decimal" w:start="1"/>
          <w:cols w:space="720" w:num="1"/>
          <w:docGrid w:linePitch="312" w:charSpace="0"/>
        </w:sectPr>
      </w:pPr>
    </w:p>
    <w:p w14:paraId="539C08BC">
      <w:pPr>
        <w:pStyle w:val="24"/>
        <w:rPr>
          <w:rFonts w:hint="eastAsia"/>
          <w:color w:val="auto"/>
          <w:highlight w:val="none"/>
        </w:rPr>
        <w:sectPr>
          <w:pgSz w:w="11906" w:h="16838"/>
          <w:pgMar w:top="1440" w:right="1080" w:bottom="1440" w:left="1080" w:header="851" w:footer="992" w:gutter="0"/>
          <w:pgNumType w:fmt="decimal" w:start="1"/>
          <w:cols w:space="720" w:num="1"/>
          <w:docGrid w:linePitch="312" w:charSpace="0"/>
        </w:sectPr>
      </w:pPr>
    </w:p>
    <w:bookmarkEnd w:id="6"/>
    <w:p w14:paraId="61D8836F">
      <w:pPr>
        <w:adjustRightInd/>
        <w:spacing w:line="360" w:lineRule="auto"/>
        <w:jc w:val="center"/>
        <w:outlineLvl w:val="0"/>
        <w:rPr>
          <w:rFonts w:hint="eastAsia" w:ascii="宋体" w:hAnsi="宋体" w:eastAsia="宋体" w:cs="宋体"/>
          <w:b/>
          <w:color w:val="auto"/>
          <w:sz w:val="36"/>
          <w:szCs w:val="20"/>
          <w:highlight w:val="none"/>
        </w:rPr>
      </w:pPr>
      <w:bookmarkStart w:id="7" w:name="_Toc4180"/>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竞争性磋商公告</w:t>
      </w:r>
      <w:bookmarkEnd w:id="7"/>
    </w:p>
    <w:p w14:paraId="76754E2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62D7DF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宁海县知恩中学卫生间、宿舍维修改造工程</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采购项目的潜在供应商应在政采云平台（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提交（上传）响应文件。</w:t>
      </w:r>
    </w:p>
    <w:p w14:paraId="21E4CD5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8416EA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CBZJ-20256100GGC-2</w:t>
      </w:r>
    </w:p>
    <w:p w14:paraId="77CB537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宁海县知恩中学卫生间、宿舍维修改造工程</w:t>
      </w:r>
    </w:p>
    <w:p w14:paraId="36F337F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1099096.00</w:t>
      </w:r>
    </w:p>
    <w:p w14:paraId="001784F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1045058.63</w:t>
      </w:r>
    </w:p>
    <w:p w14:paraId="276EFFE4">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工程建设地点</w:t>
      </w:r>
      <w:r>
        <w:rPr>
          <w:rFonts w:hint="eastAsia" w:hAnsi="宋体" w:cs="宋体"/>
          <w:b w:val="0"/>
          <w:bCs/>
          <w:color w:val="auto"/>
          <w:sz w:val="24"/>
          <w:highlight w:val="none"/>
          <w:lang w:val="en-US" w:eastAsia="zh-CN"/>
        </w:rPr>
        <w:t>宁海县知恩中学，</w:t>
      </w:r>
      <w:r>
        <w:rPr>
          <w:rFonts w:hint="eastAsia" w:ascii="宋体" w:hAnsi="宋体" w:eastAsia="宋体" w:cs="宋体"/>
          <w:b w:val="0"/>
          <w:bCs/>
          <w:color w:val="auto"/>
          <w:sz w:val="24"/>
          <w:highlight w:val="none"/>
          <w:lang w:val="en-US" w:eastAsia="zh-CN"/>
        </w:rPr>
        <w:t>该工程为</w:t>
      </w:r>
      <w:r>
        <w:rPr>
          <w:rFonts w:hint="eastAsia" w:hAnsi="宋体" w:cs="宋体"/>
          <w:b w:val="0"/>
          <w:bCs/>
          <w:color w:val="auto"/>
          <w:sz w:val="24"/>
          <w:highlight w:val="none"/>
          <w:lang w:val="en-US" w:eastAsia="zh-CN"/>
        </w:rPr>
        <w:t>学校</w:t>
      </w:r>
      <w:r>
        <w:rPr>
          <w:rFonts w:hint="eastAsia" w:ascii="宋体" w:hAnsi="宋体" w:eastAsia="宋体" w:cs="宋体"/>
          <w:b w:val="0"/>
          <w:bCs/>
          <w:color w:val="auto"/>
          <w:sz w:val="24"/>
          <w:highlight w:val="none"/>
          <w:lang w:val="en-US" w:eastAsia="zh-CN"/>
        </w:rPr>
        <w:t>卫生间、宿舍维修改造等</w:t>
      </w:r>
      <w:r>
        <w:rPr>
          <w:rFonts w:hint="eastAsia" w:ascii="宋体" w:hAnsi="宋体" w:eastAsia="宋体" w:cs="宋体"/>
          <w:b w:val="0"/>
          <w:bCs/>
          <w:color w:val="auto"/>
          <w:sz w:val="24"/>
          <w:highlight w:val="none"/>
        </w:rPr>
        <w:t>。</w:t>
      </w:r>
      <w:r>
        <w:rPr>
          <w:rFonts w:hint="eastAsia" w:ascii="宋体" w:hAnsi="宋体" w:eastAsia="宋体" w:cs="宋体"/>
          <w:bCs/>
          <w:snapToGrid/>
          <w:color w:val="auto"/>
          <w:kern w:val="2"/>
          <w:sz w:val="24"/>
          <w:szCs w:val="24"/>
          <w:highlight w:val="none"/>
          <w:lang w:eastAsia="zh-CN"/>
        </w:rPr>
        <w:t>具体以招标文件第三部分采购需求为准，供应商可点击本公告下方“浏览采购文件”查看采购需求。</w:t>
      </w:r>
    </w:p>
    <w:p w14:paraId="49C48C42">
      <w:pPr>
        <w:pStyle w:val="128"/>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Cs/>
          <w:snapToGrid/>
          <w:color w:val="auto"/>
          <w:kern w:val="2"/>
          <w:sz w:val="24"/>
          <w:szCs w:val="24"/>
          <w:highlight w:val="none"/>
          <w:lang w:val="en-US" w:eastAsia="zh-CN" w:bidi="ar-SA"/>
        </w:rPr>
        <w:t>30日历日内完成工程施工，并通过验收。</w:t>
      </w:r>
    </w:p>
    <w:p w14:paraId="46201415">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color w:val="auto"/>
          <w:sz w:val="24"/>
          <w:highlight w:val="none"/>
        </w:rPr>
        <w:t>是；</w:t>
      </w:r>
      <w:sdt>
        <w:sdtPr>
          <w:rPr>
            <w:rFonts w:hint="eastAsia" w:ascii="宋体" w:hAnsi="宋体" w:eastAsia="宋体" w:cs="宋体"/>
            <w:color w:val="auto"/>
            <w:sz w:val="24"/>
            <w:highlight w:val="none"/>
          </w:rPr>
          <w:id w:val="3"/>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w:t>
      </w:r>
    </w:p>
    <w:p w14:paraId="014F8B3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63AE2AD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即：重大税收违法失信主体</w:t>
      </w:r>
      <w:r>
        <w:rPr>
          <w:rFonts w:hint="eastAsia" w:ascii="宋体" w:hAnsi="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、政府采购严重违法失信行为记录名单；</w:t>
      </w:r>
    </w:p>
    <w:p w14:paraId="609B90B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以联合体形式参与的，提供联合协议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本项目不接受联合体或者供应商不以联合体形式参与的，则不需要提供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049655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806340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14:paraId="24D3DAE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71BF17A">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工程全部由符合政策要求的中小企业承建，提供中小企业声明函；</w:t>
      </w:r>
    </w:p>
    <w:p w14:paraId="0C3FE62D">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工程全部由符合政策要求的小微企业承建，提供中小企业声明函；</w:t>
      </w:r>
    </w:p>
    <w:p w14:paraId="2D04A60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30D058B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53CF377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本项目的特定资格要求：</w:t>
      </w:r>
    </w:p>
    <w:p w14:paraId="4B60C6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须具备</w:t>
      </w:r>
      <w:r>
        <w:rPr>
          <w:rFonts w:hint="eastAsia" w:ascii="宋体" w:hAnsi="宋体" w:cs="宋体"/>
          <w:color w:val="auto"/>
          <w:sz w:val="24"/>
          <w:highlight w:val="none"/>
          <w:lang w:val="en-US" w:eastAsia="zh-CN"/>
        </w:rPr>
        <w:t>特种工程(结构补强)专业承包资质</w:t>
      </w:r>
      <w:r>
        <w:rPr>
          <w:rFonts w:hint="eastAsia" w:ascii="宋体" w:hAnsi="宋体" w:eastAsia="宋体" w:cs="宋体"/>
          <w:color w:val="auto"/>
          <w:sz w:val="24"/>
          <w:highlight w:val="none"/>
          <w:lang w:eastAsia="zh-CN"/>
        </w:rPr>
        <w:t>（资质证书须在有效期范围内），并具备有效的安全生产许可证。</w:t>
      </w: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eastAsia="zh-CN"/>
        </w:rPr>
        <w:t>响应文件中须提供资质证书复印件加盖公章。</w:t>
      </w:r>
    </w:p>
    <w:p w14:paraId="11ACD06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拟派本项目的项目负责人须具有二级及以上建造师资格证书（专业：建筑工程），并具备有效的安全生产考核合格证（B证）。</w:t>
      </w: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eastAsia="zh-CN"/>
        </w:rPr>
        <w:t>响应文件中须同时提供人员证书复印件</w:t>
      </w:r>
      <w:r>
        <w:rPr>
          <w:rFonts w:hint="eastAsia" w:ascii="宋体" w:hAnsi="宋体" w:eastAsia="宋体" w:cs="宋体"/>
          <w:color w:val="auto"/>
          <w:sz w:val="24"/>
          <w:highlight w:val="none"/>
          <w:lang w:val="en-US" w:eastAsia="zh-CN"/>
        </w:rPr>
        <w:t>和距开标日近三个月（其中一个月即可）供应商为其缴纳的</w:t>
      </w:r>
      <w:r>
        <w:rPr>
          <w:rFonts w:hint="eastAsia" w:ascii="宋体" w:hAnsi="宋体" w:eastAsia="宋体" w:cs="宋体"/>
          <w:color w:val="auto"/>
          <w:sz w:val="24"/>
          <w:highlight w:val="none"/>
          <w:lang w:eastAsia="zh-CN"/>
        </w:rPr>
        <w:t>社保证明并加盖公章。</w:t>
      </w:r>
    </w:p>
    <w:p w14:paraId="2EAFFBD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867CC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301A0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14:paraId="43F57A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cs="宋体"/>
          <w:b w:val="0"/>
          <w:bCs/>
          <w:color w:val="auto"/>
          <w:sz w:val="24"/>
          <w:highlight w:val="none"/>
          <w:lang w:eastAsia="zh-CN"/>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06</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30</w:t>
      </w:r>
      <w:r>
        <w:rPr>
          <w:rFonts w:hint="eastAsia" w:ascii="宋体" w:hAnsi="宋体" w:eastAsia="宋体" w:cs="宋体"/>
          <w:b w:val="0"/>
          <w:bCs/>
          <w:color w:val="auto"/>
          <w:sz w:val="24"/>
          <w:highlight w:val="none"/>
        </w:rPr>
        <w:t>日至</w:t>
      </w:r>
      <w:r>
        <w:rPr>
          <w:rFonts w:hint="eastAsia" w:ascii="宋体" w:hAnsi="宋体" w:cs="宋体"/>
          <w:b w:val="0"/>
          <w:bCs/>
          <w:color w:val="auto"/>
          <w:sz w:val="24"/>
          <w:highlight w:val="none"/>
          <w:lang w:eastAsia="zh-CN"/>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07</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08</w:t>
      </w:r>
      <w:r>
        <w:rPr>
          <w:rFonts w:hint="eastAsia" w:ascii="宋体" w:hAnsi="宋体" w:eastAsia="宋体" w:cs="宋体"/>
          <w:b w:val="0"/>
          <w:bCs/>
          <w:color w:val="auto"/>
          <w:sz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9F9DC3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AE031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970A36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14:paraId="078C93C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四、响应文件提交（上传）</w:t>
      </w:r>
    </w:p>
    <w:p w14:paraId="297807A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4C692ED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val="en-US" w:eastAsia="zh-CN"/>
        </w:rPr>
        <w:t>政府采购云平台（http://www.zcygov.cn/）</w:t>
      </w:r>
      <w:r>
        <w:rPr>
          <w:rFonts w:hint="eastAsia" w:ascii="宋体" w:hAnsi="宋体" w:eastAsia="宋体" w:cs="宋体"/>
          <w:color w:val="auto"/>
          <w:sz w:val="24"/>
          <w:highlight w:val="none"/>
          <w:lang w:eastAsia="zh-CN"/>
        </w:rPr>
        <w:t>。</w:t>
      </w:r>
    </w:p>
    <w:p w14:paraId="75C04D5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五、响应文件开启 </w:t>
      </w:r>
    </w:p>
    <w:p w14:paraId="468C162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w:t>
      </w:r>
      <w:bookmarkStart w:id="502" w:name="_GoBack"/>
      <w:bookmarkEnd w:id="502"/>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w:t>
      </w:r>
    </w:p>
    <w:p w14:paraId="1810AA8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val="en-US" w:eastAsia="zh-CN"/>
        </w:rPr>
        <w:t>政府采购云平台（http://www.zcygov.cn/）</w:t>
      </w:r>
      <w:r>
        <w:rPr>
          <w:rFonts w:hint="eastAsia" w:ascii="宋体" w:hAnsi="宋体" w:eastAsia="宋体" w:cs="宋体"/>
          <w:color w:val="auto"/>
          <w:sz w:val="24"/>
          <w:highlight w:val="none"/>
          <w:lang w:eastAsia="zh-CN"/>
        </w:rPr>
        <w:t>。</w:t>
      </w:r>
    </w:p>
    <w:p w14:paraId="340BF1C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48EFC7A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77DFAD0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3083C77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B1597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1546B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19ED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30B071D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3E9ED59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文件后缀为：jmbs）：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328DAC8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303B856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（4）《第一部分  竞争性磋商公告》中二、申请人的资格要求：第一条中的“重大税收违法案件当事人名单”即为“重大税收违法失信主体”。</w:t>
      </w:r>
    </w:p>
    <w:p w14:paraId="28CC0E7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470A4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5617F5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31C9672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宁海县知恩中学</w:t>
      </w:r>
    </w:p>
    <w:p w14:paraId="79E9F5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宁波市宁海县桃源中路78号</w:t>
      </w:r>
    </w:p>
    <w:p w14:paraId="6043035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传    真：/ </w:t>
      </w:r>
    </w:p>
    <w:p w14:paraId="226F5E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童</w:t>
      </w:r>
      <w:r>
        <w:rPr>
          <w:rFonts w:hint="eastAsia" w:ascii="宋体" w:hAnsi="宋体" w:eastAsia="宋体" w:cs="宋体"/>
          <w:color w:val="auto"/>
          <w:sz w:val="24"/>
          <w:highlight w:val="none"/>
          <w:lang w:val="en-US" w:eastAsia="zh-CN"/>
        </w:rPr>
        <w:t>老师</w:t>
      </w:r>
      <w:r>
        <w:rPr>
          <w:rFonts w:hint="eastAsia" w:ascii="宋体" w:hAnsi="宋体" w:eastAsia="宋体" w:cs="宋体"/>
          <w:color w:val="auto"/>
          <w:sz w:val="24"/>
          <w:highlight w:val="none"/>
          <w:lang w:eastAsia="zh-CN"/>
        </w:rPr>
        <w:t xml:space="preserve"> </w:t>
      </w:r>
    </w:p>
    <w:p w14:paraId="090167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项目联系方式（询问）：0574-</w:t>
      </w:r>
      <w:r>
        <w:rPr>
          <w:rFonts w:hint="eastAsia" w:ascii="宋体" w:hAnsi="宋体" w:eastAsia="宋体" w:cs="宋体"/>
          <w:color w:val="auto"/>
          <w:sz w:val="24"/>
          <w:highlight w:val="none"/>
          <w:lang w:val="en-US" w:eastAsia="zh-CN"/>
        </w:rPr>
        <w:t>65259599</w:t>
      </w:r>
    </w:p>
    <w:p w14:paraId="1D1CCB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张</w:t>
      </w:r>
      <w:r>
        <w:rPr>
          <w:rFonts w:hint="eastAsia" w:ascii="宋体" w:hAnsi="宋体" w:eastAsia="宋体" w:cs="宋体"/>
          <w:color w:val="auto"/>
          <w:sz w:val="24"/>
          <w:highlight w:val="none"/>
          <w:lang w:val="en-US" w:eastAsia="zh-CN"/>
        </w:rPr>
        <w:t>老师</w:t>
      </w:r>
      <w:r>
        <w:rPr>
          <w:rFonts w:hint="eastAsia" w:ascii="宋体" w:hAnsi="宋体" w:eastAsia="宋体" w:cs="宋体"/>
          <w:color w:val="auto"/>
          <w:sz w:val="24"/>
          <w:highlight w:val="none"/>
          <w:lang w:eastAsia="zh-CN"/>
        </w:rPr>
        <w:t xml:space="preserve"> </w:t>
      </w:r>
    </w:p>
    <w:p w14:paraId="5D5B151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质疑联系方式：0574-</w:t>
      </w:r>
      <w:r>
        <w:rPr>
          <w:rFonts w:hint="eastAsia" w:ascii="宋体" w:hAnsi="宋体" w:eastAsia="宋体" w:cs="宋体"/>
          <w:color w:val="auto"/>
          <w:sz w:val="24"/>
          <w:highlight w:val="none"/>
          <w:lang w:val="en-US" w:eastAsia="zh-CN"/>
        </w:rPr>
        <w:t>65259599</w:t>
      </w:r>
    </w:p>
    <w:p w14:paraId="441303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2ECA265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称：浙江中基正采管理咨询有限公司</w:t>
      </w:r>
    </w:p>
    <w:p w14:paraId="1E662C6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址：宁波市鄞州区天童南路666号中基大厦19楼</w:t>
      </w:r>
    </w:p>
    <w:p w14:paraId="052908C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真：0574-87425373</w:t>
      </w:r>
    </w:p>
    <w:p w14:paraId="208ABC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项目联系人（询问）：孔工、朱贤东</w:t>
      </w:r>
    </w:p>
    <w:p w14:paraId="6197CA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项目联系方式（询问）：0574-87425</w:t>
      </w:r>
      <w:r>
        <w:rPr>
          <w:rFonts w:hint="eastAsia" w:ascii="宋体" w:hAnsi="宋体" w:eastAsia="宋体" w:cs="宋体"/>
          <w:color w:val="auto"/>
          <w:sz w:val="24"/>
          <w:highlight w:val="none"/>
          <w:lang w:val="en-US" w:eastAsia="zh-CN"/>
        </w:rPr>
        <w:t>279</w:t>
      </w:r>
    </w:p>
    <w:p w14:paraId="69D643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质疑联系人：王近娜</w:t>
      </w:r>
    </w:p>
    <w:p w14:paraId="2BD665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质疑联系方式：0574-87425583</w:t>
      </w:r>
    </w:p>
    <w:p w14:paraId="2FC8D6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655012B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3.同级政府采购监督管理部门：</w:t>
      </w:r>
    </w:p>
    <w:p w14:paraId="3911E2E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称：宁海县政府采购管理办公室</w:t>
      </w:r>
    </w:p>
    <w:p w14:paraId="390E5E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址：宁海县跃龙街道桃源中路218号 </w:t>
      </w:r>
    </w:p>
    <w:p w14:paraId="58AE3AD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真：0574-65265612</w:t>
      </w:r>
    </w:p>
    <w:p w14:paraId="3DD99A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：王老师</w:t>
      </w:r>
    </w:p>
    <w:p w14:paraId="50ACDA3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监督投诉电话：0574-65265668</w:t>
      </w:r>
    </w:p>
    <w:p w14:paraId="2D68F83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3713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95763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获取热线服务帮助。</w:t>
      </w:r>
    </w:p>
    <w:p w14:paraId="6F4330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C5F055E">
      <w:pPr>
        <w:pStyle w:val="3"/>
        <w:outlineLvl w:val="9"/>
        <w:rPr>
          <w:rFonts w:hint="eastAsia" w:ascii="宋体" w:hAnsi="宋体" w:eastAsia="宋体" w:cs="宋体"/>
          <w:color w:val="auto"/>
          <w:highlight w:val="none"/>
        </w:rPr>
      </w:pPr>
    </w:p>
    <w:p w14:paraId="3BBFCBD2">
      <w:pPr>
        <w:rPr>
          <w:rFonts w:hint="eastAsia" w:ascii="宋体" w:hAnsi="宋体" w:eastAsia="宋体" w:cs="宋体"/>
          <w:color w:val="auto"/>
          <w:highlight w:val="none"/>
        </w:rPr>
      </w:pPr>
    </w:p>
    <w:p w14:paraId="5EDFFAC2">
      <w:pPr>
        <w:rPr>
          <w:rFonts w:hint="eastAsia" w:ascii="宋体" w:hAnsi="宋体" w:eastAsia="宋体" w:cs="宋体"/>
          <w:color w:val="auto"/>
          <w:highlight w:val="none"/>
        </w:rPr>
        <w:sectPr>
          <w:footerReference r:id="rId5" w:type="default"/>
          <w:pgSz w:w="11906" w:h="16838"/>
          <w:pgMar w:top="1440" w:right="1080" w:bottom="1440" w:left="1080" w:header="851" w:footer="992" w:gutter="0"/>
          <w:pgNumType w:fmt="decimal" w:start="1"/>
          <w:cols w:space="720" w:num="1"/>
          <w:docGrid w:linePitch="312" w:charSpace="0"/>
        </w:sectPr>
      </w:pPr>
    </w:p>
    <w:p w14:paraId="56122206">
      <w:pPr>
        <w:pStyle w:val="32"/>
        <w:spacing w:line="360" w:lineRule="auto"/>
        <w:jc w:val="center"/>
        <w:outlineLvl w:val="0"/>
        <w:rPr>
          <w:rFonts w:hint="eastAsia" w:ascii="宋体" w:hAnsi="宋体" w:eastAsia="宋体" w:cs="宋体"/>
          <w:b/>
          <w:snapToGrid/>
          <w:color w:val="auto"/>
          <w:sz w:val="36"/>
          <w:szCs w:val="20"/>
          <w:highlight w:val="none"/>
        </w:rPr>
      </w:pPr>
      <w:bookmarkStart w:id="13" w:name="_Toc23841"/>
      <w:r>
        <w:rPr>
          <w:rFonts w:hint="eastAsia" w:ascii="宋体" w:hAnsi="宋体" w:eastAsia="宋体" w:cs="宋体"/>
          <w:b/>
          <w:snapToGrid/>
          <w:color w:val="auto"/>
          <w:sz w:val="36"/>
          <w:szCs w:val="20"/>
          <w:highlight w:val="none"/>
        </w:rPr>
        <w:t>第二部分</w:t>
      </w:r>
      <w:bookmarkEnd w:id="8"/>
      <w:r>
        <w:rPr>
          <w:rFonts w:hint="eastAsia" w:ascii="宋体" w:hAnsi="宋体" w:eastAsia="宋体" w:cs="宋体"/>
          <w:b/>
          <w:snapToGrid/>
          <w:color w:val="auto"/>
          <w:sz w:val="36"/>
          <w:szCs w:val="20"/>
          <w:highlight w:val="none"/>
        </w:rPr>
        <w:t xml:space="preserve"> 供应商须知</w:t>
      </w:r>
      <w:bookmarkEnd w:id="9"/>
      <w:bookmarkEnd w:id="13"/>
    </w:p>
    <w:p w14:paraId="5164142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71"/>
        <w:gridCol w:w="7290"/>
      </w:tblGrid>
      <w:tr w14:paraId="086F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tcPr>
          <w:p w14:paraId="1C96E62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71" w:type="dxa"/>
            <w:vAlign w:val="center"/>
          </w:tcPr>
          <w:p w14:paraId="5D3C4B4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290" w:type="dxa"/>
            <w:vAlign w:val="center"/>
          </w:tcPr>
          <w:p w14:paraId="25EE522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772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5A338D3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71" w:type="dxa"/>
            <w:vAlign w:val="center"/>
          </w:tcPr>
          <w:p w14:paraId="6019AF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290" w:type="dxa"/>
            <w:vAlign w:val="center"/>
          </w:tcPr>
          <w:p w14:paraId="2524FD0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类</w:t>
            </w:r>
          </w:p>
        </w:tc>
      </w:tr>
      <w:tr w14:paraId="0A32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AFE2C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71" w:type="dxa"/>
            <w:vAlign w:val="center"/>
          </w:tcPr>
          <w:p w14:paraId="00CDEFA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290" w:type="dxa"/>
            <w:vAlign w:val="center"/>
          </w:tcPr>
          <w:p w14:paraId="03E5F586">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宁海县知恩中学卫生间、宿舍维修改造工程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14:paraId="5C66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345789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71" w:type="dxa"/>
            <w:vAlign w:val="center"/>
          </w:tcPr>
          <w:p w14:paraId="724195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290" w:type="dxa"/>
            <w:vAlign w:val="center"/>
          </w:tcPr>
          <w:p w14:paraId="1A24308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2E7E5C5A">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r>
              <w:rPr>
                <w:rFonts w:hint="eastAsia" w:ascii="宋体" w:hAnsi="宋体" w:eastAsia="宋体" w:cs="宋体"/>
                <w:color w:val="auto"/>
                <w:kern w:val="0"/>
                <w:sz w:val="24"/>
                <w:highlight w:val="none"/>
                <w:lang w:eastAsia="zh-CN"/>
              </w:rPr>
              <w:t>，具体品牌详见清单</w:t>
            </w:r>
            <w:r>
              <w:rPr>
                <w:rFonts w:hint="eastAsia" w:ascii="宋体" w:hAnsi="宋体" w:eastAsia="宋体" w:cs="宋体"/>
                <w:color w:val="auto"/>
                <w:kern w:val="0"/>
                <w:sz w:val="24"/>
                <w:highlight w:val="none"/>
              </w:rPr>
              <w:t>。</w:t>
            </w:r>
          </w:p>
        </w:tc>
      </w:tr>
      <w:tr w14:paraId="2522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38224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71" w:type="dxa"/>
            <w:vAlign w:val="center"/>
          </w:tcPr>
          <w:p w14:paraId="6BF9784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90" w:type="dxa"/>
            <w:vAlign w:val="center"/>
          </w:tcPr>
          <w:p w14:paraId="090D308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27F637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13DF8A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F1D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728B8D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71" w:type="dxa"/>
            <w:vAlign w:val="center"/>
          </w:tcPr>
          <w:p w14:paraId="4C10CC7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7290" w:type="dxa"/>
            <w:vAlign w:val="center"/>
          </w:tcPr>
          <w:p w14:paraId="3CF87CC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D09A07F">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rPr>
              </w:sdtEndPr>
              <w:sdtContent>
                <w:r>
                  <w:rPr>
                    <w:rFonts w:hint="eastAsia" w:ascii="MS Gothic" w:hAnsi="MS Gothic" w:eastAsia="宋体" w:cs="宋体"/>
                    <w:color w:val="auto"/>
                    <w:kern w:val="0"/>
                    <w:sz w:val="24"/>
                    <w:szCs w:val="24"/>
                    <w:highlight w:val="none"/>
                    <w:shd w:val="clear"/>
                    <w:lang w:val="en-US" w:eastAsia="zh-CN" w:bidi="ar-SA"/>
                  </w:rPr>
                  <w:t>☐</w:t>
                </w:r>
              </w:sdtContent>
            </w:sdt>
            <w:r>
              <w:rPr>
                <w:rFonts w:hint="eastAsia" w:ascii="宋体" w:hAnsi="宋体" w:eastAsia="宋体" w:cs="宋体"/>
                <w:color w:val="auto"/>
                <w:kern w:val="0"/>
                <w:sz w:val="24"/>
                <w:highlight w:val="none"/>
                <w:shd w:val="clear"/>
              </w:rPr>
              <w:t>B组织</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b w:val="0"/>
                <w:bCs w:val="0"/>
                <w:color w:val="auto"/>
                <w:sz w:val="24"/>
                <w:highlight w:val="none"/>
                <w:u w:val="non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。勘察现场所发生的费用由供应商自己承担。不论何种原因所造成，在勘察过程中，供应商自行对由此次踏勘现场而造成的死亡、人身伤害、财产损失、损害以及</w:t>
            </w:r>
            <w:r>
              <w:rPr>
                <w:rFonts w:hint="eastAsia" w:ascii="宋体" w:hAnsi="宋体" w:cs="宋体"/>
                <w:color w:val="auto"/>
                <w:sz w:val="24"/>
                <w:szCs w:val="20"/>
                <w:highlight w:val="none"/>
                <w:lang w:eastAsia="zh-CN"/>
              </w:rPr>
              <w:t>任何其他</w:t>
            </w:r>
            <w:r>
              <w:rPr>
                <w:rFonts w:hint="eastAsia" w:ascii="宋体" w:hAnsi="宋体" w:eastAsia="宋体" w:cs="宋体"/>
                <w:color w:val="auto"/>
                <w:sz w:val="24"/>
                <w:szCs w:val="20"/>
                <w:highlight w:val="none"/>
              </w:rPr>
              <w:t>损失、损害和引起的费用和开支承担责任。</w:t>
            </w:r>
            <w:r>
              <w:rPr>
                <w:rFonts w:hint="eastAsia" w:ascii="宋体" w:hAnsi="宋体" w:eastAsia="宋体" w:cs="宋体"/>
                <w:color w:val="auto"/>
                <w:sz w:val="24"/>
                <w:szCs w:val="20"/>
                <w:highlight w:val="none"/>
                <w:lang w:eastAsia="zh-CN"/>
              </w:rPr>
              <w:t>若因供应商自身原因未参加踏勘而对项目理解有误造成自身损失等后果均由供应商自己承担。</w:t>
            </w:r>
          </w:p>
        </w:tc>
      </w:tr>
      <w:tr w14:paraId="2C66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E5F2A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71" w:type="dxa"/>
            <w:vAlign w:val="center"/>
          </w:tcPr>
          <w:p w14:paraId="0EB4347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290" w:type="dxa"/>
            <w:vAlign w:val="center"/>
          </w:tcPr>
          <w:p w14:paraId="1C5B4F8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C672BE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B49DE7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01EC72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6622CA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评审办法</w:t>
            </w:r>
            <w:r>
              <w:rPr>
                <w:rFonts w:hint="eastAsia" w:ascii="宋体" w:hAnsi="宋体" w:eastAsia="宋体" w:cs="宋体"/>
                <w:color w:val="auto"/>
                <w:kern w:val="0"/>
                <w:sz w:val="24"/>
                <w:highlight w:val="none"/>
              </w:rPr>
              <w:t>；</w:t>
            </w:r>
          </w:p>
          <w:p w14:paraId="5EB170A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15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6016F1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采购活动结束后，对于未成交供应商提供的样品，采购人、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将通知未成交供应商在规定的时间内取回，逾期未取回的，采购人、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不负保管义务；对于成交供应商提供的样品，采购人将进行保管、封存，并作为履约验收的参考。</w:t>
            </w:r>
          </w:p>
          <w:p w14:paraId="19E46664">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0E4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E2DA5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71" w:type="dxa"/>
            <w:vAlign w:val="center"/>
          </w:tcPr>
          <w:p w14:paraId="284B350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290" w:type="dxa"/>
            <w:vAlign w:val="center"/>
          </w:tcPr>
          <w:p w14:paraId="533EFD1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F5159A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14:paraId="3A4E604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人。讲解演示结束后按要求解答磋商小组提问。</w:t>
            </w:r>
          </w:p>
          <w:p w14:paraId="71DAB1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55AC2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3554D15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6617C2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9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restart"/>
            <w:vAlign w:val="center"/>
          </w:tcPr>
          <w:p w14:paraId="02309C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71" w:type="dxa"/>
            <w:vMerge w:val="restart"/>
            <w:vAlign w:val="center"/>
          </w:tcPr>
          <w:p w14:paraId="42239A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7290" w:type="dxa"/>
            <w:vAlign w:val="center"/>
          </w:tcPr>
          <w:p w14:paraId="3AECCC4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（1）资格证明文件：见采购文件第二部分11.1。</w:t>
            </w:r>
          </w:p>
          <w:p w14:paraId="24C389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供应商未提供有效的资格证明文件的，视为供应商不具备采购文件中规定的资格要求，响应文件无效。</w:t>
            </w:r>
          </w:p>
        </w:tc>
      </w:tr>
      <w:tr w14:paraId="6C00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continue"/>
            <w:vAlign w:val="center"/>
          </w:tcPr>
          <w:p w14:paraId="27351E74">
            <w:pPr>
              <w:snapToGrid w:val="0"/>
              <w:spacing w:line="360" w:lineRule="auto"/>
              <w:jc w:val="center"/>
              <w:rPr>
                <w:rFonts w:hint="eastAsia" w:ascii="宋体" w:hAnsi="宋体" w:eastAsia="宋体" w:cs="宋体"/>
                <w:color w:val="auto"/>
                <w:sz w:val="24"/>
                <w:highlight w:val="none"/>
              </w:rPr>
            </w:pPr>
          </w:p>
        </w:tc>
        <w:tc>
          <w:tcPr>
            <w:tcW w:w="1971" w:type="dxa"/>
            <w:vMerge w:val="continue"/>
            <w:vAlign w:val="center"/>
          </w:tcPr>
          <w:p w14:paraId="02538ED0">
            <w:pPr>
              <w:snapToGrid w:val="0"/>
              <w:spacing w:line="360" w:lineRule="auto"/>
              <w:jc w:val="center"/>
              <w:rPr>
                <w:rFonts w:hint="eastAsia" w:ascii="宋体" w:hAnsi="宋体" w:eastAsia="宋体" w:cs="宋体"/>
                <w:b/>
                <w:color w:val="auto"/>
                <w:sz w:val="24"/>
                <w:highlight w:val="none"/>
              </w:rPr>
            </w:pPr>
          </w:p>
        </w:tc>
        <w:tc>
          <w:tcPr>
            <w:tcW w:w="7290" w:type="dxa"/>
            <w:vAlign w:val="center"/>
          </w:tcPr>
          <w:p w14:paraId="5CEF3B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（2）资信证明文件：根据采购文件第四部分评审标准提供。</w:t>
            </w:r>
          </w:p>
        </w:tc>
      </w:tr>
      <w:tr w14:paraId="1014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D428B3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71" w:type="dxa"/>
            <w:vAlign w:val="center"/>
          </w:tcPr>
          <w:p w14:paraId="43E433D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290" w:type="dxa"/>
            <w:vAlign w:val="center"/>
          </w:tcPr>
          <w:p w14:paraId="29F05F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FF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9924F1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71" w:type="dxa"/>
            <w:vAlign w:val="center"/>
          </w:tcPr>
          <w:p w14:paraId="36A672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290" w:type="dxa"/>
            <w:vAlign w:val="center"/>
          </w:tcPr>
          <w:p w14:paraId="2BA00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有关本项目实施所需的所有费用（含税费）均计入报价。响应文件中价格全部采用人民币报价。</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lang w:val="zh-CN"/>
              </w:rPr>
              <w:t>文件未列明，而供应商认为必需的费用也需列入报价。</w:t>
            </w:r>
          </w:p>
          <w:p w14:paraId="1DF3AD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注：投标综合单价根据比例进行调整。计算公式：投标综合单价=《已标价工程量清单》的综合单价×【</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最后报价（投标总价</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-暂列金额</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预算金额</w:t>
            </w:r>
            <w:r>
              <w:rPr>
                <w:rFonts w:hint="eastAsia" w:ascii="宋体" w:hAnsi="宋体" w:eastAsia="宋体" w:cs="宋体"/>
                <w:color w:val="auto"/>
                <w:kern w:val="0"/>
                <w:sz w:val="24"/>
                <w:highlight w:val="none"/>
                <w:lang w:val="zh-CN" w:eastAsia="zh-CN"/>
              </w:rPr>
              <w:t>-暂列金额</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暂列金额不参与调整</w:t>
            </w:r>
            <w:r>
              <w:rPr>
                <w:rFonts w:hint="eastAsia" w:ascii="宋体" w:hAnsi="宋体" w:eastAsia="宋体" w:cs="宋体"/>
                <w:color w:val="auto"/>
                <w:kern w:val="0"/>
                <w:sz w:val="24"/>
                <w:highlight w:val="none"/>
                <w:lang w:val="zh-CN"/>
              </w:rPr>
              <w:t>。</w:t>
            </w:r>
          </w:p>
          <w:p w14:paraId="29F8F3E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最后报价出现下列情形的，响应文件无效：</w:t>
            </w:r>
          </w:p>
          <w:p w14:paraId="605409C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响应文件出现不是唯一的、有选择性最后报价的；</w:t>
            </w:r>
          </w:p>
          <w:p w14:paraId="4138F679">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最后报价超过采购文件中规定的预算金额或者最高限价的；</w:t>
            </w:r>
          </w:p>
          <w:p w14:paraId="050B0383">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14:paraId="74EF304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7AA3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673DF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71" w:type="dxa"/>
            <w:vAlign w:val="center"/>
          </w:tcPr>
          <w:p w14:paraId="1F052E9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290" w:type="dxa"/>
            <w:vAlign w:val="center"/>
          </w:tcPr>
          <w:p w14:paraId="43ADA7C7">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金融服务中心</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14:paraId="55A4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4444B3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71" w:type="dxa"/>
            <w:vAlign w:val="center"/>
          </w:tcPr>
          <w:p w14:paraId="3CE8CFD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备份响应文件送达地点和签收人员</w:t>
            </w:r>
          </w:p>
        </w:tc>
        <w:tc>
          <w:tcPr>
            <w:tcW w:w="7290" w:type="dxa"/>
            <w:vAlign w:val="center"/>
          </w:tcPr>
          <w:p w14:paraId="2B6EEDB9">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供应商可以准备U盘存储的电子备份响应文件1份，按政府采购云平台要求制作的电子备份响应文件，以用于异常情况处理。</w:t>
            </w:r>
          </w:p>
          <w:p w14:paraId="0E3B5F71">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如提供备份响应文件的，应于响应文件提交（上传）截止时间前，将以U盘存储的电子备份响应文件密封，递交至</w:t>
            </w:r>
            <w:r>
              <w:rPr>
                <w:rFonts w:hint="eastAsia" w:ascii="宋体" w:hAnsi="宋体" w:eastAsia="宋体" w:cs="宋体"/>
                <w:snapToGrid w:val="0"/>
                <w:color w:val="auto"/>
                <w:kern w:val="28"/>
                <w:sz w:val="24"/>
                <w:szCs w:val="24"/>
                <w:highlight w:val="none"/>
                <w:u w:val="single"/>
                <w:lang w:val="en-US" w:eastAsia="zh-CN" w:bidi="ar-SA"/>
              </w:rPr>
              <w:t>至宁海县政务服务中心（宁海县桃源街道金水东路5号五楼）</w:t>
            </w:r>
            <w:r>
              <w:rPr>
                <w:rFonts w:hint="eastAsia" w:ascii="宋体" w:hAnsi="宋体" w:eastAsia="宋体" w:cs="宋体"/>
                <w:snapToGrid w:val="0"/>
                <w:color w:val="auto"/>
                <w:kern w:val="28"/>
                <w:sz w:val="24"/>
                <w:szCs w:val="24"/>
                <w:highlight w:val="none"/>
                <w:lang w:val="en-US" w:eastAsia="zh-CN" w:bidi="ar-SA"/>
              </w:rPr>
              <w:t>，逾期送达或未密封将予以拒收。</w:t>
            </w:r>
          </w:p>
          <w:p w14:paraId="274FF80D">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供应商可采用邮寄（含快递）方式递交备份响应文件。</w:t>
            </w:r>
          </w:p>
          <w:p w14:paraId="179E9065">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5C01A56">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拟在开标前一个工作日的16:00前到件的邮寄地址为：</w:t>
            </w:r>
            <w:r>
              <w:rPr>
                <w:rFonts w:hint="eastAsia" w:ascii="宋体" w:hAnsi="宋体" w:eastAsia="宋体" w:cs="宋体"/>
                <w:snapToGrid w:val="0"/>
                <w:color w:val="auto"/>
                <w:kern w:val="28"/>
                <w:sz w:val="24"/>
                <w:szCs w:val="24"/>
                <w:highlight w:val="none"/>
                <w:u w:val="single"/>
                <w:lang w:val="en-US" w:eastAsia="zh-CN" w:bidi="ar-SA"/>
              </w:rPr>
              <w:t>宁波市鄞州区天童南路666号中基大厦19楼业务六部</w:t>
            </w:r>
            <w:r>
              <w:rPr>
                <w:rFonts w:hint="eastAsia" w:ascii="宋体" w:hAnsi="宋体" w:eastAsia="宋体" w:cs="宋体"/>
                <w:snapToGrid w:val="0"/>
                <w:color w:val="auto"/>
                <w:kern w:val="28"/>
                <w:sz w:val="24"/>
                <w:szCs w:val="24"/>
                <w:highlight w:val="none"/>
                <w:lang w:val="en-US" w:eastAsia="zh-CN" w:bidi="ar-SA"/>
              </w:rPr>
              <w:t>；</w:t>
            </w:r>
          </w:p>
          <w:p w14:paraId="1934F004">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收件人</w:t>
            </w:r>
            <w:r>
              <w:rPr>
                <w:rFonts w:hint="eastAsia" w:ascii="宋体" w:hAnsi="宋体" w:eastAsia="宋体" w:cs="宋体"/>
                <w:snapToGrid w:val="0"/>
                <w:color w:val="auto"/>
                <w:kern w:val="28"/>
                <w:sz w:val="24"/>
                <w:szCs w:val="24"/>
                <w:highlight w:val="none"/>
                <w:u w:val="none"/>
                <w:lang w:val="en-US" w:eastAsia="zh-CN" w:bidi="ar-SA"/>
              </w:rPr>
              <w:t>：</w:t>
            </w:r>
            <w:r>
              <w:rPr>
                <w:rFonts w:hint="eastAsia" w:ascii="宋体" w:hAnsi="宋体" w:cs="宋体"/>
                <w:snapToGrid w:val="0"/>
                <w:color w:val="auto"/>
                <w:kern w:val="28"/>
                <w:sz w:val="24"/>
                <w:szCs w:val="24"/>
                <w:highlight w:val="none"/>
                <w:u w:val="single"/>
                <w:lang w:val="en-US" w:eastAsia="zh-CN" w:bidi="ar-SA"/>
              </w:rPr>
              <w:t>孔工</w:t>
            </w:r>
            <w:r>
              <w:rPr>
                <w:rFonts w:hint="eastAsia" w:ascii="宋体" w:hAnsi="宋体" w:eastAsia="宋体" w:cs="宋体"/>
                <w:snapToGrid w:val="0"/>
                <w:color w:val="auto"/>
                <w:kern w:val="28"/>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联系方式：</w:t>
            </w:r>
            <w:r>
              <w:rPr>
                <w:rFonts w:hint="eastAsia" w:ascii="宋体" w:hAnsi="宋体" w:cs="宋体"/>
                <w:snapToGrid w:val="0"/>
                <w:color w:val="auto"/>
                <w:kern w:val="28"/>
                <w:sz w:val="24"/>
                <w:szCs w:val="24"/>
                <w:highlight w:val="none"/>
                <w:u w:val="single"/>
                <w:lang w:val="en-US" w:eastAsia="zh-CN" w:bidi="ar-SA"/>
              </w:rPr>
              <w:t>0574-87425279</w:t>
            </w:r>
          </w:p>
          <w:p w14:paraId="22DB3A4D">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请各供应商确保密封包装在邮寄过程密封包装完好，因邮寄过程的密封破损造成不符合开标要求的，本采购代理及采购人概不负责。</w:t>
            </w:r>
          </w:p>
          <w:p w14:paraId="6AADC79C">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b/>
                <w:bCs/>
                <w:snapToGrid w:val="0"/>
                <w:color w:val="auto"/>
                <w:kern w:val="28"/>
                <w:sz w:val="24"/>
                <w:szCs w:val="24"/>
                <w:highlight w:val="none"/>
                <w:lang w:val="en-US" w:eastAsia="zh-CN" w:bidi="ar-SA"/>
              </w:rPr>
              <w:t>采购人、采购代理机构不强制或变相强制供应商提交备份响应文件</w:t>
            </w:r>
            <w:r>
              <w:rPr>
                <w:rFonts w:hint="eastAsia" w:ascii="宋体" w:hAnsi="宋体" w:eastAsia="宋体" w:cs="宋体"/>
                <w:b/>
                <w:bCs/>
                <w:snapToGrid w:val="0"/>
                <w:color w:val="auto"/>
                <w:kern w:val="2"/>
                <w:sz w:val="24"/>
                <w:szCs w:val="24"/>
                <w:highlight w:val="none"/>
                <w:lang w:val="en-US" w:eastAsia="zh-CN" w:bidi="ar-SA"/>
              </w:rPr>
              <w:t>。</w:t>
            </w:r>
          </w:p>
        </w:tc>
      </w:tr>
      <w:tr w14:paraId="2D26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735482A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71" w:type="dxa"/>
            <w:vAlign w:val="center"/>
          </w:tcPr>
          <w:p w14:paraId="4B14CF2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其它说明</w:t>
            </w:r>
          </w:p>
        </w:tc>
        <w:tc>
          <w:tcPr>
            <w:tcW w:w="7290" w:type="dxa"/>
            <w:vAlign w:val="center"/>
          </w:tcPr>
          <w:p w14:paraId="1907AC7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14:paraId="1528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8CBF2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971" w:type="dxa"/>
            <w:vAlign w:val="center"/>
          </w:tcPr>
          <w:p w14:paraId="1069ACC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7290" w:type="dxa"/>
            <w:vAlign w:val="center"/>
          </w:tcPr>
          <w:p w14:paraId="3DC4A0E2">
            <w:pPr>
              <w:keepNext w:val="0"/>
              <w:keepLines w:val="0"/>
              <w:pageBreakBefore w:val="0"/>
              <w:widowControl w:val="0"/>
              <w:kinsoku/>
              <w:wordWrap/>
              <w:overflowPunct/>
              <w:topLinePunct w:val="0"/>
              <w:autoSpaceDE/>
              <w:autoSpaceDN/>
              <w:bidi w:val="0"/>
              <w:adjustRightInd w:val="0"/>
              <w:spacing w:line="336"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招标代理服务费的收取标准：</w:t>
            </w:r>
          </w:p>
          <w:p w14:paraId="210C46F8">
            <w:pPr>
              <w:keepNext w:val="0"/>
              <w:keepLines w:val="0"/>
              <w:pageBreakBefore w:val="0"/>
              <w:widowControl w:val="0"/>
              <w:kinsoku/>
              <w:wordWrap/>
              <w:overflowPunct/>
              <w:topLinePunct w:val="0"/>
              <w:autoSpaceDE/>
              <w:autoSpaceDN/>
              <w:bidi w:val="0"/>
              <w:adjustRightInd w:val="0"/>
              <w:spacing w:line="336"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采购代理机构按下表中</w:t>
            </w:r>
            <w:r>
              <w:rPr>
                <w:rFonts w:hint="eastAsia" w:ascii="宋体" w:hAnsi="宋体" w:eastAsia="宋体" w:cs="宋体"/>
                <w:color w:val="auto"/>
                <w:kern w:val="0"/>
                <w:sz w:val="24"/>
                <w:highlight w:val="none"/>
                <w:lang w:val="en-US" w:eastAsia="zh-CN"/>
              </w:rPr>
              <w:t>工程</w:t>
            </w:r>
            <w:r>
              <w:rPr>
                <w:rFonts w:hint="eastAsia" w:ascii="宋体" w:hAnsi="宋体" w:eastAsia="宋体" w:cs="宋体"/>
                <w:color w:val="auto"/>
                <w:kern w:val="0"/>
                <w:sz w:val="24"/>
                <w:highlight w:val="none"/>
              </w:rPr>
              <w:t>招标的标准（按差额定率累进法计算），以</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金额为基准，向</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5B0E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noWrap w:val="0"/>
                  <w:tcMar>
                    <w:top w:w="30" w:type="dxa"/>
                    <w:left w:w="150" w:type="dxa"/>
                    <w:bottom w:w="30" w:type="dxa"/>
                    <w:right w:w="150" w:type="dxa"/>
                  </w:tcMar>
                  <w:vAlign w:val="center"/>
                </w:tcPr>
                <w:p w14:paraId="174BE53E">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p>
                <w:p w14:paraId="37899E93">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金额（万元）</w:t>
                  </w:r>
                </w:p>
                <w:p w14:paraId="31233648">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费率</w:t>
                  </w:r>
                </w:p>
                <w:p w14:paraId="78CDFF90">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服务类型</w:t>
                  </w:r>
                </w:p>
              </w:tc>
              <w:tc>
                <w:tcPr>
                  <w:tcW w:w="956" w:type="dxa"/>
                  <w:noWrap w:val="0"/>
                  <w:tcMar>
                    <w:top w:w="30" w:type="dxa"/>
                    <w:left w:w="150" w:type="dxa"/>
                    <w:bottom w:w="30" w:type="dxa"/>
                    <w:right w:w="150" w:type="dxa"/>
                  </w:tcMar>
                  <w:vAlign w:val="center"/>
                </w:tcPr>
                <w:p w14:paraId="50672039">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货物招标</w:t>
                  </w:r>
                </w:p>
              </w:tc>
              <w:tc>
                <w:tcPr>
                  <w:tcW w:w="956" w:type="dxa"/>
                  <w:noWrap w:val="0"/>
                  <w:tcMar>
                    <w:top w:w="30" w:type="dxa"/>
                    <w:left w:w="150" w:type="dxa"/>
                    <w:bottom w:w="30" w:type="dxa"/>
                    <w:right w:w="150" w:type="dxa"/>
                  </w:tcMar>
                  <w:vAlign w:val="center"/>
                </w:tcPr>
                <w:p w14:paraId="700827A7">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服务招标</w:t>
                  </w:r>
                </w:p>
              </w:tc>
              <w:tc>
                <w:tcPr>
                  <w:tcW w:w="957" w:type="dxa"/>
                  <w:noWrap w:val="0"/>
                  <w:tcMar>
                    <w:top w:w="30" w:type="dxa"/>
                    <w:left w:w="150" w:type="dxa"/>
                    <w:bottom w:w="30" w:type="dxa"/>
                    <w:right w:w="150" w:type="dxa"/>
                  </w:tcMar>
                  <w:vAlign w:val="center"/>
                </w:tcPr>
                <w:p w14:paraId="46124562">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工程招标</w:t>
                  </w:r>
                </w:p>
              </w:tc>
            </w:tr>
            <w:tr w14:paraId="7777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16270F80">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100以下</w:t>
                  </w:r>
                </w:p>
              </w:tc>
              <w:tc>
                <w:tcPr>
                  <w:tcW w:w="956" w:type="dxa"/>
                  <w:noWrap w:val="0"/>
                  <w:tcMar>
                    <w:top w:w="30" w:type="dxa"/>
                    <w:left w:w="150" w:type="dxa"/>
                    <w:bottom w:w="30" w:type="dxa"/>
                    <w:right w:w="150" w:type="dxa"/>
                  </w:tcMar>
                  <w:vAlign w:val="center"/>
                </w:tcPr>
                <w:p w14:paraId="64BAED5D">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6" w:type="dxa"/>
                  <w:noWrap w:val="0"/>
                  <w:tcMar>
                    <w:top w:w="30" w:type="dxa"/>
                    <w:left w:w="150" w:type="dxa"/>
                    <w:bottom w:w="30" w:type="dxa"/>
                    <w:right w:w="150" w:type="dxa"/>
                  </w:tcMar>
                  <w:vAlign w:val="center"/>
                </w:tcPr>
                <w:p w14:paraId="1EA5226F">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7" w:type="dxa"/>
                  <w:noWrap w:val="0"/>
                  <w:tcMar>
                    <w:top w:w="30" w:type="dxa"/>
                    <w:left w:w="150" w:type="dxa"/>
                    <w:bottom w:w="30" w:type="dxa"/>
                    <w:right w:w="150" w:type="dxa"/>
                  </w:tcMar>
                  <w:vAlign w:val="center"/>
                </w:tcPr>
                <w:p w14:paraId="5C627681">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w:t>
                  </w:r>
                </w:p>
              </w:tc>
            </w:tr>
            <w:tr w14:paraId="4663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639BBA9D">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100-500</w:t>
                  </w:r>
                </w:p>
              </w:tc>
              <w:tc>
                <w:tcPr>
                  <w:tcW w:w="956" w:type="dxa"/>
                  <w:noWrap w:val="0"/>
                  <w:tcMar>
                    <w:top w:w="30" w:type="dxa"/>
                    <w:left w:w="150" w:type="dxa"/>
                    <w:bottom w:w="30" w:type="dxa"/>
                    <w:right w:w="150" w:type="dxa"/>
                  </w:tcMar>
                  <w:vAlign w:val="center"/>
                </w:tcPr>
                <w:p w14:paraId="2AC9C4A5">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w:t>
                  </w:r>
                </w:p>
              </w:tc>
              <w:tc>
                <w:tcPr>
                  <w:tcW w:w="956" w:type="dxa"/>
                  <w:noWrap w:val="0"/>
                  <w:tcMar>
                    <w:top w:w="30" w:type="dxa"/>
                    <w:left w:w="150" w:type="dxa"/>
                    <w:bottom w:w="30" w:type="dxa"/>
                    <w:right w:w="150" w:type="dxa"/>
                  </w:tcMar>
                  <w:vAlign w:val="center"/>
                </w:tcPr>
                <w:p w14:paraId="280C232F">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0.8%</w:t>
                  </w:r>
                </w:p>
              </w:tc>
              <w:tc>
                <w:tcPr>
                  <w:tcW w:w="957" w:type="dxa"/>
                  <w:noWrap w:val="0"/>
                  <w:tcMar>
                    <w:top w:w="30" w:type="dxa"/>
                    <w:left w:w="150" w:type="dxa"/>
                    <w:bottom w:w="30" w:type="dxa"/>
                    <w:right w:w="150" w:type="dxa"/>
                  </w:tcMar>
                  <w:vAlign w:val="center"/>
                </w:tcPr>
                <w:p w14:paraId="6A63BB23">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0.7%</w:t>
                  </w:r>
                </w:p>
              </w:tc>
            </w:tr>
          </w:tbl>
          <w:p w14:paraId="07E51DE7">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关于本次采购的服务费汇入以下账户：</w:t>
            </w:r>
          </w:p>
          <w:p w14:paraId="535D868C">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开户银行：宁波银行股份有限公司鄞州中心区支行</w:t>
            </w:r>
          </w:p>
          <w:p w14:paraId="475DF413">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账    号：30010122001229488</w:t>
            </w:r>
          </w:p>
          <w:p w14:paraId="27FA68A7">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户    名：浙江中基正采管理咨询有限公司</w:t>
            </w:r>
          </w:p>
          <w:p w14:paraId="493DCB5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en-US" w:eastAsia="zh-CN"/>
              </w:rPr>
              <w:t>注：成交人接到本公司通知后5个工作日内向本采购代理机构领取成交通知书（根据成交人需求可采用邮寄或到采购代理机构现场领取）。</w:t>
            </w:r>
          </w:p>
        </w:tc>
      </w:tr>
      <w:bookmarkEnd w:id="10"/>
    </w:tbl>
    <w:p w14:paraId="617E4601">
      <w:pPr>
        <w:widowControl/>
        <w:adjustRightInd/>
        <w:jc w:val="left"/>
        <w:rPr>
          <w:rFonts w:hint="eastAsia" w:ascii="宋体" w:hAnsi="宋体" w:eastAsia="宋体" w:cs="宋体"/>
          <w:b/>
          <w:color w:val="auto"/>
          <w:sz w:val="32"/>
          <w:szCs w:val="20"/>
          <w:highlight w:val="none"/>
        </w:rPr>
      </w:pPr>
      <w:bookmarkStart w:id="14" w:name="第三部分"/>
      <w:bookmarkStart w:id="15" w:name="_Toc164416483"/>
      <w:r>
        <w:rPr>
          <w:rFonts w:hint="eastAsia" w:ascii="宋体" w:hAnsi="宋体" w:eastAsia="宋体" w:cs="宋体"/>
          <w:b/>
          <w:color w:val="auto"/>
          <w:sz w:val="32"/>
          <w:szCs w:val="20"/>
          <w:highlight w:val="none"/>
        </w:rPr>
        <w:br w:type="page"/>
      </w:r>
    </w:p>
    <w:p w14:paraId="376405B4">
      <w:pPr>
        <w:snapToGrid w:val="0"/>
        <w:spacing w:line="360" w:lineRule="auto"/>
        <w:jc w:val="center"/>
        <w:outlineLvl w:val="0"/>
        <w:rPr>
          <w:rFonts w:hint="eastAsia" w:ascii="宋体" w:hAnsi="宋体" w:eastAsia="宋体" w:cs="宋体"/>
          <w:b/>
          <w:color w:val="auto"/>
          <w:sz w:val="32"/>
          <w:szCs w:val="20"/>
          <w:highlight w:val="none"/>
        </w:rPr>
      </w:pPr>
      <w:bookmarkStart w:id="16" w:name="_Toc17569"/>
      <w:r>
        <w:rPr>
          <w:rFonts w:hint="eastAsia" w:ascii="宋体" w:hAnsi="宋体" w:eastAsia="宋体" w:cs="宋体"/>
          <w:b/>
          <w:color w:val="auto"/>
          <w:sz w:val="32"/>
          <w:szCs w:val="20"/>
          <w:highlight w:val="none"/>
        </w:rPr>
        <w:t>一、总则</w:t>
      </w:r>
      <w:bookmarkEnd w:id="16"/>
    </w:p>
    <w:p w14:paraId="6721D6E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783BA8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BC3D5DB">
      <w:pPr>
        <w:snapToGrid w:val="0"/>
        <w:spacing w:line="360" w:lineRule="auto"/>
        <w:outlineLvl w:val="0"/>
        <w:rPr>
          <w:rFonts w:hint="eastAsia" w:ascii="宋体" w:hAnsi="宋体" w:eastAsia="宋体" w:cs="宋体"/>
          <w:b/>
          <w:color w:val="auto"/>
          <w:sz w:val="24"/>
          <w:highlight w:val="none"/>
        </w:rPr>
      </w:pPr>
      <w:bookmarkStart w:id="17" w:name="_Toc18298"/>
      <w:r>
        <w:rPr>
          <w:rFonts w:hint="eastAsia" w:ascii="宋体" w:hAnsi="宋体" w:eastAsia="宋体" w:cs="宋体"/>
          <w:b/>
          <w:color w:val="auto"/>
          <w:sz w:val="24"/>
          <w:highlight w:val="none"/>
        </w:rPr>
        <w:t>2.定义</w:t>
      </w:r>
      <w:bookmarkEnd w:id="17"/>
    </w:p>
    <w:p w14:paraId="5A7A75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“采购人”系指竞争性磋商公告中载明的本项目的采购人。</w:t>
      </w:r>
    </w:p>
    <w:p w14:paraId="24170A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”系指竞争性磋商公告中载明的本项目的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56559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“供应商”系指是指提交响应文件和报价、参与竞争性磋商采购活动的法人、其他组织或者自然人。</w:t>
      </w:r>
    </w:p>
    <w:p w14:paraId="0B8A34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42763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“成交人”系指经评审确定的成交供应商。</w:t>
      </w:r>
    </w:p>
    <w:p w14:paraId="2A14C9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“响应文件”系指供应商提交的资格文件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商务技术文件</w:t>
      </w:r>
      <w:r>
        <w:rPr>
          <w:rFonts w:hint="eastAsia" w:ascii="宋体" w:hAnsi="宋体" w:eastAsia="宋体" w:cs="宋体"/>
          <w:color w:val="auto"/>
          <w:sz w:val="24"/>
          <w:highlight w:val="none"/>
          <w:lang w:eastAsia="zh-CN"/>
        </w:rPr>
        <w:t>、报价文件</w:t>
      </w:r>
      <w:r>
        <w:rPr>
          <w:rFonts w:hint="eastAsia" w:ascii="宋体" w:hAnsi="宋体" w:eastAsia="宋体" w:cs="宋体"/>
          <w:color w:val="auto"/>
          <w:sz w:val="24"/>
          <w:highlight w:val="none"/>
        </w:rPr>
        <w:t>。供应商提交最后报价后，最后报价是供应商响应文件的有效组成部分。</w:t>
      </w:r>
    </w:p>
    <w:p w14:paraId="7DB4A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2.7 </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p w14:paraId="705F67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8 </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694A4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 “书面形式”包括数据电文形式与纸质形式。数据电文形式与纸质形式的采购活动具有同等法律效力。</w:t>
      </w:r>
    </w:p>
    <w:p w14:paraId="5905B8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”系指不适用本项目的要求，“※”系指磋商过程中可能实质性变动的内容。</w:t>
      </w:r>
    </w:p>
    <w:p w14:paraId="71705F0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FB368A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A72B9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05B81BD">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hint="eastAsia" w:ascii="宋体" w:hAnsi="宋体" w:eastAsia="宋体" w:cs="宋体"/>
          <w:color w:val="auto"/>
          <w:sz w:val="24"/>
          <w:highlight w:val="none"/>
          <w:lang w:val="en-US" w:eastAsia="zh-CN"/>
        </w:rPr>
        <w:t>竞争性磋商文件</w:t>
      </w:r>
      <w:r>
        <w:rPr>
          <w:rFonts w:hint="eastAsia" w:ascii="宋体" w:hAnsi="宋体" w:eastAsia="宋体" w:cs="宋体"/>
          <w:color w:val="auto"/>
          <w:sz w:val="24"/>
          <w:highlight w:val="none"/>
        </w:rPr>
        <w:t>要求提供相关产品认证证书。</w:t>
      </w:r>
      <w:r>
        <w:rPr>
          <w:rFonts w:hint="eastAsia" w:ascii="宋体" w:hAnsi="宋体" w:cs="宋体"/>
          <w:color w:val="auto"/>
          <w:sz w:val="24"/>
          <w:highlight w:val="none"/>
          <w:lang w:eastAsia="zh-CN"/>
        </w:rPr>
        <w:t>★</w:t>
      </w:r>
      <w:r>
        <w:rPr>
          <w:rFonts w:hint="eastAsia" w:ascii="宋体" w:hAnsi="宋体" w:eastAsia="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2E085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6C6E7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C0853CC">
      <w:pPr>
        <w:pStyle w:val="3"/>
        <w:tabs>
          <w:tab w:val="left" w:pos="0"/>
          <w:tab w:val="clear" w:pos="432"/>
        </w:tabs>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A5870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86308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F0D2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805075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在政府采购活动中，供应商提供的工程符合下列情形的，享受中小企业扶持政策：</w:t>
      </w:r>
      <w:r>
        <w:rPr>
          <w:rFonts w:hint="eastAsia" w:ascii="宋体" w:hAnsi="宋体" w:eastAsia="宋体" w:cs="宋体"/>
          <w:color w:val="auto"/>
          <w:sz w:val="24"/>
          <w:highlight w:val="none"/>
        </w:rPr>
        <w:t>在工程采购项目中，工程由中小企业承建，即工程施工单位为中小企业</w:t>
      </w:r>
      <w:r>
        <w:rPr>
          <w:rFonts w:hint="eastAsia" w:ascii="宋体" w:hAnsi="宋体" w:eastAsia="宋体" w:cs="宋体"/>
          <w:color w:val="auto"/>
          <w:kern w:val="0"/>
          <w:sz w:val="24"/>
          <w:highlight w:val="none"/>
        </w:rPr>
        <w:t>。</w:t>
      </w:r>
    </w:p>
    <w:p w14:paraId="79B962F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750063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8"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8"/>
      <w:r>
        <w:rPr>
          <w:rFonts w:hint="eastAsia" w:ascii="宋体" w:hAnsi="宋体" w:eastAsia="宋体" w:cs="宋体"/>
          <w:color w:val="auto"/>
          <w:sz w:val="24"/>
          <w:highlight w:val="none"/>
        </w:rPr>
        <w:t>，对联合体或者大中型企业的报价给予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81792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3.3.4符合《关于促进残疾人就业政府采购政策的通知》（财库〔2017〕141号）规定的条件并提供《残疾人福利性单位声明函》的残疾人福利性单位视同小型、微型企业；</w:t>
      </w:r>
    </w:p>
    <w:p w14:paraId="0D3E05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77DB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39C9F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9A6514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3.4支持创新发展</w:t>
      </w:r>
    </w:p>
    <w:p w14:paraId="39713BA4">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3.4.1对省级以上主管部门认定的首台套产品，自纳入《省推广应用指导目录》起三年内参加政府采购活动，视同已具备相应销售业绩，业绩分为满分。</w:t>
      </w:r>
    </w:p>
    <w:p w14:paraId="6DD33A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DBEA94F">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17551179">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14:paraId="7EEF5C53">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询问列表；鼓励供应商在线提起质疑，路径为：政采云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质疑列表。质疑供应商对在线质疑答复不满意的，可在线提起投诉，路径为：浙江政府服务网</w:t>
      </w:r>
      <w:r>
        <w:rPr>
          <w:rFonts w:hint="eastAsia" w:cs="宋体"/>
          <w:color w:val="auto"/>
          <w:highlight w:val="none"/>
          <w:lang w:eastAsia="zh-CN"/>
        </w:rPr>
        <w:t>－</w:t>
      </w:r>
      <w:r>
        <w:rPr>
          <w:rFonts w:hint="eastAsia" w:ascii="宋体" w:hAnsi="宋体" w:eastAsia="宋体" w:cs="宋体"/>
          <w:color w:val="auto"/>
          <w:highlight w:val="none"/>
        </w:rPr>
        <w:t>政府采购投诉处理</w:t>
      </w:r>
      <w:r>
        <w:rPr>
          <w:rFonts w:hint="eastAsia" w:cs="宋体"/>
          <w:color w:val="auto"/>
          <w:highlight w:val="none"/>
          <w:lang w:eastAsia="zh-CN"/>
        </w:rPr>
        <w:t>－</w:t>
      </w:r>
      <w:r>
        <w:rPr>
          <w:rFonts w:hint="eastAsia" w:ascii="宋体" w:hAnsi="宋体" w:eastAsia="宋体" w:cs="宋体"/>
          <w:color w:val="auto"/>
          <w:highlight w:val="none"/>
        </w:rPr>
        <w:t>在线办理。</w:t>
      </w:r>
    </w:p>
    <w:p w14:paraId="26AB1B71">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7E6352DF">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F42E8E9">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D1B28C">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BC68296">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14:paraId="1509AE09">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4046264">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14:paraId="6007219F">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2A9E1B19">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705F2D97">
      <w:pPr>
        <w:pStyle w:val="32"/>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BCB4668">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45048E2D">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088A77C0">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078DDD46">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275F9BE6">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3294F4FB">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3DF68E4">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58819C">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cs="宋体"/>
          <w:color w:val="auto"/>
          <w:highlight w:val="none"/>
          <w:lang w:val="en-US" w:eastAsia="zh-CN"/>
        </w:rPr>
        <w:t>1</w:t>
      </w:r>
      <w:r>
        <w:rPr>
          <w:rFonts w:hint="eastAsia" w:ascii="宋体" w:hAnsi="宋体" w:eastAsia="宋体" w:cs="宋体"/>
          <w:color w:val="auto"/>
          <w:highlight w:val="none"/>
        </w:rPr>
        <w:t>。</w:t>
      </w:r>
    </w:p>
    <w:p w14:paraId="7A39CD34">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8A7C90D">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浙江省财政厅</w:t>
      </w:r>
      <w:r>
        <w:rPr>
          <w:rFonts w:hint="eastAsia" w:ascii="宋体" w:hAnsi="宋体" w:eastAsia="宋体" w:cs="宋体"/>
          <w:color w:val="auto"/>
          <w:sz w:val="24"/>
          <w:highlight w:val="none"/>
        </w:rPr>
        <w:t>关于进一步加强政府采购公</w:t>
      </w:r>
      <w:r>
        <w:rPr>
          <w:rFonts w:hint="eastAsia" w:ascii="宋体" w:hAnsi="宋体" w:eastAsia="宋体" w:cs="宋体"/>
          <w:color w:val="auto"/>
          <w:sz w:val="24"/>
          <w:highlight w:val="none"/>
          <w:lang w:val="en-US" w:eastAsia="zh-CN"/>
        </w:rPr>
        <w:t>平竞争打造最</w:t>
      </w:r>
      <w:r>
        <w:rPr>
          <w:rFonts w:hint="eastAsia" w:ascii="宋体" w:hAnsi="宋体" w:eastAsia="宋体" w:cs="宋体"/>
          <w:color w:val="auto"/>
          <w:sz w:val="24"/>
          <w:highlight w:val="none"/>
        </w:rPr>
        <w:t>优营商环境的通知》（</w:t>
      </w:r>
      <w:r>
        <w:rPr>
          <w:rFonts w:hint="eastAsia" w:ascii="宋体" w:hAnsi="宋体" w:eastAsia="宋体" w:cs="宋体"/>
          <w:color w:val="auto"/>
          <w:sz w:val="24"/>
          <w:highlight w:val="none"/>
          <w:lang w:val="en-US" w:eastAsia="zh-CN"/>
        </w:rPr>
        <w:t>浙</w:t>
      </w:r>
      <w:r>
        <w:rPr>
          <w:rFonts w:hint="eastAsia" w:ascii="宋体" w:hAnsi="宋体" w:eastAsia="宋体" w:cs="宋体"/>
          <w:color w:val="auto"/>
          <w:sz w:val="24"/>
          <w:highlight w:val="none"/>
        </w:rPr>
        <w:t>财采监〔2021〕</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2B1116CD">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588D060">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21B4D95">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58598B6">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2D09A17F">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D8E1FCF">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E2A0D16">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4.5.5投诉材料</w:t>
      </w:r>
      <w:r>
        <w:rPr>
          <w:rFonts w:hint="eastAsia" w:ascii="宋体" w:hAnsi="宋体" w:eastAsia="宋体" w:cs="宋体"/>
          <w:color w:val="auto"/>
          <w:highlight w:val="none"/>
          <w:lang w:val="en-US" w:eastAsia="zh-CN"/>
        </w:rPr>
        <w:t>寄送相关信息详见《第一部分  竞争性磋商公告》“</w:t>
      </w:r>
      <w:r>
        <w:rPr>
          <w:rFonts w:hint="eastAsia" w:ascii="宋体" w:hAnsi="宋体" w:eastAsia="宋体" w:cs="宋体"/>
          <w:color w:val="auto"/>
          <w:highlight w:val="none"/>
        </w:rPr>
        <w:t>同级政府采购监督管理部门</w:t>
      </w:r>
      <w:r>
        <w:rPr>
          <w:rFonts w:hint="eastAsia" w:ascii="宋体" w:hAnsi="宋体" w:eastAsia="宋体" w:cs="宋体"/>
          <w:color w:val="auto"/>
          <w:highlight w:val="none"/>
          <w:lang w:val="en-US" w:eastAsia="zh-CN"/>
        </w:rPr>
        <w:t>”。</w:t>
      </w:r>
    </w:p>
    <w:p w14:paraId="06243C2F">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cs="宋体"/>
          <w:color w:val="auto"/>
          <w:highlight w:val="none"/>
          <w:lang w:val="en-US" w:eastAsia="zh-CN"/>
        </w:rPr>
        <w:t>2</w:t>
      </w:r>
      <w:r>
        <w:rPr>
          <w:rFonts w:hint="eastAsia" w:ascii="宋体" w:hAnsi="宋体" w:eastAsia="宋体" w:cs="宋体"/>
          <w:color w:val="auto"/>
          <w:highlight w:val="none"/>
        </w:rPr>
        <w:t>。</w:t>
      </w:r>
    </w:p>
    <w:p w14:paraId="3A50DA9E">
      <w:pPr>
        <w:pStyle w:val="128"/>
        <w:snapToGrid w:val="0"/>
        <w:spacing w:before="0"/>
        <w:ind w:firstLine="360"/>
        <w:rPr>
          <w:rFonts w:hint="eastAsia" w:ascii="宋体" w:hAnsi="宋体" w:eastAsia="宋体" w:cs="宋体"/>
          <w:color w:val="auto"/>
          <w:sz w:val="18"/>
          <w:szCs w:val="18"/>
          <w:highlight w:val="none"/>
        </w:rPr>
      </w:pPr>
    </w:p>
    <w:p w14:paraId="40F53D64">
      <w:pPr>
        <w:snapToGrid w:val="0"/>
        <w:spacing w:line="360" w:lineRule="auto"/>
        <w:jc w:val="center"/>
        <w:outlineLvl w:val="0"/>
        <w:rPr>
          <w:rFonts w:hint="eastAsia" w:ascii="宋体" w:hAnsi="宋体" w:eastAsia="宋体" w:cs="宋体"/>
          <w:b/>
          <w:color w:val="auto"/>
          <w:sz w:val="32"/>
          <w:szCs w:val="20"/>
          <w:highlight w:val="none"/>
        </w:rPr>
      </w:pPr>
      <w:bookmarkStart w:id="19" w:name="_Toc21397"/>
      <w:r>
        <w:rPr>
          <w:rFonts w:hint="eastAsia" w:ascii="宋体" w:hAnsi="宋体" w:eastAsia="宋体" w:cs="宋体"/>
          <w:b/>
          <w:color w:val="auto"/>
          <w:sz w:val="32"/>
          <w:szCs w:val="20"/>
          <w:highlight w:val="none"/>
        </w:rPr>
        <w:t>二、采购文件的构成、澄清、修改</w:t>
      </w:r>
      <w:bookmarkEnd w:id="19"/>
    </w:p>
    <w:p w14:paraId="7C2EA53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14:paraId="38C7E9D6">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71E2A2C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525B0A9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6E84E84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7F6ED3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32DA0D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1A7FFE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8559A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14:paraId="081C0D1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16D066C5">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6.1已获取采购文件的潜在供应商，若有问题需要澄清，应于响应文件提交（上传）截止时间前，以书面形式向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36D50B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731FD5E">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2880B45">
      <w:pPr>
        <w:pStyle w:val="128"/>
        <w:snapToGrid w:val="0"/>
        <w:spacing w:before="0"/>
        <w:ind w:firstLine="480"/>
        <w:rPr>
          <w:rFonts w:hint="eastAsia" w:ascii="宋体" w:hAnsi="宋体" w:eastAsia="宋体" w:cs="宋体"/>
          <w:color w:val="auto"/>
          <w:sz w:val="18"/>
          <w:szCs w:val="18"/>
          <w:highlight w:val="none"/>
          <w:lang w:val="en-US"/>
        </w:rPr>
      </w:pPr>
      <w:r>
        <w:rPr>
          <w:rFonts w:hint="eastAsia" w:ascii="宋体" w:hAnsi="宋体" w:cs="宋体"/>
          <w:b/>
          <w:color w:val="auto"/>
          <w:highlight w:val="none"/>
          <w:lang w:eastAsia="zh-CN"/>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5C77B3D5">
      <w:pPr>
        <w:snapToGrid w:val="0"/>
        <w:spacing w:line="360" w:lineRule="auto"/>
        <w:jc w:val="center"/>
        <w:outlineLvl w:val="9"/>
        <w:rPr>
          <w:rFonts w:hint="eastAsia" w:ascii="宋体" w:hAnsi="宋体" w:eastAsia="宋体" w:cs="宋体"/>
          <w:b/>
          <w:color w:val="auto"/>
          <w:sz w:val="32"/>
          <w:szCs w:val="20"/>
          <w:highlight w:val="none"/>
        </w:rPr>
      </w:pPr>
    </w:p>
    <w:p w14:paraId="0F0EC621">
      <w:pPr>
        <w:snapToGrid w:val="0"/>
        <w:spacing w:line="360" w:lineRule="auto"/>
        <w:jc w:val="center"/>
        <w:outlineLvl w:val="0"/>
        <w:rPr>
          <w:rFonts w:hint="eastAsia" w:ascii="宋体" w:hAnsi="宋体" w:eastAsia="宋体" w:cs="宋体"/>
          <w:b/>
          <w:color w:val="auto"/>
          <w:sz w:val="32"/>
          <w:szCs w:val="20"/>
          <w:highlight w:val="none"/>
        </w:rPr>
      </w:pPr>
      <w:bookmarkStart w:id="20" w:name="_Toc28479"/>
      <w:r>
        <w:rPr>
          <w:rFonts w:hint="eastAsia" w:ascii="宋体" w:hAnsi="宋体" w:eastAsia="宋体" w:cs="宋体"/>
          <w:b/>
          <w:color w:val="auto"/>
          <w:sz w:val="32"/>
          <w:szCs w:val="20"/>
          <w:highlight w:val="none"/>
        </w:rPr>
        <w:t>三、提交响应文件</w:t>
      </w:r>
      <w:bookmarkEnd w:id="20"/>
    </w:p>
    <w:p w14:paraId="428BC7F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39F9353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详见竞争性磋商公告中获取采购文件的时间期限、地点、方式及采购文件售价。</w:t>
      </w:r>
    </w:p>
    <w:p w14:paraId="7D64DBE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11DBC1C7">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2B73F4B">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9.磋商保证金</w:t>
      </w:r>
    </w:p>
    <w:p w14:paraId="5C1613DE">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14:paraId="64600B3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7F60FA3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01A0BAA7">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639D53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2DC64E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8A6310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21" w:name="_Hlk101259339"/>
      <w:r>
        <w:rPr>
          <w:rFonts w:hint="eastAsia" w:ascii="宋体" w:hAnsi="宋体" w:eastAsia="宋体" w:cs="宋体"/>
          <w:snapToGrid w:val="0"/>
          <w:color w:val="auto"/>
          <w:kern w:val="28"/>
          <w:sz w:val="24"/>
          <w:szCs w:val="20"/>
          <w:highlight w:val="none"/>
        </w:rPr>
        <w:t>联合协议</w:t>
      </w:r>
      <w:bookmarkStart w:id="22" w:name="_Hlk101257010"/>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bookmarkEnd w:id="21"/>
      <w:bookmarkEnd w:id="22"/>
      <w:r>
        <w:rPr>
          <w:rFonts w:hint="eastAsia" w:ascii="宋体" w:hAnsi="宋体" w:eastAsia="宋体" w:cs="宋体"/>
          <w:snapToGrid w:val="0"/>
          <w:color w:val="auto"/>
          <w:kern w:val="28"/>
          <w:sz w:val="24"/>
          <w:szCs w:val="20"/>
          <w:highlight w:val="none"/>
        </w:rPr>
        <w:t>；</w:t>
      </w:r>
    </w:p>
    <w:p w14:paraId="544C1BA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68619CD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p>
    <w:p w14:paraId="7526E1A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p>
    <w:p w14:paraId="690B9DB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2AD07F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14:paraId="6AEB4C1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C54CCA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7E2E87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7D4C7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11.2.5评审标准相应的商务技术资料；</w:t>
      </w:r>
    </w:p>
    <w:p w14:paraId="6B2573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7C69287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381F5ED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280E3F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11.3.1报价单；</w:t>
      </w:r>
    </w:p>
    <w:p w14:paraId="3AAAE3F2">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11.3.2已标价工程量清单</w:t>
      </w:r>
      <w:r>
        <w:rPr>
          <w:rFonts w:hint="eastAsia" w:ascii="宋体" w:hAnsi="宋体" w:eastAsia="宋体" w:cs="宋体"/>
          <w:color w:val="auto"/>
          <w:sz w:val="24"/>
          <w:highlight w:val="none"/>
          <w:lang w:eastAsia="zh-CN"/>
        </w:rPr>
        <w:t>；</w:t>
      </w:r>
    </w:p>
    <w:p w14:paraId="7D4DC89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lang w:eastAsia="zh-CN"/>
        </w:rPr>
        <w:t>报价情况说明(如供应商报价低于项目预算 50%的，应当提交本文档，详细阐述不影响产品质量或者诚信履约的具体原因）。</w:t>
      </w:r>
    </w:p>
    <w:p w14:paraId="27F7883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eastAsia="zh-CN"/>
        </w:rPr>
        <w:t>可事先在公开官网查询、核对相关证书和报告内容，确保投标（响应）文件资料准确无误。</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eastAsia="zh-CN"/>
        </w:rPr>
        <w:t>应对投标文件中材料的真实性、合法性负责</w:t>
      </w:r>
      <w:r>
        <w:rPr>
          <w:rFonts w:hint="eastAsia" w:ascii="宋体" w:hAnsi="宋体" w:eastAsia="宋体" w:cs="宋体"/>
          <w:b/>
          <w:color w:val="auto"/>
          <w:sz w:val="24"/>
          <w:highlight w:val="none"/>
        </w:rPr>
        <w:t>。</w:t>
      </w:r>
    </w:p>
    <w:p w14:paraId="36D548CA">
      <w:pPr>
        <w:pStyle w:val="128"/>
        <w:snapToGrid w:val="0"/>
        <w:spacing w:before="0"/>
        <w:ind w:firstLine="0" w:firstLineChars="0"/>
        <w:outlineLvl w:val="0"/>
        <w:rPr>
          <w:rFonts w:hint="eastAsia" w:ascii="宋体" w:hAnsi="宋体" w:eastAsia="宋体" w:cs="宋体"/>
          <w:b/>
          <w:color w:val="auto"/>
          <w:szCs w:val="24"/>
          <w:highlight w:val="none"/>
        </w:rPr>
      </w:pPr>
      <w:bookmarkStart w:id="23" w:name="_Toc8830"/>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r>
        <w:rPr>
          <w:rFonts w:hint="eastAsia" w:ascii="宋体" w:hAnsi="宋体" w:eastAsia="宋体" w:cs="宋体"/>
          <w:b/>
          <w:color w:val="auto"/>
          <w:szCs w:val="24"/>
          <w:highlight w:val="none"/>
          <w:lang w:val="en-US" w:eastAsia="zh-CN"/>
        </w:rPr>
        <w:t>（文件后缀为：jmbs）</w:t>
      </w:r>
      <w:bookmarkEnd w:id="23"/>
    </w:p>
    <w:p w14:paraId="382D163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187F6C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627D63E">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电子交易客户端-CA驱动和申领流程”进行查阅。</w:t>
      </w:r>
    </w:p>
    <w:p w14:paraId="4265E45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14:paraId="20E1A09B">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13.1响应文件按照采购文件第六部分格式要</w:t>
      </w:r>
      <w:r>
        <w:rPr>
          <w:rFonts w:hint="eastAsia" w:ascii="宋体" w:hAnsi="宋体" w:eastAsia="宋体" w:cs="宋体"/>
          <w:color w:val="auto"/>
          <w:highlight w:val="none"/>
        </w:rPr>
        <w:t>求进行签署、盖章。</w:t>
      </w:r>
      <w:r>
        <w:rPr>
          <w:rFonts w:hint="eastAsia" w:ascii="宋体" w:hAnsi="宋体" w:cs="宋体"/>
          <w:b/>
          <w:color w:val="auto"/>
          <w:highlight w:val="none"/>
          <w:lang w:eastAsia="zh-CN"/>
        </w:rPr>
        <w:t>★</w:t>
      </w:r>
      <w:r>
        <w:rPr>
          <w:rFonts w:hint="eastAsia" w:ascii="宋体" w:hAnsi="宋体" w:eastAsia="宋体" w:cs="宋体"/>
          <w:b/>
          <w:color w:val="auto"/>
          <w:highlight w:val="none"/>
        </w:rPr>
        <w:t>供应商的响应文件未按照采购文件要求签署、盖章的，其响应文件无效</w:t>
      </w:r>
      <w:r>
        <w:rPr>
          <w:rFonts w:hint="eastAsia" w:ascii="宋体" w:hAnsi="宋体" w:eastAsia="宋体" w:cs="宋体"/>
          <w:color w:val="auto"/>
          <w:szCs w:val="24"/>
          <w:highlight w:val="none"/>
        </w:rPr>
        <w:t>。</w:t>
      </w:r>
    </w:p>
    <w:p w14:paraId="28ADB710">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F8B5BD0">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13.3采购文件对响应文件签署、盖章的要求适用于电子签名。</w:t>
      </w:r>
    </w:p>
    <w:p w14:paraId="64F772AE">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14:paraId="631C9641">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C97D5C3">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.2 在响应截止时间以后，不能补充、修改响应文件。</w:t>
      </w:r>
    </w:p>
    <w:p w14:paraId="0CC85561">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.3 在提交“最后报价”后，供应商不能退出磋商。</w:t>
      </w:r>
    </w:p>
    <w:p w14:paraId="49945930">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电子交易平台收到响应文件，将妥善保存并即时向供应商发出确认回执通知。在响应文件提交（上传）截止时间前，除供应商补充、修改或者撤回响应文件外，任何单位和个人不得解密或提取响应文件。</w:t>
      </w:r>
    </w:p>
    <w:p w14:paraId="0B8BFE9F">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与供应商以前在响应文件提交截止时间方面的全部权利、责任和义务，将适用于延长至新的响应文件提交截止时间。</w:t>
      </w:r>
    </w:p>
    <w:p w14:paraId="40935A58">
      <w:pPr>
        <w:pStyle w:val="3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15.备份响应文件（文件后缀为：</w:t>
      </w:r>
      <w:r>
        <w:rPr>
          <w:rFonts w:hint="eastAsia" w:ascii="宋体" w:hAnsi="宋体" w:eastAsia="宋体" w:cs="宋体"/>
          <w:b/>
          <w:color w:val="auto"/>
          <w:sz w:val="24"/>
          <w:szCs w:val="24"/>
          <w:highlight w:val="none"/>
          <w:lang w:val="en-US" w:eastAsia="zh-CN"/>
        </w:rPr>
        <w:t>bfbs</w:t>
      </w:r>
      <w:r>
        <w:rPr>
          <w:rFonts w:hint="eastAsia" w:ascii="宋体" w:hAnsi="宋体" w:eastAsia="宋体" w:cs="宋体"/>
          <w:b/>
          <w:color w:val="auto"/>
          <w:sz w:val="24"/>
          <w:szCs w:val="24"/>
          <w:highlight w:val="none"/>
        </w:rPr>
        <w:t>）</w:t>
      </w:r>
    </w:p>
    <w:p w14:paraId="54FF8E68">
      <w:pPr>
        <w:pStyle w:val="32"/>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7AB9608">
      <w:pPr>
        <w:pStyle w:val="32"/>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w:t>
      </w:r>
      <w:r>
        <w:rPr>
          <w:rFonts w:hint="eastAsia" w:ascii="宋体" w:hAnsi="宋体" w:eastAsia="宋体" w:cs="宋体"/>
          <w:color w:val="auto"/>
          <w:sz w:val="24"/>
          <w:szCs w:val="24"/>
          <w:highlight w:val="none"/>
          <w:lang w:val="en-US" w:eastAsia="zh-CN"/>
        </w:rPr>
        <w:t>U盘</w:t>
      </w:r>
      <w:r>
        <w:rPr>
          <w:rFonts w:hint="eastAsia" w:ascii="宋体" w:hAnsi="宋体" w:eastAsia="宋体" w:cs="宋体"/>
          <w:color w:val="auto"/>
          <w:sz w:val="24"/>
          <w:szCs w:val="24"/>
          <w:highlight w:val="none"/>
        </w:rPr>
        <w:t>中。备份响应文件应当密封包装并在包装上加盖公章并注明采购项目名称，供应商名称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联合体参与的，包装物封面需注明联合体，并注明联合体成员各方的名称和联合协议中约定的牵头人的名称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B507C8C">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r>
        <w:rPr>
          <w:rFonts w:hint="eastAsia" w:ascii="宋体" w:hAnsi="宋体" w:eastAsia="宋体" w:cs="宋体"/>
          <w:color w:val="auto"/>
          <w:sz w:val="24"/>
          <w:szCs w:val="24"/>
          <w:highlight w:val="none"/>
          <w:lang w:val="en-US" w:eastAsia="zh-CN"/>
        </w:rPr>
        <w:t>直接提交备份响应文件的，供应商应于响应截止时间前在磋商文件第三部分供应商须知前附表规定的地点将备份响应文件提交给采购代理机构，采购代理机构将拒绝接受逾期送达的备份响应文件。</w:t>
      </w:r>
    </w:p>
    <w:p w14:paraId="3612C8D6">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w:t>
      </w:r>
      <w:r>
        <w:rPr>
          <w:rFonts w:hint="eastAsia" w:ascii="宋体" w:hAnsi="宋体" w:eastAsia="宋体" w:cs="宋体"/>
          <w:color w:val="auto"/>
          <w:sz w:val="24"/>
          <w:szCs w:val="24"/>
          <w:highlight w:val="none"/>
          <w:lang w:val="en-US" w:eastAsia="zh-CN"/>
        </w:rPr>
        <w:t>备份响应文件须按磋商文件第三部分供应商须知前附表规定时间和地点送达</w:t>
      </w:r>
      <w:r>
        <w:rPr>
          <w:rFonts w:hint="eastAsia" w:ascii="宋体" w:hAnsi="宋体" w:eastAsia="宋体" w:cs="宋体"/>
          <w:snapToGrid/>
          <w:color w:val="auto"/>
          <w:sz w:val="24"/>
          <w:szCs w:val="24"/>
          <w:highlight w:val="none"/>
        </w:rPr>
        <w:t>；</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6002A6C0">
      <w:pPr>
        <w:pStyle w:val="32"/>
        <w:snapToGrid w:val="0"/>
        <w:spacing w:line="360" w:lineRule="auto"/>
        <w:ind w:firstLine="479" w:firstLineChars="199"/>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w:t>
      </w: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720D70E4">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14:paraId="468A4294">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的情形之一的，响应文件无效：</w:t>
      </w:r>
    </w:p>
    <w:p w14:paraId="5961B49F">
      <w:pPr>
        <w:pStyle w:val="128"/>
        <w:spacing w:before="0"/>
        <w:ind w:firstLine="0" w:firstLineChars="0"/>
        <w:rPr>
          <w:rFonts w:hint="eastAsia" w:ascii="宋体" w:hAnsi="宋体" w:eastAsia="宋体" w:cs="宋体"/>
          <w:b/>
          <w:color w:val="auto"/>
          <w:szCs w:val="24"/>
          <w:highlight w:val="none"/>
        </w:rPr>
      </w:pPr>
    </w:p>
    <w:p w14:paraId="49570319">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17.响应文件有效期</w:t>
      </w:r>
    </w:p>
    <w:p w14:paraId="24EB46AA">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17.1响应文件有效期为从提交响应文件的截止之日起90天。</w:t>
      </w:r>
      <w:r>
        <w:rPr>
          <w:rFonts w:hint="eastAsia" w:ascii="宋体" w:hAnsi="宋体" w:cs="宋体"/>
          <w:color w:val="auto"/>
          <w:sz w:val="24"/>
          <w:szCs w:val="20"/>
          <w:highlight w:val="none"/>
          <w:lang w:eastAsia="zh-CN"/>
        </w:rPr>
        <w:t>★</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诺的响应文件有效期少于采购文件中载明的响应文件有效期的，响应文件无效。</w:t>
      </w:r>
    </w:p>
    <w:p w14:paraId="30C6A103">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17.2响应文件合格投递后，自响应文件提交截止时间起，在响应文件有效期内有效。</w:t>
      </w:r>
    </w:p>
    <w:p w14:paraId="06C6B584">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17.3在原定响应文件有效期满之前，如果出现特殊情况，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可以以书面形式通知供应商延长响应文件有效期。供应商同意延长的，不得要求或被允许修改其响应文件，供应商拒绝延长的，其响应文件无效。</w:t>
      </w:r>
    </w:p>
    <w:p w14:paraId="34FBF1C0">
      <w:pPr>
        <w:pStyle w:val="128"/>
        <w:spacing w:before="0"/>
        <w:ind w:firstLine="643"/>
        <w:rPr>
          <w:rFonts w:hint="eastAsia" w:ascii="宋体" w:hAnsi="宋体" w:eastAsia="宋体" w:cs="宋体"/>
          <w:b/>
          <w:color w:val="auto"/>
          <w:sz w:val="32"/>
          <w:highlight w:val="none"/>
        </w:rPr>
      </w:pPr>
    </w:p>
    <w:p w14:paraId="3F6D30AA">
      <w:pPr>
        <w:snapToGrid w:val="0"/>
        <w:spacing w:line="360" w:lineRule="auto"/>
        <w:jc w:val="center"/>
        <w:outlineLvl w:val="0"/>
        <w:rPr>
          <w:rFonts w:hint="eastAsia" w:ascii="宋体" w:hAnsi="宋体" w:eastAsia="宋体" w:cs="宋体"/>
          <w:b/>
          <w:color w:val="auto"/>
          <w:sz w:val="32"/>
          <w:szCs w:val="20"/>
          <w:highlight w:val="none"/>
        </w:rPr>
      </w:pPr>
      <w:bookmarkStart w:id="24" w:name="_Toc25467"/>
      <w:r>
        <w:rPr>
          <w:rFonts w:hint="eastAsia" w:ascii="宋体" w:hAnsi="宋体" w:eastAsia="宋体" w:cs="宋体"/>
          <w:b/>
          <w:color w:val="auto"/>
          <w:sz w:val="32"/>
          <w:szCs w:val="20"/>
          <w:highlight w:val="none"/>
        </w:rPr>
        <w:t>四、响应文件开启、资格审查与信用信息查询</w:t>
      </w:r>
      <w:bookmarkEnd w:id="24"/>
    </w:p>
    <w:p w14:paraId="0683D007">
      <w:pPr>
        <w:pStyle w:val="554"/>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4E08B01C">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6F84817B">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C28E70C">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77B45A3A">
      <w:pPr>
        <w:pStyle w:val="554"/>
        <w:spacing w:before="0" w:line="360" w:lineRule="auto"/>
        <w:ind w:left="0" w:firstLine="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16551A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磋商小组依据法律法规和采购文件的规定，对供应商的资格进行审查。</w:t>
      </w:r>
    </w:p>
    <w:p w14:paraId="10BC14BD">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460363A9">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B19C65C">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7371BFD3">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38C3BB5">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渠道查询供应商接受资格审查时的信用记录。</w:t>
      </w:r>
    </w:p>
    <w:p w14:paraId="1CD9B69C">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7C1A2391">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即：重大税收违法失信主体</w:t>
      </w:r>
      <w:r>
        <w:rPr>
          <w:rFonts w:hint="eastAsia" w:ascii="宋体" w:hAnsi="宋体" w:cs="宋体"/>
          <w:color w:val="auto"/>
          <w:kern w:val="0"/>
          <w:szCs w:val="24"/>
          <w:highlight w:val="none"/>
          <w:lang w:val="en-US" w:eastAsia="zh-CN"/>
        </w:rPr>
        <w:t>）</w:t>
      </w:r>
      <w:r>
        <w:rPr>
          <w:rFonts w:hint="eastAsia" w:ascii="宋体" w:hAnsi="宋体" w:eastAsia="宋体" w:cs="宋体"/>
          <w:color w:val="auto"/>
          <w:kern w:val="0"/>
          <w:szCs w:val="24"/>
          <w:highlight w:val="none"/>
        </w:rPr>
        <w:t>、政府采购严重违法失信行为记录名单的供应商将被拒绝参与政府采购活动。</w:t>
      </w:r>
    </w:p>
    <w:p w14:paraId="58E92D0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79C0588">
      <w:pPr>
        <w:pStyle w:val="128"/>
        <w:spacing w:before="0"/>
        <w:ind w:firstLine="0" w:firstLineChars="0"/>
        <w:rPr>
          <w:rFonts w:hint="eastAsia" w:ascii="宋体" w:hAnsi="宋体" w:eastAsia="宋体" w:cs="宋体"/>
          <w:color w:val="auto"/>
          <w:kern w:val="0"/>
          <w:szCs w:val="24"/>
          <w:highlight w:val="none"/>
        </w:rPr>
      </w:pPr>
    </w:p>
    <w:p w14:paraId="15E90E2F">
      <w:pPr>
        <w:snapToGrid w:val="0"/>
        <w:spacing w:line="360" w:lineRule="auto"/>
        <w:jc w:val="center"/>
        <w:outlineLvl w:val="0"/>
        <w:rPr>
          <w:rFonts w:hint="eastAsia" w:ascii="宋体" w:hAnsi="宋体" w:eastAsia="宋体" w:cs="宋体"/>
          <w:b/>
          <w:color w:val="auto"/>
          <w:sz w:val="32"/>
          <w:szCs w:val="20"/>
          <w:highlight w:val="none"/>
        </w:rPr>
      </w:pPr>
      <w:bookmarkStart w:id="25" w:name="_Toc2054"/>
      <w:r>
        <w:rPr>
          <w:rFonts w:hint="eastAsia" w:ascii="宋体" w:hAnsi="宋体" w:eastAsia="宋体" w:cs="宋体"/>
          <w:b/>
          <w:color w:val="auto"/>
          <w:sz w:val="32"/>
          <w:szCs w:val="20"/>
          <w:highlight w:val="none"/>
        </w:rPr>
        <w:t>五、评审</w:t>
      </w:r>
      <w:bookmarkEnd w:id="25"/>
    </w:p>
    <w:p w14:paraId="344A2A06">
      <w:pPr>
        <w:spacing w:line="360" w:lineRule="auto"/>
        <w:rPr>
          <w:rFonts w:hint="eastAsia" w:ascii="宋体" w:hAnsi="宋体" w:eastAsia="宋体" w:cs="宋体"/>
          <w:b/>
          <w:color w:val="auto"/>
          <w:sz w:val="24"/>
          <w:highlight w:val="none"/>
        </w:rPr>
      </w:pPr>
      <w:bookmarkStart w:id="26"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p w14:paraId="791FBB99">
      <w:pPr>
        <w:spacing w:line="360" w:lineRule="auto"/>
        <w:rPr>
          <w:rFonts w:hint="eastAsia" w:ascii="宋体" w:hAnsi="宋体" w:eastAsia="宋体" w:cs="宋体"/>
          <w:b/>
          <w:color w:val="auto"/>
          <w:sz w:val="24"/>
          <w:highlight w:val="none"/>
        </w:rPr>
      </w:pPr>
    </w:p>
    <w:p w14:paraId="2609F7E3">
      <w:pPr>
        <w:snapToGrid w:val="0"/>
        <w:spacing w:line="360" w:lineRule="auto"/>
        <w:jc w:val="center"/>
        <w:outlineLvl w:val="0"/>
        <w:rPr>
          <w:rFonts w:hint="eastAsia" w:ascii="宋体" w:hAnsi="宋体" w:eastAsia="宋体" w:cs="宋体"/>
          <w:b/>
          <w:color w:val="auto"/>
          <w:sz w:val="32"/>
          <w:szCs w:val="20"/>
          <w:highlight w:val="none"/>
        </w:rPr>
      </w:pPr>
      <w:bookmarkStart w:id="27" w:name="_Toc15567"/>
      <w:r>
        <w:rPr>
          <w:rFonts w:hint="eastAsia" w:ascii="宋体" w:hAnsi="宋体" w:eastAsia="宋体" w:cs="宋体"/>
          <w:b/>
          <w:color w:val="auto"/>
          <w:sz w:val="32"/>
          <w:szCs w:val="20"/>
          <w:highlight w:val="none"/>
        </w:rPr>
        <w:t>六、成交供应商确定</w:t>
      </w:r>
      <w:bookmarkEnd w:id="27"/>
    </w:p>
    <w:p w14:paraId="53572E4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14:paraId="1DA69B17">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个工作日内在线确定中标或者成交供应商。中标、成交通知书和中标、成交结果公告应当在规定时间内同时发出。</w:t>
      </w:r>
      <w:r>
        <w:rPr>
          <w:rFonts w:hint="eastAsia" w:ascii="宋体" w:hAnsi="宋体" w:eastAsia="宋体" w:cs="宋体"/>
          <w:b/>
          <w:bCs/>
          <w:color w:val="auto"/>
          <w:sz w:val="24"/>
          <w:highlight w:val="none"/>
          <w:lang w:val="en-US" w:eastAsia="zh-CN"/>
        </w:rPr>
        <w:t>注：</w:t>
      </w:r>
      <w:r>
        <w:rPr>
          <w:rFonts w:hint="eastAsia" w:ascii="宋体" w:hAnsi="宋体" w:eastAsia="宋体" w:cs="宋体"/>
          <w:b/>
          <w:bCs/>
          <w:color w:val="auto"/>
          <w:sz w:val="24"/>
          <w:highlight w:val="none"/>
        </w:rPr>
        <w:t>按评审后得分由高到低顺序确定</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名</w:t>
      </w:r>
      <w:r>
        <w:rPr>
          <w:rFonts w:hint="eastAsia" w:ascii="宋体" w:hAnsi="宋体" w:eastAsia="宋体" w:cs="宋体"/>
          <w:b/>
          <w:bCs/>
          <w:color w:val="auto"/>
          <w:sz w:val="24"/>
          <w:highlight w:val="none"/>
          <w:lang w:val="en-US" w:eastAsia="zh-CN"/>
        </w:rPr>
        <w:t>成交</w:t>
      </w:r>
      <w:r>
        <w:rPr>
          <w:rFonts w:hint="eastAsia" w:ascii="宋体" w:hAnsi="宋体" w:eastAsia="宋体" w:cs="宋体"/>
          <w:b/>
          <w:bCs/>
          <w:color w:val="auto"/>
          <w:sz w:val="24"/>
          <w:highlight w:val="none"/>
        </w:rPr>
        <w:t>人</w:t>
      </w:r>
      <w:r>
        <w:rPr>
          <w:rFonts w:hint="eastAsia" w:ascii="宋体" w:hAnsi="宋体" w:eastAsia="宋体" w:cs="宋体"/>
          <w:b/>
          <w:bCs/>
          <w:color w:val="auto"/>
          <w:sz w:val="24"/>
          <w:highlight w:val="none"/>
          <w:lang w:eastAsia="zh-CN"/>
        </w:rPr>
        <w:t>。</w:t>
      </w:r>
    </w:p>
    <w:p w14:paraId="0083AFBA">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14:paraId="1E161590">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23.1自成交供应商确定之日起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2BA3C33E">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0119FB1">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6F17867">
      <w:pPr>
        <w:snapToGrid w:val="0"/>
        <w:spacing w:line="360" w:lineRule="auto"/>
        <w:jc w:val="center"/>
        <w:outlineLvl w:val="0"/>
        <w:rPr>
          <w:rFonts w:hint="eastAsia" w:ascii="宋体" w:hAnsi="宋体" w:eastAsia="宋体" w:cs="宋体"/>
          <w:b/>
          <w:color w:val="auto"/>
          <w:sz w:val="32"/>
          <w:szCs w:val="20"/>
          <w:highlight w:val="none"/>
        </w:rPr>
      </w:pPr>
      <w:bookmarkStart w:id="28" w:name="_Toc27747"/>
      <w:r>
        <w:rPr>
          <w:rFonts w:hint="eastAsia" w:ascii="宋体" w:hAnsi="宋体" w:eastAsia="宋体" w:cs="宋体"/>
          <w:b/>
          <w:color w:val="auto"/>
          <w:sz w:val="32"/>
          <w:szCs w:val="20"/>
          <w:highlight w:val="none"/>
        </w:rPr>
        <w:t>七、合同授予</w:t>
      </w:r>
      <w:bookmarkEnd w:id="28"/>
    </w:p>
    <w:p w14:paraId="6DD1A42D">
      <w:pPr>
        <w:pStyle w:val="24"/>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6F73D22E">
      <w:pPr>
        <w:pStyle w:val="24"/>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E599CF6">
      <w:pPr>
        <w:widowControl/>
        <w:shd w:val="clear" w:color="auto"/>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日内，与成交供应商按照采购文件确定的事项签订政府采购合同。</w:t>
      </w:r>
    </w:p>
    <w:p w14:paraId="615BEBB7">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D6AAE4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DD12B1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代理服务费、评审专家劳务报酬等相关费用。</w:t>
      </w:r>
    </w:p>
    <w:p w14:paraId="0CDEED4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25.5采购合同由采购人与成交供应商根据采购文件、响应文件等内容通过政府采购电子交易平台在线签订，自动备案。</w:t>
      </w:r>
    </w:p>
    <w:p w14:paraId="652CCB59">
      <w:pPr>
        <w:pStyle w:val="24"/>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F5B69F0">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。确需收取履约保证金的，履约保证金缴纳最高</w:t>
      </w:r>
      <w:r>
        <w:rPr>
          <w:rFonts w:hint="eastAsia" w:ascii="宋体" w:hAnsi="宋体" w:cs="宋体"/>
          <w:color w:val="auto"/>
          <w:sz w:val="24"/>
          <w:highlight w:val="none"/>
          <w:lang w:eastAsia="zh-CN"/>
        </w:rPr>
        <w:t>比例</w:t>
      </w:r>
      <w:r>
        <w:rPr>
          <w:rFonts w:hint="eastAsia" w:ascii="宋体" w:hAnsi="宋体" w:eastAsia="宋体" w:cs="宋体"/>
          <w:color w:val="auto"/>
          <w:sz w:val="24"/>
          <w:highlight w:val="none"/>
        </w:rPr>
        <w:t>不超过</w:t>
      </w:r>
      <w:r>
        <w:rPr>
          <w:rFonts w:hint="eastAsia" w:ascii="宋体" w:hAnsi="宋体" w:eastAsia="宋体" w:cs="宋体"/>
          <w:color w:val="auto"/>
          <w:kern w:val="2"/>
          <w:sz w:val="24"/>
          <w:highlight w:val="none"/>
        </w:rPr>
        <w:t>合同金额的1%，鼓励根据项目特点、供应商诚信等因素免收履约保证金或降低缴纳比例。</w:t>
      </w:r>
      <w:r>
        <w:rPr>
          <w:rFonts w:hint="eastAsia" w:ascii="宋体" w:hAnsi="宋体" w:eastAsia="宋体" w:cs="宋体"/>
          <w:color w:val="auto"/>
          <w:sz w:val="24"/>
          <w:highlight w:val="none"/>
        </w:rPr>
        <w:t>采购单位鼓励供应商采取履约保函形式提供信用保证；供应商提供保函的，采购单位不得拒收。项目验收结束后应及时退还，延迟退还的，应当按照合同约定和法律规定承担相应的赔偿责任。</w:t>
      </w:r>
    </w:p>
    <w:p w14:paraId="17D8F52C">
      <w:pPr>
        <w:pStyle w:val="3"/>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04CC99A">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01BFE7B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个工作日内支付。政府采购工程以及与工程建设有关的货物、服务，采用招标方式采购的，预付款从其相关规定。供应商可登录政采云前台大厅选择金融服务</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【保函保险服务】出具预付款保函，具体步骤：选择产品—填写供应商信息—选择中标项目—确认信息—等待保险/保函受理—确认保单—支付保费—成功出单。政采云金融专线400-903-9583。</w:t>
      </w:r>
    </w:p>
    <w:p w14:paraId="5614C1F0">
      <w:pPr>
        <w:rPr>
          <w:rFonts w:hint="eastAsia" w:ascii="宋体" w:hAnsi="宋体" w:eastAsia="宋体" w:cs="宋体"/>
          <w:color w:val="auto"/>
          <w:highlight w:val="none"/>
        </w:rPr>
      </w:pPr>
    </w:p>
    <w:p w14:paraId="1EC244BD">
      <w:pPr>
        <w:snapToGrid w:val="0"/>
        <w:spacing w:line="360" w:lineRule="auto"/>
        <w:ind w:firstLine="3357" w:firstLineChars="1045"/>
        <w:rPr>
          <w:rFonts w:hint="eastAsia" w:ascii="宋体" w:hAnsi="宋体" w:eastAsia="宋体" w:cs="宋体"/>
          <w:b/>
          <w:color w:val="auto"/>
          <w:sz w:val="32"/>
          <w:highlight w:val="none"/>
        </w:rPr>
      </w:pPr>
    </w:p>
    <w:p w14:paraId="19A20570">
      <w:pPr>
        <w:snapToGrid w:val="0"/>
        <w:spacing w:line="360" w:lineRule="auto"/>
        <w:jc w:val="center"/>
        <w:outlineLvl w:val="0"/>
        <w:rPr>
          <w:rFonts w:hint="eastAsia" w:ascii="宋体" w:hAnsi="宋体" w:eastAsia="宋体" w:cs="宋体"/>
          <w:b/>
          <w:color w:val="auto"/>
          <w:sz w:val="32"/>
          <w:szCs w:val="20"/>
          <w:highlight w:val="none"/>
        </w:rPr>
      </w:pPr>
      <w:bookmarkStart w:id="29" w:name="_Toc5199"/>
      <w:r>
        <w:rPr>
          <w:rFonts w:hint="eastAsia" w:ascii="宋体" w:hAnsi="宋体" w:eastAsia="宋体" w:cs="宋体"/>
          <w:b/>
          <w:color w:val="auto"/>
          <w:sz w:val="32"/>
          <w:szCs w:val="20"/>
          <w:highlight w:val="none"/>
        </w:rPr>
        <w:t>八、电子交易活动的中止</w:t>
      </w:r>
      <w:bookmarkEnd w:id="29"/>
    </w:p>
    <w:p w14:paraId="21D37772">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Cs w:val="20"/>
          <w:highlight w:val="none"/>
        </w:rPr>
        <w:t>2</w:t>
      </w:r>
      <w:r>
        <w:rPr>
          <w:rFonts w:hint="eastAsia" w:ascii="宋体" w:hAnsi="宋体" w:eastAsia="宋体" w:cs="宋体"/>
          <w:b/>
          <w:bCs/>
          <w:color w:val="auto"/>
          <w:kern w:val="2"/>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356009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944451">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C866CA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1EE756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9CA2F91">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6AE363F">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11DFD4">
      <w:pPr>
        <w:tabs>
          <w:tab w:val="left" w:pos="0"/>
        </w:tabs>
        <w:spacing w:line="360" w:lineRule="auto"/>
        <w:ind w:firstLine="480"/>
        <w:rPr>
          <w:rFonts w:hint="eastAsia" w:ascii="宋体" w:hAnsi="宋体" w:eastAsia="宋体" w:cs="宋体"/>
          <w:color w:val="auto"/>
          <w:sz w:val="24"/>
          <w:highlight w:val="none"/>
        </w:rPr>
      </w:pPr>
    </w:p>
    <w:p w14:paraId="6D4844D2">
      <w:pPr>
        <w:snapToGrid w:val="0"/>
        <w:spacing w:line="360" w:lineRule="auto"/>
        <w:jc w:val="center"/>
        <w:outlineLvl w:val="0"/>
        <w:rPr>
          <w:rFonts w:hint="eastAsia" w:ascii="宋体" w:hAnsi="宋体" w:eastAsia="宋体" w:cs="宋体"/>
          <w:b/>
          <w:color w:val="auto"/>
          <w:sz w:val="32"/>
          <w:szCs w:val="20"/>
          <w:highlight w:val="none"/>
        </w:rPr>
      </w:pPr>
      <w:bookmarkStart w:id="30" w:name="_Toc22338"/>
      <w:r>
        <w:rPr>
          <w:rFonts w:hint="eastAsia" w:ascii="宋体" w:hAnsi="宋体" w:eastAsia="宋体" w:cs="宋体"/>
          <w:b/>
          <w:color w:val="auto"/>
          <w:sz w:val="32"/>
          <w:szCs w:val="20"/>
          <w:highlight w:val="none"/>
        </w:rPr>
        <w:t>九、验收</w:t>
      </w:r>
      <w:bookmarkEnd w:id="30"/>
    </w:p>
    <w:p w14:paraId="7A7E69C6">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44FFC0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34E61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27F24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0C6DCB">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14:paraId="01D8ABA3">
      <w:pPr>
        <w:tabs>
          <w:tab w:val="left" w:pos="0"/>
        </w:tabs>
        <w:spacing w:line="360" w:lineRule="auto"/>
        <w:ind w:firstLine="480"/>
        <w:rPr>
          <w:rFonts w:hint="eastAsia" w:ascii="宋体" w:hAnsi="宋体" w:eastAsia="宋体" w:cs="宋体"/>
          <w:color w:val="auto"/>
          <w:kern w:val="0"/>
          <w:sz w:val="24"/>
          <w:highlight w:val="none"/>
        </w:rPr>
      </w:pPr>
      <w:bookmarkStart w:id="31" w:name="_Hlt75236101"/>
      <w:bookmarkEnd w:id="31"/>
      <w:bookmarkStart w:id="32" w:name="_Hlt74730295"/>
      <w:bookmarkEnd w:id="32"/>
      <w:bookmarkStart w:id="33" w:name="_Hlt68403820"/>
      <w:bookmarkEnd w:id="33"/>
      <w:bookmarkStart w:id="34" w:name="_Hlt74714665"/>
      <w:bookmarkEnd w:id="34"/>
      <w:bookmarkStart w:id="35" w:name="_Hlt68072990"/>
      <w:bookmarkEnd w:id="35"/>
      <w:bookmarkStart w:id="36" w:name="_Hlt75236290"/>
      <w:bookmarkEnd w:id="36"/>
      <w:bookmarkStart w:id="37" w:name="_Hlt75236011"/>
      <w:bookmarkEnd w:id="37"/>
      <w:bookmarkStart w:id="38" w:name="_Hlt68072998"/>
      <w:bookmarkEnd w:id="38"/>
      <w:bookmarkStart w:id="39" w:name="_Hlt74729768"/>
      <w:bookmarkEnd w:id="39"/>
      <w:bookmarkStart w:id="40" w:name="_Hlt68073093"/>
      <w:bookmarkEnd w:id="40"/>
      <w:bookmarkStart w:id="41" w:name="_Hlt68057669"/>
      <w:bookmarkEnd w:id="41"/>
      <w:bookmarkStart w:id="42" w:name="_Hlt74707468"/>
      <w:bookmarkEnd w:id="42"/>
    </w:p>
    <w:p w14:paraId="42F209AA">
      <w:pPr>
        <w:pStyle w:val="23"/>
        <w:rPr>
          <w:rFonts w:hint="eastAsia" w:ascii="宋体" w:hAnsi="宋体" w:eastAsia="宋体" w:cs="宋体"/>
          <w:color w:val="auto"/>
          <w:kern w:val="0"/>
          <w:sz w:val="24"/>
          <w:highlight w:val="none"/>
        </w:rPr>
      </w:pPr>
    </w:p>
    <w:p w14:paraId="39561699">
      <w:pPr>
        <w:pStyle w:val="60"/>
        <w:rPr>
          <w:rFonts w:hint="eastAsia" w:ascii="宋体" w:hAnsi="宋体" w:eastAsia="宋体" w:cs="宋体"/>
          <w:color w:val="auto"/>
          <w:highlight w:val="none"/>
        </w:rPr>
        <w:sectPr>
          <w:pgSz w:w="11906" w:h="16838"/>
          <w:pgMar w:top="1440" w:right="1080" w:bottom="1440" w:left="1080" w:header="851" w:footer="992" w:gutter="0"/>
          <w:pgNumType w:fmt="decimal"/>
          <w:cols w:space="720" w:num="1"/>
          <w:titlePg/>
          <w:docGrid w:linePitch="312" w:charSpace="0"/>
        </w:sectPr>
      </w:pPr>
    </w:p>
    <w:bookmarkEnd w:id="14"/>
    <w:bookmarkEnd w:id="15"/>
    <w:p w14:paraId="78342051">
      <w:pPr>
        <w:pStyle w:val="32"/>
        <w:spacing w:line="360" w:lineRule="auto"/>
        <w:jc w:val="center"/>
        <w:outlineLvl w:val="0"/>
        <w:rPr>
          <w:rFonts w:hint="eastAsia" w:ascii="宋体" w:hAnsi="宋体" w:eastAsia="宋体" w:cs="宋体"/>
          <w:b/>
          <w:snapToGrid/>
          <w:color w:val="auto"/>
          <w:sz w:val="36"/>
          <w:szCs w:val="20"/>
          <w:highlight w:val="none"/>
        </w:rPr>
      </w:pPr>
      <w:bookmarkStart w:id="43" w:name="_Toc561"/>
      <w:bookmarkStart w:id="44" w:name="第四部分"/>
      <w:r>
        <w:rPr>
          <w:rFonts w:hint="eastAsia" w:ascii="宋体" w:hAnsi="宋体" w:eastAsia="宋体" w:cs="宋体"/>
          <w:b/>
          <w:snapToGrid/>
          <w:color w:val="auto"/>
          <w:sz w:val="36"/>
          <w:szCs w:val="20"/>
          <w:highlight w:val="none"/>
        </w:rPr>
        <w:t>第三部分 采购需求</w:t>
      </w:r>
      <w:bookmarkEnd w:id="43"/>
    </w:p>
    <w:p w14:paraId="149DC3DA">
      <w:pPr>
        <w:adjustRightInd/>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一、重要商务条款一览表</w:t>
      </w:r>
    </w:p>
    <w:tbl>
      <w:tblPr>
        <w:tblStyle w:val="62"/>
        <w:tblW w:w="9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8029"/>
      </w:tblGrid>
      <w:tr w14:paraId="64543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07984425">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1、合同履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rPr>
              <w:t>期限（工期）</w:t>
            </w:r>
          </w:p>
        </w:tc>
        <w:tc>
          <w:tcPr>
            <w:tcW w:w="8029" w:type="dxa"/>
            <w:tcBorders>
              <w:top w:val="single" w:color="auto" w:sz="4" w:space="0"/>
              <w:left w:val="single" w:color="auto" w:sz="4" w:space="0"/>
              <w:bottom w:val="single" w:color="auto" w:sz="4" w:space="0"/>
              <w:right w:val="single" w:color="auto" w:sz="4" w:space="0"/>
            </w:tcBorders>
            <w:vAlign w:val="center"/>
          </w:tcPr>
          <w:p w14:paraId="3B6BB1BA">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详见“第一部分  竞争性磋商公告”</w:t>
            </w:r>
          </w:p>
        </w:tc>
      </w:tr>
      <w:tr w14:paraId="5243E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right w:val="single" w:color="auto" w:sz="4" w:space="0"/>
            </w:tcBorders>
            <w:vAlign w:val="center"/>
          </w:tcPr>
          <w:p w14:paraId="479150F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p>
        </w:tc>
        <w:tc>
          <w:tcPr>
            <w:tcW w:w="8029" w:type="dxa"/>
            <w:tcBorders>
              <w:top w:val="single" w:color="auto" w:sz="4" w:space="0"/>
              <w:left w:val="single" w:color="auto" w:sz="4" w:space="0"/>
              <w:bottom w:val="single" w:color="auto" w:sz="4" w:space="0"/>
              <w:right w:val="single" w:color="auto" w:sz="4" w:space="0"/>
            </w:tcBorders>
            <w:vAlign w:val="center"/>
          </w:tcPr>
          <w:p w14:paraId="0BEC103A">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施工图中所有地点</w:t>
            </w:r>
            <w:r>
              <w:rPr>
                <w:rFonts w:hint="eastAsia" w:ascii="宋体" w:hAnsi="宋体" w:eastAsia="宋体" w:cs="宋体"/>
                <w:color w:val="auto"/>
                <w:sz w:val="24"/>
                <w:szCs w:val="24"/>
                <w:highlight w:val="none"/>
              </w:rPr>
              <w:t>。</w:t>
            </w:r>
          </w:p>
        </w:tc>
      </w:tr>
      <w:tr w14:paraId="0FF34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right w:val="single" w:color="auto" w:sz="4" w:space="0"/>
            </w:tcBorders>
            <w:vAlign w:val="center"/>
          </w:tcPr>
          <w:p w14:paraId="2C68D67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3、履约保证金</w:t>
            </w:r>
          </w:p>
        </w:tc>
        <w:tc>
          <w:tcPr>
            <w:tcW w:w="8029" w:type="dxa"/>
            <w:tcBorders>
              <w:top w:val="single" w:color="auto" w:sz="4" w:space="0"/>
              <w:left w:val="single" w:color="auto" w:sz="4" w:space="0"/>
              <w:bottom w:val="single" w:color="auto" w:sz="4" w:space="0"/>
              <w:right w:val="single" w:color="auto" w:sz="4" w:space="0"/>
            </w:tcBorders>
            <w:vAlign w:val="center"/>
          </w:tcPr>
          <w:p w14:paraId="174DE822">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1、履约保证金金额：合同金额的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163B3276">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2、履约保证金形式：银行汇票（电汇）、银行保函、保险保单或支票（仅限于使用宁波大市区范围内的银行开具的支票）等形式；</w:t>
            </w:r>
          </w:p>
          <w:p w14:paraId="2CB3878A">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3、担保收件人：采购人；</w:t>
            </w:r>
          </w:p>
          <w:p w14:paraId="057B4A5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4、履约保证金的退取：项目验收合格后，根据实际履约情况扣除相应违约金后无息退还履约保证金（但如</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未能履行合同规定的任何义务，采购人有权从履约保证金中得到补偿）。</w:t>
            </w:r>
          </w:p>
        </w:tc>
      </w:tr>
      <w:tr w14:paraId="21439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404E1116">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4、付款方式</w:t>
            </w:r>
          </w:p>
        </w:tc>
        <w:tc>
          <w:tcPr>
            <w:tcW w:w="8029" w:type="dxa"/>
            <w:tcBorders>
              <w:top w:val="single" w:color="auto" w:sz="4" w:space="0"/>
              <w:left w:val="single" w:color="auto" w:sz="4" w:space="0"/>
              <w:bottom w:val="single" w:color="auto" w:sz="4" w:space="0"/>
              <w:right w:val="single" w:color="auto" w:sz="4" w:space="0"/>
            </w:tcBorders>
            <w:vAlign w:val="center"/>
          </w:tcPr>
          <w:p w14:paraId="32B6BAF9">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、合同生效及具备实施条件后7个工作日内，采购人支付合同总价（扣除未确定的暂定金额、暂列金额、甲供材料费用）的40%；</w:t>
            </w:r>
          </w:p>
          <w:p w14:paraId="0A61DD9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2、工程初验通过后7个工作日内，采购人支付至合同总价（扣除未确定的暂定金额、暂列金额、甲供材料费用）的80%；</w:t>
            </w:r>
          </w:p>
          <w:p w14:paraId="2A68ECB6">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3、工程竣工验收（终验）合格后，根据相关部门核准的决算价，付清尾款。</w:t>
            </w:r>
          </w:p>
          <w:p w14:paraId="30B152E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如成交人主动放弃预付款要求，采购人可不予支付，</w:t>
            </w:r>
            <w:r>
              <w:rPr>
                <w:rFonts w:hint="eastAsia" w:ascii="宋体" w:hAnsi="宋体" w:eastAsia="宋体" w:cs="宋体"/>
                <w:color w:val="auto"/>
                <w:sz w:val="24"/>
                <w:szCs w:val="24"/>
                <w:highlight w:val="none"/>
              </w:rPr>
              <w:t>具体条款以双方签订的合同约定为准。</w:t>
            </w:r>
          </w:p>
        </w:tc>
      </w:tr>
      <w:tr w14:paraId="51152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5576B90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5、质量保修期</w:t>
            </w:r>
          </w:p>
        </w:tc>
        <w:tc>
          <w:tcPr>
            <w:tcW w:w="8029" w:type="dxa"/>
            <w:tcBorders>
              <w:top w:val="single" w:color="auto" w:sz="4" w:space="0"/>
              <w:left w:val="single" w:color="auto" w:sz="4" w:space="0"/>
              <w:bottom w:val="single" w:color="auto" w:sz="4" w:space="0"/>
              <w:right w:val="single" w:color="auto" w:sz="4" w:space="0"/>
            </w:tcBorders>
            <w:vAlign w:val="center"/>
          </w:tcPr>
          <w:p w14:paraId="30C4CE9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1、质量保修期不少于2年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6D4EDE6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2A5AE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23FBD907">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6、免费维修的响应期限</w:t>
            </w:r>
          </w:p>
        </w:tc>
        <w:tc>
          <w:tcPr>
            <w:tcW w:w="8029" w:type="dxa"/>
            <w:tcBorders>
              <w:top w:val="single" w:color="auto" w:sz="4" w:space="0"/>
              <w:left w:val="single" w:color="auto" w:sz="4" w:space="0"/>
              <w:bottom w:val="single" w:color="auto" w:sz="4" w:space="0"/>
              <w:right w:val="single" w:color="auto" w:sz="4" w:space="0"/>
            </w:tcBorders>
            <w:vAlign w:val="center"/>
          </w:tcPr>
          <w:p w14:paraId="2099929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量保修期内，一旦发生质量问题，供应商保证在接到通知后30分钟内作出响应，2小时内到现场进行维修、更换，费用由供应商负责。如供应商在接到通知的2小时内没有答复或处理问题，则视为供应商承认质量问题并承担由此而发生的一切费用。质量保修期间的一切质量问题，更换部件及</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rPr>
              <w:t>本身质量原因造成的直接经济损失应全部由供应商自行负责，更换时间不得超过48小时。</w:t>
            </w:r>
          </w:p>
        </w:tc>
      </w:tr>
      <w:tr w14:paraId="35172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5EB53081">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、其他说明</w:t>
            </w:r>
          </w:p>
        </w:tc>
        <w:tc>
          <w:tcPr>
            <w:tcW w:w="8029" w:type="dxa"/>
            <w:tcBorders>
              <w:top w:val="single" w:color="auto" w:sz="4" w:space="0"/>
              <w:left w:val="single" w:color="auto" w:sz="4" w:space="0"/>
              <w:bottom w:val="single" w:color="auto" w:sz="4" w:space="0"/>
              <w:right w:val="single" w:color="auto" w:sz="4" w:space="0"/>
            </w:tcBorders>
            <w:vAlign w:val="center"/>
          </w:tcPr>
          <w:p w14:paraId="3F2EAE4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50286A17">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56F37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3CD40F17">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在建要求</w:t>
            </w:r>
          </w:p>
        </w:tc>
        <w:tc>
          <w:tcPr>
            <w:tcW w:w="8029" w:type="dxa"/>
            <w:tcBorders>
              <w:top w:val="single" w:color="auto" w:sz="4" w:space="0"/>
              <w:left w:val="single" w:color="auto" w:sz="4" w:space="0"/>
              <w:bottom w:val="single" w:color="auto" w:sz="4" w:space="0"/>
              <w:right w:val="single" w:color="auto" w:sz="4" w:space="0"/>
            </w:tcBorders>
            <w:shd w:val="clear" w:color="auto" w:fill="auto"/>
            <w:vAlign w:val="center"/>
          </w:tcPr>
          <w:p w14:paraId="36E3705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拟派项目负责人在投标截止日时无在建工程（在建工程是指项目负责人在采购截止日时原承担的合同工程项目未通过验收</w:t>
            </w:r>
            <w:r>
              <w:rPr>
                <w:rFonts w:hint="eastAsia" w:ascii="宋体" w:hAnsi="宋体" w:cs="宋体"/>
                <w:color w:val="auto"/>
                <w:sz w:val="24"/>
                <w:szCs w:val="24"/>
                <w:highlight w:val="none"/>
                <w:lang w:eastAsia="zh-CN"/>
              </w:rPr>
              <w:t>。在建合同的开始时间为合同工程中标通知书发出之日（不通过招标方式的，开始时间为合同签订之日），结束时间为该合同工程通过验收或合同解除之日</w:t>
            </w:r>
            <w:r>
              <w:rPr>
                <w:rFonts w:hint="eastAsia" w:ascii="宋体" w:hAnsi="宋体" w:eastAsia="宋体" w:cs="宋体"/>
                <w:color w:val="auto"/>
                <w:sz w:val="24"/>
                <w:szCs w:val="24"/>
                <w:highlight w:val="none"/>
              </w:rPr>
              <w:t>）</w:t>
            </w:r>
          </w:p>
        </w:tc>
      </w:tr>
    </w:tbl>
    <w:p w14:paraId="6EC34FA6">
      <w:pPr>
        <w:spacing w:line="360" w:lineRule="auto"/>
        <w:jc w:val="left"/>
        <w:rPr>
          <w:rFonts w:hint="eastAsia" w:ascii="宋体" w:hAnsi="宋体" w:eastAsia="宋体" w:cs="宋体"/>
          <w:color w:val="auto"/>
          <w:sz w:val="24"/>
          <w:highlight w:val="none"/>
          <w:u w:val="single"/>
          <w:lang w:eastAsia="zh-CN"/>
        </w:rPr>
      </w:pPr>
    </w:p>
    <w:p w14:paraId="05FDA83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F6411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highlight w:val="none"/>
        </w:rPr>
        <w:t>工程概况</w:t>
      </w:r>
    </w:p>
    <w:p w14:paraId="14DC8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1、本工程位于</w:t>
      </w:r>
      <w:r>
        <w:rPr>
          <w:rFonts w:hint="eastAsia" w:ascii="宋体" w:hAnsi="宋体" w:cs="宋体"/>
          <w:color w:val="auto"/>
          <w:sz w:val="24"/>
          <w:szCs w:val="24"/>
          <w:highlight w:val="none"/>
          <w:lang w:val="en-US" w:eastAsia="zh-CN" w:bidi="ar-SA"/>
        </w:rPr>
        <w:t>宁海县知恩中学</w:t>
      </w:r>
      <w:r>
        <w:rPr>
          <w:rFonts w:hint="eastAsia" w:ascii="宋体" w:hAnsi="宋体" w:eastAsia="宋体" w:cs="宋体"/>
          <w:color w:val="auto"/>
          <w:sz w:val="24"/>
          <w:szCs w:val="24"/>
          <w:highlight w:val="none"/>
          <w:lang w:val="en-US" w:eastAsia="zh-CN" w:bidi="ar-SA"/>
        </w:rPr>
        <w:t>。</w:t>
      </w:r>
    </w:p>
    <w:p w14:paraId="3ADC6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2、主要工程内容：</w:t>
      </w:r>
      <w:r>
        <w:rPr>
          <w:rFonts w:hint="eastAsia" w:ascii="宋体" w:hAnsi="宋体" w:cs="宋体"/>
          <w:color w:val="auto"/>
          <w:sz w:val="24"/>
          <w:szCs w:val="24"/>
          <w:highlight w:val="none"/>
          <w:lang w:val="en-US" w:eastAsia="zh-CN" w:bidi="ar-SA"/>
        </w:rPr>
        <w:t>该工程为卫生间、宿舍维修改造等。</w:t>
      </w:r>
    </w:p>
    <w:p w14:paraId="51A2D5D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val="en-US" w:eastAsia="zh-CN"/>
        </w:rPr>
      </w:pPr>
    </w:p>
    <w:p w14:paraId="0B0F313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三、技术要求</w:t>
      </w:r>
    </w:p>
    <w:p w14:paraId="523715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按照国家及地方颁发的现行相关建筑工程施工及验收规范、标准，组织实施本项目工程的施工。</w:t>
      </w:r>
    </w:p>
    <w:p w14:paraId="3E4F5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成交人必须在施工前对所有参加施工的人员和该项目的施工标的进行相关的人身和财产保险投保。</w:t>
      </w:r>
    </w:p>
    <w:p w14:paraId="6D709E9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2、其他技术要求详见</w:t>
      </w:r>
      <w:r>
        <w:rPr>
          <w:rFonts w:hint="eastAsia" w:ascii="宋体" w:hAnsi="宋体" w:eastAsia="宋体" w:cs="宋体"/>
          <w:b/>
          <w:bCs/>
          <w:color w:val="auto"/>
          <w:sz w:val="24"/>
          <w:szCs w:val="24"/>
          <w:highlight w:val="none"/>
          <w:lang w:val="en-US" w:eastAsia="zh-CN"/>
        </w:rPr>
        <w:t>附件工程量清单（招标控制价）及图纸（另册）</w:t>
      </w:r>
      <w:r>
        <w:rPr>
          <w:rFonts w:hint="eastAsia" w:ascii="宋体" w:hAnsi="宋体" w:eastAsia="宋体" w:cs="宋体"/>
          <w:b w:val="0"/>
          <w:bCs w:val="0"/>
          <w:color w:val="auto"/>
          <w:sz w:val="24"/>
          <w:szCs w:val="24"/>
          <w:highlight w:val="none"/>
          <w:lang w:val="en-US" w:eastAsia="zh-CN"/>
        </w:rPr>
        <w:t>。</w:t>
      </w:r>
    </w:p>
    <w:p w14:paraId="7C3B1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p>
    <w:p w14:paraId="635B8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四、其他要求</w:t>
      </w:r>
    </w:p>
    <w:p w14:paraId="4E840B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1、设备安装、调试和验收</w:t>
      </w:r>
    </w:p>
    <w:p w14:paraId="5CC55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15940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（2）成交人应保证其提供的</w:t>
      </w:r>
      <w:r>
        <w:rPr>
          <w:rFonts w:hint="eastAsia" w:ascii="宋体" w:hAnsi="宋体" w:cs="宋体"/>
          <w:color w:val="auto"/>
          <w:sz w:val="24"/>
          <w:szCs w:val="24"/>
          <w:highlight w:val="none"/>
          <w:lang w:val="en-US" w:eastAsia="zh-CN" w:bidi="ar-SA"/>
        </w:rPr>
        <w:t>施工工程</w:t>
      </w:r>
      <w:r>
        <w:rPr>
          <w:rFonts w:hint="eastAsia" w:ascii="宋体" w:hAnsi="宋体" w:eastAsia="宋体" w:cs="宋体"/>
          <w:color w:val="auto"/>
          <w:sz w:val="24"/>
          <w:szCs w:val="24"/>
          <w:highlight w:val="none"/>
          <w:lang w:val="en-US" w:eastAsia="zh-CN" w:bidi="ar-SA"/>
        </w:rPr>
        <w:t>在正常使用和保养条件下，在使用寿命期内应具有满意的性能。成交人应对由于工艺或材料的缺陷而产生的故障负完全责任。</w:t>
      </w:r>
    </w:p>
    <w:p w14:paraId="04557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）成交人须保证所配置的产品有合法的使用权，并有相应的使用许可证。</w:t>
      </w:r>
    </w:p>
    <w:p w14:paraId="529D4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成交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4EA53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）以上所有与（多次）安装、迁移、调试和验收相关的费用均需计入投标总价。</w:t>
      </w:r>
    </w:p>
    <w:p w14:paraId="54FE45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2、作业要求</w:t>
      </w:r>
    </w:p>
    <w:p w14:paraId="1EF83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全生产要求：成交人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成交人全权负责。</w:t>
      </w:r>
    </w:p>
    <w:p w14:paraId="11327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（2）文明施工要求：在施工过程中，必须做到文明施工。工序衔接交叉合理，交接责任明确，施工场地整洁、卫生、道路畅通，有必要的围护和遮挡措施等。</w:t>
      </w:r>
    </w:p>
    <w:p w14:paraId="13EA1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成交人必须为全体作业员工购买社会和人身意外保险、公众责任保险费等其他保险，必须重视安全生产工作，确保不出安全生产责任事故。如发生安全生产责任事故或公众安全事故（含交通事故），一切责任及损失由成交人承担。</w:t>
      </w:r>
    </w:p>
    <w:p w14:paraId="185FF2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3、施工要求</w:t>
      </w:r>
    </w:p>
    <w:p w14:paraId="130E2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在项目实施中须达到的施工要求国家标准如下：</w:t>
      </w:r>
    </w:p>
    <w:p w14:paraId="617F829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《建筑工程施工质量验收统一标准》 </w:t>
      </w:r>
    </w:p>
    <w:p w14:paraId="4A6FDA9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《建筑给水排水及采暖工程施工质量验收规范》</w:t>
      </w:r>
    </w:p>
    <w:p w14:paraId="6F30A8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《建筑电气工程施工质量验收规范》 </w:t>
      </w:r>
    </w:p>
    <w:p w14:paraId="0188068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《给水排水管道工程施工及验收规范》 </w:t>
      </w:r>
    </w:p>
    <w:p w14:paraId="501A64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《建筑施工安全检查标准》  </w:t>
      </w:r>
    </w:p>
    <w:p w14:paraId="4EB29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如标准有更新，以最新文件为准。本项目</w:t>
      </w:r>
      <w:r>
        <w:rPr>
          <w:rFonts w:hint="eastAsia" w:ascii="宋体" w:hAnsi="宋体" w:eastAsia="宋体" w:cs="宋体"/>
          <w:bCs/>
          <w:color w:val="auto"/>
          <w:kern w:val="2"/>
          <w:sz w:val="24"/>
          <w:szCs w:val="24"/>
          <w:highlight w:val="none"/>
          <w:lang w:val="en-US" w:eastAsia="zh-CN" w:bidi="ar-SA"/>
        </w:rPr>
        <w:t>按照国家及地方颁发的现行相关施工及验收规范、标准，组织实施本项目工程的施工。</w:t>
      </w:r>
    </w:p>
    <w:p w14:paraId="3AEBE2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cs="宋体"/>
          <w:b/>
          <w:color w:val="auto"/>
          <w:sz w:val="24"/>
          <w:szCs w:val="24"/>
          <w:highlight w:val="none"/>
          <w:lang w:val="en-US" w:eastAsia="zh-CN"/>
        </w:rPr>
      </w:pPr>
    </w:p>
    <w:p w14:paraId="766F2D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、投标要求</w:t>
      </w:r>
    </w:p>
    <w:p w14:paraId="6ADBC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需在响应文件中提供业绩、履约能力和政策加分的相关证明材料，提供服务团队的人员资质证明材料和人员管理方案（包括人员层级管理以及组织架构、考核方案、人员管理规范等内容），提供完善的整体方案</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【包括组织方案（组织管理结构、现场布置、管理运作流程等内容）</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质量保证、进度安排及保障等措施</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现场管理措施。服务保障体系、施工质量检测鉴定、技术操作规程等措施。安全生产、文明施工的安排、技术和组织管理措施等内容。拟投入的主要施工机械设备的选用和布置等内容。应急处理方案。】，重难点分析及相应解决方案，售后服务方案【包括服务的便捷性情况（响应时间及到达现场的时间），质保期方案、售后服务优惠承诺、售后服务保障】。</w:t>
      </w:r>
    </w:p>
    <w:p w14:paraId="43CD38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36"/>
          <w:szCs w:val="20"/>
          <w:highlight w:val="none"/>
        </w:rPr>
      </w:pPr>
    </w:p>
    <w:p w14:paraId="11AD01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24"/>
          <w:highlight w:val="none"/>
        </w:rPr>
        <w:br w:type="page"/>
      </w:r>
      <w:bookmarkStart w:id="45" w:name="_Toc31295"/>
      <w:r>
        <w:rPr>
          <w:rFonts w:hint="eastAsia" w:ascii="宋体" w:hAnsi="宋体" w:eastAsia="宋体" w:cs="宋体"/>
          <w:b/>
          <w:color w:val="auto"/>
          <w:sz w:val="36"/>
          <w:szCs w:val="20"/>
          <w:highlight w:val="none"/>
        </w:rPr>
        <w:t>第四部分</w:t>
      </w:r>
      <w:bookmarkStart w:id="46" w:name="_Toc184312114"/>
      <w:bookmarkEnd w:id="46"/>
      <w:bookmarkStart w:id="47" w:name="_Toc184310343"/>
      <w:bookmarkEnd w:id="47"/>
      <w:bookmarkStart w:id="48" w:name="_Toc184308080"/>
      <w:bookmarkEnd w:id="48"/>
      <w:bookmarkStart w:id="49" w:name="_Toc184314463"/>
      <w:bookmarkEnd w:id="49"/>
      <w:bookmarkStart w:id="50" w:name="_Toc184314413"/>
      <w:bookmarkEnd w:id="50"/>
      <w:bookmarkStart w:id="51" w:name="_Toc184313277"/>
      <w:bookmarkEnd w:id="51"/>
      <w:bookmarkStart w:id="52" w:name="_Toc184312070"/>
      <w:bookmarkEnd w:id="52"/>
      <w:bookmarkStart w:id="53" w:name="_Toc184308069"/>
      <w:bookmarkEnd w:id="53"/>
      <w:bookmarkStart w:id="54" w:name="_Toc184313251"/>
      <w:bookmarkEnd w:id="54"/>
      <w:bookmarkStart w:id="55" w:name="_Toc184310323"/>
      <w:bookmarkEnd w:id="55"/>
      <w:bookmarkStart w:id="56" w:name="_Toc184310314"/>
      <w:bookmarkEnd w:id="56"/>
      <w:bookmarkStart w:id="57" w:name="_Toc184314459"/>
      <w:bookmarkEnd w:id="57"/>
      <w:bookmarkStart w:id="58" w:name="_Toc184313243"/>
      <w:bookmarkEnd w:id="58"/>
      <w:bookmarkStart w:id="59" w:name="_Toc184312139"/>
      <w:bookmarkEnd w:id="59"/>
      <w:bookmarkStart w:id="60" w:name="_Toc184312080"/>
      <w:bookmarkEnd w:id="60"/>
      <w:bookmarkStart w:id="61" w:name="_Toc184310326"/>
      <w:bookmarkEnd w:id="61"/>
      <w:bookmarkStart w:id="62" w:name="_Toc184310316"/>
      <w:bookmarkEnd w:id="62"/>
      <w:bookmarkStart w:id="63" w:name="_Toc184313249"/>
      <w:bookmarkEnd w:id="63"/>
      <w:bookmarkStart w:id="64" w:name="_Toc184313278"/>
      <w:bookmarkEnd w:id="64"/>
      <w:bookmarkStart w:id="65" w:name="_Toc184314461"/>
      <w:bookmarkEnd w:id="65"/>
      <w:bookmarkStart w:id="66" w:name="_Toc184313240"/>
      <w:bookmarkEnd w:id="66"/>
      <w:bookmarkStart w:id="67" w:name="_Toc184314439"/>
      <w:bookmarkEnd w:id="67"/>
      <w:bookmarkStart w:id="68" w:name="_Toc184313302"/>
      <w:bookmarkEnd w:id="68"/>
      <w:bookmarkStart w:id="69" w:name="_Toc184312071"/>
      <w:bookmarkEnd w:id="69"/>
      <w:bookmarkStart w:id="70" w:name="_Toc184313287"/>
      <w:bookmarkEnd w:id="70"/>
      <w:bookmarkStart w:id="71" w:name="_Toc184314438"/>
      <w:bookmarkEnd w:id="71"/>
      <w:bookmarkStart w:id="72" w:name="_Toc184310287"/>
      <w:bookmarkEnd w:id="72"/>
      <w:bookmarkStart w:id="73" w:name="_Toc184313255"/>
      <w:bookmarkEnd w:id="73"/>
      <w:bookmarkStart w:id="74" w:name="_Toc184308043"/>
      <w:bookmarkEnd w:id="74"/>
      <w:bookmarkStart w:id="75" w:name="_Toc184313261"/>
      <w:bookmarkEnd w:id="75"/>
      <w:bookmarkStart w:id="76" w:name="_Toc184310344"/>
      <w:bookmarkEnd w:id="76"/>
      <w:bookmarkStart w:id="77" w:name="_Toc184314448"/>
      <w:bookmarkEnd w:id="77"/>
      <w:bookmarkStart w:id="78" w:name="_Toc184310295"/>
      <w:bookmarkEnd w:id="78"/>
      <w:bookmarkStart w:id="79" w:name="_Toc184312068"/>
      <w:bookmarkEnd w:id="79"/>
      <w:bookmarkStart w:id="80" w:name="_Toc184308097"/>
      <w:bookmarkEnd w:id="80"/>
      <w:bookmarkStart w:id="81" w:name="_Toc184314455"/>
      <w:bookmarkEnd w:id="81"/>
      <w:bookmarkStart w:id="82" w:name="_Toc184312077"/>
      <w:bookmarkEnd w:id="82"/>
      <w:bookmarkStart w:id="83" w:name="_Toc184313279"/>
      <w:bookmarkEnd w:id="83"/>
      <w:bookmarkStart w:id="84" w:name="_Toc184312133"/>
      <w:bookmarkEnd w:id="84"/>
      <w:bookmarkStart w:id="85" w:name="_Toc184310331"/>
      <w:bookmarkEnd w:id="85"/>
      <w:bookmarkStart w:id="86" w:name="_Toc184308046"/>
      <w:bookmarkEnd w:id="86"/>
      <w:bookmarkStart w:id="87" w:name="_Toc184308086"/>
      <w:bookmarkEnd w:id="87"/>
      <w:bookmarkStart w:id="88" w:name="_Toc184313266"/>
      <w:bookmarkEnd w:id="88"/>
      <w:bookmarkStart w:id="89" w:name="_Toc184308078"/>
      <w:bookmarkEnd w:id="89"/>
      <w:bookmarkStart w:id="90" w:name="_Toc184314450"/>
      <w:bookmarkEnd w:id="90"/>
      <w:bookmarkStart w:id="91" w:name="_Toc184312119"/>
      <w:bookmarkEnd w:id="91"/>
      <w:bookmarkStart w:id="92" w:name="_Toc184310307"/>
      <w:bookmarkEnd w:id="92"/>
      <w:bookmarkStart w:id="93" w:name="_Toc184312123"/>
      <w:bookmarkEnd w:id="93"/>
      <w:bookmarkStart w:id="94" w:name="_Toc184314442"/>
      <w:bookmarkEnd w:id="94"/>
      <w:bookmarkStart w:id="95" w:name="_Toc184312106"/>
      <w:bookmarkEnd w:id="95"/>
      <w:bookmarkStart w:id="96" w:name="_Toc184308074"/>
      <w:bookmarkEnd w:id="96"/>
      <w:bookmarkStart w:id="97" w:name="_Toc184312075"/>
      <w:bookmarkEnd w:id="97"/>
      <w:bookmarkStart w:id="98" w:name="_Toc184313245"/>
      <w:bookmarkEnd w:id="98"/>
      <w:bookmarkStart w:id="99" w:name="_Toc184310337"/>
      <w:bookmarkEnd w:id="99"/>
      <w:bookmarkStart w:id="100" w:name="_Toc184310298"/>
      <w:bookmarkEnd w:id="100"/>
      <w:bookmarkStart w:id="101" w:name="_Toc184313265"/>
      <w:bookmarkEnd w:id="101"/>
      <w:bookmarkStart w:id="102" w:name="_Toc184314473"/>
      <w:bookmarkEnd w:id="102"/>
      <w:bookmarkStart w:id="103" w:name="_Toc184308088"/>
      <w:bookmarkEnd w:id="103"/>
      <w:bookmarkStart w:id="104" w:name="_Toc184313299"/>
      <w:bookmarkEnd w:id="104"/>
      <w:bookmarkStart w:id="105" w:name="_Toc184312092"/>
      <w:bookmarkEnd w:id="105"/>
      <w:bookmarkStart w:id="106" w:name="_Toc184313308"/>
      <w:bookmarkEnd w:id="106"/>
      <w:bookmarkStart w:id="107" w:name="_Toc184314416"/>
      <w:bookmarkEnd w:id="107"/>
      <w:bookmarkStart w:id="108" w:name="_Toc184314472"/>
      <w:bookmarkEnd w:id="108"/>
      <w:bookmarkStart w:id="109" w:name="_Toc184310333"/>
      <w:bookmarkEnd w:id="109"/>
      <w:bookmarkStart w:id="110" w:name="_Toc184312074"/>
      <w:bookmarkEnd w:id="110"/>
      <w:bookmarkStart w:id="111" w:name="_Toc184314454"/>
      <w:bookmarkEnd w:id="111"/>
      <w:bookmarkStart w:id="112" w:name="_Toc184314475"/>
      <w:bookmarkEnd w:id="112"/>
      <w:bookmarkStart w:id="113" w:name="_Toc184312085"/>
      <w:bookmarkEnd w:id="113"/>
      <w:bookmarkStart w:id="114" w:name="_Toc184314447"/>
      <w:bookmarkEnd w:id="114"/>
      <w:bookmarkStart w:id="115" w:name="_Toc184308053"/>
      <w:bookmarkEnd w:id="115"/>
      <w:bookmarkStart w:id="116" w:name="_Toc184310293"/>
      <w:bookmarkEnd w:id="116"/>
      <w:bookmarkStart w:id="117" w:name="_Toc184313244"/>
      <w:bookmarkEnd w:id="117"/>
      <w:bookmarkStart w:id="118" w:name="_Toc184308095"/>
      <w:bookmarkEnd w:id="118"/>
      <w:bookmarkStart w:id="119" w:name="_Toc184312126"/>
      <w:bookmarkEnd w:id="119"/>
      <w:bookmarkStart w:id="120" w:name="_Toc184313307"/>
      <w:bookmarkEnd w:id="120"/>
      <w:bookmarkStart w:id="121" w:name="_Toc184313270"/>
      <w:bookmarkEnd w:id="121"/>
      <w:bookmarkStart w:id="122" w:name="_Toc184314417"/>
      <w:bookmarkEnd w:id="122"/>
      <w:bookmarkStart w:id="123" w:name="_Toc184312130"/>
      <w:bookmarkEnd w:id="123"/>
      <w:bookmarkStart w:id="124" w:name="_Toc184308072"/>
      <w:bookmarkEnd w:id="124"/>
      <w:bookmarkStart w:id="125" w:name="_Toc184314466"/>
      <w:bookmarkEnd w:id="125"/>
      <w:bookmarkStart w:id="126" w:name="_Toc184312116"/>
      <w:bookmarkEnd w:id="126"/>
      <w:bookmarkStart w:id="127" w:name="_Toc184313304"/>
      <w:bookmarkEnd w:id="127"/>
      <w:bookmarkStart w:id="128" w:name="_Toc184312102"/>
      <w:bookmarkEnd w:id="128"/>
      <w:bookmarkStart w:id="129" w:name="_Toc184313246"/>
      <w:bookmarkEnd w:id="129"/>
      <w:bookmarkStart w:id="130" w:name="_Toc184308084"/>
      <w:bookmarkEnd w:id="130"/>
      <w:bookmarkStart w:id="131" w:name="_Toc184314431"/>
      <w:bookmarkEnd w:id="131"/>
      <w:bookmarkStart w:id="132" w:name="_Toc184312109"/>
      <w:bookmarkEnd w:id="132"/>
      <w:bookmarkStart w:id="133" w:name="_Toc184313248"/>
      <w:bookmarkEnd w:id="133"/>
      <w:bookmarkStart w:id="134" w:name="_Toc184312099"/>
      <w:bookmarkEnd w:id="134"/>
      <w:bookmarkStart w:id="135" w:name="_Toc184310282"/>
      <w:bookmarkEnd w:id="135"/>
      <w:bookmarkStart w:id="136" w:name="_Toc184308037"/>
      <w:bookmarkEnd w:id="136"/>
      <w:bookmarkStart w:id="137" w:name="_Toc184314478"/>
      <w:bookmarkEnd w:id="137"/>
      <w:bookmarkStart w:id="138" w:name="_Toc184313271"/>
      <w:bookmarkEnd w:id="138"/>
      <w:bookmarkStart w:id="139" w:name="_Toc184313269"/>
      <w:bookmarkEnd w:id="139"/>
      <w:bookmarkStart w:id="140" w:name="_Toc184313303"/>
      <w:bookmarkEnd w:id="140"/>
      <w:bookmarkStart w:id="141" w:name="_Toc184313293"/>
      <w:bookmarkEnd w:id="141"/>
      <w:bookmarkStart w:id="142" w:name="_Toc184314458"/>
      <w:bookmarkEnd w:id="142"/>
      <w:bookmarkStart w:id="143" w:name="_Toc184312129"/>
      <w:bookmarkEnd w:id="143"/>
      <w:bookmarkStart w:id="144" w:name="_Toc184313288"/>
      <w:bookmarkEnd w:id="144"/>
      <w:bookmarkStart w:id="145" w:name="_Toc184312093"/>
      <w:bookmarkEnd w:id="145"/>
      <w:bookmarkStart w:id="146" w:name="_Toc184314418"/>
      <w:bookmarkEnd w:id="146"/>
      <w:bookmarkStart w:id="147" w:name="_Toc184312113"/>
      <w:bookmarkEnd w:id="147"/>
      <w:bookmarkStart w:id="148" w:name="_Toc184313267"/>
      <w:bookmarkEnd w:id="148"/>
      <w:bookmarkStart w:id="149" w:name="_Toc184314457"/>
      <w:bookmarkEnd w:id="149"/>
      <w:bookmarkStart w:id="150" w:name="_Toc184310286"/>
      <w:bookmarkEnd w:id="150"/>
      <w:bookmarkStart w:id="151" w:name="_Toc184314428"/>
      <w:bookmarkEnd w:id="151"/>
      <w:bookmarkStart w:id="152" w:name="_Toc184310279"/>
      <w:bookmarkEnd w:id="152"/>
      <w:bookmarkStart w:id="153" w:name="_Toc184312105"/>
      <w:bookmarkEnd w:id="153"/>
      <w:bookmarkStart w:id="154" w:name="_Toc184310281"/>
      <w:bookmarkEnd w:id="154"/>
      <w:bookmarkStart w:id="155" w:name="_Toc184313276"/>
      <w:bookmarkEnd w:id="155"/>
      <w:bookmarkStart w:id="156" w:name="_Toc184310332"/>
      <w:bookmarkEnd w:id="156"/>
      <w:bookmarkStart w:id="157" w:name="_Toc184314452"/>
      <w:bookmarkEnd w:id="157"/>
      <w:bookmarkStart w:id="158" w:name="_Toc184313252"/>
      <w:bookmarkEnd w:id="158"/>
      <w:bookmarkStart w:id="159" w:name="_Toc184310304"/>
      <w:bookmarkEnd w:id="159"/>
      <w:bookmarkStart w:id="160" w:name="_Toc184314481"/>
      <w:bookmarkEnd w:id="160"/>
      <w:bookmarkStart w:id="161" w:name="_Toc184312115"/>
      <w:bookmarkEnd w:id="161"/>
      <w:bookmarkStart w:id="162" w:name="_Toc184308106"/>
      <w:bookmarkEnd w:id="162"/>
      <w:bookmarkStart w:id="163" w:name="_Toc184310340"/>
      <w:bookmarkEnd w:id="163"/>
      <w:bookmarkStart w:id="164" w:name="_Toc184308081"/>
      <w:bookmarkEnd w:id="164"/>
      <w:bookmarkStart w:id="165" w:name="_Toc184310338"/>
      <w:bookmarkEnd w:id="165"/>
      <w:bookmarkStart w:id="166" w:name="_Toc184308049"/>
      <w:bookmarkEnd w:id="166"/>
      <w:bookmarkStart w:id="167" w:name="_Toc184310280"/>
      <w:bookmarkEnd w:id="167"/>
      <w:bookmarkStart w:id="168" w:name="_Toc184313296"/>
      <w:bookmarkEnd w:id="168"/>
      <w:bookmarkStart w:id="169" w:name="_Toc184314464"/>
      <w:bookmarkEnd w:id="169"/>
      <w:bookmarkStart w:id="170" w:name="_Toc184313238"/>
      <w:bookmarkEnd w:id="170"/>
      <w:bookmarkStart w:id="171" w:name="_Toc184312110"/>
      <w:bookmarkEnd w:id="171"/>
      <w:bookmarkStart w:id="172" w:name="_Toc184308105"/>
      <w:bookmarkEnd w:id="172"/>
      <w:bookmarkStart w:id="173" w:name="_Toc184313285"/>
      <w:bookmarkEnd w:id="173"/>
      <w:bookmarkStart w:id="174" w:name="_Toc184308073"/>
      <w:bookmarkEnd w:id="174"/>
      <w:bookmarkStart w:id="175" w:name="_Toc184310322"/>
      <w:bookmarkEnd w:id="175"/>
      <w:bookmarkStart w:id="176" w:name="_Toc184310341"/>
      <w:bookmarkEnd w:id="176"/>
      <w:bookmarkStart w:id="177" w:name="_Toc184312137"/>
      <w:bookmarkEnd w:id="177"/>
      <w:bookmarkStart w:id="178" w:name="_Toc184310305"/>
      <w:bookmarkEnd w:id="178"/>
      <w:bookmarkStart w:id="179" w:name="_Toc184310303"/>
      <w:bookmarkEnd w:id="179"/>
      <w:bookmarkStart w:id="180" w:name="_Toc184313281"/>
      <w:bookmarkEnd w:id="180"/>
      <w:bookmarkStart w:id="181" w:name="_Toc184310275"/>
      <w:bookmarkEnd w:id="181"/>
      <w:bookmarkStart w:id="182" w:name="_Toc184308087"/>
      <w:bookmarkEnd w:id="182"/>
      <w:bookmarkStart w:id="183" w:name="_Toc184310301"/>
      <w:bookmarkEnd w:id="183"/>
      <w:bookmarkStart w:id="184" w:name="_Toc184313286"/>
      <w:bookmarkEnd w:id="184"/>
      <w:bookmarkStart w:id="185" w:name="_Toc184310288"/>
      <w:bookmarkEnd w:id="185"/>
      <w:bookmarkStart w:id="186" w:name="_Toc184308094"/>
      <w:bookmarkEnd w:id="186"/>
      <w:bookmarkStart w:id="187" w:name="_Toc184308077"/>
      <w:bookmarkEnd w:id="187"/>
      <w:bookmarkStart w:id="188" w:name="_Toc184308054"/>
      <w:bookmarkEnd w:id="188"/>
      <w:bookmarkStart w:id="189" w:name="_Toc184308060"/>
      <w:bookmarkEnd w:id="189"/>
      <w:bookmarkStart w:id="190" w:name="_Toc184314412"/>
      <w:bookmarkEnd w:id="190"/>
      <w:bookmarkStart w:id="191" w:name="_Toc184308047"/>
      <w:bookmarkEnd w:id="191"/>
      <w:bookmarkStart w:id="192" w:name="_Toc184313257"/>
      <w:bookmarkEnd w:id="192"/>
      <w:bookmarkStart w:id="193" w:name="_Toc184313280"/>
      <w:bookmarkEnd w:id="193"/>
      <w:bookmarkStart w:id="194" w:name="_Toc184310283"/>
      <w:bookmarkEnd w:id="194"/>
      <w:bookmarkStart w:id="195" w:name="_Toc184314421"/>
      <w:bookmarkEnd w:id="195"/>
      <w:bookmarkStart w:id="196" w:name="_Toc184310311"/>
      <w:bookmarkEnd w:id="196"/>
      <w:bookmarkStart w:id="197" w:name="_Toc184308056"/>
      <w:bookmarkEnd w:id="197"/>
      <w:bookmarkStart w:id="198" w:name="_Toc184314444"/>
      <w:bookmarkEnd w:id="198"/>
      <w:bookmarkStart w:id="199" w:name="_Toc184310312"/>
      <w:bookmarkEnd w:id="199"/>
      <w:bookmarkStart w:id="200" w:name="_Toc184314453"/>
      <w:bookmarkEnd w:id="200"/>
      <w:bookmarkStart w:id="201" w:name="_Toc184308038"/>
      <w:bookmarkEnd w:id="201"/>
      <w:bookmarkStart w:id="202" w:name="_Toc184310273"/>
      <w:bookmarkEnd w:id="202"/>
      <w:bookmarkStart w:id="203" w:name="_Toc184312076"/>
      <w:bookmarkEnd w:id="203"/>
      <w:bookmarkStart w:id="204" w:name="_Toc184313256"/>
      <w:bookmarkEnd w:id="204"/>
      <w:bookmarkStart w:id="205" w:name="_Toc184310325"/>
      <w:bookmarkEnd w:id="205"/>
      <w:bookmarkStart w:id="206" w:name="_Toc184308067"/>
      <w:bookmarkEnd w:id="206"/>
      <w:bookmarkStart w:id="207" w:name="_Toc184308090"/>
      <w:bookmarkEnd w:id="207"/>
      <w:bookmarkStart w:id="208" w:name="_Toc184314410"/>
      <w:bookmarkEnd w:id="208"/>
      <w:bookmarkStart w:id="209" w:name="_Toc184308096"/>
      <w:bookmarkEnd w:id="209"/>
      <w:bookmarkStart w:id="210" w:name="_Toc184312072"/>
      <w:bookmarkEnd w:id="210"/>
      <w:bookmarkStart w:id="211" w:name="_Toc184310324"/>
      <w:bookmarkEnd w:id="211"/>
      <w:bookmarkStart w:id="212" w:name="_Toc184308104"/>
      <w:bookmarkEnd w:id="212"/>
      <w:bookmarkStart w:id="213" w:name="_Toc184312122"/>
      <w:bookmarkEnd w:id="213"/>
      <w:bookmarkStart w:id="214" w:name="_Toc184312124"/>
      <w:bookmarkEnd w:id="214"/>
      <w:bookmarkStart w:id="215" w:name="_Toc184308065"/>
      <w:bookmarkEnd w:id="215"/>
      <w:bookmarkStart w:id="216" w:name="_Toc184308103"/>
      <w:bookmarkEnd w:id="216"/>
      <w:bookmarkStart w:id="217" w:name="_Toc184314460"/>
      <w:bookmarkEnd w:id="217"/>
      <w:bookmarkStart w:id="218" w:name="_Toc184310294"/>
      <w:bookmarkEnd w:id="218"/>
      <w:bookmarkStart w:id="219" w:name="_Toc184312117"/>
      <w:bookmarkEnd w:id="219"/>
      <w:bookmarkStart w:id="220" w:name="_Toc184314469"/>
      <w:bookmarkEnd w:id="220"/>
      <w:bookmarkStart w:id="221" w:name="_Toc184314443"/>
      <w:bookmarkEnd w:id="221"/>
      <w:bookmarkStart w:id="222" w:name="_Toc184308071"/>
      <w:bookmarkEnd w:id="222"/>
      <w:bookmarkStart w:id="223" w:name="_Toc184313242"/>
      <w:bookmarkEnd w:id="223"/>
      <w:bookmarkStart w:id="224" w:name="_Toc184310291"/>
      <w:bookmarkEnd w:id="224"/>
      <w:bookmarkStart w:id="225" w:name="_Toc184314422"/>
      <w:bookmarkEnd w:id="225"/>
      <w:bookmarkStart w:id="226" w:name="_Toc184314482"/>
      <w:bookmarkEnd w:id="226"/>
      <w:bookmarkStart w:id="227" w:name="_Toc184313290"/>
      <w:bookmarkEnd w:id="227"/>
      <w:bookmarkStart w:id="228" w:name="_Toc184308091"/>
      <w:bookmarkEnd w:id="228"/>
      <w:bookmarkStart w:id="229" w:name="_Toc184310297"/>
      <w:bookmarkEnd w:id="229"/>
      <w:bookmarkStart w:id="230" w:name="_Toc184310310"/>
      <w:bookmarkEnd w:id="230"/>
      <w:bookmarkStart w:id="231" w:name="_Toc184313309"/>
      <w:bookmarkEnd w:id="231"/>
      <w:bookmarkStart w:id="232" w:name="_Toc184308083"/>
      <w:bookmarkEnd w:id="232"/>
      <w:bookmarkStart w:id="233" w:name="_Toc184314462"/>
      <w:bookmarkEnd w:id="233"/>
      <w:bookmarkStart w:id="234" w:name="_Toc184312111"/>
      <w:bookmarkEnd w:id="234"/>
      <w:bookmarkStart w:id="235" w:name="_Toc184312127"/>
      <w:bookmarkEnd w:id="235"/>
      <w:bookmarkStart w:id="236" w:name="_Toc184314426"/>
      <w:bookmarkEnd w:id="236"/>
      <w:bookmarkStart w:id="237" w:name="_Toc184310284"/>
      <w:bookmarkEnd w:id="237"/>
      <w:bookmarkStart w:id="238" w:name="_Toc184310278"/>
      <w:bookmarkEnd w:id="238"/>
      <w:bookmarkStart w:id="239" w:name="_Toc184308100"/>
      <w:bookmarkEnd w:id="239"/>
      <w:bookmarkStart w:id="240" w:name="_Toc184308093"/>
      <w:bookmarkEnd w:id="240"/>
      <w:bookmarkStart w:id="241" w:name="_Toc184313292"/>
      <w:bookmarkEnd w:id="241"/>
      <w:bookmarkStart w:id="242" w:name="_Toc184308079"/>
      <w:bookmarkEnd w:id="242"/>
      <w:bookmarkStart w:id="243" w:name="_Toc184312128"/>
      <w:bookmarkEnd w:id="243"/>
      <w:bookmarkStart w:id="244" w:name="_Toc184310328"/>
      <w:bookmarkEnd w:id="244"/>
      <w:bookmarkStart w:id="245" w:name="_Toc184308101"/>
      <w:bookmarkEnd w:id="245"/>
      <w:bookmarkStart w:id="246" w:name="_Toc184312089"/>
      <w:bookmarkEnd w:id="246"/>
      <w:bookmarkStart w:id="247" w:name="_Toc184308099"/>
      <w:bookmarkEnd w:id="247"/>
      <w:bookmarkStart w:id="248" w:name="_Toc184310318"/>
      <w:bookmarkEnd w:id="248"/>
      <w:bookmarkStart w:id="249" w:name="_Toc184308051"/>
      <w:bookmarkEnd w:id="249"/>
      <w:bookmarkStart w:id="250" w:name="_Toc184313262"/>
      <w:bookmarkEnd w:id="250"/>
      <w:bookmarkStart w:id="251" w:name="_Toc184308076"/>
      <w:bookmarkEnd w:id="251"/>
      <w:bookmarkStart w:id="252" w:name="_Toc184314434"/>
      <w:bookmarkEnd w:id="252"/>
      <w:bookmarkStart w:id="253" w:name="_Toc184313298"/>
      <w:bookmarkEnd w:id="253"/>
      <w:bookmarkStart w:id="254" w:name="_Toc184310299"/>
      <w:bookmarkEnd w:id="254"/>
      <w:bookmarkStart w:id="255" w:name="_Toc184312088"/>
      <w:bookmarkEnd w:id="255"/>
      <w:bookmarkStart w:id="256" w:name="_Toc184308057"/>
      <w:bookmarkEnd w:id="256"/>
      <w:bookmarkStart w:id="257" w:name="_Toc184313260"/>
      <w:bookmarkEnd w:id="257"/>
      <w:bookmarkStart w:id="258" w:name="_Toc184308059"/>
      <w:bookmarkEnd w:id="258"/>
      <w:bookmarkStart w:id="259" w:name="_Toc184314430"/>
      <w:bookmarkEnd w:id="259"/>
      <w:bookmarkStart w:id="260" w:name="_Toc184308040"/>
      <w:bookmarkEnd w:id="260"/>
      <w:bookmarkStart w:id="261" w:name="_Toc184313263"/>
      <w:bookmarkEnd w:id="261"/>
      <w:bookmarkStart w:id="262" w:name="_Toc184313295"/>
      <w:bookmarkEnd w:id="262"/>
      <w:bookmarkStart w:id="263" w:name="_Toc184310339"/>
      <w:bookmarkEnd w:id="263"/>
      <w:bookmarkStart w:id="264" w:name="_Toc184314456"/>
      <w:bookmarkEnd w:id="264"/>
      <w:bookmarkStart w:id="265" w:name="_Toc184314414"/>
      <w:bookmarkEnd w:id="265"/>
      <w:bookmarkStart w:id="266" w:name="_Toc184310300"/>
      <w:bookmarkEnd w:id="266"/>
      <w:bookmarkStart w:id="267" w:name="_Toc184312086"/>
      <w:bookmarkEnd w:id="267"/>
      <w:bookmarkStart w:id="268" w:name="_Toc184312134"/>
      <w:bookmarkEnd w:id="268"/>
      <w:bookmarkStart w:id="269" w:name="_Toc184312136"/>
      <w:bookmarkEnd w:id="269"/>
      <w:bookmarkStart w:id="270" w:name="_Toc184308082"/>
      <w:bookmarkEnd w:id="270"/>
      <w:bookmarkStart w:id="271" w:name="_Toc184308039"/>
      <w:bookmarkEnd w:id="271"/>
      <w:bookmarkStart w:id="272" w:name="_Toc184314467"/>
      <w:bookmarkEnd w:id="272"/>
      <w:bookmarkStart w:id="273" w:name="_Toc184313291"/>
      <w:bookmarkEnd w:id="273"/>
      <w:bookmarkStart w:id="274" w:name="_Toc184314468"/>
      <w:bookmarkEnd w:id="274"/>
      <w:bookmarkStart w:id="275" w:name="_Toc184314419"/>
      <w:bookmarkEnd w:id="275"/>
      <w:bookmarkStart w:id="276" w:name="_Toc184313300"/>
      <w:bookmarkEnd w:id="276"/>
      <w:bookmarkStart w:id="277" w:name="_Toc184312098"/>
      <w:bookmarkEnd w:id="277"/>
      <w:bookmarkStart w:id="278" w:name="_Toc184312120"/>
      <w:bookmarkEnd w:id="278"/>
      <w:bookmarkStart w:id="279" w:name="_Toc184312112"/>
      <w:bookmarkEnd w:id="279"/>
      <w:bookmarkStart w:id="280" w:name="_Toc184312118"/>
      <w:bookmarkEnd w:id="280"/>
      <w:bookmarkStart w:id="281" w:name="_Toc184314423"/>
      <w:bookmarkEnd w:id="281"/>
      <w:bookmarkStart w:id="282" w:name="_Toc184313258"/>
      <w:bookmarkEnd w:id="282"/>
      <w:bookmarkStart w:id="283" w:name="_Toc184314477"/>
      <w:bookmarkEnd w:id="283"/>
      <w:bookmarkStart w:id="284" w:name="_Toc184313239"/>
      <w:bookmarkEnd w:id="284"/>
      <w:bookmarkStart w:id="285" w:name="_Toc184312067"/>
      <w:bookmarkEnd w:id="285"/>
      <w:bookmarkStart w:id="286" w:name="_Toc184312103"/>
      <w:bookmarkEnd w:id="286"/>
      <w:bookmarkStart w:id="287" w:name="_Toc184313259"/>
      <w:bookmarkEnd w:id="287"/>
      <w:bookmarkStart w:id="288" w:name="_Toc184310321"/>
      <w:bookmarkEnd w:id="288"/>
      <w:bookmarkStart w:id="289" w:name="_Toc184313305"/>
      <w:bookmarkEnd w:id="289"/>
      <w:bookmarkStart w:id="290" w:name="_Toc184313274"/>
      <w:bookmarkEnd w:id="290"/>
      <w:bookmarkStart w:id="291" w:name="_Toc184310309"/>
      <w:bookmarkEnd w:id="291"/>
      <w:bookmarkStart w:id="292" w:name="_Toc184308052"/>
      <w:bookmarkEnd w:id="292"/>
      <w:bookmarkStart w:id="293" w:name="_Toc184314425"/>
      <w:bookmarkEnd w:id="293"/>
      <w:bookmarkStart w:id="294" w:name="_Toc184310285"/>
      <w:bookmarkEnd w:id="294"/>
      <w:bookmarkStart w:id="295" w:name="_Toc184310313"/>
      <w:bookmarkEnd w:id="295"/>
      <w:bookmarkStart w:id="296" w:name="_Toc184310302"/>
      <w:bookmarkEnd w:id="296"/>
      <w:bookmarkStart w:id="297" w:name="_Toc184308108"/>
      <w:bookmarkEnd w:id="297"/>
      <w:bookmarkStart w:id="298" w:name="_Toc184312135"/>
      <w:bookmarkEnd w:id="298"/>
      <w:bookmarkStart w:id="299" w:name="_Toc184310308"/>
      <w:bookmarkEnd w:id="299"/>
      <w:bookmarkStart w:id="300" w:name="_Toc184308042"/>
      <w:bookmarkEnd w:id="300"/>
      <w:bookmarkStart w:id="301" w:name="_Toc184308070"/>
      <w:bookmarkEnd w:id="301"/>
      <w:bookmarkStart w:id="302" w:name="_Toc184310317"/>
      <w:bookmarkEnd w:id="302"/>
      <w:bookmarkStart w:id="303" w:name="_Toc184312096"/>
      <w:bookmarkEnd w:id="303"/>
      <w:bookmarkStart w:id="304" w:name="_Toc184313250"/>
      <w:bookmarkEnd w:id="304"/>
      <w:bookmarkStart w:id="305" w:name="_Toc184312079"/>
      <w:bookmarkEnd w:id="305"/>
      <w:bookmarkStart w:id="306" w:name="_Toc184308036"/>
      <w:bookmarkEnd w:id="306"/>
      <w:bookmarkStart w:id="307" w:name="_Toc184308063"/>
      <w:bookmarkEnd w:id="307"/>
      <w:bookmarkStart w:id="308" w:name="_Toc184312078"/>
      <w:bookmarkEnd w:id="308"/>
      <w:bookmarkStart w:id="309" w:name="_Toc184308089"/>
      <w:bookmarkEnd w:id="309"/>
      <w:bookmarkStart w:id="310" w:name="_Toc184310336"/>
      <w:bookmarkEnd w:id="310"/>
      <w:bookmarkStart w:id="311" w:name="_Toc184310296"/>
      <w:bookmarkEnd w:id="311"/>
      <w:bookmarkStart w:id="312" w:name="_Toc184310272"/>
      <w:bookmarkEnd w:id="312"/>
      <w:bookmarkStart w:id="313" w:name="_Toc184313301"/>
      <w:bookmarkEnd w:id="313"/>
      <w:bookmarkStart w:id="314" w:name="_Toc184308107"/>
      <w:bookmarkEnd w:id="314"/>
      <w:bookmarkStart w:id="315" w:name="_Toc184312107"/>
      <w:bookmarkEnd w:id="315"/>
      <w:bookmarkStart w:id="316" w:name="_Toc184313297"/>
      <w:bookmarkEnd w:id="316"/>
      <w:bookmarkStart w:id="317" w:name="_Toc184314435"/>
      <w:bookmarkEnd w:id="317"/>
      <w:bookmarkStart w:id="318" w:name="_Toc184314411"/>
      <w:bookmarkEnd w:id="318"/>
      <w:bookmarkStart w:id="319" w:name="_Toc184312095"/>
      <w:bookmarkEnd w:id="319"/>
      <w:bookmarkStart w:id="320" w:name="_Toc184308102"/>
      <w:bookmarkEnd w:id="320"/>
      <w:bookmarkStart w:id="321" w:name="_Toc184310320"/>
      <w:bookmarkEnd w:id="321"/>
      <w:bookmarkStart w:id="322" w:name="_Toc184313272"/>
      <w:bookmarkEnd w:id="322"/>
      <w:bookmarkStart w:id="323" w:name="_Toc184308055"/>
      <w:bookmarkEnd w:id="323"/>
      <w:bookmarkStart w:id="324" w:name="_Toc184313247"/>
      <w:bookmarkEnd w:id="324"/>
      <w:bookmarkStart w:id="325" w:name="_Toc184314415"/>
      <w:bookmarkEnd w:id="325"/>
      <w:bookmarkStart w:id="326" w:name="_Toc184310327"/>
      <w:bookmarkEnd w:id="326"/>
      <w:bookmarkStart w:id="327" w:name="_Toc184314449"/>
      <w:bookmarkEnd w:id="327"/>
      <w:bookmarkStart w:id="328" w:name="_Toc184314451"/>
      <w:bookmarkEnd w:id="328"/>
      <w:bookmarkStart w:id="329" w:name="_Toc184312132"/>
      <w:bookmarkEnd w:id="329"/>
      <w:bookmarkStart w:id="330" w:name="_Toc184310292"/>
      <w:bookmarkEnd w:id="330"/>
      <w:bookmarkStart w:id="331" w:name="_Toc184314436"/>
      <w:bookmarkEnd w:id="331"/>
      <w:bookmarkStart w:id="332" w:name="_Toc184308068"/>
      <w:bookmarkEnd w:id="332"/>
      <w:bookmarkStart w:id="333" w:name="_Toc184312101"/>
      <w:bookmarkEnd w:id="333"/>
      <w:bookmarkStart w:id="334" w:name="_Toc184312073"/>
      <w:bookmarkEnd w:id="334"/>
      <w:bookmarkStart w:id="335" w:name="_Toc184308085"/>
      <w:bookmarkEnd w:id="335"/>
      <w:bookmarkStart w:id="336" w:name="_Toc184313241"/>
      <w:bookmarkEnd w:id="336"/>
      <w:bookmarkStart w:id="337" w:name="_Toc184312083"/>
      <w:bookmarkEnd w:id="337"/>
      <w:bookmarkStart w:id="338" w:name="_Toc184312138"/>
      <w:bookmarkEnd w:id="338"/>
      <w:bookmarkStart w:id="339" w:name="_Toc184314420"/>
      <w:bookmarkEnd w:id="339"/>
      <w:bookmarkStart w:id="340" w:name="_Toc184314445"/>
      <w:bookmarkEnd w:id="340"/>
      <w:bookmarkStart w:id="341" w:name="_Toc184310277"/>
      <w:bookmarkEnd w:id="341"/>
      <w:bookmarkStart w:id="342" w:name="_Toc184308048"/>
      <w:bookmarkEnd w:id="342"/>
      <w:bookmarkStart w:id="343" w:name="_Toc184314437"/>
      <w:bookmarkEnd w:id="343"/>
      <w:bookmarkStart w:id="344" w:name="_Toc184308045"/>
      <w:bookmarkEnd w:id="344"/>
      <w:bookmarkStart w:id="345" w:name="_Toc184312091"/>
      <w:bookmarkEnd w:id="345"/>
      <w:bookmarkStart w:id="346" w:name="_Toc184312125"/>
      <w:bookmarkEnd w:id="346"/>
      <w:bookmarkStart w:id="347" w:name="_Toc184308050"/>
      <w:bookmarkEnd w:id="347"/>
      <w:bookmarkStart w:id="348" w:name="_Toc184310330"/>
      <w:bookmarkEnd w:id="348"/>
      <w:bookmarkStart w:id="349" w:name="_Toc184312087"/>
      <w:bookmarkEnd w:id="349"/>
      <w:bookmarkStart w:id="350" w:name="_Toc184314433"/>
      <w:bookmarkEnd w:id="350"/>
      <w:bookmarkStart w:id="351" w:name="_Toc184313253"/>
      <w:bookmarkEnd w:id="351"/>
      <w:bookmarkStart w:id="352" w:name="_Toc184312084"/>
      <w:bookmarkEnd w:id="352"/>
      <w:bookmarkStart w:id="353" w:name="_Toc184310276"/>
      <w:bookmarkEnd w:id="353"/>
      <w:bookmarkStart w:id="354" w:name="_Toc184310306"/>
      <w:bookmarkEnd w:id="354"/>
      <w:bookmarkStart w:id="355" w:name="_Toc184313306"/>
      <w:bookmarkEnd w:id="355"/>
      <w:bookmarkStart w:id="356" w:name="_Toc184313282"/>
      <w:bookmarkEnd w:id="356"/>
      <w:bookmarkStart w:id="357" w:name="_Toc184314432"/>
      <w:bookmarkEnd w:id="357"/>
      <w:bookmarkStart w:id="358" w:name="_Toc184308044"/>
      <w:bookmarkEnd w:id="358"/>
      <w:bookmarkStart w:id="359" w:name="_Toc184312094"/>
      <w:bookmarkEnd w:id="359"/>
      <w:bookmarkStart w:id="360" w:name="_Toc184312108"/>
      <w:bookmarkEnd w:id="360"/>
      <w:bookmarkStart w:id="361" w:name="_Toc184313268"/>
      <w:bookmarkEnd w:id="361"/>
      <w:bookmarkStart w:id="362" w:name="_Toc184312104"/>
      <w:bookmarkEnd w:id="362"/>
      <w:bookmarkStart w:id="363" w:name="_Toc184308098"/>
      <w:bookmarkEnd w:id="363"/>
      <w:bookmarkStart w:id="364" w:name="_Toc184312069"/>
      <w:bookmarkEnd w:id="364"/>
      <w:bookmarkStart w:id="365" w:name="_Toc184308092"/>
      <w:bookmarkEnd w:id="365"/>
      <w:bookmarkStart w:id="366" w:name="_Toc184312131"/>
      <w:bookmarkEnd w:id="366"/>
      <w:bookmarkStart w:id="367" w:name="_Toc184314424"/>
      <w:bookmarkEnd w:id="367"/>
      <w:bookmarkStart w:id="368" w:name="_Toc184313294"/>
      <w:bookmarkEnd w:id="368"/>
      <w:bookmarkStart w:id="369" w:name="_Toc184308062"/>
      <w:bookmarkEnd w:id="369"/>
      <w:bookmarkStart w:id="370" w:name="_Toc184310329"/>
      <w:bookmarkEnd w:id="370"/>
      <w:bookmarkStart w:id="371" w:name="_Toc184310335"/>
      <w:bookmarkEnd w:id="371"/>
      <w:bookmarkStart w:id="372" w:name="_Toc184314471"/>
      <w:bookmarkEnd w:id="372"/>
      <w:bookmarkStart w:id="373" w:name="_Toc184314470"/>
      <w:bookmarkEnd w:id="373"/>
      <w:bookmarkStart w:id="374" w:name="_Toc184314427"/>
      <w:bookmarkEnd w:id="374"/>
      <w:bookmarkStart w:id="375" w:name="_Toc184310334"/>
      <w:bookmarkEnd w:id="375"/>
      <w:bookmarkStart w:id="376" w:name="_Toc184314476"/>
      <w:bookmarkEnd w:id="376"/>
      <w:bookmarkStart w:id="377" w:name="_Toc184313273"/>
      <w:bookmarkEnd w:id="377"/>
      <w:bookmarkStart w:id="378" w:name="_Toc184314479"/>
      <w:bookmarkEnd w:id="378"/>
      <w:bookmarkStart w:id="379" w:name="_Toc184310289"/>
      <w:bookmarkEnd w:id="379"/>
      <w:bookmarkStart w:id="380" w:name="_Toc184308058"/>
      <w:bookmarkEnd w:id="380"/>
      <w:bookmarkStart w:id="381" w:name="_Toc184312121"/>
      <w:bookmarkEnd w:id="381"/>
      <w:bookmarkStart w:id="382" w:name="_Toc184312090"/>
      <w:bookmarkEnd w:id="382"/>
      <w:bookmarkStart w:id="383" w:name="_Toc184313283"/>
      <w:bookmarkEnd w:id="383"/>
      <w:bookmarkStart w:id="384" w:name="_Toc184314441"/>
      <w:bookmarkEnd w:id="384"/>
      <w:bookmarkStart w:id="385" w:name="_Toc184314474"/>
      <w:bookmarkEnd w:id="385"/>
      <w:bookmarkStart w:id="386" w:name="_Toc184310274"/>
      <w:bookmarkEnd w:id="386"/>
      <w:bookmarkStart w:id="387" w:name="_Toc184313284"/>
      <w:bookmarkEnd w:id="387"/>
      <w:bookmarkStart w:id="388" w:name="_Toc184314446"/>
      <w:bookmarkEnd w:id="388"/>
      <w:bookmarkStart w:id="389" w:name="_Toc184314465"/>
      <w:bookmarkEnd w:id="389"/>
      <w:bookmarkStart w:id="390" w:name="_Toc184313310"/>
      <w:bookmarkEnd w:id="390"/>
      <w:bookmarkStart w:id="391" w:name="_Toc184310290"/>
      <w:bookmarkEnd w:id="391"/>
      <w:bookmarkStart w:id="392" w:name="_Toc184313275"/>
      <w:bookmarkEnd w:id="392"/>
      <w:bookmarkStart w:id="393" w:name="_Toc184308075"/>
      <w:bookmarkEnd w:id="393"/>
      <w:bookmarkStart w:id="394" w:name="_Toc184308041"/>
      <w:bookmarkEnd w:id="394"/>
      <w:bookmarkStart w:id="395" w:name="_Toc184314440"/>
      <w:bookmarkEnd w:id="395"/>
      <w:bookmarkStart w:id="396" w:name="_Toc184310315"/>
      <w:bookmarkEnd w:id="396"/>
      <w:bookmarkStart w:id="397" w:name="_Toc184314480"/>
      <w:bookmarkEnd w:id="397"/>
      <w:bookmarkStart w:id="398" w:name="_Toc184312097"/>
      <w:bookmarkEnd w:id="398"/>
      <w:bookmarkStart w:id="399" w:name="_Toc184308064"/>
      <w:bookmarkEnd w:id="399"/>
      <w:bookmarkStart w:id="400" w:name="_Toc184308066"/>
      <w:bookmarkEnd w:id="400"/>
      <w:bookmarkStart w:id="401" w:name="_Toc184313289"/>
      <w:bookmarkEnd w:id="401"/>
      <w:bookmarkStart w:id="402" w:name="_Toc184310319"/>
      <w:bookmarkEnd w:id="402"/>
      <w:bookmarkStart w:id="403" w:name="_Toc184308061"/>
      <w:bookmarkEnd w:id="403"/>
      <w:bookmarkStart w:id="404" w:name="_Toc184310342"/>
      <w:bookmarkEnd w:id="404"/>
      <w:bookmarkStart w:id="405" w:name="_Toc184312082"/>
      <w:bookmarkEnd w:id="405"/>
      <w:bookmarkStart w:id="406" w:name="_Toc184314429"/>
      <w:bookmarkEnd w:id="406"/>
      <w:bookmarkStart w:id="407" w:name="_Toc184313264"/>
      <w:bookmarkEnd w:id="407"/>
      <w:bookmarkStart w:id="408" w:name="_Toc184312100"/>
      <w:bookmarkEnd w:id="408"/>
      <w:bookmarkStart w:id="409" w:name="_Toc184313254"/>
      <w:bookmarkEnd w:id="409"/>
      <w:bookmarkStart w:id="410" w:name="_Toc184312081"/>
      <w:bookmarkEnd w:id="410"/>
      <w:r>
        <w:rPr>
          <w:rFonts w:hint="eastAsia" w:ascii="宋体" w:hAnsi="宋体" w:eastAsia="宋体" w:cs="宋体"/>
          <w:b/>
          <w:color w:val="auto"/>
          <w:sz w:val="36"/>
          <w:szCs w:val="20"/>
          <w:highlight w:val="none"/>
        </w:rPr>
        <w:t xml:space="preserve"> 评审办法</w:t>
      </w:r>
      <w:bookmarkEnd w:id="45"/>
    </w:p>
    <w:p w14:paraId="3DECAAF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tbl>
      <w:tblPr>
        <w:tblStyle w:val="6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56"/>
        <w:gridCol w:w="6286"/>
        <w:gridCol w:w="671"/>
        <w:gridCol w:w="778"/>
      </w:tblGrid>
      <w:tr w14:paraId="623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0" w:type="dxa"/>
            <w:gridSpan w:val="3"/>
            <w:shd w:val="clear" w:color="auto" w:fill="auto"/>
            <w:vAlign w:val="center"/>
          </w:tcPr>
          <w:p w14:paraId="33914A55">
            <w:pPr>
              <w:keepNext w:val="0"/>
              <w:keepLines w:val="0"/>
              <w:pageBreakBefore w:val="0"/>
              <w:kinsoku/>
              <w:wordWrap/>
              <w:overflowPunct/>
              <w:topLinePunct w:val="0"/>
              <w:bidi w:val="0"/>
              <w:adjustRightInd/>
              <w:snapToGrid/>
              <w:spacing w:line="240" w:lineRule="auto"/>
              <w:ind w:firstLine="3795" w:firstLineChars="18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71" w:type="dxa"/>
            <w:shd w:val="clear" w:color="auto" w:fill="auto"/>
            <w:vAlign w:val="center"/>
          </w:tcPr>
          <w:p w14:paraId="68B55A1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78" w:type="dxa"/>
            <w:shd w:val="clear" w:color="auto" w:fill="auto"/>
            <w:vAlign w:val="center"/>
          </w:tcPr>
          <w:p w14:paraId="4F14491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781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restart"/>
            <w:shd w:val="clear" w:color="auto" w:fill="auto"/>
            <w:vAlign w:val="center"/>
          </w:tcPr>
          <w:p w14:paraId="6E1CF67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w:t>
            </w:r>
          </w:p>
          <w:p w14:paraId="7216CD9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1156" w:type="dxa"/>
            <w:shd w:val="clear" w:color="auto" w:fill="auto"/>
            <w:vAlign w:val="center"/>
          </w:tcPr>
          <w:p w14:paraId="1239646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1、业绩（</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286" w:type="dxa"/>
            <w:shd w:val="clear" w:color="auto" w:fill="auto"/>
            <w:vAlign w:val="center"/>
          </w:tcPr>
          <w:p w14:paraId="27E3FC1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zh-CN" w:eastAsia="zh-CN"/>
              </w:rPr>
              <w:t>年1月1日至今（以合同签订日期为准），供应商具有</w:t>
            </w:r>
            <w:r>
              <w:rPr>
                <w:rFonts w:hint="eastAsia" w:ascii="宋体" w:hAnsi="宋体" w:eastAsia="宋体" w:cs="宋体"/>
                <w:color w:val="auto"/>
                <w:sz w:val="21"/>
                <w:szCs w:val="21"/>
                <w:highlight w:val="none"/>
                <w:lang w:val="en-US" w:eastAsia="zh-CN"/>
              </w:rPr>
              <w:t>类似</w:t>
            </w:r>
            <w:r>
              <w:rPr>
                <w:rFonts w:hint="eastAsia" w:ascii="宋体" w:hAnsi="宋体" w:cs="宋体"/>
                <w:color w:val="auto"/>
                <w:sz w:val="21"/>
                <w:szCs w:val="21"/>
                <w:highlight w:val="none"/>
                <w:lang w:val="en-US" w:eastAsia="zh-CN"/>
              </w:rPr>
              <w:t>房屋补强或加固</w:t>
            </w:r>
            <w:r>
              <w:rPr>
                <w:rFonts w:hint="eastAsia" w:ascii="宋体" w:hAnsi="宋体" w:eastAsia="宋体" w:cs="宋体"/>
                <w:color w:val="auto"/>
                <w:sz w:val="21"/>
                <w:szCs w:val="21"/>
                <w:highlight w:val="none"/>
                <w:lang w:val="zh-CN" w:eastAsia="zh-CN"/>
              </w:rPr>
              <w:t>且经验收合格的业绩，每具有一个得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分。本项最高得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2D9B342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）响应文件中须同时提供合同复印件和行政主管单位出具的竣工验收合格证明材料复印件并加盖公章，未提供或提供不全的不得分。（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对省级以上主管部门认定的首台套产品，自纳入《省推广应用指导目录》起三年内参加政府采购活动，视同已具备相应销售业绩，业绩分为满分。</w:t>
            </w:r>
          </w:p>
        </w:tc>
        <w:tc>
          <w:tcPr>
            <w:tcW w:w="671" w:type="dxa"/>
            <w:shd w:val="clear" w:color="auto" w:fill="auto"/>
            <w:vAlign w:val="center"/>
          </w:tcPr>
          <w:p w14:paraId="4BE1B4B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78" w:type="dxa"/>
            <w:shd w:val="clear" w:color="auto" w:fill="auto"/>
            <w:vAlign w:val="center"/>
          </w:tcPr>
          <w:p w14:paraId="23CA2DD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r>
      <w:tr w14:paraId="0385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59ABC6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restart"/>
            <w:shd w:val="clear" w:color="auto" w:fill="auto"/>
            <w:vAlign w:val="center"/>
          </w:tcPr>
          <w:p w14:paraId="101404F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服务团队（</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087CA9A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（1）供应商拟投入本项目</w:t>
            </w:r>
            <w:r>
              <w:rPr>
                <w:rFonts w:hint="eastAsia" w:ascii="宋体" w:hAnsi="宋体" w:eastAsia="宋体" w:cs="宋体"/>
                <w:color w:val="auto"/>
                <w:sz w:val="21"/>
                <w:szCs w:val="21"/>
                <w:highlight w:val="none"/>
                <w:lang w:val="en-US" w:eastAsia="zh-CN"/>
              </w:rPr>
              <w:t>技术负责人具有土建类高级工程师及以上职称的得2分</w:t>
            </w:r>
            <w:r>
              <w:rPr>
                <w:rFonts w:hint="eastAsia" w:ascii="宋体" w:hAnsi="宋体" w:eastAsia="宋体" w:cs="宋体"/>
                <w:color w:val="auto"/>
                <w:sz w:val="21"/>
                <w:szCs w:val="21"/>
                <w:highlight w:val="none"/>
                <w:lang w:val="zh-CN" w:eastAsia="zh-CN"/>
              </w:rPr>
              <w:t>。</w:t>
            </w:r>
          </w:p>
          <w:p w14:paraId="3FD4A56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注：响应文件中须同时提供证书复印件和距开标日近三个月中任意一个月</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zh-CN" w:eastAsia="zh-CN"/>
              </w:rPr>
              <w:t>为其缴纳的社保证明，未提供或提供不全的不得分。</w:t>
            </w:r>
          </w:p>
        </w:tc>
        <w:tc>
          <w:tcPr>
            <w:tcW w:w="671" w:type="dxa"/>
            <w:shd w:val="clear" w:color="auto" w:fill="auto"/>
            <w:vAlign w:val="center"/>
          </w:tcPr>
          <w:p w14:paraId="119663B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778" w:type="dxa"/>
            <w:shd w:val="clear" w:color="auto" w:fill="auto"/>
            <w:vAlign w:val="center"/>
          </w:tcPr>
          <w:p w14:paraId="05DD7FF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w:t>
            </w:r>
            <w:r>
              <w:rPr>
                <w:rFonts w:hint="eastAsia" w:ascii="宋体" w:hAnsi="宋体" w:eastAsia="宋体" w:cs="宋体"/>
                <w:color w:val="auto"/>
                <w:sz w:val="21"/>
                <w:szCs w:val="21"/>
                <w:highlight w:val="none"/>
              </w:rPr>
              <w:t>评审</w:t>
            </w:r>
          </w:p>
        </w:tc>
      </w:tr>
      <w:tr w14:paraId="6B67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1426477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119A8E7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p>
        </w:tc>
        <w:tc>
          <w:tcPr>
            <w:tcW w:w="6286" w:type="dxa"/>
            <w:shd w:val="clear" w:color="auto" w:fill="auto"/>
            <w:vAlign w:val="center"/>
          </w:tcPr>
          <w:p w14:paraId="331B7E7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val="zh-CN" w:eastAsia="zh-CN"/>
              </w:rPr>
              <w:t>供应商拟投入本项目</w:t>
            </w:r>
            <w:r>
              <w:rPr>
                <w:rFonts w:hint="eastAsia" w:ascii="宋体" w:hAnsi="宋体" w:eastAsia="宋体" w:cs="宋体"/>
                <w:color w:val="auto"/>
                <w:sz w:val="21"/>
                <w:szCs w:val="21"/>
                <w:highlight w:val="none"/>
                <w:lang w:val="en-US" w:eastAsia="zh-CN"/>
              </w:rPr>
              <w:t>团队成员（除项目经理、技术负责人外）</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资质、经验水平、服务能力进行综合评议</w:t>
            </w:r>
            <w:r>
              <w:rPr>
                <w:rFonts w:hint="eastAsia" w:ascii="宋体" w:hAnsi="宋体" w:eastAsia="宋体" w:cs="宋体"/>
                <w:color w:val="auto"/>
                <w:sz w:val="21"/>
                <w:szCs w:val="21"/>
                <w:highlight w:val="none"/>
                <w:lang w:val="zh-CN" w:eastAsia="zh-CN"/>
              </w:rPr>
              <w:t>。</w:t>
            </w:r>
          </w:p>
          <w:p w14:paraId="2C5C51A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资质高、经验水平丰富、服务能力强</w:t>
            </w:r>
            <w:r>
              <w:rPr>
                <w:rFonts w:hint="eastAsia" w:ascii="宋体" w:hAnsi="宋体" w:eastAsia="宋体" w:cs="宋体"/>
                <w:color w:val="auto"/>
                <w:sz w:val="21"/>
                <w:szCs w:val="21"/>
                <w:highlight w:val="none"/>
                <w:lang w:val="zh-CN"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3DAB353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资质较好、经验水平较丰富、服务能力较强</w:t>
            </w:r>
            <w:r>
              <w:rPr>
                <w:rFonts w:hint="eastAsia" w:ascii="宋体" w:hAnsi="宋体" w:eastAsia="宋体" w:cs="宋体"/>
                <w:color w:val="auto"/>
                <w:sz w:val="21"/>
                <w:szCs w:val="21"/>
                <w:highlight w:val="none"/>
                <w:lang w:val="zh-CN"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7C9C0720">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③团队成员的资质</w:t>
            </w:r>
            <w:r>
              <w:rPr>
                <w:rFonts w:hint="eastAsia" w:ascii="宋体" w:hAnsi="宋体" w:cs="宋体"/>
                <w:color w:val="auto"/>
                <w:sz w:val="21"/>
                <w:szCs w:val="21"/>
                <w:highlight w:val="none"/>
                <w:lang w:val="en-US" w:eastAsia="zh-CN"/>
              </w:rPr>
              <w:t>、经验基本符合项目要求</w:t>
            </w:r>
            <w:r>
              <w:rPr>
                <w:rFonts w:hint="default" w:ascii="宋体" w:hAnsi="宋体" w:eastAsia="宋体" w:cs="宋体"/>
                <w:color w:val="auto"/>
                <w:sz w:val="21"/>
                <w:szCs w:val="21"/>
                <w:highlight w:val="none"/>
                <w:lang w:val="en-US" w:eastAsia="zh-CN"/>
              </w:rPr>
              <w:t>，服务能力</w:t>
            </w:r>
            <w:r>
              <w:rPr>
                <w:rFonts w:hint="eastAsia" w:ascii="宋体" w:hAnsi="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538801A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资质一般、经验一般、服务能力一般</w:t>
            </w:r>
            <w:r>
              <w:rPr>
                <w:rFonts w:hint="eastAsia" w:ascii="宋体" w:hAnsi="宋体" w:eastAsia="宋体" w:cs="宋体"/>
                <w:color w:val="auto"/>
                <w:sz w:val="21"/>
                <w:szCs w:val="21"/>
                <w:highlight w:val="none"/>
                <w:lang w:val="zh-CN"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2EBAD6D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⑤团队成员的</w:t>
            </w:r>
            <w:r>
              <w:rPr>
                <w:rFonts w:hint="eastAsia" w:ascii="宋体" w:hAnsi="宋体" w:cs="宋体"/>
                <w:color w:val="auto"/>
                <w:sz w:val="21"/>
                <w:szCs w:val="21"/>
                <w:highlight w:val="none"/>
                <w:lang w:val="en-US" w:eastAsia="zh-CN"/>
              </w:rPr>
              <w:t>较差，不满足项目需求的得1分；</w:t>
            </w:r>
          </w:p>
          <w:p w14:paraId="295B1A2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zh-CN" w:eastAsia="zh-CN"/>
              </w:rPr>
              <w:t>无相关内容不得分。</w:t>
            </w:r>
          </w:p>
          <w:p w14:paraId="165D68F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注：响应文件中须同时提供证书复印件和距开标日近三个月中任意一个月</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zh-CN" w:eastAsia="zh-CN"/>
              </w:rPr>
              <w:t>为其缴纳的社保证明，未提供或提供不全的不得分。</w:t>
            </w:r>
          </w:p>
        </w:tc>
        <w:tc>
          <w:tcPr>
            <w:tcW w:w="671" w:type="dxa"/>
            <w:shd w:val="clear" w:color="auto" w:fill="auto"/>
            <w:vAlign w:val="center"/>
          </w:tcPr>
          <w:p w14:paraId="13171BB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289E00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4CE6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02E3B00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restart"/>
            <w:shd w:val="clear" w:color="auto" w:fill="auto"/>
            <w:vAlign w:val="center"/>
          </w:tcPr>
          <w:p w14:paraId="31A2AEE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整体方案（</w:t>
            </w:r>
            <w:r>
              <w:rPr>
                <w:rFonts w:hint="eastAsia" w:ascii="宋体" w:hAnsi="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0BE55DE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（1）根据供应商针对本项目的组织方案（组织管理结构、现场布置、管理运作流程等内容）进行评议。</w:t>
            </w:r>
          </w:p>
          <w:p w14:paraId="5ABA844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eastAsia="zh-CN"/>
              </w:rPr>
              <w:t>组织方案完全适应本项目，内容详尽可行且合理的得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6D3387E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eastAsia="zh-CN"/>
              </w:rPr>
              <w:t>组织方案较适应本项目，内容较详尽可行且较合理的得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1AF248D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eastAsia="zh-CN"/>
              </w:rPr>
              <w:t>组织方案基本适应本项目，内容简单基本可行且基本合理的得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6DC73C1">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④组织方案部分适应本项目，内容存在明显缺漏，可行性和合理性一般，需大幅调整才能满足项目基本需求的得2分；</w:t>
            </w:r>
          </w:p>
          <w:p w14:paraId="4B2A498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zh-CN" w:eastAsia="zh-CN"/>
              </w:rPr>
              <w:t>组织方案欠适应本项目，内容欠完整欠可行且欠合理的得1分；</w:t>
            </w:r>
          </w:p>
          <w:p w14:paraId="275586D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zh-CN" w:eastAsia="zh-CN"/>
              </w:rPr>
              <w:t>无相关内容不得分。</w:t>
            </w:r>
          </w:p>
        </w:tc>
        <w:tc>
          <w:tcPr>
            <w:tcW w:w="671" w:type="dxa"/>
            <w:shd w:val="clear" w:color="auto" w:fill="auto"/>
            <w:vAlign w:val="center"/>
          </w:tcPr>
          <w:p w14:paraId="3839CC8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2278B42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0DC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79747AB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7F3CCC0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center"/>
          </w:tcPr>
          <w:p w14:paraId="5B1ABD6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（2）根据供应商针对本项目的进度安排及保障等措施进行评议。</w:t>
            </w:r>
          </w:p>
          <w:p w14:paraId="1AF91FF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eastAsia="zh-CN"/>
              </w:rPr>
              <w:t>措施完全适应本项目，内容详尽可行且合理的得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A8D3A6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eastAsia="zh-CN"/>
              </w:rPr>
              <w:t>措施较适应本项目，内容较详尽可行且较合理的得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59F0B91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eastAsia="zh-CN"/>
              </w:rPr>
              <w:t>措施基本适应本项目，内容简单基本可行且基本合理的得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49A352E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④措施部分适应本项目，内容存在明显缺漏，可行性和合理性一般，需大幅调整才能满足项目基本需求的得2分；</w:t>
            </w:r>
          </w:p>
          <w:p w14:paraId="53803F6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zh-CN" w:eastAsia="zh-CN"/>
              </w:rPr>
              <w:t>措施欠适应本项目，内容欠完整欠可行且欠合理的得1分；</w:t>
            </w:r>
          </w:p>
          <w:p w14:paraId="5EB70A5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zh-CN" w:eastAsia="zh-CN"/>
              </w:rPr>
              <w:t>无相关内容不得分。</w:t>
            </w:r>
          </w:p>
        </w:tc>
        <w:tc>
          <w:tcPr>
            <w:tcW w:w="671" w:type="dxa"/>
            <w:shd w:val="clear" w:color="auto" w:fill="auto"/>
            <w:vAlign w:val="center"/>
          </w:tcPr>
          <w:p w14:paraId="3FE881E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1A88DC1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58A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B7AEA0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214CECA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center"/>
          </w:tcPr>
          <w:p w14:paraId="3326223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（3）根据供应商针对本项目的工作内容和特点</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学校</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，能否根据行业标准，采取有效的</w:t>
            </w:r>
            <w:r>
              <w:rPr>
                <w:rFonts w:hint="eastAsia" w:ascii="宋体" w:hAnsi="宋体" w:eastAsia="宋体" w:cs="宋体"/>
                <w:color w:val="auto"/>
                <w:sz w:val="21"/>
                <w:szCs w:val="21"/>
                <w:highlight w:val="none"/>
                <w:lang w:val="en-US" w:eastAsia="zh-CN"/>
              </w:rPr>
              <w:t>施工保护</w:t>
            </w:r>
            <w:r>
              <w:rPr>
                <w:rFonts w:hint="eastAsia" w:ascii="宋体" w:hAnsi="宋体" w:eastAsia="宋体" w:cs="宋体"/>
                <w:color w:val="auto"/>
                <w:sz w:val="21"/>
                <w:szCs w:val="21"/>
                <w:highlight w:val="none"/>
                <w:lang w:val="zh-CN" w:eastAsia="zh-CN"/>
              </w:rPr>
              <w:t>措施，保证</w:t>
            </w:r>
            <w:r>
              <w:rPr>
                <w:rFonts w:hint="eastAsia" w:ascii="宋体" w:hAnsi="宋体" w:cs="宋体"/>
                <w:color w:val="auto"/>
                <w:sz w:val="21"/>
                <w:szCs w:val="21"/>
                <w:highlight w:val="none"/>
                <w:lang w:val="en-US" w:eastAsia="zh-CN"/>
              </w:rPr>
              <w:t>学校教学</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val="zh-CN" w:eastAsia="zh-CN"/>
              </w:rPr>
              <w:t>不受消极影响或伤害的情况进行评议。</w:t>
            </w:r>
          </w:p>
          <w:p w14:paraId="71FF88F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48CBA8A9">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0D378DC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3DE318CA">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077FF39E">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25CA86D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5BC232F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4D71CC1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0AAD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5CE2E6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547EB55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top"/>
          </w:tcPr>
          <w:p w14:paraId="32C5DFF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（4）根据供应商提供的</w:t>
            </w:r>
            <w:r>
              <w:rPr>
                <w:rFonts w:hint="eastAsia" w:ascii="宋体" w:hAnsi="宋体" w:eastAsia="宋体" w:cs="宋体"/>
                <w:color w:val="auto"/>
                <w:sz w:val="21"/>
                <w:szCs w:val="21"/>
                <w:highlight w:val="none"/>
                <w:lang w:val="en-US" w:eastAsia="zh-CN"/>
              </w:rPr>
              <w:t>房屋建筑改造</w:t>
            </w:r>
            <w:r>
              <w:rPr>
                <w:rFonts w:hint="eastAsia" w:ascii="宋体" w:hAnsi="宋体" w:eastAsia="宋体" w:cs="宋体"/>
                <w:color w:val="auto"/>
                <w:sz w:val="21"/>
                <w:szCs w:val="21"/>
                <w:highlight w:val="none"/>
                <w:lang w:val="zh-CN" w:eastAsia="zh-CN"/>
              </w:rPr>
              <w:t>、现场管理等措施（体现出对本项目各方面有充分了解和有价值的实施措施）进行评议。</w:t>
            </w:r>
          </w:p>
          <w:p w14:paraId="53A809BD">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21F64DE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4D3B7F3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427B1F6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00F231B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72C5CC1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5DC92F2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213C212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77C9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1B1F771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4A53F8B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top"/>
          </w:tcPr>
          <w:p w14:paraId="36C05A4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）根据供应商提供的</w:t>
            </w:r>
            <w:r>
              <w:rPr>
                <w:rFonts w:hint="eastAsia" w:ascii="宋体" w:hAnsi="宋体" w:cs="宋体"/>
                <w:color w:val="auto"/>
                <w:sz w:val="21"/>
                <w:szCs w:val="21"/>
                <w:highlight w:val="none"/>
                <w:lang w:val="en-US" w:eastAsia="zh-CN"/>
              </w:rPr>
              <w:t>结构补强</w:t>
            </w:r>
            <w:r>
              <w:rPr>
                <w:rFonts w:hint="eastAsia" w:ascii="宋体" w:hAnsi="宋体" w:eastAsia="宋体" w:cs="宋体"/>
                <w:color w:val="auto"/>
                <w:sz w:val="21"/>
                <w:szCs w:val="21"/>
                <w:highlight w:val="none"/>
                <w:lang w:val="zh-CN" w:eastAsia="zh-CN"/>
              </w:rPr>
              <w:t>、现场管理等措施（体现出对本项目各方面有充分了解和有价值的实施措施）进行评议。</w:t>
            </w:r>
          </w:p>
          <w:p w14:paraId="4831057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0800B07A">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34C72F54">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467354D9">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 2 分；</w:t>
            </w:r>
          </w:p>
          <w:p w14:paraId="3EE52DA8">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403A89C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0DA3325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08E0293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29D7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E09D99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231F42E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top"/>
          </w:tcPr>
          <w:p w14:paraId="3C5DC4B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）根据供应商提供的</w:t>
            </w:r>
            <w:r>
              <w:rPr>
                <w:rFonts w:hint="eastAsia" w:ascii="宋体" w:hAnsi="宋体" w:cs="宋体"/>
                <w:color w:val="auto"/>
                <w:sz w:val="21"/>
                <w:szCs w:val="21"/>
                <w:highlight w:val="none"/>
                <w:lang w:val="en-US" w:eastAsia="zh-CN"/>
              </w:rPr>
              <w:t>渣土外运</w:t>
            </w:r>
            <w:r>
              <w:rPr>
                <w:rFonts w:hint="eastAsia" w:ascii="宋体" w:hAnsi="宋体" w:eastAsia="宋体" w:cs="宋体"/>
                <w:color w:val="auto"/>
                <w:sz w:val="21"/>
                <w:szCs w:val="21"/>
                <w:highlight w:val="none"/>
                <w:lang w:val="zh-CN" w:eastAsia="zh-CN"/>
              </w:rPr>
              <w:t>、现场管理等措施（体现出对本项目各方面有充分了解和有价值的实施措施）进行评议。</w:t>
            </w:r>
          </w:p>
          <w:p w14:paraId="747814C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2F6CB7D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11107909">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503FC3F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6F279E3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2F0E5EC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23BBC45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126792E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41C0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548946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2B26708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tcPr>
          <w:p w14:paraId="4318F67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）根据供应商提供的</w:t>
            </w:r>
            <w:r>
              <w:rPr>
                <w:rFonts w:hint="eastAsia" w:ascii="宋体" w:hAnsi="宋体" w:cs="宋体"/>
                <w:color w:val="auto"/>
                <w:sz w:val="21"/>
                <w:szCs w:val="21"/>
                <w:highlight w:val="none"/>
                <w:lang w:val="en-US" w:eastAsia="zh-CN"/>
              </w:rPr>
              <w:t>拟使用材料选购方案</w:t>
            </w:r>
            <w:r>
              <w:rPr>
                <w:rFonts w:hint="eastAsia" w:ascii="宋体" w:hAnsi="宋体" w:eastAsia="宋体" w:cs="宋体"/>
                <w:color w:val="auto"/>
                <w:sz w:val="21"/>
                <w:szCs w:val="21"/>
                <w:highlight w:val="none"/>
                <w:lang w:val="zh-CN" w:eastAsia="zh-CN"/>
              </w:rPr>
              <w:t>进行评议。</w:t>
            </w:r>
          </w:p>
          <w:p w14:paraId="4CDB3D4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材料质量优质，选购来源供货稳定，</w:t>
            </w:r>
            <w:r>
              <w:rPr>
                <w:rFonts w:hint="default" w:ascii="宋体" w:hAnsi="宋体" w:eastAsia="宋体" w:cs="宋体"/>
                <w:color w:val="auto"/>
                <w:sz w:val="21"/>
                <w:szCs w:val="21"/>
                <w:highlight w:val="none"/>
                <w:lang w:val="en-US" w:eastAsia="zh-CN"/>
              </w:rPr>
              <w:t>完全适应本项目，内容详尽可行且合理的得5分；</w:t>
            </w:r>
          </w:p>
          <w:p w14:paraId="1C05771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②材料质量</w:t>
            </w:r>
            <w:r>
              <w:rPr>
                <w:rFonts w:hint="eastAsia" w:ascii="宋体" w:hAnsi="宋体" w:cs="宋体"/>
                <w:color w:val="auto"/>
                <w:sz w:val="21"/>
                <w:szCs w:val="21"/>
                <w:highlight w:val="none"/>
                <w:lang w:val="en-US" w:eastAsia="zh-CN"/>
              </w:rPr>
              <w:t>较好</w:t>
            </w:r>
            <w:r>
              <w:rPr>
                <w:rFonts w:hint="default" w:ascii="宋体" w:hAnsi="宋体" w:eastAsia="宋体" w:cs="宋体"/>
                <w:color w:val="auto"/>
                <w:sz w:val="21"/>
                <w:szCs w:val="21"/>
                <w:highlight w:val="none"/>
                <w:lang w:val="en-US" w:eastAsia="zh-CN"/>
              </w:rPr>
              <w:t>，选购来源供货</w:t>
            </w:r>
            <w:r>
              <w:rPr>
                <w:rFonts w:hint="eastAsia" w:ascii="宋体" w:hAnsi="宋体" w:cs="宋体"/>
                <w:color w:val="auto"/>
                <w:sz w:val="21"/>
                <w:szCs w:val="21"/>
                <w:highlight w:val="none"/>
                <w:lang w:val="en-US" w:eastAsia="zh-CN"/>
              </w:rPr>
              <w:t>较</w:t>
            </w:r>
            <w:r>
              <w:rPr>
                <w:rFonts w:hint="default" w:ascii="宋体" w:hAnsi="宋体" w:eastAsia="宋体" w:cs="宋体"/>
                <w:color w:val="auto"/>
                <w:sz w:val="21"/>
                <w:szCs w:val="21"/>
                <w:highlight w:val="none"/>
                <w:lang w:val="en-US" w:eastAsia="zh-CN"/>
              </w:rPr>
              <w:t>稳定，较适应本项目，内容较详尽可行且较合理的得4分；</w:t>
            </w:r>
          </w:p>
          <w:p w14:paraId="4B352F9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③材料质量</w:t>
            </w:r>
            <w:r>
              <w:rPr>
                <w:rFonts w:hint="eastAsia" w:ascii="宋体" w:hAnsi="宋体" w:cs="宋体"/>
                <w:color w:val="auto"/>
                <w:sz w:val="21"/>
                <w:szCs w:val="21"/>
                <w:highlight w:val="none"/>
                <w:lang w:val="en-US" w:eastAsia="zh-CN"/>
              </w:rPr>
              <w:t>基本满足项目要求</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有固定材料采购对象</w:t>
            </w:r>
            <w:r>
              <w:rPr>
                <w:rFonts w:hint="default" w:ascii="宋体" w:hAnsi="宋体" w:eastAsia="宋体" w:cs="宋体"/>
                <w:color w:val="auto"/>
                <w:sz w:val="21"/>
                <w:szCs w:val="21"/>
                <w:highlight w:val="none"/>
                <w:lang w:val="en-US" w:eastAsia="zh-CN"/>
              </w:rPr>
              <w:t>，基本适应本项目，基本可行的得3分；</w:t>
            </w:r>
          </w:p>
          <w:p w14:paraId="1C481B6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④材料质量</w:t>
            </w:r>
            <w:r>
              <w:rPr>
                <w:rFonts w:hint="eastAsia" w:ascii="宋体" w:hAnsi="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，选购来源稳定</w:t>
            </w:r>
            <w:r>
              <w:rPr>
                <w:rFonts w:hint="eastAsia" w:ascii="宋体" w:hAnsi="宋体" w:cs="宋体"/>
                <w:color w:val="auto"/>
                <w:sz w:val="21"/>
                <w:szCs w:val="21"/>
                <w:highlight w:val="none"/>
                <w:lang w:val="en-US" w:eastAsia="zh-CN"/>
              </w:rPr>
              <w:t>性较差</w:t>
            </w:r>
            <w:r>
              <w:rPr>
                <w:rFonts w:hint="default" w:ascii="宋体" w:hAnsi="宋体" w:eastAsia="宋体" w:cs="宋体"/>
                <w:color w:val="auto"/>
                <w:sz w:val="21"/>
                <w:szCs w:val="21"/>
                <w:highlight w:val="none"/>
                <w:lang w:val="en-US" w:eastAsia="zh-CN"/>
              </w:rPr>
              <w:t>，内容存在明显缺漏，可行性和合理性一般的得2分；</w:t>
            </w:r>
          </w:p>
          <w:p w14:paraId="1E24BC6B">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⑤材料质量</w:t>
            </w:r>
            <w:r>
              <w:rPr>
                <w:rFonts w:hint="eastAsia" w:ascii="宋体" w:hAnsi="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，选购来源供货稳定</w:t>
            </w:r>
            <w:r>
              <w:rPr>
                <w:rFonts w:hint="eastAsia" w:ascii="宋体" w:hAnsi="宋体" w:cs="宋体"/>
                <w:color w:val="auto"/>
                <w:sz w:val="21"/>
                <w:szCs w:val="21"/>
                <w:highlight w:val="none"/>
                <w:lang w:val="en-US" w:eastAsia="zh-CN"/>
              </w:rPr>
              <w:t>性差，不能保证供货及时及质量</w:t>
            </w:r>
            <w:r>
              <w:rPr>
                <w:rFonts w:hint="default" w:ascii="宋体" w:hAnsi="宋体" w:eastAsia="宋体" w:cs="宋体"/>
                <w:color w:val="auto"/>
                <w:sz w:val="21"/>
                <w:szCs w:val="21"/>
                <w:highlight w:val="none"/>
                <w:lang w:val="en-US" w:eastAsia="zh-CN"/>
              </w:rPr>
              <w:t>的得1分；</w:t>
            </w:r>
          </w:p>
          <w:p w14:paraId="2947941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0A51E21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34ECE0C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419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13F459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4E76CD9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center"/>
          </w:tcPr>
          <w:p w14:paraId="00D3447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）根据供应商针对本项目的服务保障体系、施工质量检测鉴定、技术操作规程等措施内容进行评议。</w:t>
            </w:r>
          </w:p>
          <w:p w14:paraId="082F75AE">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5540A8B8">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5C62A52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55FD874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5D9EF82A">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1E262FA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72A2FC1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61C3054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3CCF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E13700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00FDC9C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tcPr>
          <w:p w14:paraId="750D5FA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）根据供应商针对本项目的安全生产、文明施工的安排、技术和组织管理措施等内容进行评议。</w:t>
            </w:r>
          </w:p>
          <w:p w14:paraId="343FBC78">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025500C4">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35E45CE1">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6C70979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2A635C4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2A9AB09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222CD3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365939B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2632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1C3639F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7520DBDF">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tcPr>
          <w:p w14:paraId="168B30E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根据供应商针对本项目</w:t>
            </w:r>
            <w:r>
              <w:rPr>
                <w:rFonts w:hint="eastAsia" w:ascii="宋体" w:hAnsi="宋体" w:eastAsia="宋体" w:cs="宋体"/>
                <w:color w:val="auto"/>
                <w:sz w:val="21"/>
                <w:szCs w:val="21"/>
                <w:highlight w:val="none"/>
                <w:lang w:val="en-US" w:eastAsia="zh-CN"/>
              </w:rPr>
              <w:t>拟投入的主要施工机械设备的选用和布置</w:t>
            </w:r>
            <w:r>
              <w:rPr>
                <w:rFonts w:hint="eastAsia" w:ascii="宋体" w:hAnsi="宋体" w:eastAsia="宋体" w:cs="宋体"/>
                <w:color w:val="auto"/>
                <w:sz w:val="21"/>
                <w:szCs w:val="21"/>
                <w:highlight w:val="none"/>
                <w:lang w:val="zh-CN" w:eastAsia="zh-CN"/>
              </w:rPr>
              <w:t>等内容进行评议。</w:t>
            </w:r>
          </w:p>
          <w:p w14:paraId="200EF95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设备投入符合项目特征、种类齐全，布置方案完善且合理可行的得5分；</w:t>
            </w:r>
          </w:p>
          <w:p w14:paraId="09C9CE4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设备投入较符合项目特征、种类较齐全，布置方案较完善且较合理可行的得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B02B6F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设备投入基本符合项目特征、种类稍齐全，布置方案稍完善且稍合理可行的得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6E071B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设备投入仅部分契合项目特征，种类存在较多缺失，布置方案存在明显缺陷，整体可行性和合理性较差，需进行较大幅度的修改与补充才能初步满足项目基本要求的得2分；</w:t>
            </w:r>
          </w:p>
          <w:p w14:paraId="00E5A9B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设备投入欠符合项目特征、种类欠齐全，布置方案欠完善且欠合理可行的得1分；</w:t>
            </w:r>
          </w:p>
          <w:p w14:paraId="484B91D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en-US" w:eastAsia="zh-CN"/>
              </w:rPr>
              <w:t>无相关内容不得分。</w:t>
            </w:r>
          </w:p>
        </w:tc>
        <w:tc>
          <w:tcPr>
            <w:tcW w:w="671" w:type="dxa"/>
            <w:shd w:val="clear" w:color="auto" w:fill="auto"/>
            <w:vAlign w:val="center"/>
          </w:tcPr>
          <w:p w14:paraId="1F34180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1E891F3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F8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A184FE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restart"/>
            <w:shd w:val="clear" w:color="auto" w:fill="auto"/>
            <w:vAlign w:val="center"/>
          </w:tcPr>
          <w:p w14:paraId="2514C62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、重难点分析及相应解决方案（</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606FFD2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（1）供应商针对本项目</w:t>
            </w:r>
            <w:r>
              <w:rPr>
                <w:rFonts w:hint="eastAsia" w:ascii="宋体" w:hAnsi="宋体" w:cs="宋体"/>
                <w:color w:val="auto"/>
                <w:sz w:val="21"/>
                <w:szCs w:val="21"/>
                <w:highlight w:val="none"/>
                <w:lang w:val="en-US" w:eastAsia="zh-CN"/>
              </w:rPr>
              <w:t>进行</w:t>
            </w:r>
            <w:r>
              <w:rPr>
                <w:rFonts w:hint="eastAsia" w:ascii="宋体" w:hAnsi="宋体" w:eastAsia="宋体" w:cs="宋体"/>
                <w:color w:val="auto"/>
                <w:sz w:val="21"/>
                <w:szCs w:val="21"/>
                <w:highlight w:val="none"/>
                <w:lang w:val="en-US" w:eastAsia="zh-CN"/>
              </w:rPr>
              <w:t>难点、重点问题调查剖析进行评议。</w:t>
            </w:r>
          </w:p>
          <w:p w14:paraId="2743A25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①内容详尽可行且合理的得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A9D3FC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②内容较详尽可行且较合理的得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A42510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③内容不完整不可行且不合理的得1分；</w:t>
            </w:r>
          </w:p>
          <w:p w14:paraId="687DB0D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无相关内容不得分。</w:t>
            </w:r>
          </w:p>
        </w:tc>
        <w:tc>
          <w:tcPr>
            <w:tcW w:w="671" w:type="dxa"/>
            <w:shd w:val="clear" w:color="auto" w:fill="auto"/>
            <w:vAlign w:val="center"/>
          </w:tcPr>
          <w:p w14:paraId="3EE5044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778" w:type="dxa"/>
            <w:shd w:val="clear" w:color="auto" w:fill="auto"/>
            <w:vAlign w:val="center"/>
          </w:tcPr>
          <w:p w14:paraId="50C6B1E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59CD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0C6EBCD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1FBB95B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bCs/>
                <w:color w:val="auto"/>
                <w:sz w:val="21"/>
                <w:szCs w:val="21"/>
                <w:highlight w:val="none"/>
                <w:lang w:val="en-US" w:eastAsia="zh-CN"/>
              </w:rPr>
            </w:pPr>
          </w:p>
        </w:tc>
        <w:tc>
          <w:tcPr>
            <w:tcW w:w="6286" w:type="dxa"/>
            <w:shd w:val="clear" w:color="auto" w:fill="auto"/>
            <w:vAlign w:val="center"/>
          </w:tcPr>
          <w:p w14:paraId="039EDA5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）根据供应商针对本项目的难点、重点问题的调查剖析</w:t>
            </w:r>
            <w:r>
              <w:rPr>
                <w:rFonts w:hint="eastAsia" w:ascii="宋体" w:hAnsi="宋体" w:cs="宋体"/>
                <w:color w:val="auto"/>
                <w:sz w:val="21"/>
                <w:szCs w:val="21"/>
                <w:highlight w:val="none"/>
                <w:lang w:val="en-US" w:eastAsia="zh-CN"/>
              </w:rPr>
              <w:t>提供的克服解决措施建议等</w:t>
            </w:r>
            <w:r>
              <w:rPr>
                <w:rFonts w:hint="eastAsia" w:ascii="宋体" w:hAnsi="宋体" w:eastAsia="宋体" w:cs="宋体"/>
                <w:color w:val="auto"/>
                <w:sz w:val="21"/>
                <w:szCs w:val="21"/>
                <w:highlight w:val="none"/>
                <w:lang w:val="en-US" w:eastAsia="zh-CN"/>
              </w:rPr>
              <w:t>进行评议。</w:t>
            </w:r>
          </w:p>
          <w:p w14:paraId="3A435D6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①方案完全适应本项目，内容详尽可行且合理的得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CE67EE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②方案较适应本项目，内容较详尽可行且较合理的得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FA0896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③方案基本适应本项目，内容简单基本可行且基本合理的得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F28644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④方案不适应本项目，内容不完整不可行且不合理的得1分；</w:t>
            </w:r>
          </w:p>
          <w:p w14:paraId="05F9458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无相关内容不得分。</w:t>
            </w:r>
          </w:p>
        </w:tc>
        <w:tc>
          <w:tcPr>
            <w:tcW w:w="671" w:type="dxa"/>
            <w:shd w:val="clear" w:color="auto" w:fill="auto"/>
            <w:vAlign w:val="center"/>
          </w:tcPr>
          <w:p w14:paraId="22E0718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778" w:type="dxa"/>
            <w:shd w:val="clear" w:color="auto" w:fill="auto"/>
            <w:vAlign w:val="center"/>
          </w:tcPr>
          <w:p w14:paraId="079A4CA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3D56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773B77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shd w:val="clear" w:color="auto" w:fill="auto"/>
            <w:vAlign w:val="center"/>
          </w:tcPr>
          <w:p w14:paraId="64266FA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、售后服务方案（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5FDB967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根据各供应商的质量保修期方案、售后服务优惠承诺、售后服务保障进行评议。</w:t>
            </w:r>
          </w:p>
          <w:p w14:paraId="52F2690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①方案完全适应本项目，内容详尽可行且合理的得5分；</w:t>
            </w:r>
          </w:p>
          <w:p w14:paraId="3C23920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②方案较适应本项目，内容较详尽可行且较合理的得4分；</w:t>
            </w:r>
          </w:p>
          <w:p w14:paraId="19BE221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③方案基本适应本项目，内容简单基本可行且基本合理的得3分；</w:t>
            </w:r>
          </w:p>
          <w:p w14:paraId="35EA583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④方案部分适应本项目，内容存在明显缺漏，可行性和合理性一般，需大幅调整才能满足项目基本需求的得2分；</w:t>
            </w:r>
          </w:p>
          <w:p w14:paraId="094E468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⑤方案不适应本项目，内容不完整不可行且不合理的得1分；</w:t>
            </w:r>
          </w:p>
          <w:p w14:paraId="78D9385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⑥无相关内容不得分。</w:t>
            </w:r>
          </w:p>
          <w:p w14:paraId="0A6B8BA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注：供应商须在响应文件中提供承诺函（格式自拟），未提供或内容不全的不得分。  </w:t>
            </w:r>
          </w:p>
        </w:tc>
        <w:tc>
          <w:tcPr>
            <w:tcW w:w="671" w:type="dxa"/>
            <w:shd w:val="clear" w:color="auto" w:fill="auto"/>
            <w:vAlign w:val="center"/>
          </w:tcPr>
          <w:p w14:paraId="361B582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8" w:type="dxa"/>
            <w:shd w:val="clear" w:color="auto" w:fill="auto"/>
            <w:vAlign w:val="center"/>
          </w:tcPr>
          <w:p w14:paraId="37014F8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rPr>
              <w:t>评审</w:t>
            </w:r>
          </w:p>
        </w:tc>
      </w:tr>
      <w:tr w14:paraId="1F02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14:paraId="7537F90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2879596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7442" w:type="dxa"/>
            <w:gridSpan w:val="2"/>
            <w:shd w:val="clear" w:color="auto" w:fill="auto"/>
            <w:vAlign w:val="center"/>
          </w:tcPr>
          <w:p w14:paraId="31A7226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基准价=所有有效投标中的参与评审的价格最低的报价</w:t>
            </w:r>
          </w:p>
          <w:p w14:paraId="09F8249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参与评审的价格=投标报价-小微企业价格扣除优惠值（如有）</w:t>
            </w:r>
          </w:p>
          <w:p w14:paraId="07DBCF3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842038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参与评审的价格最低的供应商得满分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分，其余供应商得分为：</w:t>
            </w:r>
          </w:p>
          <w:p w14:paraId="38021EC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报价得分=（基准价/参与评审的价格）×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14:paraId="04F0A75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kern w:val="0"/>
                <w:sz w:val="21"/>
                <w:szCs w:val="21"/>
                <w:highlight w:val="none"/>
              </w:rPr>
              <w:t>投标报价是指磋商结束后，磋商小组要求所有实质性响应的供应商在规定时间内提交的最后报价。</w:t>
            </w:r>
          </w:p>
        </w:tc>
        <w:tc>
          <w:tcPr>
            <w:tcW w:w="671" w:type="dxa"/>
            <w:shd w:val="clear" w:color="auto" w:fill="auto"/>
            <w:vAlign w:val="center"/>
          </w:tcPr>
          <w:p w14:paraId="7DEF574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778" w:type="dxa"/>
            <w:shd w:val="clear" w:color="auto" w:fill="auto"/>
            <w:vAlign w:val="center"/>
          </w:tcPr>
          <w:p w14:paraId="5E09406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r>
      <w:tr w14:paraId="46AB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0" w:type="dxa"/>
            <w:gridSpan w:val="3"/>
            <w:shd w:val="clear" w:color="auto" w:fill="auto"/>
            <w:vAlign w:val="center"/>
          </w:tcPr>
          <w:p w14:paraId="15D6178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满分100分</w:t>
            </w:r>
          </w:p>
        </w:tc>
        <w:tc>
          <w:tcPr>
            <w:tcW w:w="671" w:type="dxa"/>
            <w:shd w:val="clear" w:color="auto" w:fill="auto"/>
            <w:vAlign w:val="center"/>
          </w:tcPr>
          <w:p w14:paraId="402FC3E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778" w:type="dxa"/>
            <w:shd w:val="clear" w:color="auto" w:fill="auto"/>
            <w:noWrap/>
            <w:vAlign w:val="center"/>
          </w:tcPr>
          <w:p w14:paraId="14F4463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14EAE69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1A776B53">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C57B648">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9C60F7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7E619059">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45DBA42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27584814">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333A2F1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74EB3B4">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r>
        <w:rPr>
          <w:rFonts w:hint="eastAsia" w:asciiTheme="minorEastAsia" w:hAnsiTheme="minorEastAsia" w:eastAsiaTheme="minorEastAsia"/>
          <w:b/>
          <w:bCs/>
          <w:color w:val="auto"/>
          <w:sz w:val="24"/>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0E5F4746">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79512672">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A699510">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36F8EEB7">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1382FBF0">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2F29952">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AA0B098">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3B58C35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675427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A500CA2">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5C571EA7">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7E143EEC">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0ADD0714">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14:paraId="6DD91AF7">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14:paraId="5D364F6E">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0C002DD">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1B94269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0BE9548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3987E3C3">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9D65A57">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p>
    <w:p w14:paraId="312305B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41FBC3">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39FC4CF8">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0D5597">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6D3411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4A26A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51D208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FEBA2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0E3AD19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35890E3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7DF98AF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149063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4.2.8报价明显低于其他通过符合性审查供应商的报价（低于项目预算 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41DCB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07F5A5D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2D0191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6C97FEF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8959FB7">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4.2.13</w:t>
      </w:r>
      <w:r>
        <w:rPr>
          <w:rFonts w:hint="eastAsia" w:ascii="宋体" w:hAnsi="宋体" w:eastAsia="宋体" w:cs="宋体"/>
          <w:color w:val="auto"/>
          <w:kern w:val="0"/>
          <w:sz w:val="24"/>
          <w:highlight w:val="none"/>
          <w:lang w:val="en-US"/>
        </w:rPr>
        <w:t>参与同一个</w:t>
      </w:r>
      <w:r>
        <w:rPr>
          <w:rFonts w:hint="eastAsia" w:ascii="宋体" w:hAnsi="宋体" w:eastAsia="宋体" w:cs="宋体"/>
          <w:color w:val="auto"/>
          <w:kern w:val="0"/>
          <w:sz w:val="24"/>
          <w:highlight w:val="none"/>
          <w:lang w:val="en-US" w:eastAsia="zh-CN"/>
        </w:rPr>
        <w:t>标项</w:t>
      </w:r>
      <w:r>
        <w:rPr>
          <w:rFonts w:hint="eastAsia" w:ascii="宋体" w:hAnsi="宋体" w:eastAsia="宋体" w:cs="宋体"/>
          <w:color w:val="auto"/>
          <w:kern w:val="0"/>
          <w:sz w:val="24"/>
          <w:highlight w:val="none"/>
          <w:lang w:val="en-US"/>
        </w:rPr>
        <w:t>的供应商存在下列情形之一且无法合理解释的，其投标文件无效：</w:t>
      </w:r>
    </w:p>
    <w:p w14:paraId="2ECC3DE8">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US"/>
        </w:rPr>
        <w:t>不同供应商的电子投标文件上传计算机的网卡MAC地址或硬盘序列号等硬件信息相同的；</w:t>
      </w:r>
    </w:p>
    <w:p w14:paraId="07D8F50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上传的电子投标文件若出现使用本项目其他投标供应商的数字证书加密的，或者加盖本项目其他投标供应商的电子印章的；</w:t>
      </w:r>
      <w:r>
        <w:rPr>
          <w:rFonts w:hint="eastAsia" w:ascii="宋体" w:hAnsi="宋体" w:eastAsia="宋体" w:cs="宋体"/>
          <w:color w:val="auto"/>
          <w:kern w:val="0"/>
          <w:sz w:val="24"/>
          <w:highlight w:val="none"/>
          <w:lang w:val="en-US" w:eastAsia="zh-CN"/>
        </w:rPr>
        <w:t xml:space="preserve">    </w:t>
      </w:r>
    </w:p>
    <w:p w14:paraId="28930F84">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不同供应商的投标文件的内容存在3处（含）以上错误一致的；</w:t>
      </w:r>
    </w:p>
    <w:p w14:paraId="329E1B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不同供应商联系人为同一人或不同联系人的联系电话一致的。</w:t>
      </w:r>
    </w:p>
    <w:p w14:paraId="75C45E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 xml:space="preserve"> 响应文件不满足采购文件</w:t>
      </w:r>
      <w:r>
        <w:rPr>
          <w:rFonts w:hint="eastAsia" w:ascii="宋体" w:hAnsi="宋体" w:cs="宋体"/>
          <w:color w:val="auto"/>
          <w:kern w:val="0"/>
          <w:sz w:val="24"/>
          <w:highlight w:val="none"/>
          <w:lang w:eastAsia="zh-CN"/>
        </w:rPr>
        <w:t>的其他</w:t>
      </w:r>
      <w:r>
        <w:rPr>
          <w:rFonts w:hint="eastAsia" w:ascii="宋体" w:hAnsi="宋体" w:eastAsia="宋体" w:cs="宋体"/>
          <w:color w:val="auto"/>
          <w:kern w:val="0"/>
          <w:sz w:val="24"/>
          <w:highlight w:val="none"/>
        </w:rPr>
        <w:t>实质性要求的；</w:t>
      </w:r>
    </w:p>
    <w:p w14:paraId="23D0EF8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A7547BD">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012CA64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16EDE32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46EF83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44B5D46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288E67B">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02C87E5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74B7C9A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7605D3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4130E1C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1327FDD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ECFEDCE">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6F3484B7">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00D79A3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2389A23">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财库〔2014〕214号</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6B7002D1">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4547D36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376447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4217468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4E876FD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5B08BEE3">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0A6FEF3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3250C42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04BF7A9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3C0FB0D4">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40A59D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2B6E294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124937B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5E21F94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38B8CCA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7B27A30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6E4EC30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7A48120D">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78D0A1DF">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w:t>
      </w:r>
      <w:r>
        <w:rPr>
          <w:rFonts w:hint="eastAsia" w:ascii="宋体" w:hAnsi="宋体" w:cs="宋体"/>
          <w:color w:val="auto"/>
          <w:kern w:val="2"/>
          <w:sz w:val="24"/>
          <w:szCs w:val="20"/>
          <w:highlight w:val="none"/>
          <w:lang w:val="en-US" w:eastAsia="zh-CN" w:bidi="ar-SA"/>
        </w:rPr>
        <w:t>规定的其他事项</w:t>
      </w:r>
      <w:r>
        <w:rPr>
          <w:rFonts w:hint="eastAsia" w:ascii="宋体" w:hAnsi="宋体" w:eastAsia="宋体" w:cs="宋体"/>
          <w:color w:val="auto"/>
          <w:kern w:val="2"/>
          <w:sz w:val="24"/>
          <w:szCs w:val="20"/>
          <w:highlight w:val="none"/>
          <w:lang w:val="en-US" w:eastAsia="zh-CN" w:bidi="ar-SA"/>
        </w:rPr>
        <w:t>。</w:t>
      </w:r>
    </w:p>
    <w:p w14:paraId="70A057D6">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7FAB396F">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013541F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2B2D7CA7">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53061E6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434152D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36EACE0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26A0851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0E624D2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2065CCDD">
      <w:pPr>
        <w:rPr>
          <w:rFonts w:hint="eastAsia" w:ascii="宋体" w:hAnsi="宋体" w:eastAsia="宋体" w:cs="宋体"/>
          <w:color w:val="auto"/>
          <w:highlight w:val="none"/>
        </w:rPr>
      </w:pPr>
    </w:p>
    <w:p w14:paraId="64861DD7">
      <w:pPr>
        <w:pStyle w:val="5"/>
        <w:rPr>
          <w:rFonts w:hint="eastAsia" w:ascii="宋体" w:hAnsi="宋体" w:eastAsia="宋体" w:cs="宋体"/>
          <w:color w:val="auto"/>
          <w:highlight w:val="none"/>
        </w:rPr>
      </w:pPr>
    </w:p>
    <w:p w14:paraId="528A5C80">
      <w:pPr>
        <w:rPr>
          <w:rFonts w:hint="eastAsia" w:ascii="宋体" w:hAnsi="宋体" w:eastAsia="宋体" w:cs="宋体"/>
          <w:color w:val="auto"/>
          <w:highlight w:val="none"/>
        </w:rPr>
      </w:pPr>
    </w:p>
    <w:p w14:paraId="4925CFDF">
      <w:pPr>
        <w:pStyle w:val="5"/>
        <w:rPr>
          <w:rFonts w:hint="eastAsia" w:ascii="宋体" w:hAnsi="宋体" w:eastAsia="宋体" w:cs="宋体"/>
          <w:color w:val="auto"/>
          <w:highlight w:val="none"/>
        </w:rPr>
        <w:sectPr>
          <w:pgSz w:w="11907" w:h="16840"/>
          <w:pgMar w:top="1440" w:right="1080" w:bottom="1440" w:left="1080" w:header="851" w:footer="851" w:gutter="0"/>
          <w:pgNumType w:fmt="decimal"/>
          <w:cols w:space="720" w:num="1"/>
        </w:sectPr>
      </w:pPr>
    </w:p>
    <w:bookmarkEnd w:id="44"/>
    <w:p w14:paraId="45978660">
      <w:pPr>
        <w:spacing w:line="360" w:lineRule="auto"/>
        <w:jc w:val="center"/>
        <w:outlineLvl w:val="0"/>
        <w:rPr>
          <w:rFonts w:hint="eastAsia" w:ascii="宋体" w:hAnsi="宋体" w:eastAsia="宋体" w:cs="宋体"/>
          <w:b/>
          <w:color w:val="auto"/>
          <w:sz w:val="36"/>
          <w:szCs w:val="36"/>
          <w:highlight w:val="none"/>
        </w:rPr>
      </w:pPr>
      <w:bookmarkStart w:id="411" w:name="_Toc27383"/>
      <w:bookmarkStart w:id="412" w:name="第五部分"/>
      <w:bookmarkStart w:id="413" w:name="_Toc86217003"/>
      <w:r>
        <w:rPr>
          <w:rFonts w:hint="eastAsia" w:ascii="宋体" w:hAnsi="宋体" w:eastAsia="宋体" w:cs="宋体"/>
          <w:b/>
          <w:color w:val="auto"/>
          <w:sz w:val="36"/>
          <w:szCs w:val="36"/>
          <w:highlight w:val="none"/>
        </w:rPr>
        <w:t>第五部分 拟签订的合同文本</w:t>
      </w:r>
      <w:bookmarkEnd w:id="411"/>
    </w:p>
    <w:p w14:paraId="0E34D3C5">
      <w:pPr>
        <w:snapToGrid w:val="0"/>
        <w:spacing w:line="360" w:lineRule="auto"/>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7D0C4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14:paraId="4DB0F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14:paraId="7463CA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14:paraId="4294AA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44"/>
          <w:sz w:val="24"/>
          <w:szCs w:val="20"/>
          <w:highlight w:val="none"/>
        </w:rPr>
        <w:br w:type="page"/>
      </w:r>
    </w:p>
    <w:p w14:paraId="69CD4710">
      <w:pPr>
        <w:keepNext/>
        <w:keepLines/>
        <w:numPr>
          <w:ilvl w:val="1"/>
          <w:numId w:val="0"/>
        </w:numPr>
        <w:snapToGrid w:val="0"/>
        <w:spacing w:before="100" w:line="360" w:lineRule="auto"/>
        <w:jc w:val="center"/>
        <w:outlineLvl w:val="0"/>
        <w:rPr>
          <w:rFonts w:hint="eastAsia" w:ascii="宋体" w:hAnsi="宋体" w:eastAsia="宋体" w:cs="宋体"/>
          <w:snapToGrid w:val="0"/>
          <w:color w:val="auto"/>
          <w:kern w:val="44"/>
          <w:sz w:val="28"/>
          <w:szCs w:val="20"/>
          <w:highlight w:val="none"/>
        </w:rPr>
      </w:pPr>
      <w:bookmarkStart w:id="414" w:name="_Toc97299497"/>
      <w:bookmarkStart w:id="415" w:name="_Toc32130"/>
      <w:bookmarkStart w:id="416" w:name="_Toc984"/>
      <w:r>
        <w:rPr>
          <w:rFonts w:hint="eastAsia" w:ascii="宋体" w:hAnsi="宋体" w:eastAsia="宋体" w:cs="宋体"/>
          <w:snapToGrid w:val="0"/>
          <w:color w:val="auto"/>
          <w:kern w:val="44"/>
          <w:sz w:val="28"/>
          <w:szCs w:val="28"/>
          <w:highlight w:val="none"/>
        </w:rPr>
        <w:t>第一部分  合同协议书</w:t>
      </w:r>
      <w:bookmarkEnd w:id="414"/>
      <w:bookmarkEnd w:id="415"/>
      <w:bookmarkEnd w:id="416"/>
    </w:p>
    <w:p w14:paraId="1EB9F250">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发包人（全称）：</w:t>
      </w:r>
      <w:r>
        <w:rPr>
          <w:rFonts w:hint="eastAsia" w:ascii="宋体" w:hAnsi="宋体" w:eastAsia="宋体" w:cs="宋体"/>
          <w:snapToGrid w:val="0"/>
          <w:color w:val="auto"/>
          <w:kern w:val="0"/>
          <w:sz w:val="24"/>
          <w:highlight w:val="none"/>
          <w:u w:val="single"/>
        </w:rPr>
        <w:t xml:space="preserve">    </w:t>
      </w:r>
      <w:bookmarkStart w:id="417" w:name="SOA_hhxys_fbr"/>
      <w:r>
        <w:rPr>
          <w:rFonts w:hint="eastAsia" w:ascii="宋体" w:hAnsi="宋体" w:eastAsia="宋体" w:cs="宋体"/>
          <w:snapToGrid w:val="0"/>
          <w:color w:val="auto"/>
          <w:kern w:val="0"/>
          <w:sz w:val="24"/>
          <w:highlight w:val="none"/>
          <w:u w:val="single"/>
        </w:rPr>
        <w:t xml:space="preserve">                  </w:t>
      </w:r>
      <w:bookmarkEnd w:id="417"/>
      <w:r>
        <w:rPr>
          <w:rFonts w:hint="eastAsia" w:ascii="宋体" w:hAnsi="宋体" w:eastAsia="宋体" w:cs="宋体"/>
          <w:snapToGrid w:val="0"/>
          <w:color w:val="auto"/>
          <w:kern w:val="0"/>
          <w:sz w:val="24"/>
          <w:highlight w:val="none"/>
          <w:u w:val="single"/>
        </w:rPr>
        <w:t xml:space="preserve"> </w:t>
      </w:r>
    </w:p>
    <w:p w14:paraId="36DCC38F">
      <w:pPr>
        <w:snapToGrid w:val="0"/>
        <w:spacing w:line="360" w:lineRule="auto"/>
        <w:ind w:firstLine="470" w:firstLineChars="196"/>
        <w:rPr>
          <w:rFonts w:hint="eastAsia" w:ascii="宋体" w:hAnsi="宋体" w:eastAsia="宋体" w:cs="宋体"/>
          <w:b/>
          <w:snapToGrid w:val="0"/>
          <w:color w:val="auto"/>
          <w:kern w:val="0"/>
          <w:sz w:val="24"/>
          <w:highlight w:val="none"/>
          <w:u w:val="single"/>
        </w:rPr>
      </w:pPr>
      <w:r>
        <w:rPr>
          <w:rFonts w:hint="eastAsia" w:ascii="宋体" w:hAnsi="宋体" w:eastAsia="宋体" w:cs="宋体"/>
          <w:snapToGrid w:val="0"/>
          <w:color w:val="auto"/>
          <w:kern w:val="0"/>
          <w:sz w:val="24"/>
          <w:highlight w:val="none"/>
        </w:rPr>
        <w:t>承包人（全称）：</w:t>
      </w:r>
      <w:r>
        <w:rPr>
          <w:rFonts w:hint="eastAsia" w:ascii="宋体" w:hAnsi="宋体" w:eastAsia="宋体" w:cs="宋体"/>
          <w:snapToGrid w:val="0"/>
          <w:color w:val="auto"/>
          <w:kern w:val="0"/>
          <w:sz w:val="24"/>
          <w:highlight w:val="none"/>
          <w:u w:val="single"/>
        </w:rPr>
        <w:t xml:space="preserve">                  </w:t>
      </w:r>
      <w:bookmarkStart w:id="418" w:name="SOA_hhxys_cb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rPr>
        <w:t xml:space="preserve">    </w:t>
      </w:r>
      <w:bookmarkEnd w:id="418"/>
      <w:r>
        <w:rPr>
          <w:rFonts w:hint="eastAsia" w:ascii="宋体" w:hAnsi="宋体" w:eastAsia="宋体" w:cs="宋体"/>
          <w:snapToGrid w:val="0"/>
          <w:color w:val="auto"/>
          <w:kern w:val="0"/>
          <w:sz w:val="24"/>
          <w:highlight w:val="none"/>
          <w:u w:val="single"/>
        </w:rPr>
        <w:t xml:space="preserve">   </w:t>
      </w:r>
    </w:p>
    <w:p w14:paraId="678AFBC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工程施工及有关事项协商一致，共同达成如下协议：</w:t>
      </w:r>
    </w:p>
    <w:p w14:paraId="02A8AB55">
      <w:pPr>
        <w:snapToGrid w:val="0"/>
        <w:spacing w:before="24" w:beforeLines="10" w:after="24" w:afterLines="10" w:line="360" w:lineRule="auto"/>
        <w:outlineLvl w:val="1"/>
        <w:rPr>
          <w:rFonts w:hint="eastAsia" w:ascii="宋体" w:hAnsi="宋体" w:eastAsia="宋体" w:cs="宋体"/>
          <w:b/>
          <w:bCs/>
          <w:snapToGrid w:val="0"/>
          <w:color w:val="auto"/>
          <w:kern w:val="0"/>
          <w:sz w:val="24"/>
          <w:highlight w:val="none"/>
        </w:rPr>
      </w:pPr>
      <w:bookmarkStart w:id="419" w:name="_Toc361220410"/>
      <w:bookmarkStart w:id="420" w:name="_Toc97299498"/>
      <w:r>
        <w:rPr>
          <w:rFonts w:hint="eastAsia" w:ascii="宋体" w:hAnsi="宋体" w:eastAsia="宋体" w:cs="宋体"/>
          <w:b/>
          <w:bCs/>
          <w:snapToGrid w:val="0"/>
          <w:color w:val="auto"/>
          <w:kern w:val="0"/>
          <w:sz w:val="24"/>
          <w:highlight w:val="none"/>
        </w:rPr>
        <w:t>一、工程概况</w:t>
      </w:r>
      <w:bookmarkEnd w:id="419"/>
      <w:bookmarkEnd w:id="420"/>
    </w:p>
    <w:p w14:paraId="1DB3DCB4">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bCs/>
          <w:snapToGrid w:val="0"/>
          <w:color w:val="auto"/>
          <w:kern w:val="0"/>
          <w:sz w:val="24"/>
          <w:highlight w:val="none"/>
        </w:rPr>
        <w:t>1.工程名称</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宁海县知恩中学卫生间、宿舍维修改造工程</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79E55917">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2.工程地点：</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1637CEC0">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3.工程立项批准文号：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lang w:val="en-US" w:eastAsia="zh-CN"/>
        </w:rPr>
        <w:t>/</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w:t>
      </w:r>
    </w:p>
    <w:p w14:paraId="4416B689">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        </w:t>
      </w:r>
      <w:r>
        <w:rPr>
          <w:rFonts w:hint="eastAsia" w:ascii="宋体" w:hAnsi="宋体" w:eastAsia="宋体" w:cs="宋体"/>
          <w:bCs/>
          <w:snapToGrid w:val="0"/>
          <w:color w:val="auto"/>
          <w:kern w:val="0"/>
          <w:sz w:val="24"/>
          <w:highlight w:val="none"/>
        </w:rPr>
        <w:t>。</w:t>
      </w:r>
    </w:p>
    <w:p w14:paraId="39A2624E">
      <w:pPr>
        <w:snapToGrid w:val="0"/>
        <w:spacing w:line="360" w:lineRule="auto"/>
        <w:ind w:firstLine="463" w:firstLineChars="193"/>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5.工程内容：</w:t>
      </w:r>
      <w:r>
        <w:rPr>
          <w:rFonts w:hint="eastAsia" w:ascii="宋体" w:hAnsi="宋体" w:cs="宋体"/>
          <w:color w:val="auto"/>
          <w:sz w:val="24"/>
          <w:highlight w:val="none"/>
          <w:lang w:eastAsia="zh-CN"/>
        </w:rPr>
        <w:t>宁海县知恩中学卫生间、宿舍维修改造工程</w:t>
      </w:r>
    </w:p>
    <w:p w14:paraId="56798F1E">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6.工程承包范围：</w:t>
      </w:r>
    </w:p>
    <w:p w14:paraId="785043A3">
      <w:pPr>
        <w:snapToGrid w:val="0"/>
        <w:spacing w:line="360" w:lineRule="auto"/>
        <w:ind w:firstLine="463" w:firstLineChars="193"/>
        <w:rPr>
          <w:rFonts w:hint="eastAsia" w:ascii="宋体" w:hAnsi="宋体" w:eastAsia="宋体" w:cs="宋体"/>
          <w:bCs/>
          <w:snapToGrid w:val="0"/>
          <w:color w:val="auto"/>
          <w:kern w:val="0"/>
          <w:sz w:val="24"/>
          <w:highlight w:val="none"/>
          <w:lang w:eastAsia="zh-CN"/>
        </w:rPr>
      </w:pPr>
      <w:bookmarkStart w:id="421" w:name="_Toc361220411"/>
      <w:r>
        <w:rPr>
          <w:rFonts w:hint="eastAsia" w:ascii="宋体" w:hAnsi="宋体" w:eastAsia="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宁海县知恩中学卫生间、宿舍维修改造工程</w:t>
      </w:r>
      <w:r>
        <w:rPr>
          <w:rFonts w:hint="eastAsia" w:ascii="宋体" w:hAnsi="宋体" w:eastAsia="宋体" w:cs="宋体"/>
          <w:bCs/>
          <w:snapToGrid w:val="0"/>
          <w:color w:val="auto"/>
          <w:kern w:val="0"/>
          <w:sz w:val="24"/>
          <w:highlight w:val="none"/>
        </w:rPr>
        <w:t>）项目，详见图纸、工程量清单以及采购文件要求</w:t>
      </w:r>
      <w:r>
        <w:rPr>
          <w:rFonts w:hint="eastAsia" w:ascii="宋体" w:hAnsi="宋体" w:cs="宋体"/>
          <w:bCs/>
          <w:snapToGrid w:val="0"/>
          <w:color w:val="auto"/>
          <w:kern w:val="0"/>
          <w:sz w:val="24"/>
          <w:highlight w:val="none"/>
          <w:lang w:eastAsia="zh-CN"/>
        </w:rPr>
        <w:t>。</w:t>
      </w:r>
    </w:p>
    <w:p w14:paraId="6F12B7E2">
      <w:pPr>
        <w:snapToGrid w:val="0"/>
        <w:spacing w:line="360" w:lineRule="auto"/>
        <w:outlineLvl w:val="1"/>
        <w:rPr>
          <w:rFonts w:hint="eastAsia" w:ascii="宋体" w:hAnsi="宋体" w:eastAsia="宋体" w:cs="宋体"/>
          <w:b/>
          <w:bCs/>
          <w:snapToGrid w:val="0"/>
          <w:color w:val="auto"/>
          <w:kern w:val="0"/>
          <w:sz w:val="24"/>
          <w:highlight w:val="none"/>
        </w:rPr>
      </w:pPr>
      <w:bookmarkStart w:id="422" w:name="_Toc97299499"/>
      <w:r>
        <w:rPr>
          <w:rFonts w:hint="eastAsia" w:ascii="宋体" w:hAnsi="宋体" w:eastAsia="宋体" w:cs="宋体"/>
          <w:b/>
          <w:bCs/>
          <w:snapToGrid w:val="0"/>
          <w:color w:val="auto"/>
          <w:kern w:val="0"/>
          <w:sz w:val="24"/>
          <w:highlight w:val="none"/>
        </w:rPr>
        <w:t>二、合同工期</w:t>
      </w:r>
      <w:bookmarkEnd w:id="421"/>
      <w:bookmarkEnd w:id="422"/>
    </w:p>
    <w:p w14:paraId="2C84AAA6">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计划开工日期：</w:t>
      </w:r>
      <w:r>
        <w:rPr>
          <w:rFonts w:hint="eastAsia" w:ascii="宋体" w:hAnsi="宋体" w:eastAsia="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14:paraId="41CAEE31">
      <w:pPr>
        <w:snapToGrid w:val="0"/>
        <w:spacing w:line="360" w:lineRule="auto"/>
        <w:ind w:firstLine="459"/>
        <w:rPr>
          <w:rFonts w:hint="eastAsia" w:ascii="宋体" w:hAnsi="宋体" w:eastAsia="宋体" w:cs="宋体"/>
          <w:snapToGrid w:val="0"/>
          <w:color w:val="auto"/>
          <w:kern w:val="0"/>
          <w:sz w:val="24"/>
          <w:highlight w:val="none"/>
        </w:rPr>
      </w:pPr>
      <w:bookmarkStart w:id="423" w:name="SOA_hhxys_jgn"/>
      <w:r>
        <w:rPr>
          <w:rFonts w:hint="eastAsia" w:ascii="宋体" w:hAnsi="宋体" w:eastAsia="宋体" w:cs="宋体"/>
          <w:snapToGrid w:val="0"/>
          <w:color w:val="auto"/>
          <w:kern w:val="0"/>
          <w:sz w:val="24"/>
          <w:highlight w:val="none"/>
        </w:rPr>
        <w:t>计划竣工日期：</w:t>
      </w:r>
      <w:r>
        <w:rPr>
          <w:rFonts w:hint="eastAsia" w:ascii="宋体" w:hAnsi="宋体" w:eastAsia="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bookmarkEnd w:id="423"/>
    </w:p>
    <w:p w14:paraId="7DB14241">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工期总日历天数：</w:t>
      </w:r>
      <w:r>
        <w:rPr>
          <w:rFonts w:hint="eastAsia" w:ascii="宋体" w:hAnsi="宋体" w:cs="宋体"/>
          <w:bCs/>
          <w:snapToGrid/>
          <w:color w:val="auto"/>
          <w:kern w:val="2"/>
          <w:sz w:val="24"/>
          <w:szCs w:val="24"/>
          <w:highlight w:val="none"/>
          <w:lang w:val="en-US" w:eastAsia="zh-CN" w:bidi="ar-SA"/>
        </w:rPr>
        <w:t>30日历日内完成工程施工，并通过验收。</w:t>
      </w:r>
    </w:p>
    <w:p w14:paraId="46EA83F8">
      <w:pPr>
        <w:snapToGrid w:val="0"/>
        <w:spacing w:line="360" w:lineRule="auto"/>
        <w:outlineLvl w:val="1"/>
        <w:rPr>
          <w:rFonts w:hint="eastAsia" w:ascii="宋体" w:hAnsi="宋体" w:eastAsia="宋体" w:cs="宋体"/>
          <w:b/>
          <w:bCs/>
          <w:snapToGrid w:val="0"/>
          <w:color w:val="auto"/>
          <w:kern w:val="0"/>
          <w:sz w:val="24"/>
          <w:highlight w:val="none"/>
        </w:rPr>
      </w:pPr>
      <w:bookmarkStart w:id="424" w:name="_Toc361220412"/>
      <w:bookmarkStart w:id="425" w:name="_Toc97299500"/>
      <w:r>
        <w:rPr>
          <w:rFonts w:hint="eastAsia" w:ascii="宋体" w:hAnsi="宋体" w:eastAsia="宋体" w:cs="宋体"/>
          <w:b/>
          <w:bCs/>
          <w:snapToGrid w:val="0"/>
          <w:color w:val="auto"/>
          <w:kern w:val="0"/>
          <w:sz w:val="24"/>
          <w:highlight w:val="none"/>
        </w:rPr>
        <w:t>三、质量标准</w:t>
      </w:r>
      <w:bookmarkEnd w:id="424"/>
      <w:bookmarkEnd w:id="425"/>
    </w:p>
    <w:p w14:paraId="3055B747">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工程质量符合</w:t>
      </w:r>
      <w:r>
        <w:rPr>
          <w:rFonts w:hint="eastAsia" w:ascii="宋体" w:hAnsi="宋体" w:eastAsia="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一次性验收通过</w:t>
      </w:r>
      <w:r>
        <w:rPr>
          <w:rFonts w:hint="eastAsia" w:ascii="宋体" w:hAnsi="宋体" w:eastAsia="宋体" w:cs="宋体"/>
          <w:snapToGrid w:val="0"/>
          <w:color w:val="auto"/>
          <w:kern w:val="0"/>
          <w:sz w:val="24"/>
          <w:highlight w:val="none"/>
          <w:u w:val="single"/>
        </w:rPr>
        <w:t></w:t>
      </w:r>
      <w:r>
        <w:rPr>
          <w:rFonts w:hint="eastAsia" w:ascii="宋体" w:hAnsi="宋体" w:eastAsia="宋体" w:cs="宋体"/>
          <w:snapToGrid w:val="0"/>
          <w:color w:val="auto"/>
          <w:kern w:val="0"/>
          <w:sz w:val="24"/>
          <w:highlight w:val="none"/>
        </w:rPr>
        <w:t>标准。</w:t>
      </w:r>
    </w:p>
    <w:p w14:paraId="6982B6FA">
      <w:pPr>
        <w:snapToGrid w:val="0"/>
        <w:spacing w:line="360" w:lineRule="auto"/>
        <w:outlineLvl w:val="1"/>
        <w:rPr>
          <w:rFonts w:hint="eastAsia" w:ascii="宋体" w:hAnsi="宋体" w:eastAsia="宋体" w:cs="宋体"/>
          <w:b/>
          <w:bCs/>
          <w:snapToGrid w:val="0"/>
          <w:color w:val="auto"/>
          <w:kern w:val="0"/>
          <w:sz w:val="24"/>
          <w:highlight w:val="none"/>
        </w:rPr>
      </w:pPr>
      <w:bookmarkStart w:id="426" w:name="_Toc361220413"/>
      <w:bookmarkStart w:id="427" w:name="_Toc97299501"/>
      <w:r>
        <w:rPr>
          <w:rFonts w:hint="eastAsia" w:ascii="宋体" w:hAnsi="宋体" w:eastAsia="宋体" w:cs="宋体"/>
          <w:b/>
          <w:bCs/>
          <w:snapToGrid w:val="0"/>
          <w:color w:val="auto"/>
          <w:kern w:val="0"/>
          <w:sz w:val="24"/>
          <w:highlight w:val="none"/>
        </w:rPr>
        <w:t>四、签约合同价与合同价格形式</w:t>
      </w:r>
      <w:bookmarkEnd w:id="426"/>
      <w:bookmarkEnd w:id="427"/>
    </w:p>
    <w:p w14:paraId="6D3AA8D3">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1.签约合同价为：</w:t>
      </w:r>
    </w:p>
    <w:p w14:paraId="7A1B63B1">
      <w:pPr>
        <w:snapToGrid w:val="0"/>
        <w:spacing w:line="360" w:lineRule="auto"/>
        <w:ind w:firstLine="600" w:firstLineChars="2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人民币（大写）</w:t>
      </w:r>
      <w:bookmarkStart w:id="428" w:name="SOA_hhxys_htjdx"/>
      <w:r>
        <w:rPr>
          <w:rFonts w:hint="eastAsia" w:ascii="宋体" w:hAnsi="宋体" w:eastAsia="宋体" w:cs="宋体"/>
          <w:snapToGrid w:val="0"/>
          <w:color w:val="auto"/>
          <w:kern w:val="0"/>
          <w:sz w:val="24"/>
          <w:highlight w:val="none"/>
          <w:u w:val="single"/>
        </w:rPr>
        <w:t xml:space="preserve">                   </w:t>
      </w:r>
      <w:bookmarkEnd w:id="428"/>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bookmarkStart w:id="429" w:name="SOA_hhxys_htjxx"/>
      <w:r>
        <w:rPr>
          <w:rFonts w:hint="eastAsia" w:ascii="宋体" w:hAnsi="宋体" w:eastAsia="宋体" w:cs="宋体"/>
          <w:snapToGrid w:val="0"/>
          <w:color w:val="auto"/>
          <w:kern w:val="0"/>
          <w:sz w:val="24"/>
          <w:highlight w:val="none"/>
          <w:u w:val="single"/>
        </w:rPr>
        <w:t xml:space="preserve">            </w:t>
      </w:r>
      <w:bookmarkEnd w:id="429"/>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13B96D91">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其中：</w:t>
      </w:r>
    </w:p>
    <w:p w14:paraId="770E9FE5">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（1）安全文明施工费：</w:t>
      </w:r>
    </w:p>
    <w:p w14:paraId="305CB79F">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0" w:name="SOA_hhxys_wmsgfdx"/>
      <w:r>
        <w:rPr>
          <w:rFonts w:hint="eastAsia" w:ascii="宋体" w:hAnsi="宋体" w:eastAsia="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1" w:name="SOA_hhxys_wmsgfxx"/>
      <w:r>
        <w:rPr>
          <w:rFonts w:hint="eastAsia" w:ascii="宋体" w:hAnsi="宋体" w:eastAsia="宋体" w:cs="宋体"/>
          <w:snapToGrid w:val="0"/>
          <w:color w:val="auto"/>
          <w:kern w:val="0"/>
          <w:sz w:val="24"/>
          <w:highlight w:val="none"/>
          <w:u w:val="single"/>
        </w:rPr>
        <w:t xml:space="preserve">                  </w:t>
      </w:r>
      <w:bookmarkEnd w:id="431"/>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3A4F8762">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（2）材料和工程设备暂估价金额：</w:t>
      </w:r>
    </w:p>
    <w:p w14:paraId="46FCB67E">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2" w:name="SOA_hhxys_sbzgjdx"/>
      <w:r>
        <w:rPr>
          <w:rFonts w:hint="eastAsia" w:ascii="宋体" w:hAnsi="宋体" w:eastAsia="宋体" w:cs="宋体"/>
          <w:snapToGrid w:val="0"/>
          <w:color w:val="auto"/>
          <w:kern w:val="0"/>
          <w:sz w:val="24"/>
          <w:highlight w:val="none"/>
          <w:u w:val="single"/>
        </w:rPr>
        <w:t xml:space="preserve">       </w:t>
      </w:r>
      <w:bookmarkEnd w:id="432"/>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3" w:name="SOA_hhxys_sbzgjxx"/>
      <w:r>
        <w:rPr>
          <w:rFonts w:hint="eastAsia" w:ascii="宋体" w:hAnsi="宋体" w:eastAsia="宋体" w:cs="宋体"/>
          <w:snapToGrid w:val="0"/>
          <w:color w:val="auto"/>
          <w:kern w:val="0"/>
          <w:sz w:val="24"/>
          <w:highlight w:val="none"/>
          <w:u w:val="single"/>
        </w:rPr>
        <w:t xml:space="preserve">      </w:t>
      </w:r>
      <w:bookmarkEnd w:id="433"/>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51658DAC">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（3）专业工程暂估价金额：</w:t>
      </w:r>
    </w:p>
    <w:p w14:paraId="5F55E8CB">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4" w:name="SOA_hhxys_gczgjdx"/>
      <w:r>
        <w:rPr>
          <w:rFonts w:hint="eastAsia" w:ascii="宋体" w:hAnsi="宋体" w:eastAsia="宋体" w:cs="宋体"/>
          <w:snapToGrid w:val="0"/>
          <w:color w:val="auto"/>
          <w:kern w:val="0"/>
          <w:sz w:val="24"/>
          <w:highlight w:val="none"/>
          <w:u w:val="single"/>
        </w:rPr>
        <w:t xml:space="preserve">       </w:t>
      </w:r>
      <w:bookmarkEnd w:id="434"/>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5" w:name="SOA_hhxys_gczgjxx"/>
      <w:r>
        <w:rPr>
          <w:rFonts w:hint="eastAsia" w:ascii="宋体" w:hAnsi="宋体" w:eastAsia="宋体" w:cs="宋体"/>
          <w:snapToGrid w:val="0"/>
          <w:color w:val="auto"/>
          <w:kern w:val="0"/>
          <w:sz w:val="24"/>
          <w:highlight w:val="none"/>
          <w:u w:val="single"/>
        </w:rPr>
        <w:t xml:space="preserve">       </w:t>
      </w:r>
      <w:bookmarkEnd w:id="435"/>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1E50A972">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（4）暂列金额：</w:t>
      </w:r>
    </w:p>
    <w:p w14:paraId="69243AD7">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6" w:name="SOA_hhxys_zljedx"/>
      <w:r>
        <w:rPr>
          <w:rFonts w:hint="eastAsia" w:ascii="宋体" w:hAnsi="宋体" w:eastAsia="宋体" w:cs="宋体"/>
          <w:snapToGrid w:val="0"/>
          <w:color w:val="auto"/>
          <w:kern w:val="0"/>
          <w:sz w:val="24"/>
          <w:highlight w:val="none"/>
          <w:u w:val="single"/>
        </w:rPr>
        <w:t xml:space="preserve">       </w:t>
      </w:r>
      <w:bookmarkEnd w:id="436"/>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7" w:name="SOA_hhxys_zljexx"/>
      <w:r>
        <w:rPr>
          <w:rFonts w:hint="eastAsia" w:ascii="宋体" w:hAnsi="宋体" w:eastAsia="宋体" w:cs="宋体"/>
          <w:snapToGrid w:val="0"/>
          <w:color w:val="auto"/>
          <w:kern w:val="0"/>
          <w:sz w:val="24"/>
          <w:highlight w:val="none"/>
          <w:u w:val="single"/>
        </w:rPr>
        <w:t xml:space="preserve">        </w:t>
      </w:r>
      <w:bookmarkEnd w:id="437"/>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330A0EBB">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2.合同价格形式：</w:t>
      </w:r>
      <w:r>
        <w:rPr>
          <w:rFonts w:hint="eastAsia" w:ascii="宋体" w:hAnsi="宋体" w:eastAsia="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固定单价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01193B55">
      <w:pPr>
        <w:snapToGrid w:val="0"/>
        <w:spacing w:line="360" w:lineRule="auto"/>
        <w:outlineLvl w:val="1"/>
        <w:rPr>
          <w:rFonts w:hint="eastAsia" w:ascii="宋体" w:hAnsi="宋体" w:eastAsia="宋体" w:cs="宋体"/>
          <w:b/>
          <w:bCs/>
          <w:snapToGrid w:val="0"/>
          <w:color w:val="auto"/>
          <w:kern w:val="0"/>
          <w:sz w:val="24"/>
          <w:highlight w:val="none"/>
        </w:rPr>
      </w:pPr>
      <w:bookmarkStart w:id="438" w:name="_Toc361220414"/>
      <w:bookmarkStart w:id="439" w:name="_Toc97299502"/>
      <w:r>
        <w:rPr>
          <w:rFonts w:hint="eastAsia" w:ascii="宋体" w:hAnsi="宋体" w:eastAsia="宋体" w:cs="宋体"/>
          <w:b/>
          <w:bCs/>
          <w:snapToGrid w:val="0"/>
          <w:color w:val="auto"/>
          <w:kern w:val="0"/>
          <w:sz w:val="24"/>
          <w:highlight w:val="none"/>
        </w:rPr>
        <w:t>五、项目经理</w:t>
      </w:r>
      <w:bookmarkEnd w:id="438"/>
      <w:bookmarkEnd w:id="439"/>
    </w:p>
    <w:p w14:paraId="40AEC944">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承包人项目经理：</w:t>
      </w:r>
      <w:r>
        <w:rPr>
          <w:rFonts w:hint="eastAsia" w:ascii="宋体" w:hAnsi="宋体" w:eastAsia="宋体" w:cs="宋体"/>
          <w:snapToGrid w:val="0"/>
          <w:color w:val="auto"/>
          <w:kern w:val="0"/>
          <w:sz w:val="24"/>
          <w:highlight w:val="none"/>
          <w:u w:val="single"/>
        </w:rPr>
        <w:t></w:t>
      </w:r>
      <w:bookmarkStart w:id="440" w:name="SOA_hhxys_cbrxmjl"/>
      <w:r>
        <w:rPr>
          <w:rFonts w:hint="eastAsia" w:ascii="宋体" w:hAnsi="宋体" w:eastAsia="宋体" w:cs="宋体"/>
          <w:snapToGrid w:val="0"/>
          <w:color w:val="auto"/>
          <w:kern w:val="0"/>
          <w:sz w:val="24"/>
          <w:highlight w:val="none"/>
          <w:u w:val="single"/>
        </w:rPr>
        <w:t xml:space="preserve">        </w:t>
      </w:r>
      <w:bookmarkEnd w:id="440"/>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721C8F82">
      <w:pPr>
        <w:snapToGrid w:val="0"/>
        <w:spacing w:line="360" w:lineRule="auto"/>
        <w:outlineLvl w:val="1"/>
        <w:rPr>
          <w:rFonts w:hint="eastAsia" w:ascii="宋体" w:hAnsi="宋体" w:eastAsia="宋体" w:cs="宋体"/>
          <w:b/>
          <w:bCs/>
          <w:snapToGrid w:val="0"/>
          <w:color w:val="auto"/>
          <w:kern w:val="0"/>
          <w:sz w:val="24"/>
          <w:highlight w:val="none"/>
        </w:rPr>
      </w:pPr>
      <w:bookmarkStart w:id="441" w:name="_Toc361220415"/>
      <w:bookmarkStart w:id="442" w:name="_Toc97299503"/>
      <w:r>
        <w:rPr>
          <w:rFonts w:hint="eastAsia" w:ascii="宋体" w:hAnsi="宋体" w:eastAsia="宋体" w:cs="宋体"/>
          <w:b/>
          <w:bCs/>
          <w:snapToGrid w:val="0"/>
          <w:color w:val="auto"/>
          <w:kern w:val="0"/>
          <w:sz w:val="24"/>
          <w:highlight w:val="none"/>
        </w:rPr>
        <w:t>六、合同文件构成</w:t>
      </w:r>
      <w:bookmarkEnd w:id="441"/>
      <w:bookmarkEnd w:id="442"/>
    </w:p>
    <w:p w14:paraId="220587D9">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本协议书与下列文件一起构成合同文件：</w:t>
      </w:r>
    </w:p>
    <w:p w14:paraId="7D917925">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（1）成交通知书（如果有）；</w:t>
      </w:r>
    </w:p>
    <w:p w14:paraId="5BE17E3A">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（2）响应函及其附录（如果有）； </w:t>
      </w:r>
    </w:p>
    <w:p w14:paraId="019A736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（3）专用合同条款及其附件；</w:t>
      </w:r>
    </w:p>
    <w:p w14:paraId="2EA253C4">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（4）通用合同条款；</w:t>
      </w:r>
    </w:p>
    <w:p w14:paraId="20DA40D8">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（5）技术标准和要求；</w:t>
      </w:r>
    </w:p>
    <w:p w14:paraId="1E2474B2">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（6）图纸；</w:t>
      </w:r>
    </w:p>
    <w:p w14:paraId="70A14FC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（7）已标价工程量清单或预算书；</w:t>
      </w:r>
    </w:p>
    <w:p w14:paraId="2CE5322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（8）其他合同文件。</w:t>
      </w:r>
    </w:p>
    <w:p w14:paraId="143A5356">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在合同订立及履行过程中形成的与合同有关的文件均构成合同文件组成部分。</w:t>
      </w:r>
    </w:p>
    <w:p w14:paraId="41402EC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097A984">
      <w:pPr>
        <w:snapToGrid w:val="0"/>
        <w:spacing w:line="360" w:lineRule="auto"/>
        <w:outlineLvl w:val="1"/>
        <w:rPr>
          <w:rFonts w:hint="eastAsia" w:ascii="宋体" w:hAnsi="宋体" w:eastAsia="宋体" w:cs="宋体"/>
          <w:b/>
          <w:bCs/>
          <w:snapToGrid w:val="0"/>
          <w:color w:val="auto"/>
          <w:kern w:val="0"/>
          <w:sz w:val="24"/>
          <w:highlight w:val="none"/>
        </w:rPr>
      </w:pPr>
      <w:bookmarkStart w:id="443" w:name="_Toc361220416"/>
      <w:bookmarkStart w:id="444" w:name="_Toc97299504"/>
      <w:r>
        <w:rPr>
          <w:rFonts w:hint="eastAsia" w:ascii="宋体" w:hAnsi="宋体" w:eastAsia="宋体" w:cs="宋体"/>
          <w:b/>
          <w:bCs/>
          <w:snapToGrid w:val="0"/>
          <w:color w:val="auto"/>
          <w:kern w:val="0"/>
          <w:sz w:val="24"/>
          <w:highlight w:val="none"/>
        </w:rPr>
        <w:t>七、承诺</w:t>
      </w:r>
      <w:bookmarkEnd w:id="443"/>
      <w:bookmarkEnd w:id="444"/>
    </w:p>
    <w:p w14:paraId="218F612E">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1.发包人承诺按照法律规定履行项目审批手续、筹集工程建设资金并按照合同约定的期限和方式支付合同价款。</w:t>
      </w:r>
    </w:p>
    <w:p w14:paraId="1C62CB8E">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723632D9">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3.发包人和承包人通过政府采购形式签订合同的，双方理解并承诺不再就同一工程另行签订与合同实质性内容相背离的协议。</w:t>
      </w:r>
    </w:p>
    <w:p w14:paraId="6F62A056">
      <w:pPr>
        <w:snapToGrid w:val="0"/>
        <w:spacing w:line="360" w:lineRule="auto"/>
        <w:outlineLvl w:val="1"/>
        <w:rPr>
          <w:rFonts w:hint="eastAsia" w:ascii="宋体" w:hAnsi="宋体" w:eastAsia="宋体" w:cs="宋体"/>
          <w:b/>
          <w:bCs/>
          <w:snapToGrid w:val="0"/>
          <w:color w:val="auto"/>
          <w:kern w:val="0"/>
          <w:sz w:val="24"/>
          <w:highlight w:val="none"/>
        </w:rPr>
      </w:pPr>
      <w:bookmarkStart w:id="445" w:name="_Toc361220417"/>
      <w:bookmarkStart w:id="446" w:name="_Toc97299505"/>
      <w:r>
        <w:rPr>
          <w:rFonts w:hint="eastAsia" w:ascii="宋体" w:hAnsi="宋体" w:eastAsia="宋体" w:cs="宋体"/>
          <w:b/>
          <w:bCs/>
          <w:snapToGrid w:val="0"/>
          <w:color w:val="auto"/>
          <w:kern w:val="0"/>
          <w:sz w:val="24"/>
          <w:highlight w:val="none"/>
        </w:rPr>
        <w:t>八、词语含义</w:t>
      </w:r>
      <w:bookmarkEnd w:id="445"/>
      <w:bookmarkEnd w:id="446"/>
    </w:p>
    <w:p w14:paraId="4C7A84DA">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本协议书中词语含义与第二部分通用合同条款中赋予的含义相同。</w:t>
      </w:r>
    </w:p>
    <w:p w14:paraId="54201D71">
      <w:pPr>
        <w:snapToGrid w:val="0"/>
        <w:spacing w:line="360" w:lineRule="auto"/>
        <w:outlineLvl w:val="1"/>
        <w:rPr>
          <w:rFonts w:hint="eastAsia" w:ascii="宋体" w:hAnsi="宋体" w:eastAsia="宋体" w:cs="宋体"/>
          <w:b/>
          <w:bCs/>
          <w:snapToGrid w:val="0"/>
          <w:color w:val="auto"/>
          <w:kern w:val="0"/>
          <w:sz w:val="24"/>
          <w:highlight w:val="none"/>
        </w:rPr>
      </w:pPr>
      <w:bookmarkStart w:id="447" w:name="_Toc361220418"/>
      <w:bookmarkStart w:id="448" w:name="_Toc97299506"/>
    </w:p>
    <w:p w14:paraId="6BAF564A">
      <w:pPr>
        <w:snapToGrid w:val="0"/>
        <w:spacing w:line="360" w:lineRule="auto"/>
        <w:outlineLvl w:val="1"/>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九、签订时间</w:t>
      </w:r>
      <w:bookmarkEnd w:id="447"/>
      <w:bookmarkEnd w:id="448"/>
    </w:p>
    <w:p w14:paraId="731DBCA1">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本合同于</w:t>
      </w:r>
      <w:bookmarkStart w:id="449" w:name="SOA_hhxys_htqdn"/>
      <w:r>
        <w:rPr>
          <w:rFonts w:hint="eastAsia" w:ascii="宋体" w:hAnsi="宋体" w:eastAsia="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2025</w:t>
      </w:r>
      <w:r>
        <w:rPr>
          <w:rFonts w:hint="eastAsia" w:ascii="宋体" w:hAnsi="宋体" w:eastAsia="宋体" w:cs="宋体"/>
          <w:bCs/>
          <w:snapToGrid w:val="0"/>
          <w:color w:val="auto"/>
          <w:kern w:val="0"/>
          <w:sz w:val="24"/>
          <w:highlight w:val="none"/>
          <w:u w:val="single"/>
        </w:rPr>
        <w:t xml:space="preserve"> </w:t>
      </w:r>
      <w:bookmarkEnd w:id="449"/>
      <w:r>
        <w:rPr>
          <w:rFonts w:hint="eastAsia" w:ascii="宋体" w:hAnsi="宋体" w:eastAsia="宋体" w:cs="宋体"/>
          <w:bCs/>
          <w:snapToGrid w:val="0"/>
          <w:color w:val="auto"/>
          <w:kern w:val="0"/>
          <w:sz w:val="24"/>
          <w:highlight w:val="none"/>
        </w:rPr>
        <w:t>年</w:t>
      </w:r>
      <w:bookmarkStart w:id="450" w:name="SOA_hhxys_htqdy"/>
      <w:r>
        <w:rPr>
          <w:rFonts w:hint="eastAsia" w:ascii="宋体" w:hAnsi="宋体" w:eastAsia="宋体" w:cs="宋体"/>
          <w:bCs/>
          <w:snapToGrid w:val="0"/>
          <w:color w:val="auto"/>
          <w:kern w:val="0"/>
          <w:sz w:val="24"/>
          <w:highlight w:val="none"/>
          <w:u w:val="single"/>
        </w:rPr>
        <w:t xml:space="preserve">      </w:t>
      </w:r>
      <w:bookmarkEnd w:id="450"/>
      <w:r>
        <w:rPr>
          <w:rFonts w:hint="eastAsia" w:ascii="宋体" w:hAnsi="宋体" w:eastAsia="宋体" w:cs="宋体"/>
          <w:bCs/>
          <w:snapToGrid w:val="0"/>
          <w:color w:val="auto"/>
          <w:kern w:val="0"/>
          <w:sz w:val="24"/>
          <w:highlight w:val="none"/>
        </w:rPr>
        <w:t>月</w:t>
      </w:r>
      <w:bookmarkStart w:id="451" w:name="SOA_hhxys_htqdr"/>
      <w:r>
        <w:rPr>
          <w:rFonts w:hint="eastAsia" w:ascii="宋体" w:hAnsi="宋体" w:eastAsia="宋体" w:cs="宋体"/>
          <w:bCs/>
          <w:snapToGrid w:val="0"/>
          <w:color w:val="auto"/>
          <w:kern w:val="0"/>
          <w:sz w:val="24"/>
          <w:highlight w:val="none"/>
          <w:u w:val="single"/>
        </w:rPr>
        <w:t xml:space="preserve">      </w:t>
      </w:r>
      <w:bookmarkEnd w:id="451"/>
      <w:r>
        <w:rPr>
          <w:rFonts w:hint="eastAsia" w:ascii="宋体" w:hAnsi="宋体" w:eastAsia="宋体" w:cs="宋体"/>
          <w:bCs/>
          <w:snapToGrid w:val="0"/>
          <w:color w:val="auto"/>
          <w:kern w:val="0"/>
          <w:sz w:val="24"/>
          <w:highlight w:val="none"/>
        </w:rPr>
        <w:t>日签订。</w:t>
      </w:r>
    </w:p>
    <w:p w14:paraId="016EE8CA">
      <w:pPr>
        <w:snapToGrid w:val="0"/>
        <w:spacing w:line="360" w:lineRule="auto"/>
        <w:outlineLvl w:val="1"/>
        <w:rPr>
          <w:rFonts w:hint="eastAsia" w:ascii="宋体" w:hAnsi="宋体" w:eastAsia="宋体" w:cs="宋体"/>
          <w:b/>
          <w:bCs/>
          <w:snapToGrid w:val="0"/>
          <w:color w:val="auto"/>
          <w:kern w:val="0"/>
          <w:sz w:val="24"/>
          <w:highlight w:val="none"/>
        </w:rPr>
      </w:pPr>
      <w:bookmarkStart w:id="452" w:name="_Toc97299507"/>
      <w:bookmarkStart w:id="453" w:name="_Toc361220419"/>
      <w:r>
        <w:rPr>
          <w:rFonts w:hint="eastAsia" w:ascii="宋体" w:hAnsi="宋体" w:eastAsia="宋体" w:cs="宋体"/>
          <w:b/>
          <w:bCs/>
          <w:snapToGrid w:val="0"/>
          <w:color w:val="auto"/>
          <w:kern w:val="0"/>
          <w:sz w:val="24"/>
          <w:highlight w:val="none"/>
        </w:rPr>
        <w:t>十、签订地点</w:t>
      </w:r>
      <w:bookmarkEnd w:id="452"/>
      <w:bookmarkEnd w:id="453"/>
    </w:p>
    <w:p w14:paraId="322348E8">
      <w:pPr>
        <w:snapToGrid w:val="0"/>
        <w:spacing w:line="360" w:lineRule="auto"/>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    本合同在</w:t>
      </w:r>
      <w:r>
        <w:rPr>
          <w:rFonts w:hint="eastAsia" w:ascii="宋体" w:hAnsi="宋体" w:eastAsia="宋体" w:cs="宋体"/>
          <w:bCs/>
          <w:snapToGrid w:val="0"/>
          <w:color w:val="auto"/>
          <w:kern w:val="0"/>
          <w:sz w:val="24"/>
          <w:highlight w:val="none"/>
          <w:u w:val="single"/>
        </w:rPr>
        <w:t xml:space="preserve">   </w:t>
      </w:r>
      <w:bookmarkStart w:id="454" w:name="SOA_zyht_htqddd"/>
      <w:r>
        <w:rPr>
          <w:rFonts w:hint="eastAsia" w:ascii="宋体" w:hAnsi="宋体" w:eastAsia="宋体" w:cs="宋体"/>
          <w:bCs/>
          <w:snapToGrid w:val="0"/>
          <w:color w:val="auto"/>
          <w:kern w:val="0"/>
          <w:sz w:val="24"/>
          <w:highlight w:val="none"/>
          <w:u w:val="single"/>
        </w:rPr>
        <w:t xml:space="preserve">  宁波市</w:t>
      </w:r>
      <w:r>
        <w:rPr>
          <w:rFonts w:hint="eastAsia" w:ascii="宋体" w:hAnsi="宋体" w:cs="宋体"/>
          <w:bCs/>
          <w:snapToGrid w:val="0"/>
          <w:color w:val="auto"/>
          <w:kern w:val="0"/>
          <w:sz w:val="24"/>
          <w:highlight w:val="none"/>
          <w:u w:val="single"/>
          <w:lang w:val="en-US" w:eastAsia="zh-CN"/>
        </w:rPr>
        <w:t>宁海县</w:t>
      </w:r>
      <w:r>
        <w:rPr>
          <w:rFonts w:hint="eastAsia" w:ascii="宋体" w:hAnsi="宋体" w:eastAsia="宋体" w:cs="宋体"/>
          <w:bCs/>
          <w:snapToGrid w:val="0"/>
          <w:color w:val="auto"/>
          <w:kern w:val="0"/>
          <w:sz w:val="24"/>
          <w:highlight w:val="none"/>
          <w:u w:val="single"/>
        </w:rPr>
        <w:t xml:space="preserve">   </w:t>
      </w:r>
      <w:bookmarkEnd w:id="454"/>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签订。</w:t>
      </w:r>
    </w:p>
    <w:p w14:paraId="43B7D197">
      <w:pPr>
        <w:snapToGrid w:val="0"/>
        <w:spacing w:line="360" w:lineRule="auto"/>
        <w:outlineLvl w:val="1"/>
        <w:rPr>
          <w:rFonts w:hint="eastAsia" w:ascii="宋体" w:hAnsi="宋体" w:eastAsia="宋体" w:cs="宋体"/>
          <w:b/>
          <w:bCs/>
          <w:snapToGrid w:val="0"/>
          <w:color w:val="auto"/>
          <w:kern w:val="0"/>
          <w:sz w:val="24"/>
          <w:highlight w:val="none"/>
        </w:rPr>
      </w:pPr>
      <w:bookmarkStart w:id="455" w:name="_Toc361220420"/>
      <w:bookmarkStart w:id="456" w:name="_Toc97299508"/>
      <w:r>
        <w:rPr>
          <w:rFonts w:hint="eastAsia" w:ascii="宋体" w:hAnsi="宋体" w:eastAsia="宋体" w:cs="宋体"/>
          <w:b/>
          <w:bCs/>
          <w:snapToGrid w:val="0"/>
          <w:color w:val="auto"/>
          <w:kern w:val="0"/>
          <w:sz w:val="24"/>
          <w:highlight w:val="none"/>
        </w:rPr>
        <w:t>十一、补充协议</w:t>
      </w:r>
      <w:bookmarkEnd w:id="455"/>
      <w:bookmarkEnd w:id="456"/>
    </w:p>
    <w:p w14:paraId="686130AA">
      <w:pPr>
        <w:snapToGrid w:val="0"/>
        <w:spacing w:line="360" w:lineRule="auto"/>
        <w:ind w:firstLine="480" w:firstLineChars="200"/>
        <w:rPr>
          <w:rFonts w:hint="eastAsia" w:ascii="宋体" w:hAnsi="宋体" w:eastAsia="宋体" w:cs="宋体"/>
          <w:b/>
          <w:bCs/>
          <w:snapToGrid w:val="0"/>
          <w:color w:val="auto"/>
          <w:kern w:val="0"/>
          <w:sz w:val="24"/>
          <w:highlight w:val="none"/>
        </w:rPr>
      </w:pPr>
      <w:r>
        <w:rPr>
          <w:rFonts w:hint="eastAsia" w:ascii="宋体" w:hAnsi="宋体" w:eastAsia="宋体" w:cs="宋体"/>
          <w:bCs/>
          <w:snapToGrid w:val="0"/>
          <w:color w:val="auto"/>
          <w:kern w:val="0"/>
          <w:sz w:val="24"/>
          <w:highlight w:val="none"/>
        </w:rPr>
        <w:t>合同未尽事宜，合同当事人另行签订补充协议，补充协议是合同的组成部分。</w:t>
      </w:r>
    </w:p>
    <w:p w14:paraId="7B8594ED">
      <w:pPr>
        <w:snapToGrid w:val="0"/>
        <w:spacing w:line="360" w:lineRule="auto"/>
        <w:outlineLvl w:val="1"/>
        <w:rPr>
          <w:rFonts w:hint="eastAsia" w:ascii="宋体" w:hAnsi="宋体" w:eastAsia="宋体" w:cs="宋体"/>
          <w:b/>
          <w:bCs/>
          <w:snapToGrid w:val="0"/>
          <w:color w:val="auto"/>
          <w:kern w:val="0"/>
          <w:sz w:val="24"/>
          <w:highlight w:val="none"/>
        </w:rPr>
      </w:pPr>
      <w:bookmarkStart w:id="457" w:name="_Toc97299509"/>
      <w:bookmarkStart w:id="458" w:name="_Toc361220421"/>
      <w:r>
        <w:rPr>
          <w:rFonts w:hint="eastAsia" w:ascii="宋体" w:hAnsi="宋体" w:eastAsia="宋体" w:cs="宋体"/>
          <w:b/>
          <w:bCs/>
          <w:snapToGrid w:val="0"/>
          <w:color w:val="auto"/>
          <w:kern w:val="0"/>
          <w:sz w:val="24"/>
          <w:highlight w:val="none"/>
        </w:rPr>
        <w:t>十二、合同生效</w:t>
      </w:r>
      <w:bookmarkEnd w:id="457"/>
      <w:bookmarkEnd w:id="458"/>
    </w:p>
    <w:p w14:paraId="4DD69325">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本合同自</w:t>
      </w:r>
      <w:r>
        <w:rPr>
          <w:rFonts w:hint="eastAsia" w:ascii="宋体" w:hAnsi="宋体" w:eastAsia="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双方签字盖章之日起</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生效。</w:t>
      </w:r>
    </w:p>
    <w:p w14:paraId="10C611CD">
      <w:pPr>
        <w:snapToGrid w:val="0"/>
        <w:spacing w:line="360" w:lineRule="auto"/>
        <w:outlineLvl w:val="1"/>
        <w:rPr>
          <w:rFonts w:hint="eastAsia" w:ascii="宋体" w:hAnsi="宋体" w:eastAsia="宋体" w:cs="宋体"/>
          <w:b/>
          <w:bCs/>
          <w:snapToGrid w:val="0"/>
          <w:color w:val="auto"/>
          <w:kern w:val="0"/>
          <w:sz w:val="24"/>
          <w:highlight w:val="none"/>
        </w:rPr>
      </w:pPr>
      <w:bookmarkStart w:id="459" w:name="_Toc97299510"/>
      <w:bookmarkStart w:id="460" w:name="_Toc361220422"/>
      <w:r>
        <w:rPr>
          <w:rFonts w:hint="eastAsia" w:ascii="宋体" w:hAnsi="宋体" w:eastAsia="宋体" w:cs="宋体"/>
          <w:b/>
          <w:bCs/>
          <w:snapToGrid w:val="0"/>
          <w:color w:val="auto"/>
          <w:kern w:val="0"/>
          <w:sz w:val="24"/>
          <w:highlight w:val="none"/>
        </w:rPr>
        <w:t>十三、合同份数</w:t>
      </w:r>
      <w:bookmarkEnd w:id="459"/>
      <w:bookmarkEnd w:id="460"/>
    </w:p>
    <w:p w14:paraId="61B15E5B">
      <w:pPr>
        <w:snapToGrid w:val="0"/>
        <w:spacing w:line="360" w:lineRule="auto"/>
        <w:ind w:left="210" w:leftChars="100" w:firstLine="240" w:firstLineChars="1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lang w:val="en-US" w:eastAsia="zh-CN"/>
        </w:rPr>
        <w:t>五</w:t>
      </w:r>
      <w:r>
        <w:rPr>
          <w:rFonts w:hint="eastAsia" w:ascii="宋体" w:hAnsi="宋体" w:eastAsia="宋体" w:cs="宋体"/>
          <w:bCs/>
          <w:snapToGrid w:val="0"/>
          <w:color w:val="auto"/>
          <w:kern w:val="0"/>
          <w:sz w:val="24"/>
          <w:highlight w:val="none"/>
        </w:rPr>
        <w:t>份，均具有同等法律效力，发包人执</w:t>
      </w:r>
      <w:r>
        <w:rPr>
          <w:rFonts w:hint="eastAsia" w:ascii="宋体" w:hAnsi="宋体" w:cs="宋体"/>
          <w:b/>
          <w:snapToGrid w:val="0"/>
          <w:color w:val="auto"/>
          <w:kern w:val="0"/>
          <w:sz w:val="24"/>
          <w:highlight w:val="none"/>
          <w:u w:val="single"/>
          <w:lang w:val="en-US" w:eastAsia="zh-CN"/>
        </w:rPr>
        <w:t>贰</w:t>
      </w:r>
      <w:r>
        <w:rPr>
          <w:rFonts w:hint="eastAsia" w:ascii="宋体" w:hAnsi="宋体" w:eastAsia="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lang w:val="en-US" w:eastAsia="zh-CN"/>
        </w:rPr>
        <w:t>贰</w:t>
      </w:r>
      <w:r>
        <w:rPr>
          <w:rFonts w:hint="eastAsia" w:ascii="宋体" w:hAnsi="宋体" w:eastAsia="宋体" w:cs="宋体"/>
          <w:bCs/>
          <w:snapToGrid w:val="0"/>
          <w:color w:val="auto"/>
          <w:kern w:val="0"/>
          <w:sz w:val="24"/>
          <w:highlight w:val="none"/>
        </w:rPr>
        <w:t>份。</w:t>
      </w:r>
    </w:p>
    <w:p w14:paraId="38D4182D">
      <w:pPr>
        <w:snapToGrid w:val="0"/>
        <w:spacing w:line="360" w:lineRule="auto"/>
        <w:ind w:firstLine="480" w:firstLineChars="200"/>
        <w:rPr>
          <w:rFonts w:hint="eastAsia" w:ascii="宋体" w:hAnsi="宋体" w:eastAsia="宋体" w:cs="宋体"/>
          <w:snapToGrid w:val="0"/>
          <w:color w:val="auto"/>
          <w:kern w:val="0"/>
          <w:sz w:val="24"/>
          <w:highlight w:val="none"/>
        </w:rPr>
      </w:pPr>
    </w:p>
    <w:p w14:paraId="086FEAC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发包人：  </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公章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 xml:space="preserve">承包人：  </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公章</w:t>
      </w:r>
      <w:r>
        <w:rPr>
          <w:rFonts w:hint="eastAsia" w:ascii="宋体" w:hAnsi="宋体" w:cs="宋体"/>
          <w:snapToGrid w:val="0"/>
          <w:color w:val="auto"/>
          <w:kern w:val="0"/>
          <w:sz w:val="24"/>
          <w:highlight w:val="none"/>
          <w:lang w:eastAsia="zh-CN"/>
        </w:rPr>
        <w:t>）</w:t>
      </w:r>
    </w:p>
    <w:p w14:paraId="349A3617">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法定代表人或其委托代理人：</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法定代表人或其委托代理人：</w:t>
      </w:r>
    </w:p>
    <w:p w14:paraId="4DF0620F">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（签字）</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（签字）</w:t>
      </w:r>
    </w:p>
    <w:p w14:paraId="46BCFE93">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组织机构代码：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组织机构代码：</w:t>
      </w:r>
      <w:bookmarkStart w:id="461" w:name="SOA_hhxys_zjjgdm1"/>
      <w:r>
        <w:rPr>
          <w:rFonts w:hint="eastAsia" w:ascii="宋体" w:hAnsi="宋体" w:eastAsia="宋体" w:cs="宋体"/>
          <w:snapToGrid w:val="0"/>
          <w:color w:val="auto"/>
          <w:kern w:val="0"/>
          <w:sz w:val="24"/>
          <w:highlight w:val="none"/>
          <w:u w:val="single"/>
        </w:rPr>
        <w:t xml:space="preserve">      </w:t>
      </w:r>
      <w:bookmarkEnd w:id="461"/>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338816B2">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1193F2B3">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邮政编码：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邮政编码：</w:t>
      </w:r>
      <w:bookmarkStart w:id="462" w:name="SOA_hhxys_cbryb"/>
      <w:r>
        <w:rPr>
          <w:rFonts w:hint="eastAsia" w:ascii="宋体" w:hAnsi="宋体" w:eastAsia="宋体" w:cs="宋体"/>
          <w:snapToGrid w:val="0"/>
          <w:color w:val="auto"/>
          <w:kern w:val="0"/>
          <w:sz w:val="24"/>
          <w:highlight w:val="none"/>
          <w:u w:val="single"/>
        </w:rPr>
        <w:t xml:space="preserve">             </w:t>
      </w:r>
      <w:bookmarkEnd w:id="462"/>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4FA1A9A9">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法定代表人：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法定代表人：</w:t>
      </w:r>
      <w:bookmarkStart w:id="463" w:name="SOA_hhxys_fddbr1"/>
      <w:r>
        <w:rPr>
          <w:rFonts w:hint="eastAsia" w:ascii="宋体" w:hAnsi="宋体" w:eastAsia="宋体" w:cs="宋体"/>
          <w:snapToGrid w:val="0"/>
          <w:color w:val="auto"/>
          <w:kern w:val="0"/>
          <w:sz w:val="24"/>
          <w:highlight w:val="none"/>
          <w:u w:val="single"/>
        </w:rPr>
        <w:t xml:space="preserve">     </w:t>
      </w:r>
      <w:bookmarkEnd w:id="463"/>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7A97738D">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委托代理人：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委托代理人：</w:t>
      </w:r>
      <w:bookmarkStart w:id="464" w:name="SOA_hhxys_wtdlr1"/>
      <w:r>
        <w:rPr>
          <w:rFonts w:hint="eastAsia" w:ascii="宋体" w:hAnsi="宋体" w:eastAsia="宋体" w:cs="宋体"/>
          <w:snapToGrid w:val="0"/>
          <w:color w:val="auto"/>
          <w:kern w:val="0"/>
          <w:sz w:val="24"/>
          <w:highlight w:val="none"/>
          <w:u w:val="single"/>
        </w:rPr>
        <w:t xml:space="preserve">    </w:t>
      </w:r>
      <w:bookmarkEnd w:id="464"/>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00A575D">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  话：</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  话：</w:t>
      </w:r>
      <w:bookmarkStart w:id="465" w:name="SOA_hhxys_cbrdh"/>
      <w:r>
        <w:rPr>
          <w:rFonts w:hint="eastAsia" w:ascii="宋体" w:hAnsi="宋体" w:eastAsia="宋体" w:cs="宋体"/>
          <w:snapToGrid w:val="0"/>
          <w:color w:val="auto"/>
          <w:kern w:val="0"/>
          <w:sz w:val="24"/>
          <w:highlight w:val="none"/>
          <w:u w:val="single"/>
        </w:rPr>
        <w:t xml:space="preserve">            </w:t>
      </w:r>
      <w:bookmarkEnd w:id="465"/>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67CC43C1">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传  真：</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传  真：</w:t>
      </w:r>
      <w:bookmarkStart w:id="466" w:name="SOA_hhxys_cbrcz"/>
      <w:r>
        <w:rPr>
          <w:rFonts w:hint="eastAsia" w:ascii="宋体" w:hAnsi="宋体" w:eastAsia="宋体" w:cs="宋体"/>
          <w:snapToGrid w:val="0"/>
          <w:color w:val="auto"/>
          <w:kern w:val="0"/>
          <w:sz w:val="24"/>
          <w:highlight w:val="none"/>
          <w:u w:val="single"/>
        </w:rPr>
        <w:t xml:space="preserve">              </w:t>
      </w:r>
      <w:bookmarkEnd w:id="466"/>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F83AAF0">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电子信箱：</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电子信箱：</w:t>
      </w:r>
      <w:bookmarkStart w:id="467" w:name="SOA_hhxys_cbrdzxx"/>
      <w:r>
        <w:rPr>
          <w:rFonts w:hint="eastAsia" w:ascii="宋体" w:hAnsi="宋体" w:eastAsia="宋体" w:cs="宋体"/>
          <w:snapToGrid w:val="0"/>
          <w:color w:val="auto"/>
          <w:kern w:val="0"/>
          <w:sz w:val="24"/>
          <w:highlight w:val="none"/>
          <w:u w:val="single"/>
        </w:rPr>
        <w:t xml:space="preserve">      </w:t>
      </w:r>
      <w:bookmarkEnd w:id="467"/>
      <w:r>
        <w:rPr>
          <w:rFonts w:hint="eastAsia" w:ascii="宋体" w:hAnsi="宋体" w:eastAsia="宋体" w:cs="宋体"/>
          <w:snapToGrid w:val="0"/>
          <w:color w:val="auto"/>
          <w:kern w:val="0"/>
          <w:sz w:val="24"/>
          <w:highlight w:val="none"/>
          <w:u w:val="single"/>
        </w:rPr>
        <w:t xml:space="preserve">  </w:t>
      </w:r>
    </w:p>
    <w:p w14:paraId="084E0BB7">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 xml:space="preserve">                 </w:t>
      </w:r>
    </w:p>
    <w:p w14:paraId="5E87A8BC">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w:t>
      </w:r>
      <w:bookmarkStart w:id="468" w:name="SOA_hhxys_cbrzh"/>
      <w:r>
        <w:rPr>
          <w:rFonts w:hint="eastAsia" w:ascii="宋体" w:hAnsi="宋体" w:eastAsia="宋体" w:cs="宋体"/>
          <w:snapToGrid w:val="0"/>
          <w:color w:val="auto"/>
          <w:kern w:val="0"/>
          <w:sz w:val="24"/>
          <w:highlight w:val="none"/>
          <w:u w:val="single"/>
        </w:rPr>
        <w:t xml:space="preserve"> </w:t>
      </w:r>
      <w:bookmarkEnd w:id="468"/>
      <w:r>
        <w:rPr>
          <w:rFonts w:hint="eastAsia" w:ascii="宋体" w:hAnsi="宋体" w:eastAsia="宋体" w:cs="宋体"/>
          <w:snapToGrid w:val="0"/>
          <w:color w:val="auto"/>
          <w:kern w:val="0"/>
          <w:sz w:val="24"/>
          <w:highlight w:val="none"/>
          <w:u w:val="single"/>
        </w:rPr>
        <w:t xml:space="preserve">        </w:t>
      </w:r>
    </w:p>
    <w:p w14:paraId="3E87C765">
      <w:pPr>
        <w:pStyle w:val="964"/>
        <w:ind w:firstLine="0" w:firstLineChars="0"/>
        <w:jc w:val="center"/>
        <w:outlineLvl w:val="0"/>
        <w:rPr>
          <w:rFonts w:hint="eastAsia" w:ascii="宋体" w:hAnsi="宋体" w:eastAsia="宋体" w:cs="宋体"/>
          <w:b/>
          <w:color w:val="auto"/>
          <w:kern w:val="2"/>
          <w:sz w:val="32"/>
          <w:szCs w:val="32"/>
          <w:highlight w:val="none"/>
          <w:lang w:eastAsia="zh-CN"/>
        </w:rPr>
      </w:pPr>
      <w:r>
        <w:rPr>
          <w:rFonts w:hint="eastAsia" w:ascii="宋体" w:hAnsi="宋体" w:eastAsia="宋体" w:cs="宋体"/>
          <w:snapToGrid w:val="0"/>
          <w:color w:val="auto"/>
          <w:sz w:val="24"/>
          <w:highlight w:val="none"/>
        </w:rPr>
        <w:br w:type="page"/>
      </w:r>
      <w:bookmarkStart w:id="469" w:name="_Toc22278"/>
      <w:bookmarkStart w:id="470" w:name="_Toc22301"/>
      <w:bookmarkStart w:id="471" w:name="_Toc534620509"/>
      <w:bookmarkStart w:id="472" w:name="_Toc249091536"/>
      <w:r>
        <w:rPr>
          <w:rFonts w:hint="eastAsia" w:ascii="宋体" w:hAnsi="宋体" w:eastAsia="宋体" w:cs="宋体"/>
          <w:b/>
          <w:color w:val="auto"/>
          <w:kern w:val="2"/>
          <w:sz w:val="32"/>
          <w:szCs w:val="32"/>
          <w:highlight w:val="none"/>
        </w:rPr>
        <w:t>第</w:t>
      </w:r>
      <w:r>
        <w:rPr>
          <w:rFonts w:hint="eastAsia" w:ascii="宋体" w:hAnsi="宋体" w:cs="宋体"/>
          <w:b/>
          <w:color w:val="auto"/>
          <w:kern w:val="2"/>
          <w:sz w:val="32"/>
          <w:szCs w:val="32"/>
          <w:highlight w:val="none"/>
          <w:lang w:val="en-US" w:eastAsia="zh-CN"/>
        </w:rPr>
        <w:t>二部分</w:t>
      </w:r>
      <w:r>
        <w:rPr>
          <w:rFonts w:hint="eastAsia" w:ascii="宋体" w:hAnsi="宋体" w:eastAsia="宋体" w:cs="宋体"/>
          <w:b/>
          <w:color w:val="auto"/>
          <w:kern w:val="2"/>
          <w:sz w:val="32"/>
          <w:szCs w:val="32"/>
          <w:highlight w:val="none"/>
        </w:rPr>
        <w:t xml:space="preserve"> 合同条款及格式</w:t>
      </w:r>
      <w:bookmarkEnd w:id="469"/>
      <w:bookmarkEnd w:id="470"/>
    </w:p>
    <w:p w14:paraId="627B29B9">
      <w:pPr>
        <w:pStyle w:val="964"/>
        <w:ind w:firstLine="0" w:firstLineChars="0"/>
        <w:jc w:val="center"/>
        <w:outlineLvl w:val="0"/>
        <w:rPr>
          <w:rFonts w:hint="eastAsia" w:ascii="宋体" w:hAnsi="宋体" w:eastAsia="宋体" w:cs="宋体"/>
          <w:b/>
          <w:color w:val="auto"/>
          <w:kern w:val="2"/>
          <w:sz w:val="32"/>
          <w:szCs w:val="32"/>
          <w:highlight w:val="none"/>
          <w:lang w:eastAsia="zh-CN"/>
        </w:rPr>
      </w:pPr>
    </w:p>
    <w:p w14:paraId="02249976">
      <w:pPr>
        <w:pageBreakBefore w:val="0"/>
        <w:widowControl w:val="0"/>
        <w:kinsoku/>
        <w:wordWrap/>
        <w:overflowPunct/>
        <w:topLinePunct w:val="0"/>
        <w:bidi w:val="0"/>
        <w:adjustRightInd/>
        <w:spacing w:line="332" w:lineRule="auto"/>
        <w:ind w:firstLine="472" w:firstLineChars="19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通用合同条款</w:t>
      </w:r>
    </w:p>
    <w:p w14:paraId="138852E8">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通用合同条款直接引用中国建筑工业出版社出版的《建设工程施工合同（示范文本）》（GF-2017-0201）第二部分“通用合同条款”内容。</w:t>
      </w:r>
    </w:p>
    <w:p w14:paraId="5BE8FF37">
      <w:pPr>
        <w:pageBreakBefore w:val="0"/>
        <w:widowControl w:val="0"/>
        <w:kinsoku/>
        <w:wordWrap/>
        <w:overflowPunct/>
        <w:topLinePunct w:val="0"/>
        <w:bidi w:val="0"/>
        <w:adjustRightInd/>
        <w:spacing w:line="332" w:lineRule="auto"/>
        <w:ind w:firstLine="470" w:firstLineChars="19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专用条款</w:t>
      </w:r>
    </w:p>
    <w:p w14:paraId="2E40C732">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bookmarkStart w:id="473" w:name="_Hlk89720399"/>
      <w:r>
        <w:rPr>
          <w:rFonts w:hint="eastAsia" w:ascii="宋体" w:hAnsi="宋体" w:eastAsia="宋体" w:cs="宋体"/>
          <w:b/>
          <w:bCs/>
          <w:color w:val="auto"/>
          <w:sz w:val="24"/>
          <w:szCs w:val="24"/>
          <w:highlight w:val="none"/>
        </w:rPr>
        <w:t>以下为招标人提出的涉及投标人的主要条款，投标人须在投标文件中承诺是否同意。（以下称</w:t>
      </w:r>
      <w:r>
        <w:rPr>
          <w:rFonts w:hint="eastAsia" w:ascii="宋体" w:hAnsi="宋体" w:eastAsia="宋体" w:cs="宋体"/>
          <w:b/>
          <w:bCs/>
          <w:color w:val="auto"/>
          <w:sz w:val="24"/>
          <w:szCs w:val="24"/>
          <w:highlight w:val="none"/>
          <w:lang w:eastAsia="zh-CN"/>
        </w:rPr>
        <w:t>宁波市海曙区南门街道社区卫生服务中心</w:t>
      </w:r>
      <w:r>
        <w:rPr>
          <w:rFonts w:hint="eastAsia" w:ascii="宋体" w:hAnsi="宋体" w:eastAsia="宋体" w:cs="宋体"/>
          <w:b/>
          <w:bCs/>
          <w:color w:val="auto"/>
          <w:sz w:val="24"/>
          <w:szCs w:val="24"/>
          <w:highlight w:val="none"/>
        </w:rPr>
        <w:t>为发包人，称成交人为承包人）</w:t>
      </w:r>
    </w:p>
    <w:bookmarkEnd w:id="473"/>
    <w:p w14:paraId="20AC00E8">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本工程的通用合同条款，采用住房和城乡建设部、国家工商行政管理总局颁发的《建设工程施工合同（示范文本）》（GF-2017-0201）的通用合同条款。</w:t>
      </w:r>
    </w:p>
    <w:p w14:paraId="2ABD9899">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专用合同条款主要内容如下：</w:t>
      </w:r>
    </w:p>
    <w:p w14:paraId="4F267141">
      <w:pPr>
        <w:keepNext/>
        <w:keepLines/>
        <w:pageBreakBefore w:val="0"/>
        <w:widowControl w:val="0"/>
        <w:kinsoku/>
        <w:wordWrap/>
        <w:overflowPunct/>
        <w:topLinePunct w:val="0"/>
        <w:bidi w:val="0"/>
        <w:adjustRightInd/>
        <w:snapToGrid w:val="0"/>
        <w:spacing w:before="120" w:after="120" w:line="332" w:lineRule="auto"/>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118A304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 词语定义</w:t>
      </w:r>
    </w:p>
    <w:p w14:paraId="62A3573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1.1.1合同</w:t>
      </w:r>
    </w:p>
    <w:p w14:paraId="2E7F965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b/>
          <w:bCs/>
          <w:color w:val="auto"/>
          <w:sz w:val="24"/>
          <w:szCs w:val="24"/>
          <w:highlight w:val="none"/>
          <w:u w:val="single"/>
        </w:rPr>
        <w:t>投标报价资料、工程的洽商、变更等书面协议或文件、承包人按规定办理的保险合同、本项目内全过程管理、跟踪审计等相关合同等。</w:t>
      </w:r>
    </w:p>
    <w:p w14:paraId="13EDCD1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62E788A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6A86D4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1.1.2.5设计人：</w:t>
      </w:r>
    </w:p>
    <w:p w14:paraId="29EB5AE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FBFC9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2DBB546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 xml:space="preserve">1.3法律 </w:t>
      </w:r>
    </w:p>
    <w:p w14:paraId="42CD6CFF">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适用于合同的其他规范性文件：国家、浙江省、宁波市有关工程建设的法规、规章及规范性文件（如有冲突，按就高原则处理）。</w:t>
      </w:r>
    </w:p>
    <w:p w14:paraId="723BB58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 标准和规范</w:t>
      </w:r>
    </w:p>
    <w:p w14:paraId="6325AFF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1.4.1适用于工程的标准规范包括：国家、浙江省、宁波市有关工程建设的法规、规章及规范性文件（如有矛盾或不一致的，以其中要求更严格的为准）。</w:t>
      </w:r>
    </w:p>
    <w:p w14:paraId="70FB8D1D">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 合同文件的优先顺序</w:t>
      </w:r>
    </w:p>
    <w:p w14:paraId="3C1CC7D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合同协议书、通用合同条款和专用合同条款三部分组成，优先适用专用条款。</w:t>
      </w:r>
    </w:p>
    <w:p w14:paraId="2A96E78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6DD5CEB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318975B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b/>
          <w:bCs/>
          <w:color w:val="auto"/>
          <w:sz w:val="24"/>
          <w:szCs w:val="24"/>
          <w:highlight w:val="none"/>
          <w:u w:val="single"/>
        </w:rPr>
        <w:t>合同签订后5日内提供</w:t>
      </w:r>
      <w:r>
        <w:rPr>
          <w:rFonts w:hint="eastAsia" w:ascii="宋体" w:hAnsi="宋体" w:eastAsia="宋体" w:cs="宋体"/>
          <w:color w:val="auto"/>
          <w:sz w:val="24"/>
          <w:szCs w:val="24"/>
          <w:highlight w:val="none"/>
        </w:rPr>
        <w:t>；</w:t>
      </w:r>
    </w:p>
    <w:p w14:paraId="08782E5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b/>
          <w:bCs/>
          <w:color w:val="auto"/>
          <w:sz w:val="24"/>
          <w:szCs w:val="24"/>
          <w:highlight w:val="none"/>
          <w:u w:val="single"/>
        </w:rPr>
        <w:t>4套（包括承包人制作竣工图资料的图纸），另外需增加的，费用由承包人承担</w:t>
      </w:r>
      <w:r>
        <w:rPr>
          <w:rFonts w:hint="eastAsia" w:ascii="宋体" w:hAnsi="宋体" w:eastAsia="宋体" w:cs="宋体"/>
          <w:color w:val="auto"/>
          <w:sz w:val="24"/>
          <w:szCs w:val="24"/>
          <w:highlight w:val="none"/>
        </w:rPr>
        <w:t>；</w:t>
      </w:r>
    </w:p>
    <w:p w14:paraId="34A9B4C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b/>
          <w:bCs/>
          <w:color w:val="auto"/>
          <w:sz w:val="24"/>
          <w:szCs w:val="24"/>
          <w:highlight w:val="none"/>
          <w:u w:val="single"/>
        </w:rPr>
        <w:t>工程承包范围内的各专业工程</w:t>
      </w:r>
      <w:r>
        <w:rPr>
          <w:rFonts w:hint="eastAsia" w:ascii="宋体" w:hAnsi="宋体" w:eastAsia="宋体" w:cs="宋体"/>
          <w:color w:val="auto"/>
          <w:sz w:val="24"/>
          <w:szCs w:val="24"/>
          <w:highlight w:val="none"/>
        </w:rPr>
        <w:t>。</w:t>
      </w:r>
    </w:p>
    <w:p w14:paraId="04FAB02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420C335E">
      <w:pPr>
        <w:pageBreakBefore w:val="0"/>
        <w:widowControl w:val="0"/>
        <w:kinsoku/>
        <w:wordWrap/>
        <w:overflowPunct/>
        <w:topLinePunct w:val="0"/>
        <w:bidi w:val="0"/>
        <w:adjustRightInd/>
        <w:snapToGrid w:val="0"/>
        <w:spacing w:line="332" w:lineRule="auto"/>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b/>
          <w:bCs/>
          <w:color w:val="auto"/>
          <w:sz w:val="24"/>
          <w:szCs w:val="24"/>
          <w:highlight w:val="none"/>
          <w:u w:val="single"/>
        </w:rPr>
        <w:t>施工组织设计、工程进度计划、专项施工方案、加工图、大样图、协调配合图等</w:t>
      </w:r>
      <w:r>
        <w:rPr>
          <w:rFonts w:hint="eastAsia" w:ascii="宋体" w:hAnsi="宋体" w:eastAsia="宋体" w:cs="宋体"/>
          <w:color w:val="auto"/>
          <w:sz w:val="24"/>
          <w:szCs w:val="24"/>
          <w:highlight w:val="none"/>
        </w:rPr>
        <w:t>；</w:t>
      </w:r>
    </w:p>
    <w:p w14:paraId="0B56216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b/>
          <w:bCs/>
          <w:color w:val="auto"/>
          <w:sz w:val="24"/>
          <w:szCs w:val="24"/>
          <w:highlight w:val="none"/>
          <w:u w:val="single"/>
        </w:rPr>
        <w:t>施工组织设计、工程进度计划在工程开工前7天，其他文件在相应专项工程或部位施工前7天；</w:t>
      </w:r>
    </w:p>
    <w:p w14:paraId="083A845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b/>
          <w:bCs/>
          <w:color w:val="auto"/>
          <w:sz w:val="24"/>
          <w:szCs w:val="24"/>
          <w:highlight w:val="none"/>
          <w:u w:val="single"/>
        </w:rPr>
        <w:t>一式六套</w:t>
      </w:r>
      <w:r>
        <w:rPr>
          <w:rFonts w:hint="eastAsia" w:ascii="宋体" w:hAnsi="宋体" w:eastAsia="宋体" w:cs="宋体"/>
          <w:color w:val="auto"/>
          <w:sz w:val="24"/>
          <w:szCs w:val="24"/>
          <w:highlight w:val="none"/>
        </w:rPr>
        <w:t>；</w:t>
      </w:r>
    </w:p>
    <w:p w14:paraId="6BE66E4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DEB597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b/>
          <w:bCs/>
          <w:color w:val="auto"/>
          <w:sz w:val="24"/>
          <w:szCs w:val="24"/>
          <w:highlight w:val="none"/>
          <w:u w:val="single"/>
        </w:rPr>
        <w:t>承包人在施工现场保存至少一套完整的图纸和承包人文件</w:t>
      </w:r>
      <w:r>
        <w:rPr>
          <w:rFonts w:hint="eastAsia" w:ascii="宋体" w:hAnsi="宋体" w:eastAsia="宋体" w:cs="宋体"/>
          <w:color w:val="auto"/>
          <w:sz w:val="24"/>
          <w:szCs w:val="24"/>
          <w:highlight w:val="none"/>
        </w:rPr>
        <w:t>。</w:t>
      </w:r>
    </w:p>
    <w:p w14:paraId="3F0722A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49B2C40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2459AAE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cs="宋体"/>
          <w:b/>
          <w:bCs/>
          <w:color w:val="auto"/>
          <w:sz w:val="24"/>
          <w:szCs w:val="24"/>
          <w:highlight w:val="none"/>
          <w:u w:val="single"/>
          <w:lang w:val="en-US" w:eastAsia="zh-CN"/>
        </w:rPr>
        <w:t>发包人</w:t>
      </w:r>
      <w:r>
        <w:rPr>
          <w:rFonts w:hint="eastAsia" w:ascii="宋体" w:hAnsi="宋体" w:eastAsia="宋体" w:cs="宋体"/>
          <w:b/>
          <w:bCs/>
          <w:color w:val="auto"/>
          <w:sz w:val="24"/>
          <w:szCs w:val="24"/>
          <w:highlight w:val="none"/>
          <w:u w:val="single"/>
        </w:rPr>
        <w:t>办公所在地</w:t>
      </w:r>
      <w:r>
        <w:rPr>
          <w:rFonts w:hint="eastAsia" w:ascii="宋体" w:hAnsi="宋体" w:eastAsia="宋体" w:cs="宋体"/>
          <w:color w:val="auto"/>
          <w:sz w:val="24"/>
          <w:szCs w:val="24"/>
          <w:highlight w:val="none"/>
        </w:rPr>
        <w:t>；</w:t>
      </w:r>
    </w:p>
    <w:p w14:paraId="082FB9C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童老师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C0F9C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b/>
          <w:bCs/>
          <w:color w:val="auto"/>
          <w:sz w:val="24"/>
          <w:szCs w:val="24"/>
          <w:highlight w:val="none"/>
          <w:u w:val="single"/>
        </w:rPr>
        <w:t>承包人驻项目办公所在地</w:t>
      </w:r>
      <w:r>
        <w:rPr>
          <w:rFonts w:hint="eastAsia" w:ascii="宋体" w:hAnsi="宋体" w:eastAsia="宋体" w:cs="宋体"/>
          <w:color w:val="auto"/>
          <w:sz w:val="24"/>
          <w:szCs w:val="24"/>
          <w:highlight w:val="none"/>
        </w:rPr>
        <w:t>；</w:t>
      </w:r>
    </w:p>
    <w:p w14:paraId="13FDECC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4B3C4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b/>
          <w:bCs/>
          <w:color w:val="auto"/>
          <w:sz w:val="24"/>
          <w:szCs w:val="24"/>
          <w:highlight w:val="none"/>
          <w:u w:val="single"/>
        </w:rPr>
        <w:t>监理人驻项目办公所在地</w:t>
      </w:r>
      <w:r>
        <w:rPr>
          <w:rFonts w:hint="eastAsia" w:ascii="宋体" w:hAnsi="宋体" w:eastAsia="宋体" w:cs="宋体"/>
          <w:color w:val="auto"/>
          <w:sz w:val="24"/>
          <w:szCs w:val="24"/>
          <w:highlight w:val="none"/>
        </w:rPr>
        <w:t>；</w:t>
      </w:r>
    </w:p>
    <w:p w14:paraId="7C07BDC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7026916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36FD317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680F410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08B0341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BAB1FE5">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以发包人提供的施工区域划分图纸为准</w:t>
      </w:r>
      <w:r>
        <w:rPr>
          <w:rFonts w:hint="eastAsia" w:ascii="宋体" w:hAnsi="宋体" w:eastAsia="宋体" w:cs="宋体"/>
          <w:color w:val="auto"/>
          <w:sz w:val="24"/>
          <w:szCs w:val="24"/>
          <w:highlight w:val="none"/>
        </w:rPr>
        <w:t>。</w:t>
      </w:r>
    </w:p>
    <w:p w14:paraId="47458A3E">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b/>
          <w:bCs/>
          <w:color w:val="auto"/>
          <w:sz w:val="24"/>
          <w:szCs w:val="24"/>
          <w:highlight w:val="none"/>
          <w:u w:val="single"/>
        </w:rPr>
        <w:t>无</w:t>
      </w:r>
      <w:r>
        <w:rPr>
          <w:rFonts w:hint="eastAsia" w:ascii="宋体" w:hAnsi="宋体" w:eastAsia="宋体" w:cs="宋体"/>
          <w:color w:val="auto"/>
          <w:sz w:val="24"/>
          <w:szCs w:val="24"/>
          <w:highlight w:val="none"/>
        </w:rPr>
        <w:t>。</w:t>
      </w:r>
    </w:p>
    <w:p w14:paraId="144DC1F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5E1B07DF">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bCs/>
          <w:color w:val="auto"/>
          <w:sz w:val="24"/>
          <w:szCs w:val="24"/>
          <w:highlight w:val="none"/>
          <w:u w:val="single"/>
        </w:rPr>
        <w:t>承包人</w:t>
      </w:r>
      <w:r>
        <w:rPr>
          <w:rFonts w:hint="eastAsia" w:ascii="宋体" w:hAnsi="宋体" w:eastAsia="宋体" w:cs="宋体"/>
          <w:color w:val="auto"/>
          <w:sz w:val="24"/>
          <w:szCs w:val="24"/>
          <w:highlight w:val="none"/>
        </w:rPr>
        <w:t>承担。</w:t>
      </w:r>
    </w:p>
    <w:p w14:paraId="4A9C72C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6570013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6B161CB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4327BE4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b/>
          <w:bCs/>
          <w:color w:val="auto"/>
          <w:sz w:val="24"/>
          <w:szCs w:val="24"/>
          <w:highlight w:val="none"/>
          <w:u w:val="single"/>
        </w:rPr>
        <w:t>发包人。</w:t>
      </w:r>
    </w:p>
    <w:p w14:paraId="717176B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2490AF1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由承包人自行负责，与发包人无涉。</w:t>
      </w:r>
    </w:p>
    <w:p w14:paraId="68E4452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70E4027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b/>
          <w:bCs/>
          <w:color w:val="auto"/>
          <w:sz w:val="24"/>
          <w:szCs w:val="24"/>
          <w:highlight w:val="none"/>
          <w:u w:val="single"/>
        </w:rPr>
        <w:t>是</w:t>
      </w:r>
      <w:r>
        <w:rPr>
          <w:rFonts w:hint="eastAsia" w:ascii="宋体" w:hAnsi="宋体" w:eastAsia="宋体" w:cs="宋体"/>
          <w:color w:val="auto"/>
          <w:sz w:val="24"/>
          <w:szCs w:val="24"/>
          <w:highlight w:val="none"/>
        </w:rPr>
        <w:t>。</w:t>
      </w:r>
    </w:p>
    <w:p w14:paraId="6F0D3A44">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p>
    <w:p w14:paraId="5AEC6C13">
      <w:pPr>
        <w:pageBreakBefore w:val="0"/>
        <w:widowControl w:val="0"/>
        <w:kinsoku/>
        <w:wordWrap/>
        <w:overflowPunct/>
        <w:topLinePunct w:val="0"/>
        <w:bidi w:val="0"/>
        <w:adjustRightInd/>
        <w:snapToGrid w:val="0"/>
        <w:spacing w:line="332" w:lineRule="auto"/>
        <w:ind w:firstLine="47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（1）发生下列情况之一的，项目的工程量均应按实调整：</w:t>
      </w:r>
    </w:p>
    <w:p w14:paraId="11E3D349">
      <w:pPr>
        <w:pageBreakBefore w:val="0"/>
        <w:widowControl w:val="0"/>
        <w:kinsoku/>
        <w:wordWrap/>
        <w:overflowPunct/>
        <w:topLinePunct w:val="0"/>
        <w:bidi w:val="0"/>
        <w:adjustRightInd/>
        <w:snapToGrid w:val="0"/>
        <w:spacing w:line="332" w:lineRule="auto"/>
        <w:ind w:firstLine="47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（a）发包人提供的工程量清单的项目或数量有误；</w:t>
      </w:r>
    </w:p>
    <w:p w14:paraId="6913AAF7">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（b）设计变更引起的工程项目或数量增减；</w:t>
      </w:r>
    </w:p>
    <w:p w14:paraId="793ACBA9">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（c）经发包人确认的签证；</w:t>
      </w:r>
    </w:p>
    <w:p w14:paraId="428608AF">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（d）发包人提供的暂定工程量部分。</w:t>
      </w:r>
    </w:p>
    <w:p w14:paraId="0EFA967C">
      <w:pPr>
        <w:pageBreakBefore w:val="0"/>
        <w:widowControl w:val="0"/>
        <w:kinsoku/>
        <w:wordWrap/>
        <w:overflowPunct/>
        <w:topLinePunct w:val="0"/>
        <w:bidi w:val="0"/>
        <w:adjustRightInd/>
        <w:snapToGrid w:val="0"/>
        <w:spacing w:line="332" w:lineRule="auto"/>
        <w:ind w:firstLine="47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（2）暂定工程量、变更的工程量应根据设计图纸及其变更联系单，按有关工程量计算规则计算确定，并经发包人或其委托的咨询单位工程师审定确认。</w:t>
      </w:r>
    </w:p>
    <w:p w14:paraId="1B1B80C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1E053FE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0808C86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b/>
          <w:bCs/>
          <w:color w:val="auto"/>
          <w:sz w:val="24"/>
          <w:szCs w:val="24"/>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全过程管理单位）的配合下完成，但最终需经发包人同意。</w:t>
      </w:r>
    </w:p>
    <w:p w14:paraId="3A70734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42E41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710CE9A9">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b/>
          <w:bCs/>
          <w:color w:val="auto"/>
          <w:sz w:val="24"/>
          <w:szCs w:val="24"/>
          <w:highlight w:val="none"/>
          <w:u w:val="single"/>
        </w:rPr>
        <w:t>开工前。</w:t>
      </w:r>
    </w:p>
    <w:p w14:paraId="5A45402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46DFEB8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b/>
          <w:bCs/>
          <w:color w:val="auto"/>
          <w:sz w:val="24"/>
          <w:szCs w:val="24"/>
          <w:highlight w:val="none"/>
          <w:u w:val="single"/>
        </w:rPr>
        <w:t>发包人已经使施工现场初步具备施工条件（除工程量清单中列明由承包人实施的项目外），后续工作及遗留问题由承包人自行负责解决，发包人不再支付任何其他费用（如遇特殊情况，双方协商解决）。</w:t>
      </w:r>
    </w:p>
    <w:p w14:paraId="1FB3270C">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施工用水、电由发包人在开工前五天接至工地，承包人负责将水电线路接至施工所需的地点，相关材料及人工费用由承包人承担；承包人负责保管发包人移交的水电线路及设备，费用由承包人承担；电讯设施由承包人自行解决，费用由承包人承担。发包人不提供设备材料堆放场地、办公场所及住宿场所。</w:t>
      </w:r>
    </w:p>
    <w:p w14:paraId="7E9BA441">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发包人仅提供通往指定区域的道路。场地内临时道路及出入通道的修建及养护由承包人负责，工程完工前承包人应对因施工造成的原有道路、排水等设施的损坏进行修缮，恢复原有使用功能，并包括到养护、道路部门或周边道路施工单位办理所有相关手续。施工中应保证现有道路的正常通行。</w:t>
      </w:r>
    </w:p>
    <w:p w14:paraId="5D63A54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3104C98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b/>
          <w:bCs/>
          <w:color w:val="auto"/>
          <w:sz w:val="24"/>
          <w:szCs w:val="24"/>
          <w:highlight w:val="none"/>
          <w:u w:val="single"/>
        </w:rPr>
        <w:t>否</w:t>
      </w:r>
      <w:r>
        <w:rPr>
          <w:rFonts w:hint="eastAsia" w:ascii="宋体" w:hAnsi="宋体" w:eastAsia="宋体" w:cs="宋体"/>
          <w:color w:val="auto"/>
          <w:sz w:val="24"/>
          <w:szCs w:val="24"/>
          <w:highlight w:val="none"/>
        </w:rPr>
        <w:t>。</w:t>
      </w:r>
    </w:p>
    <w:p w14:paraId="7A455E7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122E37E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2AF0EF1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b/>
          <w:bCs/>
          <w:color w:val="auto"/>
          <w:sz w:val="24"/>
          <w:szCs w:val="24"/>
          <w:highlight w:val="none"/>
          <w:u w:val="single"/>
        </w:rPr>
        <w:t>满足竣工验收要求。</w:t>
      </w:r>
    </w:p>
    <w:p w14:paraId="3B0DFB78">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在工程具备竣工验收条件后一个月内向发包人提供竣工图4套，竣工资料4套，电子光盘1套，并按《建设工程档案资料规范》相关规范等规定整理相关工程资料。如因资料不符合有关部门的要求，而产生的资料整理费用由承包人承担。</w:t>
      </w:r>
    </w:p>
    <w:p w14:paraId="3EE1E8C3">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b/>
          <w:bCs/>
          <w:color w:val="auto"/>
          <w:sz w:val="24"/>
          <w:szCs w:val="24"/>
          <w:highlight w:val="none"/>
          <w:u w:val="single"/>
        </w:rPr>
        <w:t xml:space="preserve">4套 </w:t>
      </w:r>
      <w:r>
        <w:rPr>
          <w:rFonts w:hint="eastAsia" w:ascii="宋体" w:hAnsi="宋体" w:eastAsia="宋体" w:cs="宋体"/>
          <w:color w:val="auto"/>
          <w:sz w:val="24"/>
          <w:szCs w:val="24"/>
          <w:highlight w:val="none"/>
        </w:rPr>
        <w:t>。</w:t>
      </w:r>
    </w:p>
    <w:p w14:paraId="3318B05C">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b/>
          <w:bCs/>
          <w:color w:val="auto"/>
          <w:sz w:val="24"/>
          <w:szCs w:val="24"/>
          <w:highlight w:val="none"/>
          <w:u w:val="single"/>
        </w:rPr>
        <w:t>承包人自行承担。</w:t>
      </w:r>
    </w:p>
    <w:p w14:paraId="70F2B4AF">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 xml:space="preserve">在具备竣工验收合格条件后1个月内 </w:t>
      </w:r>
      <w:r>
        <w:rPr>
          <w:rFonts w:hint="eastAsia" w:ascii="宋体" w:hAnsi="宋体" w:eastAsia="宋体" w:cs="宋体"/>
          <w:color w:val="auto"/>
          <w:sz w:val="24"/>
          <w:szCs w:val="24"/>
          <w:highlight w:val="none"/>
        </w:rPr>
        <w:t>。</w:t>
      </w:r>
    </w:p>
    <w:p w14:paraId="20F0D427">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b/>
          <w:bCs/>
          <w:color w:val="auto"/>
          <w:sz w:val="24"/>
          <w:szCs w:val="24"/>
          <w:highlight w:val="none"/>
          <w:u w:val="single"/>
        </w:rPr>
        <w:t>包括纸质及电子资料</w:t>
      </w:r>
      <w:r>
        <w:rPr>
          <w:rFonts w:hint="eastAsia" w:ascii="宋体" w:hAnsi="宋体" w:eastAsia="宋体" w:cs="宋体"/>
          <w:color w:val="auto"/>
          <w:sz w:val="24"/>
          <w:szCs w:val="24"/>
          <w:highlight w:val="none"/>
        </w:rPr>
        <w:t>。</w:t>
      </w:r>
    </w:p>
    <w:p w14:paraId="46028D4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（10）承包人应履行的其他义务：</w:t>
      </w:r>
      <w:r>
        <w:rPr>
          <w:rFonts w:hint="eastAsia" w:ascii="宋体" w:hAnsi="宋体" w:eastAsia="宋体" w:cs="宋体"/>
          <w:b/>
          <w:bCs/>
          <w:color w:val="auto"/>
          <w:sz w:val="24"/>
          <w:szCs w:val="24"/>
          <w:highlight w:val="none"/>
          <w:u w:val="single"/>
        </w:rPr>
        <w:t>竣工图的编制规定：</w:t>
      </w:r>
    </w:p>
    <w:p w14:paraId="0FC94790">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a、施工中没有设计变更，竣工后由承包人在发包人提供的施工图纸加盖竣工图章，经监理人签字确认后提交发包人；</w:t>
      </w:r>
    </w:p>
    <w:p w14:paraId="44FFC16B">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b、施工中只有零星的少量设计变更，承包人在施工图变更位置注明，并连同经发包人同意的变更签证，竣工后由承包人加盖竣工图章，经监理人签字确认后交发包人；</w:t>
      </w:r>
    </w:p>
    <w:p w14:paraId="2D68DE4D">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c、施工中对原设计变更较多，原施工图难于作为竣工图，应由承包人组织重新绘制竣工图并经监理人签字确认后提交发包人，并由承包人承担制作竣工图的相应费用。</w:t>
      </w:r>
    </w:p>
    <w:p w14:paraId="4AC288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2B60DD4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3.2.1承包人委派的项目经理及其执业行为应遵守通用条款约定，违反约定的，按本专用条款约定，承担违约责任。</w:t>
      </w:r>
    </w:p>
    <w:p w14:paraId="2369576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项目经理必须与承包人投标时所承诺的人员一致，并在根据本合同约定的开工日期前到任。项目经理不得违反建设行政主管部门和文物管理部门对项目经理的管理规定。未经发包人书面许可，承包人不得更换项目经理。承包人项目经理以及项目管理机构关键岗位人员的姓名、职称、身份证号、执业资格证书号、注册证书号、执业印章号、</w:t>
      </w:r>
      <w:bookmarkStart w:id="474" w:name="_Hlk89720459"/>
      <w:r>
        <w:rPr>
          <w:rFonts w:hint="eastAsia" w:ascii="宋体" w:hAnsi="宋体" w:eastAsia="宋体" w:cs="宋体"/>
          <w:color w:val="auto"/>
          <w:sz w:val="24"/>
          <w:szCs w:val="24"/>
          <w:highlight w:val="none"/>
        </w:rPr>
        <w:t>安全生产考核合格证书号等资料应当在合同协议书中载明或通过其他书面形式向发包人进行提供。</w:t>
      </w:r>
    </w:p>
    <w:bookmarkEnd w:id="474"/>
    <w:p w14:paraId="2549640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（2）承包人对项目经理的授权范围如下：在承包人授权范围内履行承包人的职权，对工程建设的质量、安全、工期以及工程造价控制负责，所有上报给发包人的文件均需项目经理签字。</w:t>
      </w:r>
    </w:p>
    <w:p w14:paraId="296A1BC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75" w:name="_Hlk89720499"/>
      <w:r>
        <w:rPr>
          <w:rFonts w:hint="eastAsia" w:ascii="宋体" w:hAnsi="宋体" w:eastAsia="宋体" w:cs="宋体"/>
          <w:color w:val="auto"/>
          <w:sz w:val="24"/>
          <w:szCs w:val="24"/>
          <w:highlight w:val="none"/>
        </w:rPr>
        <w:t>承包人未提交劳动合同，以及没有为项目经理缴纳社会保险证明的违约责任：发包人有权解除合同，由此造成的费用增加和工期延误损失及给发包人造成的一切损失均由承包人承担。</w:t>
      </w:r>
    </w:p>
    <w:p w14:paraId="4EDD11E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（4）关于项目经理每月在施工现场的时间要求：每月在施工现场时间不得少于 24天，且重要工程例会及验收环节等必须由项目经理参加。如果项目经理到岗时间达不到要求的，根据实际到岗时间与约定到岗时间的差额，每差1天（不到一天按一天计算），承包人应向发包人支付违约金1000元，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中承诺的“未履行项目经理及主要施工管理人员到场承诺违约金限额”中扣除，该项限额不足时，发包人有权向承包人追偿。有特殊情况少于上述时间的，批准要求按通用条款执行。</w:t>
      </w:r>
    </w:p>
    <w:p w14:paraId="6F8F5E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发包人对项目经理未按约定到岗的违约处理，应根据监理人对项目经理的考勤结果进行。</w:t>
      </w:r>
    </w:p>
    <w:bookmarkEnd w:id="475"/>
    <w:p w14:paraId="6B93F7E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（5）项目经理未经批准，擅自离开施工现场的违约责任：处违约金</w:t>
      </w:r>
      <w:r>
        <w:rPr>
          <w:rFonts w:hint="eastAsia" w:ascii="宋体" w:hAnsi="宋体" w:eastAsia="宋体" w:cs="宋体"/>
          <w:b/>
          <w:bCs/>
          <w:color w:val="auto"/>
          <w:sz w:val="24"/>
          <w:szCs w:val="24"/>
          <w:highlight w:val="none"/>
          <w:u w:val="single"/>
        </w:rPr>
        <w:t>1000</w:t>
      </w:r>
      <w:r>
        <w:rPr>
          <w:rFonts w:hint="eastAsia" w:ascii="宋体" w:hAnsi="宋体" w:eastAsia="宋体" w:cs="宋体"/>
          <w:color w:val="auto"/>
          <w:sz w:val="24"/>
          <w:szCs w:val="24"/>
          <w:highlight w:val="none"/>
        </w:rPr>
        <w:t>元/次，违约金从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w:t>
      </w:r>
    </w:p>
    <w:p w14:paraId="2B9DF47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发包人对项目经理擅自离开施工现场的违约处理，应根据监理人对项目经理的考勤结果进行。</w:t>
      </w:r>
    </w:p>
    <w:p w14:paraId="7431BC0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承包人擅自更换项目经理的违约责任：处违约金</w:t>
      </w:r>
      <w:r>
        <w:rPr>
          <w:rFonts w:hint="eastAsia" w:ascii="宋体" w:hAnsi="宋体" w:eastAsia="宋体" w:cs="宋体"/>
          <w:b/>
          <w:bCs/>
          <w:color w:val="auto"/>
          <w:sz w:val="24"/>
          <w:szCs w:val="24"/>
          <w:highlight w:val="none"/>
          <w:u w:val="single"/>
        </w:rPr>
        <w:t>10000</w:t>
      </w:r>
      <w:r>
        <w:rPr>
          <w:rFonts w:hint="eastAsia" w:ascii="宋体" w:hAnsi="宋体" w:eastAsia="宋体" w:cs="宋体"/>
          <w:color w:val="auto"/>
          <w:sz w:val="24"/>
          <w:szCs w:val="24"/>
          <w:highlight w:val="none"/>
        </w:rPr>
        <w:t>元/次，违约金从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且有权拒绝接受其擅自更换的项目经理。发包人书面拒绝后承包人仍然擅自更换的，发包人有权解除合同，由此造成的费用增加和工期延误损失及给发包人造成的一切损失均由承包人承担。</w:t>
      </w:r>
    </w:p>
    <w:p w14:paraId="60D1E43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w:t>
      </w:r>
      <w:bookmarkStart w:id="476" w:name="_Hlk89720791"/>
      <w:r>
        <w:rPr>
          <w:rFonts w:hint="eastAsia" w:ascii="宋体" w:hAnsi="宋体" w:eastAsia="宋体" w:cs="宋体"/>
          <w:color w:val="auto"/>
          <w:sz w:val="24"/>
          <w:szCs w:val="24"/>
          <w:highlight w:val="none"/>
        </w:rPr>
        <w:t>情节严重的，发包人有权解除合同，由此造成的费用增加和工期延误损失及给发包人造成的一切损失由承包人承担。</w:t>
      </w:r>
    </w:p>
    <w:bookmarkEnd w:id="476"/>
    <w:p w14:paraId="24C525FB">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承包人人员</w:t>
      </w:r>
    </w:p>
    <w:p w14:paraId="236C335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承包人应接到开工通知后7天内提交与投标时所承诺的人员一致的项目管理机构及施工现场管理人员安排报告。</w:t>
      </w:r>
    </w:p>
    <w:p w14:paraId="55E7505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中承诺中的“未履行项目经理及主要施工管理人员到场承诺违约金限额”。情节严重的，发包人有权解除合同，由此造成的费用增加和工期延误损失及给发包人造成的一切损失由承包人承担。</w:t>
      </w:r>
    </w:p>
    <w:p w14:paraId="4709BB9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承包人主要施工管理人员离开施工现场的批准要求：安全员、施工员每月在施工管理现场不得少于</w:t>
      </w:r>
      <w:r>
        <w:rPr>
          <w:rFonts w:hint="eastAsia" w:ascii="宋体" w:hAnsi="宋体" w:eastAsia="宋体" w:cs="宋体"/>
          <w:b/>
          <w:bCs/>
          <w:color w:val="auto"/>
          <w:sz w:val="24"/>
          <w:szCs w:val="24"/>
          <w:highlight w:val="none"/>
          <w:u w:val="single"/>
        </w:rPr>
        <w:t>24</w:t>
      </w:r>
      <w:r>
        <w:rPr>
          <w:rFonts w:hint="eastAsia" w:ascii="宋体" w:hAnsi="宋体" w:eastAsia="宋体" w:cs="宋体"/>
          <w:color w:val="auto"/>
          <w:sz w:val="24"/>
          <w:szCs w:val="24"/>
          <w:highlight w:val="none"/>
        </w:rPr>
        <w:t>天，其他主要施工管理人员每月在施工管理现场不得少于</w:t>
      </w:r>
      <w:r>
        <w:rPr>
          <w:rFonts w:hint="eastAsia" w:ascii="宋体" w:hAnsi="宋体" w:eastAsia="宋体" w:cs="宋体"/>
          <w:b/>
          <w:bCs/>
          <w:color w:val="auto"/>
          <w:sz w:val="24"/>
          <w:szCs w:val="24"/>
          <w:highlight w:val="none"/>
          <w:u w:val="single"/>
        </w:rPr>
        <w:t>24</w:t>
      </w:r>
      <w:r>
        <w:rPr>
          <w:rFonts w:hint="eastAsia" w:ascii="宋体" w:hAnsi="宋体" w:eastAsia="宋体" w:cs="宋体"/>
          <w:color w:val="auto"/>
          <w:sz w:val="24"/>
          <w:szCs w:val="24"/>
          <w:highlight w:val="none"/>
        </w:rPr>
        <w:t>天，有特殊情况少于上述时间的，批准要求按通用条款执行。</w:t>
      </w:r>
    </w:p>
    <w:p w14:paraId="1F05EA1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承包人擅自更换主要施工管理人员的违约责任：处违约金</w:t>
      </w:r>
      <w:r>
        <w:rPr>
          <w:rFonts w:hint="eastAsia" w:ascii="宋体" w:hAnsi="宋体" w:eastAsia="宋体" w:cs="宋体"/>
          <w:b/>
          <w:bCs/>
          <w:color w:val="auto"/>
          <w:sz w:val="24"/>
          <w:szCs w:val="24"/>
          <w:highlight w:val="none"/>
          <w:u w:val="single"/>
        </w:rPr>
        <w:t>800</w:t>
      </w:r>
      <w:r>
        <w:rPr>
          <w:rFonts w:hint="eastAsia" w:ascii="宋体" w:hAnsi="宋体" w:eastAsia="宋体" w:cs="宋体"/>
          <w:color w:val="auto"/>
          <w:sz w:val="24"/>
          <w:szCs w:val="24"/>
          <w:highlight w:val="none"/>
        </w:rPr>
        <w:t>元/人/次，违约金从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中承诺中的“未履行项目经理及主要施工管理人员到场承诺违约金限额”中扣除，该项限额不足时，发包人有权向承包人追偿，且有权拒绝接受其擅自更换的主要施工管理人员。</w:t>
      </w:r>
    </w:p>
    <w:p w14:paraId="7DBFE5D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承包人主要施工管理人员擅自离开施工现场的违约责任：处违约</w:t>
      </w:r>
      <w:r>
        <w:rPr>
          <w:rFonts w:hint="eastAsia" w:ascii="宋体" w:hAnsi="宋体" w:eastAsia="宋体" w:cs="宋体"/>
          <w:b/>
          <w:bCs/>
          <w:color w:val="auto"/>
          <w:sz w:val="24"/>
          <w:szCs w:val="24"/>
          <w:highlight w:val="none"/>
          <w:u w:val="single"/>
        </w:rPr>
        <w:t>500</w:t>
      </w:r>
      <w:r>
        <w:rPr>
          <w:rFonts w:hint="eastAsia" w:ascii="宋体" w:hAnsi="宋体" w:eastAsia="宋体" w:cs="宋体"/>
          <w:color w:val="auto"/>
          <w:sz w:val="24"/>
          <w:szCs w:val="24"/>
          <w:highlight w:val="none"/>
        </w:rPr>
        <w:t>元/人/次，违约金从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中承诺的“未履行项目经理及主要施工管理人员到场承诺违约金限额”中扣除，该项限额不足时，发包人有权向承包人追偿，情节严重的发包人有权解除合同。</w:t>
      </w:r>
    </w:p>
    <w:p w14:paraId="0D9E420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bookmarkStart w:id="477" w:name="_Hlk89720873"/>
      <w:r>
        <w:rPr>
          <w:rFonts w:hint="eastAsia" w:ascii="宋体" w:hAnsi="宋体" w:eastAsia="宋体" w:cs="宋体"/>
          <w:color w:val="auto"/>
          <w:sz w:val="24"/>
          <w:szCs w:val="24"/>
          <w:highlight w:val="none"/>
        </w:rPr>
        <w:t>发包人书面拒绝后承包人仍然擅自更换的，发包人有权解除合同，</w:t>
      </w:r>
      <w:bookmarkEnd w:id="477"/>
      <w:r>
        <w:rPr>
          <w:rFonts w:hint="eastAsia" w:ascii="宋体" w:hAnsi="宋体" w:eastAsia="宋体" w:cs="宋体"/>
          <w:color w:val="auto"/>
          <w:sz w:val="24"/>
          <w:szCs w:val="24"/>
          <w:highlight w:val="none"/>
        </w:rPr>
        <w:t>由此造成的费用增加和工期延误损失及给发包人造成的一切损失均由承包人承担。</w:t>
      </w:r>
    </w:p>
    <w:p w14:paraId="7F385DC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438D236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75890F4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禁止分包的工程包括：主体结构、关键性工作</w:t>
      </w:r>
    </w:p>
    <w:p w14:paraId="1FF4FFB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b/>
          <w:bCs/>
          <w:color w:val="auto"/>
          <w:sz w:val="24"/>
          <w:szCs w:val="24"/>
          <w:highlight w:val="none"/>
          <w:u w:val="single"/>
          <w:lang w:val="en-US" w:eastAsia="zh-CN"/>
        </w:rPr>
        <w:t>/</w:t>
      </w:r>
    </w:p>
    <w:p w14:paraId="439333E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47C6ED1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b/>
          <w:bCs/>
          <w:color w:val="auto"/>
          <w:sz w:val="24"/>
          <w:szCs w:val="24"/>
          <w:highlight w:val="none"/>
          <w:u w:val="single"/>
        </w:rPr>
        <w:t>/</w:t>
      </w:r>
    </w:p>
    <w:p w14:paraId="7902AB2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b/>
          <w:bCs/>
          <w:color w:val="auto"/>
          <w:sz w:val="24"/>
          <w:szCs w:val="24"/>
          <w:highlight w:val="none"/>
          <w:u w:val="single"/>
        </w:rPr>
        <w:t>/</w:t>
      </w:r>
    </w:p>
    <w:p w14:paraId="7DEF8BF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7B6B46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执行通用条款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A946F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5C0D96F9">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是 </w:t>
      </w:r>
      <w:r>
        <w:rPr>
          <w:rFonts w:hint="eastAsia" w:ascii="宋体" w:hAnsi="宋体" w:eastAsia="宋体" w:cs="宋体"/>
          <w:color w:val="auto"/>
          <w:sz w:val="24"/>
          <w:szCs w:val="24"/>
          <w:highlight w:val="none"/>
        </w:rPr>
        <w:t>。</w:t>
      </w:r>
    </w:p>
    <w:p w14:paraId="535AD478">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bookmarkStart w:id="478" w:name="_Hlk89720919"/>
      <w:r>
        <w:rPr>
          <w:rFonts w:hint="eastAsia" w:ascii="宋体" w:hAnsi="宋体" w:eastAsia="宋体" w:cs="宋体"/>
          <w:color w:val="auto"/>
          <w:sz w:val="24"/>
          <w:szCs w:val="24"/>
          <w:highlight w:val="none"/>
        </w:rPr>
        <w:t>履约保证金金额：合同金额的1%；履约保证金形式：银行汇票（电汇）、银行保函、保险保单或支票（仅限于使用宁波大市区范围内的银行开具的支票）等形式；担保收件人：</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；履约保证金的退取：项目验收合格后，根据实际履约情况扣除相应违约金后无息退还履约保证金（但如</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未能履行合同规定的任何义务，</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有权从履约保证金中得到补偿）。</w:t>
      </w:r>
    </w:p>
    <w:bookmarkEnd w:id="478"/>
    <w:p w14:paraId="7845A4B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1D69A75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4DE2FEF">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bCs/>
          <w:color w:val="auto"/>
          <w:sz w:val="24"/>
          <w:szCs w:val="24"/>
          <w:highlight w:val="none"/>
          <w:u w:val="single"/>
        </w:rPr>
        <w:t>工程建设监理合同授予监理人的权利</w:t>
      </w:r>
      <w:r>
        <w:rPr>
          <w:rFonts w:hint="eastAsia" w:ascii="宋体" w:hAnsi="宋体" w:eastAsia="宋体" w:cs="宋体"/>
          <w:color w:val="auto"/>
          <w:sz w:val="24"/>
          <w:szCs w:val="24"/>
          <w:highlight w:val="none"/>
        </w:rPr>
        <w:t>。</w:t>
      </w:r>
    </w:p>
    <w:p w14:paraId="73CC4EB4">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b/>
          <w:bCs/>
          <w:color w:val="auto"/>
          <w:sz w:val="24"/>
          <w:szCs w:val="24"/>
          <w:highlight w:val="none"/>
          <w:u w:val="single"/>
        </w:rPr>
        <w:t>涉及费用、工期、图纸更改等工程变更指令和付款、暂停工程施工指令的下达权需取得发包人同意方可执行</w:t>
      </w:r>
      <w:r>
        <w:rPr>
          <w:rFonts w:hint="eastAsia" w:ascii="宋体" w:hAnsi="宋体" w:eastAsia="宋体" w:cs="宋体"/>
          <w:color w:val="auto"/>
          <w:sz w:val="24"/>
          <w:szCs w:val="24"/>
          <w:highlight w:val="none"/>
        </w:rPr>
        <w:t xml:space="preserve">。 </w:t>
      </w:r>
    </w:p>
    <w:p w14:paraId="54086BD1">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关于监理人在施工现场的办公场所的提供和费用承担的约定：</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5BB934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9F3167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当合同当事人对需要商定或确定的事项不能达成一致时，总监理工程师应按照合同约定作出公正确定，应在合同当事人会商之日起</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天内提供书面确定意见。</w:t>
      </w:r>
    </w:p>
    <w:p w14:paraId="2C0B74F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52724EE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4DBFD56">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在项目实施中须达到的施工要求国家标准如下：</w:t>
      </w:r>
    </w:p>
    <w:p w14:paraId="3DE961E6">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《建筑工程施工质量验收统一标准》 </w:t>
      </w:r>
    </w:p>
    <w:p w14:paraId="4014D8DF">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《建筑给水排水及采暖工程施工质量验收规范》</w:t>
      </w:r>
    </w:p>
    <w:p w14:paraId="367C3833">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《建筑电气工程施工质量验收规范》 </w:t>
      </w:r>
    </w:p>
    <w:p w14:paraId="69E51AC1">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《给水排水管道工程施工及验收规范》</w:t>
      </w:r>
    </w:p>
    <w:p w14:paraId="34CB94C4">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《建筑施工安全检查标准》 </w:t>
      </w:r>
    </w:p>
    <w:p w14:paraId="23FFEFF6">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注：如标准有更新，以最新文件为准。本项目按照国家及地方颁发的现行相关施工及验收规范、标准，组织实施本项目工程的施工。</w:t>
      </w:r>
    </w:p>
    <w:p w14:paraId="43F46FEA">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C810E4">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关于工程奖项的约定：</w:t>
      </w:r>
      <w:r>
        <w:rPr>
          <w:rFonts w:hint="eastAsia" w:ascii="宋体" w:hAnsi="宋体" w:eastAsia="宋体" w:cs="宋体"/>
          <w:b/>
          <w:bCs/>
          <w:snapToGrid/>
          <w:color w:val="auto"/>
          <w:kern w:val="2"/>
          <w:sz w:val="24"/>
          <w:szCs w:val="24"/>
          <w:highlight w:val="none"/>
          <w:u w:val="single"/>
          <w:lang w:val="en-US" w:eastAsia="zh-CN" w:bidi="ar-SA"/>
        </w:rPr>
        <w:t xml:space="preserve"> 无</w:t>
      </w:r>
      <w:r>
        <w:rPr>
          <w:rFonts w:hint="eastAsia" w:ascii="宋体" w:hAnsi="宋体" w:eastAsia="宋体" w:cs="宋体"/>
          <w:snapToGrid/>
          <w:color w:val="auto"/>
          <w:kern w:val="2"/>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rPr>
        <w:t>。</w:t>
      </w:r>
    </w:p>
    <w:p w14:paraId="673956A4">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5.3 隐蔽工程检查</w:t>
      </w:r>
    </w:p>
    <w:p w14:paraId="061539A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5.3.2承包人提前通知监理人隐蔽工程检查的期限的约定：承包人应在共同检查前24小时书面通知监理人检查 。</w:t>
      </w:r>
    </w:p>
    <w:p w14:paraId="1B015A5E">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24</w:t>
      </w:r>
      <w:r>
        <w:rPr>
          <w:rFonts w:hint="eastAsia" w:ascii="宋体" w:hAnsi="宋体" w:eastAsia="宋体" w:cs="宋体"/>
          <w:color w:val="auto"/>
          <w:sz w:val="24"/>
          <w:szCs w:val="24"/>
          <w:highlight w:val="none"/>
        </w:rPr>
        <w:t>小时提交书面延期要求。延期最长不得超过：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48</w:t>
      </w:r>
      <w:r>
        <w:rPr>
          <w:rFonts w:hint="eastAsia" w:ascii="宋体" w:hAnsi="宋体" w:eastAsia="宋体" w:cs="宋体"/>
          <w:color w:val="auto"/>
          <w:sz w:val="24"/>
          <w:szCs w:val="24"/>
          <w:highlight w:val="none"/>
        </w:rPr>
        <w:t>小时。</w:t>
      </w:r>
    </w:p>
    <w:p w14:paraId="4339DC2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6. 安全文明施工与环境保护</w:t>
      </w:r>
    </w:p>
    <w:p w14:paraId="069C0ED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6.1.1 项目安全</w:t>
      </w:r>
      <w:r>
        <w:rPr>
          <w:rFonts w:hint="eastAsia" w:ascii="宋体" w:hAnsi="宋体" w:eastAsia="宋体" w:cs="宋体"/>
          <w:color w:val="auto"/>
          <w:sz w:val="24"/>
          <w:szCs w:val="24"/>
          <w:highlight w:val="none"/>
        </w:rPr>
        <w:t>生产的达标目标及相应事项的约定：</w:t>
      </w:r>
      <w:r>
        <w:rPr>
          <w:rFonts w:hint="eastAsia" w:ascii="宋体" w:hAnsi="宋体" w:eastAsia="宋体" w:cs="宋体"/>
          <w:b/>
          <w:bCs/>
          <w:color w:val="auto"/>
          <w:sz w:val="24"/>
          <w:szCs w:val="24"/>
          <w:highlight w:val="none"/>
          <w:u w:val="single"/>
        </w:rPr>
        <w:t>合格</w:t>
      </w:r>
      <w:r>
        <w:rPr>
          <w:rFonts w:hint="eastAsia" w:ascii="宋体" w:hAnsi="宋体" w:eastAsia="宋体" w:cs="宋体"/>
          <w:color w:val="auto"/>
          <w:sz w:val="24"/>
          <w:szCs w:val="24"/>
          <w:highlight w:val="none"/>
        </w:rPr>
        <w:t>。</w:t>
      </w:r>
    </w:p>
    <w:p w14:paraId="599F410C">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CE56DF1">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6.1.5文明施工应按《宁波市建设工程文明施工管理规定》文件要求执行。</w:t>
      </w:r>
    </w:p>
    <w:p w14:paraId="4692F06E">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p>
    <w:p w14:paraId="6DB698D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 工期和进度</w:t>
      </w:r>
    </w:p>
    <w:p w14:paraId="377807C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7.1 施工组织设计</w:t>
      </w:r>
    </w:p>
    <w:p w14:paraId="0CDDAC6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auto"/>
          <w:sz w:val="24"/>
          <w:szCs w:val="24"/>
          <w:highlight w:val="none"/>
        </w:rPr>
        <w:t>。</w:t>
      </w:r>
    </w:p>
    <w:p w14:paraId="5F6C5D28">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r>
        <w:rPr>
          <w:rFonts w:hint="eastAsia" w:ascii="宋体" w:hAnsi="宋体" w:eastAsia="宋体" w:cs="宋体"/>
          <w:b/>
          <w:bCs/>
          <w:color w:val="auto"/>
          <w:sz w:val="24"/>
          <w:szCs w:val="24"/>
          <w:highlight w:val="none"/>
          <w:u w:val="single"/>
        </w:rPr>
        <w:t>按通用条款约定执行</w:t>
      </w:r>
      <w:r>
        <w:rPr>
          <w:rFonts w:hint="eastAsia" w:ascii="宋体" w:hAnsi="宋体" w:eastAsia="宋体" w:cs="宋体"/>
          <w:color w:val="auto"/>
          <w:sz w:val="24"/>
          <w:szCs w:val="24"/>
          <w:highlight w:val="none"/>
        </w:rPr>
        <w:t>。</w:t>
      </w:r>
    </w:p>
    <w:p w14:paraId="5A19D37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7.2 施工进度计划</w:t>
      </w:r>
    </w:p>
    <w:p w14:paraId="0A69DC8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7.2.2 施工进度</w:t>
      </w:r>
      <w:r>
        <w:rPr>
          <w:rFonts w:hint="eastAsia" w:ascii="宋体" w:hAnsi="宋体" w:eastAsia="宋体" w:cs="宋体"/>
          <w:color w:val="auto"/>
          <w:sz w:val="24"/>
          <w:szCs w:val="24"/>
          <w:highlight w:val="none"/>
        </w:rPr>
        <w:t>计划的修订</w:t>
      </w:r>
    </w:p>
    <w:p w14:paraId="3EC09FEA">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施工进度计划的编制和修订：</w:t>
      </w:r>
      <w:r>
        <w:rPr>
          <w:rFonts w:hint="eastAsia" w:ascii="宋体" w:hAnsi="宋体" w:eastAsia="宋体" w:cs="宋体"/>
          <w:b/>
          <w:bCs/>
          <w:color w:val="auto"/>
          <w:sz w:val="24"/>
          <w:szCs w:val="24"/>
          <w:highlight w:val="none"/>
          <w:u w:val="single"/>
        </w:rPr>
        <w:t>按通用条款约定执行。</w:t>
      </w:r>
    </w:p>
    <w:p w14:paraId="4A6AD160">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highlight w:val="none"/>
          <w:lang w:val="en-US"/>
        </w:rPr>
        <w:t xml:space="preserve">.3.1 </w:t>
      </w:r>
      <w:r>
        <w:rPr>
          <w:rFonts w:hint="eastAsia" w:ascii="宋体" w:hAnsi="宋体" w:eastAsia="宋体" w:cs="宋体"/>
          <w:color w:val="auto"/>
          <w:sz w:val="24"/>
          <w:szCs w:val="24"/>
          <w:highlight w:val="none"/>
        </w:rPr>
        <w:t>开工准备</w:t>
      </w:r>
    </w:p>
    <w:p w14:paraId="32C803DA">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 xml:space="preserve">按第7.1款[施工组织设计]约定的时间 </w:t>
      </w:r>
      <w:r>
        <w:rPr>
          <w:rFonts w:hint="eastAsia" w:ascii="宋体" w:hAnsi="宋体" w:eastAsia="宋体" w:cs="宋体"/>
          <w:color w:val="auto"/>
          <w:sz w:val="24"/>
          <w:szCs w:val="24"/>
          <w:highlight w:val="none"/>
        </w:rPr>
        <w:t>。</w:t>
      </w:r>
    </w:p>
    <w:p w14:paraId="3812EAFE">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在第7.3.2项[开工通知]载明的开工日期前7天获得开工所需的各项行政审批和许可手续</w:t>
      </w:r>
      <w:r>
        <w:rPr>
          <w:rFonts w:hint="eastAsia" w:ascii="宋体" w:hAnsi="宋体" w:eastAsia="宋体" w:cs="宋体"/>
          <w:color w:val="auto"/>
          <w:sz w:val="24"/>
          <w:szCs w:val="24"/>
          <w:highlight w:val="none"/>
        </w:rPr>
        <w:t>。</w:t>
      </w:r>
    </w:p>
    <w:p w14:paraId="21DA9B97">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关于承包人应完成的其他开工准备工作及期限： </w:t>
      </w:r>
      <w:r>
        <w:rPr>
          <w:rFonts w:hint="eastAsia" w:ascii="宋体" w:hAnsi="宋体" w:eastAsia="宋体" w:cs="宋体"/>
          <w:b/>
          <w:bCs/>
          <w:color w:val="auto"/>
          <w:sz w:val="24"/>
          <w:szCs w:val="24"/>
          <w:highlight w:val="none"/>
          <w:u w:val="single"/>
        </w:rPr>
        <w:t>在第7.3.2项[开工通知]载明的开工日期前7天签订材料、工程设备、周转材料等的采购合同，确定劳动力、材料、机械的进场安排</w:t>
      </w:r>
      <w:r>
        <w:rPr>
          <w:rFonts w:hint="eastAsia" w:ascii="宋体" w:hAnsi="宋体" w:eastAsia="宋体" w:cs="宋体"/>
          <w:color w:val="auto"/>
          <w:sz w:val="24"/>
          <w:szCs w:val="24"/>
          <w:highlight w:val="none"/>
        </w:rPr>
        <w:t>。</w:t>
      </w:r>
    </w:p>
    <w:p w14:paraId="6D35530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7.3.2 开工通知</w:t>
      </w:r>
    </w:p>
    <w:p w14:paraId="4DDB76C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因发包人原因造成监理人未能在通用条款规定的期限内发出开工通知的，承包人有权提出价格调整要求，或者解除合同。</w:t>
      </w:r>
    </w:p>
    <w:p w14:paraId="0F243C2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7.4 测量放线</w:t>
      </w:r>
    </w:p>
    <w:p w14:paraId="2D3793E0">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发包人通过监理人向承包人提供测量基准点、基准线和水准点及其书面资料的期限：</w:t>
      </w:r>
      <w:r>
        <w:rPr>
          <w:rFonts w:hint="eastAsia" w:ascii="宋体" w:hAnsi="宋体" w:eastAsia="宋体" w:cs="宋体"/>
          <w:b/>
          <w:bCs/>
          <w:color w:val="auto"/>
          <w:sz w:val="24"/>
          <w:szCs w:val="24"/>
          <w:highlight w:val="none"/>
          <w:u w:val="single"/>
        </w:rPr>
        <w:t>不得晚于在第7.3.2项[开工通知]载明的开工日期前7天</w:t>
      </w:r>
      <w:r>
        <w:rPr>
          <w:rFonts w:hint="eastAsia" w:ascii="宋体" w:hAnsi="宋体" w:eastAsia="宋体" w:cs="宋体"/>
          <w:color w:val="auto"/>
          <w:sz w:val="24"/>
          <w:szCs w:val="24"/>
          <w:highlight w:val="none"/>
        </w:rPr>
        <w:t>。</w:t>
      </w:r>
    </w:p>
    <w:p w14:paraId="5C1DAD4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7.5 工期延误</w:t>
      </w:r>
    </w:p>
    <w:p w14:paraId="6AE047A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7.5.1 因发包人原因导致工期延误</w:t>
      </w:r>
    </w:p>
    <w:p w14:paraId="1108AD7D">
      <w:pPr>
        <w:pageBreakBefore w:val="0"/>
        <w:widowControl w:val="0"/>
        <w:kinsoku/>
        <w:wordWrap/>
        <w:overflowPunct/>
        <w:topLinePunct w:val="0"/>
        <w:bidi w:val="0"/>
        <w:adjustRightInd/>
        <w:snapToGrid w:val="0"/>
        <w:spacing w:before="120" w:line="332"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（7）因发包人原因导致工期延误的其他情形：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BD35B4F">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6A28B849">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因承包人原因造成工期延误，逾期竣工违约金的计算方法根据“</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”承诺确定，为</w:t>
      </w:r>
      <w:r>
        <w:rPr>
          <w:rFonts w:hint="eastAsia" w:ascii="宋体" w:hAnsi="宋体" w:eastAsia="宋体" w:cs="宋体"/>
          <w:b/>
          <w:bCs/>
          <w:color w:val="auto"/>
          <w:sz w:val="24"/>
          <w:szCs w:val="24"/>
          <w:highlight w:val="none"/>
          <w:u w:val="single"/>
        </w:rPr>
        <w:t>1000</w:t>
      </w:r>
      <w:r>
        <w:rPr>
          <w:rFonts w:hint="eastAsia" w:ascii="宋体" w:hAnsi="宋体" w:eastAsia="宋体" w:cs="宋体"/>
          <w:color w:val="auto"/>
          <w:sz w:val="24"/>
          <w:szCs w:val="24"/>
          <w:highlight w:val="none"/>
        </w:rPr>
        <w:t>元/天。</w:t>
      </w:r>
    </w:p>
    <w:p w14:paraId="3C121BB5">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因承包人原因造成工期延误，逾期竣工违约金的上限根据“</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”承诺确定，为合同金额的</w:t>
      </w:r>
      <w:r>
        <w:rPr>
          <w:rFonts w:hint="eastAsia" w:ascii="宋体" w:hAnsi="宋体" w:eastAsia="宋体" w:cs="宋体"/>
          <w:color w:val="auto"/>
          <w:sz w:val="24"/>
          <w:szCs w:val="24"/>
          <w:highlight w:val="none"/>
          <w:u w:val="single"/>
        </w:rPr>
        <w:t xml:space="preserve"> 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该项限额不足时，发包人有权向承包人追偿。</w:t>
      </w:r>
    </w:p>
    <w:p w14:paraId="513DA0E3">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34D904F8">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地勘资料未涉及的地下管道、地雷、岩层等，但不包括气候条件。</w:t>
      </w:r>
    </w:p>
    <w:p w14:paraId="78E5F0C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7.7异常恶劣的气候条件</w:t>
      </w:r>
    </w:p>
    <w:p w14:paraId="194FF8A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发包人和</w:t>
      </w:r>
      <w:r>
        <w:rPr>
          <w:rFonts w:hint="eastAsia" w:ascii="宋体" w:hAnsi="宋体" w:eastAsia="宋体" w:cs="宋体"/>
          <w:color w:val="auto"/>
          <w:sz w:val="24"/>
          <w:szCs w:val="24"/>
          <w:highlight w:val="none"/>
        </w:rPr>
        <w:t>承包人同意以下情形视为异常恶劣的气候条件：/</w:t>
      </w:r>
    </w:p>
    <w:p w14:paraId="3D299C53">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3E59F7CC">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73653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kern w:val="0"/>
          <w:sz w:val="24"/>
          <w:highlight w:val="none"/>
          <w:lang w:val="en-US"/>
        </w:rPr>
        <w:t>材料</w:t>
      </w:r>
      <w:r>
        <w:rPr>
          <w:rFonts w:hint="eastAsia" w:ascii="宋体" w:hAnsi="宋体" w:eastAsia="宋体" w:cs="宋体"/>
          <w:color w:val="auto"/>
          <w:sz w:val="24"/>
          <w:szCs w:val="24"/>
          <w:highlight w:val="none"/>
        </w:rPr>
        <w:t>与设备</w:t>
      </w:r>
    </w:p>
    <w:p w14:paraId="02081B4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8.8 </w:t>
      </w:r>
      <w:r>
        <w:rPr>
          <w:rFonts w:hint="eastAsia" w:ascii="宋体" w:hAnsi="宋体" w:eastAsia="宋体" w:cs="宋体"/>
          <w:color w:val="auto"/>
          <w:kern w:val="0"/>
          <w:sz w:val="24"/>
          <w:highlight w:val="none"/>
          <w:lang w:val="en-US"/>
        </w:rPr>
        <w:t>施工</w:t>
      </w:r>
      <w:r>
        <w:rPr>
          <w:rFonts w:hint="eastAsia" w:ascii="宋体" w:hAnsi="宋体" w:eastAsia="宋体" w:cs="宋体"/>
          <w:color w:val="auto"/>
          <w:sz w:val="24"/>
          <w:szCs w:val="24"/>
          <w:highlight w:val="none"/>
        </w:rPr>
        <w:t>设备和临时设施</w:t>
      </w:r>
    </w:p>
    <w:p w14:paraId="2F3E6363">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58DAF74C">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承包人自行承担</w:t>
      </w:r>
      <w:r>
        <w:rPr>
          <w:rFonts w:hint="eastAsia" w:ascii="宋体" w:hAnsi="宋体" w:eastAsia="宋体" w:cs="宋体"/>
          <w:color w:val="auto"/>
          <w:sz w:val="24"/>
          <w:szCs w:val="24"/>
          <w:highlight w:val="none"/>
        </w:rPr>
        <w:t>。</w:t>
      </w:r>
    </w:p>
    <w:p w14:paraId="5C67BCF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r>
        <w:rPr>
          <w:rFonts w:hint="eastAsia" w:ascii="宋体" w:hAnsi="宋体" w:eastAsia="宋体" w:cs="宋体"/>
          <w:color w:val="auto"/>
          <w:kern w:val="0"/>
          <w:sz w:val="24"/>
          <w:highlight w:val="none"/>
          <w:lang w:val="en-US"/>
        </w:rPr>
        <w:t>变更</w:t>
      </w:r>
    </w:p>
    <w:p w14:paraId="2D896C9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kern w:val="0"/>
          <w:sz w:val="24"/>
          <w:highlight w:val="none"/>
          <w:lang w:val="en-US"/>
        </w:rPr>
        <w:t>变更</w:t>
      </w:r>
      <w:r>
        <w:rPr>
          <w:rFonts w:hint="eastAsia" w:ascii="宋体" w:hAnsi="宋体" w:eastAsia="宋体" w:cs="宋体"/>
          <w:color w:val="auto"/>
          <w:sz w:val="24"/>
          <w:szCs w:val="24"/>
          <w:highlight w:val="none"/>
        </w:rPr>
        <w:t>的范围</w:t>
      </w:r>
    </w:p>
    <w:p w14:paraId="0DB0E237">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合同双方当事人约</w:t>
      </w:r>
      <w:r>
        <w:rPr>
          <w:rFonts w:hint="eastAsia" w:ascii="宋体" w:hAnsi="宋体" w:eastAsia="宋体" w:cs="宋体"/>
          <w:color w:val="auto"/>
          <w:sz w:val="24"/>
          <w:szCs w:val="24"/>
          <w:highlight w:val="none"/>
          <w:u w:val="single"/>
        </w:rPr>
        <w:t>定：合同履行过程中发生以下各项情形发</w:t>
      </w:r>
      <w:r>
        <w:rPr>
          <w:rFonts w:hint="eastAsia" w:ascii="宋体" w:hAnsi="宋体" w:eastAsia="宋体" w:cs="宋体"/>
          <w:color w:val="auto"/>
          <w:sz w:val="24"/>
          <w:szCs w:val="24"/>
          <w:highlight w:val="none"/>
        </w:rPr>
        <w:t>生的，应按照本条约定进行合同变更。</w:t>
      </w:r>
    </w:p>
    <w:p w14:paraId="5837D74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法律法规变化；</w:t>
      </w:r>
    </w:p>
    <w:p w14:paraId="6B57062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工程变更；</w:t>
      </w:r>
    </w:p>
    <w:p w14:paraId="13212CD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项目特征描述不符；</w:t>
      </w:r>
    </w:p>
    <w:p w14:paraId="4D64C4DA">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工程量清单缺项；</w:t>
      </w:r>
    </w:p>
    <w:p w14:paraId="4B237D9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工程量偏差；</w:t>
      </w:r>
    </w:p>
    <w:p w14:paraId="2AD1CD6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6</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暂估价、暂定价；</w:t>
      </w:r>
    </w:p>
    <w:p w14:paraId="106F7C9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现场签证；</w:t>
      </w:r>
    </w:p>
    <w:p w14:paraId="40C940B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8</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不可抗力；</w:t>
      </w:r>
    </w:p>
    <w:p w14:paraId="5E392C6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9</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误期赔偿；</w:t>
      </w:r>
    </w:p>
    <w:p w14:paraId="19A53F6D">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施工索赔；</w:t>
      </w:r>
    </w:p>
    <w:p w14:paraId="2CC9529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暂列金额；</w:t>
      </w:r>
    </w:p>
    <w:p w14:paraId="677EB1E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10.4 变更估价</w:t>
      </w:r>
    </w:p>
    <w:p w14:paraId="79AF050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10.4.1 变更估价原则</w:t>
      </w:r>
    </w:p>
    <w:p w14:paraId="099A570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10.4.1.1 关于变更单价的约定：</w:t>
      </w:r>
      <w:r>
        <w:rPr>
          <w:rFonts w:hint="eastAsia" w:ascii="宋体" w:hAnsi="宋体" w:eastAsia="宋体" w:cs="宋体"/>
          <w:color w:val="auto"/>
          <w:sz w:val="24"/>
          <w:szCs w:val="24"/>
          <w:highlight w:val="none"/>
        </w:rPr>
        <w:t xml:space="preserve"> </w:t>
      </w:r>
    </w:p>
    <w:p w14:paraId="290901A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（1）已标价的工程量清单或预算书有相同项目的，按照相同项目单价认定。</w:t>
      </w:r>
    </w:p>
    <w:p w14:paraId="7E49BEC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37AE5AC">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（3）当实际工程量与招标工程量清单或预算书中列明的该项工程量出现偏差时，该部分单价可选</w:t>
      </w:r>
      <w:r>
        <w:rPr>
          <w:rFonts w:hint="eastAsia" w:ascii="宋体" w:hAnsi="宋体" w:eastAsia="宋体" w:cs="宋体"/>
          <w:color w:val="auto"/>
          <w:spacing w:val="-2"/>
          <w:sz w:val="24"/>
          <w:szCs w:val="24"/>
          <w:highlight w:val="none"/>
          <w:u w:val="single"/>
        </w:rPr>
        <w:t xml:space="preserve">  B  </w:t>
      </w:r>
      <w:r>
        <w:rPr>
          <w:rFonts w:hint="eastAsia" w:ascii="宋体" w:hAnsi="宋体" w:eastAsia="宋体" w:cs="宋体"/>
          <w:color w:val="auto"/>
          <w:spacing w:val="-2"/>
          <w:sz w:val="24"/>
          <w:szCs w:val="24"/>
          <w:highlight w:val="none"/>
        </w:rPr>
        <w:t>（A/ B）方式调整：</w:t>
      </w:r>
    </w:p>
    <w:p w14:paraId="01140509">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A.变更导致实际完成的变更工程量与已标价的工程量清单或预算书中列明的该项目工程量的变化幅度超过15%的，增加部分的工程量的综合单价（或工料单价）应予调整；当工程量减少15%以上时，减少后剩余部分的工程量的综合单价（或工料单价）应予调整。</w:t>
      </w:r>
    </w:p>
    <w:p w14:paraId="24950BD0">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B.合价金额占合同总价2%及以上的分部分项清单项目，其工程量增加或减少超过本项目工程量15%及以上时，或合价金额占合同总价不到2%的分部分项清单项目，但其工程量增加或减少超过本项目工程数量25%及以上时，其增加部分工程量或减少后剩余部分工程量的相应单价应予调整。</w:t>
      </w:r>
    </w:p>
    <w:p w14:paraId="23F80376">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（4）已标价的工程量清单或预算书中无相同项目及类似项目单价的，应由承包人根据变更工程资料、计量规则和计价办法、工程造价管理机构发布的信息价格</w:t>
      </w:r>
      <w:r>
        <w:rPr>
          <w:rFonts w:hint="eastAsia" w:ascii="宋体" w:hAnsi="宋体" w:eastAsia="宋体" w:cs="宋体"/>
          <w:color w:val="auto"/>
          <w:sz w:val="24"/>
          <w:szCs w:val="24"/>
          <w:highlight w:val="none"/>
        </w:rPr>
        <w:t>和承包人报价浮动率</w:t>
      </w:r>
      <w:r>
        <w:rPr>
          <w:rFonts w:hint="eastAsia" w:ascii="宋体" w:hAnsi="宋体" w:eastAsia="宋体" w:cs="宋体"/>
          <w:color w:val="auto"/>
          <w:spacing w:val="-2"/>
          <w:sz w:val="24"/>
          <w:szCs w:val="24"/>
          <w:highlight w:val="none"/>
        </w:rPr>
        <w:t>提出变更工程项目的单价，并应报发包人确认后调整。</w:t>
      </w:r>
      <w:r>
        <w:rPr>
          <w:rFonts w:hint="eastAsia" w:ascii="宋体" w:hAnsi="宋体" w:eastAsia="宋体" w:cs="宋体"/>
          <w:color w:val="auto"/>
          <w:sz w:val="24"/>
          <w:szCs w:val="24"/>
          <w:highlight w:val="none"/>
        </w:rPr>
        <w:t>浮动率=（成交价/招标控制价-1）*100%，成交价及招标控制价均指剔除了暂估价、暂列金、其他不可竞争费用后的价格。</w:t>
      </w:r>
    </w:p>
    <w:p w14:paraId="4D348514">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或预算书中无相同项目及类似项目单价的，且工程造价管理机构发布的信息价格缺价的，应由承包人根据变更工程资料、计量规则和计价办法，通过市场询查等方式取得有合理依据的市场价格提出变更工程项目的单价，并应报发包人确认后调整。</w:t>
      </w:r>
    </w:p>
    <w:p w14:paraId="55638624">
      <w:pPr>
        <w:pageBreakBefore w:val="0"/>
        <w:widowControl w:val="0"/>
        <w:kinsoku/>
        <w:wordWrap/>
        <w:overflowPunct/>
        <w:topLinePunct w:val="0"/>
        <w:bidi w:val="0"/>
        <w:adjustRightInd/>
        <w:snapToGrid w:val="0"/>
        <w:spacing w:line="332" w:lineRule="auto"/>
        <w:ind w:left="-42" w:leftChars="-20" w:firstLine="46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pacing w:val="-2"/>
          <w:sz w:val="24"/>
          <w:szCs w:val="24"/>
          <w:highlight w:val="none"/>
        </w:rPr>
        <w:t>（6）施工中出现施工图纸或设计变更与工程量清单项目特征描述不符的，发承包双方应按新的项目特征确定相应工程量清单项目，按本条款（1）—（5）</w:t>
      </w:r>
      <w:r>
        <w:rPr>
          <w:rFonts w:hint="eastAsia" w:ascii="宋体" w:hAnsi="宋体" w:eastAsia="宋体" w:cs="宋体"/>
          <w:color w:val="auto"/>
          <w:sz w:val="24"/>
          <w:szCs w:val="24"/>
          <w:highlight w:val="none"/>
        </w:rPr>
        <w:t>及计价依据、规则</w:t>
      </w:r>
      <w:r>
        <w:rPr>
          <w:rFonts w:hint="eastAsia" w:ascii="宋体" w:hAnsi="宋体" w:eastAsia="宋体" w:cs="宋体"/>
          <w:color w:val="auto"/>
          <w:spacing w:val="-2"/>
          <w:sz w:val="24"/>
          <w:szCs w:val="24"/>
          <w:highlight w:val="none"/>
        </w:rPr>
        <w:t>的规定重新确定相应工程量清单或预算书项目的综合单价，并调整合同价格。</w:t>
      </w:r>
    </w:p>
    <w:p w14:paraId="4CC7218D">
      <w:pPr>
        <w:pageBreakBefore w:val="0"/>
        <w:widowControl w:val="0"/>
        <w:kinsoku/>
        <w:wordWrap/>
        <w:overflowPunct/>
        <w:topLinePunct w:val="0"/>
        <w:bidi w:val="0"/>
        <w:adjustRightInd/>
        <w:snapToGrid w:val="0"/>
        <w:spacing w:line="332" w:lineRule="auto"/>
        <w:ind w:firstLine="462" w:firstLineChars="196"/>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计价依据、规则：1、</w:t>
      </w:r>
      <w:r>
        <w:rPr>
          <w:rFonts w:hint="eastAsia" w:ascii="宋体" w:hAnsi="宋体" w:eastAsia="宋体" w:cs="宋体"/>
          <w:color w:val="auto"/>
          <w:spacing w:val="-2"/>
          <w:sz w:val="24"/>
          <w:szCs w:val="24"/>
          <w:highlight w:val="none"/>
          <w:lang w:val="en-US" w:eastAsia="zh-CN"/>
        </w:rPr>
        <w:t>工程量：根据浙江巨业工程设计有限公司设计的《鼓楼街道社区卫生服务中心中药房、地下室库房等改造》。2、</w:t>
      </w:r>
      <w:r>
        <w:rPr>
          <w:rFonts w:hint="eastAsia" w:ascii="宋体" w:hAnsi="宋体" w:eastAsia="宋体" w:cs="宋体"/>
          <w:color w:val="auto"/>
          <w:spacing w:val="-2"/>
          <w:sz w:val="24"/>
          <w:szCs w:val="24"/>
          <w:highlight w:val="none"/>
        </w:rPr>
        <w:t>信息价：材料价格根据《宁波建设工程造价信息》(综合版)2024年6月刊市区信息价、《宁波建设工程造价信息》(综合版)2024年6月刊市区信息价、《浙江造价信息》(正刊)2024年第6期、无信息价的材料或设备采用市场价；人工价格根据按《宁波建设工程造价信息》(综合版) 2024年6月刊市区信息价。</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(1)装修工程企业管理费、利润按单独装饰工程中值计取；施工组织措施费按单独装饰工程中值计取，其中安全文明施工基本费按市区工程计取，标化工地增加费、优质项目增加费及提前竣工增加费不计取。(2)安装工程企业管理费、利润按水、电、暖通、消防、智能、自控及通信安装工程中值计取；施工组织措施项目费费率按水、电、暖通、消防、智能、自控及通信安装工程中值计取，其中安全文明施工基本费按市区工程计取，标化工地增加费、优质项目增加费及提前竣工增加费不计取。(3)安全生产责任保险费：按市建管（2024）12号文件规定1.26%计取。(4)规费：按相应工程标准费率的30%计取（如有新的政策性文件，从其规定）。税金：浙建建发(2019) 92 号规定9%计入。</w:t>
      </w:r>
    </w:p>
    <w:p w14:paraId="77D89D49">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编制原则及办法</w:t>
      </w:r>
    </w:p>
    <w:p w14:paraId="2ACF5368">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1、编制方法：采用综合单价法编制。计税方法：增值税一般计税法。</w:t>
      </w:r>
    </w:p>
    <w:p w14:paraId="58BDC42D">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2、工程量：根据建设单位提供的施工图纸、现</w:t>
      </w:r>
      <w:r>
        <w:rPr>
          <w:rFonts w:hint="eastAsia" w:ascii="宋体" w:hAnsi="宋体" w:eastAsia="宋体" w:cs="宋体"/>
          <w:color w:val="auto"/>
          <w:sz w:val="24"/>
          <w:szCs w:val="24"/>
          <w:highlight w:val="none"/>
          <w:u w:val="single"/>
          <w:lang w:val="en-US" w:eastAsia="zh-CN"/>
        </w:rPr>
        <w:t>场</w:t>
      </w:r>
      <w:r>
        <w:rPr>
          <w:rFonts w:hint="eastAsia" w:ascii="宋体" w:hAnsi="宋体" w:eastAsia="宋体" w:cs="宋体"/>
          <w:color w:val="auto"/>
          <w:sz w:val="24"/>
          <w:szCs w:val="24"/>
          <w:highlight w:val="none"/>
          <w:u w:val="single"/>
        </w:rPr>
        <w:t>勘查结合计算规则计算。</w:t>
      </w:r>
    </w:p>
    <w:p w14:paraId="12533043">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3、人工信息价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含机上人工</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《宁波建设工程造价信息》(综合版) 2024年6月刊市区信息价。</w:t>
      </w:r>
    </w:p>
    <w:p w14:paraId="7596C8D6">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4、材料价格选用先后顺序</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含机械燃料动力费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宁波建设工程造价信息》(综合版)2024年6月刊市区信息价、《宁波建设工程造价信息》(综合版)2024年6月刊市区信息价、《浙江造价信息》(正刊)2024年第6期、无信息价的材料或设备采用市场价。以上信息价、市场价均按除税价计取。</w:t>
      </w:r>
    </w:p>
    <w:p w14:paraId="049347B0">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10.4.1.2 关于变更措施项目费的约定：</w:t>
      </w:r>
    </w:p>
    <w:p w14:paraId="7510C305">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第10.4.1.1 目约定的原则计算单价并提出措施费；采用以“项”计价的措施项目，根据有标价的工程量清单中的措施项目和金额或发承包双方确认调整后的措施项目和金额计算，按项部分结算不做调整。</w:t>
      </w:r>
    </w:p>
    <w:p w14:paraId="485C4202">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（1）原措施费中已有的措施项目，按原措施费的组价方法调整。</w:t>
      </w:r>
    </w:p>
    <w:p w14:paraId="5204B5D1">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原措施费没有的措施项目，承包人根据实际措施项目内容、规定的工程取费类别、现行计价依据并按中标浮动率浮动后提出措施费。浮动率=（成交价/招标控制价—1）*100%，成交价及招标控制价均指剔除了暂估价、暂定价、暂列金额后的价格。</w:t>
      </w:r>
    </w:p>
    <w:p w14:paraId="73E45524">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10.4.1.3 关于其他项目费变更的约定：</w:t>
      </w:r>
    </w:p>
    <w:p w14:paraId="2AF3EDB4">
      <w:pPr>
        <w:pageBreakBefore w:val="0"/>
        <w:widowControl w:val="0"/>
        <w:numPr>
          <w:ilvl w:val="0"/>
          <w:numId w:val="2"/>
        </w:numPr>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承包人应发包人要求完成合同以外的项目、工作，或者发生应由发包人承担责任的事件，承包人应按合同约定的时间、程序向发包人提出费用或责任事件确认的书面资料，办理现场签证。现场签证作为其中结算、竣工结算的依据。发包人在现场签证时涉及工程量、价、费等内容的，按合同约定的时间，由具备工程计价资格的人员核对，并详细、明确签署相应意见，否则视为认同承包人提出的内容及金额。</w:t>
      </w:r>
    </w:p>
    <w:p w14:paraId="39FCCB6F">
      <w:pPr>
        <w:pageBreakBefore w:val="0"/>
        <w:widowControl w:val="0"/>
        <w:numPr>
          <w:ilvl w:val="0"/>
          <w:numId w:val="2"/>
        </w:numPr>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总承包服务费依据合同约定金额计算。</w:t>
      </w:r>
    </w:p>
    <w:p w14:paraId="47952D1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（3）计日工按发包人实际签证确认的事项所发生的数量计算。</w:t>
      </w:r>
    </w:p>
    <w:p w14:paraId="0AE9F70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（4）暂列金额在减去工程价款调整与索赔、现场签证等金额后，如有余额，归还发包人。</w:t>
      </w:r>
    </w:p>
    <w:p w14:paraId="6D303DC4">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10.8 暂列金额</w:t>
      </w:r>
    </w:p>
    <w:p w14:paraId="0D1A01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bCs/>
          <w:color w:val="auto"/>
          <w:sz w:val="24"/>
          <w:szCs w:val="24"/>
          <w:highlight w:val="none"/>
          <w:u w:val="single"/>
        </w:rPr>
        <w:t>由发包人通过监理人发出使用指令</w:t>
      </w:r>
      <w:r>
        <w:rPr>
          <w:rFonts w:hint="eastAsia" w:ascii="宋体" w:hAnsi="宋体" w:eastAsia="宋体" w:cs="宋体"/>
          <w:color w:val="auto"/>
          <w:sz w:val="24"/>
          <w:szCs w:val="24"/>
          <w:highlight w:val="none"/>
        </w:rPr>
        <w:t>。</w:t>
      </w:r>
    </w:p>
    <w:p w14:paraId="54B9F77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 价格调整</w:t>
      </w:r>
    </w:p>
    <w:p w14:paraId="7B4141C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11.1 市场价格波动引起的调整</w:t>
      </w:r>
    </w:p>
    <w:p w14:paraId="7DF1792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市场价格波动是否</w:t>
      </w:r>
      <w:r>
        <w:rPr>
          <w:rFonts w:hint="eastAsia" w:ascii="宋体" w:hAnsi="宋体" w:eastAsia="宋体" w:cs="宋体"/>
          <w:color w:val="auto"/>
          <w:sz w:val="24"/>
          <w:szCs w:val="24"/>
          <w:highlight w:val="none"/>
        </w:rPr>
        <w:t>调整合同价格的约定：</w:t>
      </w:r>
      <w:r>
        <w:rPr>
          <w:rFonts w:hint="eastAsia" w:ascii="宋体" w:hAnsi="宋体" w:eastAsia="宋体" w:cs="宋体"/>
          <w:b/>
          <w:bCs/>
          <w:color w:val="auto"/>
          <w:sz w:val="24"/>
          <w:szCs w:val="24"/>
          <w:highlight w:val="none"/>
          <w:u w:val="single"/>
          <w:lang w:val="en-US" w:eastAsia="zh-CN"/>
        </w:rPr>
        <w:t>施工期间</w:t>
      </w:r>
      <w:r>
        <w:rPr>
          <w:rFonts w:hint="eastAsia" w:ascii="宋体" w:hAnsi="宋体" w:eastAsia="宋体" w:cs="宋体"/>
          <w:b/>
          <w:bCs/>
          <w:color w:val="auto"/>
          <w:sz w:val="24"/>
          <w:szCs w:val="24"/>
          <w:highlight w:val="none"/>
          <w:u w:val="single"/>
        </w:rPr>
        <w:t>因市场价格波动引起的变化不予调整。</w:t>
      </w:r>
    </w:p>
    <w:p w14:paraId="615B752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12. 合同价格、计量与支付</w:t>
      </w:r>
    </w:p>
    <w:p w14:paraId="51F08BC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12.1 合同价格形式</w:t>
      </w:r>
    </w:p>
    <w:p w14:paraId="2656C6F4">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本合同采用合同</w:t>
      </w:r>
      <w:r>
        <w:rPr>
          <w:rFonts w:hint="eastAsia" w:ascii="宋体" w:hAnsi="宋体" w:eastAsia="宋体" w:cs="宋体"/>
          <w:color w:val="auto"/>
          <w:sz w:val="24"/>
          <w:szCs w:val="24"/>
          <w:highlight w:val="none"/>
        </w:rPr>
        <w:t>当事人签订的合同协议书中约定的价格形式，即：</w:t>
      </w:r>
      <w:r>
        <w:rPr>
          <w:rFonts w:hint="eastAsia" w:ascii="宋体" w:hAnsi="宋体" w:eastAsia="宋体" w:cs="宋体"/>
          <w:b/>
          <w:bCs/>
          <w:color w:val="auto"/>
          <w:sz w:val="24"/>
          <w:szCs w:val="24"/>
          <w:highlight w:val="none"/>
          <w:u w:val="single"/>
        </w:rPr>
        <w:t>单价合同</w:t>
      </w:r>
      <w:r>
        <w:rPr>
          <w:rFonts w:hint="eastAsia" w:ascii="宋体" w:hAnsi="宋体" w:eastAsia="宋体" w:cs="宋体"/>
          <w:color w:val="auto"/>
          <w:sz w:val="24"/>
          <w:szCs w:val="24"/>
          <w:highlight w:val="none"/>
        </w:rPr>
        <w:t>。其中：</w:t>
      </w:r>
    </w:p>
    <w:p w14:paraId="41CDF0B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1.本项目工程量均按实结算。</w:t>
      </w:r>
    </w:p>
    <w:p w14:paraId="06EB23C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2.投标人自行踏勘现场后掌握的实际情况结合招标人提供的工程量清单对项目进行报价，若施工方式与工程量清单描述的项目特征及作法存在差异则均按实际情况重新组价调整（组价方式见合同10.4.1款</w:t>
      </w:r>
      <w:r>
        <w:rPr>
          <w:rFonts w:hint="eastAsia" w:ascii="宋体" w:hAnsi="宋体" w:eastAsia="宋体" w:cs="宋体"/>
          <w:color w:val="auto"/>
          <w:sz w:val="24"/>
          <w:szCs w:val="24"/>
          <w:highlight w:val="none"/>
        </w:rPr>
        <w:t>内容）。</w:t>
      </w:r>
    </w:p>
    <w:p w14:paraId="073CFC22">
      <w:pPr>
        <w:pageBreakBefore w:val="0"/>
        <w:widowControl w:val="0"/>
        <w:kinsoku/>
        <w:wordWrap/>
        <w:overflowPunct/>
        <w:topLinePunct w:val="0"/>
        <w:bidi w:val="0"/>
        <w:snapToGrid w:val="0"/>
        <w:spacing w:line="332"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 预付款</w:t>
      </w:r>
    </w:p>
    <w:p w14:paraId="6A29F231">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31DB8EF7">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b/>
          <w:bCs/>
          <w:color w:val="auto"/>
          <w:sz w:val="24"/>
          <w:szCs w:val="24"/>
          <w:highlight w:val="none"/>
          <w:u w:val="single"/>
        </w:rPr>
        <w:t>合同价的40%</w:t>
      </w:r>
      <w:r>
        <w:rPr>
          <w:rFonts w:hint="eastAsia" w:ascii="宋体" w:hAnsi="宋体" w:eastAsia="宋体" w:cs="宋体"/>
          <w:color w:val="auto"/>
          <w:sz w:val="24"/>
          <w:szCs w:val="24"/>
          <w:highlight w:val="none"/>
        </w:rPr>
        <w:t>。</w:t>
      </w:r>
    </w:p>
    <w:p w14:paraId="7BDD793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D3F8FF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关于工程量计算原则约定：按现行的工程量计算规则执行。</w:t>
      </w:r>
    </w:p>
    <w:p w14:paraId="1EB6F30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关于计量周期及本合同计量方式和程序的约定：执行通用条款</w:t>
      </w:r>
    </w:p>
    <w:p w14:paraId="665D89D4">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475AF0FD">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关于付款的约定：</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合同生效及具备实施条件后7个工作日内，</w:t>
      </w:r>
      <w:r>
        <w:rPr>
          <w:rFonts w:hint="eastAsia" w:ascii="宋体" w:hAnsi="宋体" w:eastAsia="宋体" w:cs="宋体"/>
          <w:b/>
          <w:bCs/>
          <w:color w:val="auto"/>
          <w:kern w:val="0"/>
          <w:sz w:val="24"/>
          <w:szCs w:val="24"/>
          <w:highlight w:val="none"/>
          <w:lang w:val="en-US" w:eastAsia="zh-CN"/>
        </w:rPr>
        <w:t>发包人</w:t>
      </w:r>
      <w:r>
        <w:rPr>
          <w:rFonts w:hint="eastAsia" w:ascii="宋体" w:hAnsi="宋体" w:eastAsia="宋体" w:cs="宋体"/>
          <w:b/>
          <w:bCs/>
          <w:color w:val="auto"/>
          <w:kern w:val="0"/>
          <w:sz w:val="24"/>
          <w:szCs w:val="24"/>
          <w:highlight w:val="none"/>
        </w:rPr>
        <w:t>支付合同总价（扣除未确定的暂定金额、暂列金额、甲供材料费用）的40%；</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工程初验通过后7个工作日内，</w:t>
      </w:r>
      <w:r>
        <w:rPr>
          <w:rFonts w:hint="eastAsia" w:ascii="宋体" w:hAnsi="宋体" w:eastAsia="宋体" w:cs="宋体"/>
          <w:b/>
          <w:bCs/>
          <w:color w:val="auto"/>
          <w:kern w:val="0"/>
          <w:sz w:val="24"/>
          <w:szCs w:val="24"/>
          <w:highlight w:val="none"/>
          <w:lang w:val="en-US" w:eastAsia="zh-CN"/>
        </w:rPr>
        <w:t>发包人</w:t>
      </w:r>
      <w:r>
        <w:rPr>
          <w:rFonts w:hint="eastAsia" w:ascii="宋体" w:hAnsi="宋体" w:eastAsia="宋体" w:cs="宋体"/>
          <w:b/>
          <w:bCs/>
          <w:color w:val="auto"/>
          <w:kern w:val="0"/>
          <w:sz w:val="24"/>
          <w:szCs w:val="24"/>
          <w:highlight w:val="none"/>
        </w:rPr>
        <w:t>支付至合同总价（扣除未确定的暂定金额、暂列金额、甲供材料费用）的80%；</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工程竣工验收（终验）合格后，根据相关部门核准的决算价，付清尾款。</w:t>
      </w:r>
    </w:p>
    <w:p w14:paraId="08661B2F">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注：具体条款以双方签订的合同约定为准。</w:t>
      </w:r>
    </w:p>
    <w:p w14:paraId="43A708CC">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rPr>
      </w:pPr>
      <w:bookmarkStart w:id="479" w:name="_Hlk89721287"/>
      <w:r>
        <w:rPr>
          <w:rFonts w:hint="eastAsia" w:ascii="宋体" w:hAnsi="宋体" w:eastAsia="宋体" w:cs="宋体"/>
          <w:b/>
          <w:bCs/>
          <w:color w:val="auto"/>
          <w:sz w:val="24"/>
          <w:szCs w:val="24"/>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479"/>
    <w:p w14:paraId="64F9360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 验收和工程试车</w:t>
      </w:r>
    </w:p>
    <w:p w14:paraId="0460FDB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13.1 分部分项工程</w:t>
      </w:r>
      <w:r>
        <w:rPr>
          <w:rFonts w:hint="eastAsia" w:ascii="宋体" w:hAnsi="宋体" w:eastAsia="宋体" w:cs="宋体"/>
          <w:color w:val="auto"/>
          <w:sz w:val="24"/>
          <w:szCs w:val="24"/>
          <w:highlight w:val="none"/>
        </w:rPr>
        <w:t>验收</w:t>
      </w:r>
    </w:p>
    <w:p w14:paraId="0F8A5665">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52DD7759">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ADA7C1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13.2 竣工验收</w:t>
      </w:r>
    </w:p>
    <w:p w14:paraId="132D144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13.2.5 移交、接收全部与部分工程</w:t>
      </w:r>
    </w:p>
    <w:p w14:paraId="20A9C78C">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承包人向发</w:t>
      </w:r>
      <w:r>
        <w:rPr>
          <w:rFonts w:hint="eastAsia" w:ascii="宋体" w:hAnsi="宋体" w:eastAsia="宋体" w:cs="宋体"/>
          <w:color w:val="auto"/>
          <w:sz w:val="24"/>
          <w:szCs w:val="24"/>
          <w:highlight w:val="none"/>
        </w:rPr>
        <w:t>包人移交工程的期限：在颁发工程接收证书后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rPr>
        <w:t>天内完成工程的移交。</w:t>
      </w:r>
    </w:p>
    <w:p w14:paraId="52F3BE45">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承包人无正当理由未按时移交工程的，除承担自应接收工程之日起的工程照管、成本保护、保管等与工程有关的各项费用外，应当按本合同约定的工期延误赔偿标准的5倍向发包人支付逾期移交工程的违约金。</w:t>
      </w:r>
    </w:p>
    <w:p w14:paraId="02389AC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13.6 竣工退场</w:t>
      </w:r>
    </w:p>
    <w:p w14:paraId="051DCDB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13.6.1 竣工退场</w:t>
      </w:r>
    </w:p>
    <w:p w14:paraId="3F9AF08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承包人应当在发包人颁发工程接收证书后7天内完成竣工退场，逾期未完成的，按通用条款执行。</w:t>
      </w:r>
    </w:p>
    <w:p w14:paraId="14FCA66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bookmarkStart w:id="480" w:name="_Hlk89721330"/>
      <w:r>
        <w:rPr>
          <w:rFonts w:hint="eastAsia" w:ascii="宋体" w:hAnsi="宋体" w:eastAsia="宋体" w:cs="宋体"/>
          <w:color w:val="auto"/>
          <w:kern w:val="0"/>
          <w:sz w:val="24"/>
          <w:highlight w:val="none"/>
          <w:lang w:val="en-US"/>
        </w:rPr>
        <w:t>交工前，承包人应自行清运、清理完毕发包人提供的场地范围内的所有机械、建筑垃圾等所有发包人认为应该清理、清运的物品，费用已包含在承包人的投标报价中，发包人不再另行支付费用。若承包人未履行上述义务的，发包人有权以发包人认为合理的方式处理场地范围内的所有机械、建筑垃圾等物品，相应的储藏费、场地租赁费、清运费等均由承包人承担且发包人有权在应付款中扣除。</w:t>
      </w:r>
    </w:p>
    <w:bookmarkEnd w:id="480"/>
    <w:p w14:paraId="4CB748B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 竣工结算</w:t>
      </w:r>
    </w:p>
    <w:p w14:paraId="658F56AD">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14.1 竣工结算申请</w:t>
      </w:r>
    </w:p>
    <w:p w14:paraId="481E70B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承包人应当在工程竣工验收合格后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天内向发包人或其委托的工程造价咨询人提交竣工结算申请单及其完整的结算资料4份。</w:t>
      </w:r>
    </w:p>
    <w:p w14:paraId="02DE5F6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其委托的工程造价咨询人对竣工结算申请单有异议或者结算资料不符合要求的，有权要求承包人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5986A63F">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竣工结算申请单应包括的内容：按通用条款执行。</w:t>
      </w:r>
    </w:p>
    <w:p w14:paraId="6834D55A">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14.2 竣工结算审核与审计</w:t>
      </w:r>
    </w:p>
    <w:p w14:paraId="2A243136">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竣工结算审核</w:t>
      </w:r>
    </w:p>
    <w:p w14:paraId="31BD1822">
      <w:pPr>
        <w:pageBreakBefore w:val="0"/>
        <w:widowControl w:val="0"/>
        <w:kinsoku/>
        <w:wordWrap/>
        <w:overflowPunct/>
        <w:topLinePunct w:val="0"/>
        <w:bidi w:val="0"/>
        <w:adjustRightInd/>
        <w:snapToGrid w:val="0"/>
        <w:spacing w:line="332"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（1）发包人或其委托的工程造价咨询人应在收到符合要求的竣工结算申请单及其结算资料后</w:t>
      </w:r>
      <w:r>
        <w:rPr>
          <w:rFonts w:hint="eastAsia" w:ascii="宋体" w:hAnsi="宋体" w:eastAsia="宋体" w:cs="宋体"/>
          <w:b/>
          <w:bCs/>
          <w:color w:val="auto"/>
          <w:sz w:val="24"/>
          <w:szCs w:val="24"/>
          <w:highlight w:val="none"/>
          <w:u w:val="single"/>
        </w:rPr>
        <w:t>56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天内完成审批，并由监理人向承包人签发经发包人签认的竣工付款证。</w:t>
      </w:r>
    </w:p>
    <w:p w14:paraId="412B24A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发包人在收到承包人提交的竣工结算申请单后</w:t>
      </w:r>
      <w:r>
        <w:rPr>
          <w:rFonts w:hint="eastAsia" w:ascii="宋体" w:hAnsi="宋体" w:eastAsia="宋体" w:cs="宋体"/>
          <w:b/>
          <w:bCs/>
          <w:color w:val="auto"/>
          <w:sz w:val="24"/>
          <w:szCs w:val="24"/>
          <w:highlight w:val="none"/>
          <w:u w:val="single"/>
        </w:rPr>
        <w:t>112</w:t>
      </w:r>
      <w:r>
        <w:rPr>
          <w:rFonts w:hint="eastAsia" w:ascii="宋体" w:hAnsi="宋体" w:eastAsia="宋体" w:cs="宋体"/>
          <w:color w:val="auto"/>
          <w:sz w:val="24"/>
          <w:szCs w:val="24"/>
          <w:highlight w:val="none"/>
        </w:rPr>
        <w:t>天未提出异议或者未出具结算报告的，视为发包人认可承包人提交的竣工结算申请单，逾期视为已签发竣工付款证书。</w:t>
      </w:r>
    </w:p>
    <w:p w14:paraId="1ABB746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（2）发包人应在签发竣工付款证书后</w:t>
      </w:r>
      <w:r>
        <w:rPr>
          <w:rFonts w:hint="eastAsia" w:ascii="宋体" w:hAnsi="宋体" w:eastAsia="宋体" w:cs="宋体"/>
          <w:b/>
          <w:bCs/>
          <w:color w:val="auto"/>
          <w:sz w:val="24"/>
          <w:szCs w:val="24"/>
          <w:highlight w:val="none"/>
          <w:u w:val="single"/>
        </w:rPr>
        <w:t>14</w:t>
      </w:r>
      <w:r>
        <w:rPr>
          <w:rFonts w:hint="eastAsia" w:ascii="宋体" w:hAnsi="宋体" w:eastAsia="宋体" w:cs="宋体"/>
          <w:color w:val="auto"/>
          <w:sz w:val="24"/>
          <w:szCs w:val="24"/>
          <w:highlight w:val="none"/>
        </w:rPr>
        <w:t>天内，完成对承包人的竣工付款。发包人逾期支付的违约责任按通用条款执行。</w:t>
      </w:r>
    </w:p>
    <w:p w14:paraId="6A845AD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32BA4C8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（4）关于承包人收款账户的约定：执行通用条款。</w:t>
      </w:r>
    </w:p>
    <w:p w14:paraId="6EC9B92E">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 审计</w:t>
      </w:r>
    </w:p>
    <w:p w14:paraId="26988627">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（1）发包人应在完成竣工结算审批后</w:t>
      </w: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rPr>
        <w:t>天内向审计部门提交符合审计要求的资料。</w:t>
      </w:r>
    </w:p>
    <w:p w14:paraId="2241037B">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（2）承包人有义务积极配合审计工作，确保审计工作的顺利开展。</w:t>
      </w:r>
    </w:p>
    <w:p w14:paraId="5FD7D815">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14.4 最终结清</w:t>
      </w:r>
    </w:p>
    <w:p w14:paraId="4CF7E6F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14:paraId="6639944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（1）承包人应在缺陷责任期终止证书颁发后7天内提交3份最终结清申请单，并提供相关证明材料。最终结清申请单应列明质量保证金、应扣除的质量保证金、缺陷责任期内发生的增减费用。</w:t>
      </w:r>
    </w:p>
    <w:p w14:paraId="0C1A920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（2）发包人对最终结清申请单内容有异议的，有权要求承包人进行修正和提供补充资料，但应当出具书面意见。承包人应当按照发包人的书面意见提交修正后的最终结清申请单。</w:t>
      </w:r>
    </w:p>
    <w:p w14:paraId="02577B2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767393B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（1）发包人应在收到承包人提交的最终结清申请单后</w:t>
      </w:r>
      <w:r>
        <w:rPr>
          <w:rFonts w:hint="eastAsia" w:ascii="宋体" w:hAnsi="宋体" w:eastAsia="宋体" w:cs="宋体"/>
          <w:b/>
          <w:bCs/>
          <w:color w:val="auto"/>
          <w:sz w:val="24"/>
          <w:szCs w:val="24"/>
          <w:highlight w:val="none"/>
          <w:u w:val="single"/>
        </w:rPr>
        <w:t>21</w:t>
      </w:r>
      <w:r>
        <w:rPr>
          <w:rFonts w:hint="eastAsia" w:ascii="宋体" w:hAnsi="宋体" w:eastAsia="宋体" w:cs="宋体"/>
          <w:color w:val="auto"/>
          <w:sz w:val="24"/>
          <w:szCs w:val="24"/>
          <w:highlight w:val="none"/>
        </w:rPr>
        <w:t>天内完成审批并向承包人颁发最终结清证书。发包人逾期未完成审批，又未提出修改意见的，视为发包人同意承包人提交的最终结清申请单并已颁发最终结清证书 。</w:t>
      </w:r>
    </w:p>
    <w:p w14:paraId="56EB663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（2）发包人应在颁发最终结清证书后</w:t>
      </w:r>
      <w:r>
        <w:rPr>
          <w:rFonts w:hint="eastAsia" w:ascii="宋体" w:hAnsi="宋体" w:eastAsia="宋体" w:cs="宋体"/>
          <w:b/>
          <w:bCs/>
          <w:color w:val="auto"/>
          <w:sz w:val="24"/>
          <w:szCs w:val="24"/>
          <w:highlight w:val="none"/>
          <w:u w:val="single"/>
        </w:rPr>
        <w:t>14</w:t>
      </w:r>
      <w:r>
        <w:rPr>
          <w:rFonts w:hint="eastAsia" w:ascii="宋体" w:hAnsi="宋体" w:eastAsia="宋体" w:cs="宋体"/>
          <w:color w:val="auto"/>
          <w:sz w:val="24"/>
          <w:szCs w:val="24"/>
          <w:highlight w:val="none"/>
        </w:rPr>
        <w:t>天完成支付。发包人逾期支付的违约责任按通用条款执行。</w:t>
      </w:r>
    </w:p>
    <w:p w14:paraId="19E436CC">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 缺陷责任期、质保金与保修</w:t>
      </w:r>
    </w:p>
    <w:p w14:paraId="1A930E6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15.2缺陷责任期</w:t>
      </w:r>
    </w:p>
    <w:p w14:paraId="1FD3CD6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本合同缺陷责任期为</w:t>
      </w:r>
      <w:r>
        <w:rPr>
          <w:rFonts w:hint="eastAsia" w:ascii="宋体" w:hAnsi="宋体" w:eastAsia="宋体" w:cs="宋体"/>
          <w:b/>
          <w:bCs/>
          <w:color w:val="auto"/>
          <w:sz w:val="24"/>
          <w:szCs w:val="24"/>
          <w:highlight w:val="none"/>
          <w:u w:val="single"/>
        </w:rPr>
        <w:t>2</w:t>
      </w:r>
      <w:r>
        <w:rPr>
          <w:rFonts w:hint="eastAsia" w:ascii="宋体" w:hAnsi="宋体" w:eastAsia="宋体" w:cs="宋体"/>
          <w:color w:val="auto"/>
          <w:sz w:val="24"/>
          <w:szCs w:val="24"/>
          <w:highlight w:val="none"/>
        </w:rPr>
        <w:t>年。</w:t>
      </w:r>
    </w:p>
    <w:p w14:paraId="688E8F5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工程竣工验收合格后，因施工承包人原因导致的缺陷使工程或某项主要设备不能按原定目的使用的，发包人有权在原缺陷责任期届满前要求施工承包人延长缺陷责任期，延长的缺陷责任期为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年。</w:t>
      </w:r>
    </w:p>
    <w:p w14:paraId="73E032F1">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614856DE">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（1）承包人提供的质量保证担保形式为质量保证金保函。</w:t>
      </w:r>
    </w:p>
    <w:p w14:paraId="08E3FE9A">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采用质量保证金保函的，承包人最迟在缺陷责任期开始前7日将向发包人提供符合发包人要求的《质量保证金保函》格式的银行保函一份。</w:t>
      </w:r>
    </w:p>
    <w:p w14:paraId="503BE38A">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缺陷责任期延长的，承包人最迟应在原缺陷责任期届满之日前14天向发包人提交延长缺陷责任期的质量保证金保函或顺延原保函的有效期截止时间，否则发包人有权向第三方担保人提出索赔。</w:t>
      </w:r>
    </w:p>
    <w:p w14:paraId="413A7747">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采用质量保证金的，在工程竣工结算时发包人在合同尾款中一次性扣留。</w:t>
      </w:r>
    </w:p>
    <w:p w14:paraId="2142164C">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（2）质量保证金保函担保时间或质量保证金扣留期限与第15.2款约定的缺陷责任期保持一致。</w:t>
      </w:r>
    </w:p>
    <w:p w14:paraId="1E9A3970">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（3）质量保证金额度为工程结算价款的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E95290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（4）承包人与质量保证担保有关的费用由承包人承担；因承包人原因导致缺陷责任期延长的，继续提供质量保证担保所增加的费用由承包人承担。</w:t>
      </w:r>
    </w:p>
    <w:p w14:paraId="071C524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（5）保修期从发包人批准的竣工验收通过之日起计算。在合同保修期间，对承包人责任的工程质量问题，承包人应负责无偿修补，由此给发包人造成的损失须予以赔偿。</w:t>
      </w:r>
    </w:p>
    <w:p w14:paraId="6C7B399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（6）根据《宁波市财政局关于坚决打赢新冠肺炎疫情防控阻击战做好政府采购支持企业发展工作的通知》（甬财政发〔2020〕166号）文件规定，本项目不收取质量保证金。</w:t>
      </w:r>
    </w:p>
    <w:p w14:paraId="3292F024">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6DFBFEE0">
      <w:pPr>
        <w:pageBreakBefore w:val="0"/>
        <w:widowControl w:val="0"/>
        <w:kinsoku/>
        <w:wordWrap/>
        <w:overflowPunct/>
        <w:topLinePunct w:val="0"/>
        <w:bidi w:val="0"/>
        <w:adjustRightInd/>
        <w:snapToGrid w:val="0"/>
        <w:spacing w:line="332"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6905136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工程保修期的约定详见工程质量保修书。</w:t>
      </w:r>
    </w:p>
    <w:p w14:paraId="713AC2B5">
      <w:pPr>
        <w:pageBreakBefore w:val="0"/>
        <w:widowControl w:val="0"/>
        <w:kinsoku/>
        <w:wordWrap/>
        <w:overflowPunct/>
        <w:topLinePunct w:val="0"/>
        <w:bidi w:val="0"/>
        <w:adjustRightInd/>
        <w:snapToGrid w:val="0"/>
        <w:spacing w:line="332"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4AF080E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承包人收到保修通知并到达工程现场的合理时间：承包人收到保修通知并到达工程现场的合理时间为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小时内（含</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w:t>
      </w:r>
    </w:p>
    <w:p w14:paraId="433FBC55">
      <w:pPr>
        <w:keepNext/>
        <w:keepLines/>
        <w:pageBreakBefore w:val="0"/>
        <w:widowControl w:val="0"/>
        <w:kinsoku/>
        <w:wordWrap/>
        <w:overflowPunct/>
        <w:topLinePunct w:val="0"/>
        <w:bidi w:val="0"/>
        <w:adjustRightInd/>
        <w:snapToGrid w:val="0"/>
        <w:spacing w:before="120" w:after="120" w:line="332" w:lineRule="auto"/>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683B703E">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304B0810">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F9AFC0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承包人违约的情形按通用条款确定。</w:t>
      </w:r>
    </w:p>
    <w:p w14:paraId="0BEBB20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63968849">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bookmarkStart w:id="481" w:name="_Hlk89721378"/>
      <w:r>
        <w:rPr>
          <w:rFonts w:hint="eastAsia" w:ascii="宋体" w:hAnsi="宋体" w:eastAsia="宋体" w:cs="宋体"/>
          <w:b/>
          <w:bCs/>
          <w:color w:val="auto"/>
          <w:sz w:val="24"/>
          <w:szCs w:val="24"/>
          <w:highlight w:val="none"/>
          <w:u w:val="single"/>
        </w:rPr>
        <w:t>（1）工期违约赔偿限额：合同金额的</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该金额不足以弥补发包人实际损失的，发包人有权追偿；工期延误在60天以上的，发包人有权单方解除合同并就未完工程另行发包，如发包人解除合同，承包人必须无条件退场，同时承担由此给发包人造成的一切损失。</w:t>
      </w:r>
    </w:p>
    <w:p w14:paraId="11D4A18B">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质量未达到投标承诺的违约金：合同金额的1.5%，同时承包人应当对不合格工程予以修复或整改，承担修复或整改费用；造成发包人损失的，还应当承担相应的损失，工期不予顺延；工期延误的，还应当承担工期延误违约责任。</w:t>
      </w:r>
    </w:p>
    <w:p w14:paraId="6335BC41">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未履行项目经理及主要施工管理人员到场承诺（要求项目经理和其它人员每月到位24天及以上）违约金限额：合同金额的1%，同时发包人有权解除合同并要求承包人承担一切直接和间接损失；承包人因特殊原因要求更换项目经理及施工管理人员的须征得发包人同意并按有关规定备案；</w:t>
      </w:r>
    </w:p>
    <w:p w14:paraId="27FA8E1F">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（4）未履行主要机械设备到场承诺的违约金为合同</w:t>
      </w:r>
      <w:r>
        <w:rPr>
          <w:rFonts w:hint="eastAsia" w:ascii="宋体" w:hAnsi="宋体" w:eastAsia="宋体" w:cs="宋体"/>
          <w:b/>
          <w:bCs/>
          <w:color w:val="auto"/>
          <w:sz w:val="24"/>
          <w:szCs w:val="24"/>
          <w:highlight w:val="none"/>
          <w:u w:val="single"/>
          <w:lang w:val="en-US" w:eastAsia="zh-CN"/>
        </w:rPr>
        <w:t>金额</w:t>
      </w:r>
      <w:r>
        <w:rPr>
          <w:rFonts w:hint="eastAsia" w:ascii="宋体" w:hAnsi="宋体" w:eastAsia="宋体" w:cs="宋体"/>
          <w:b/>
          <w:bCs/>
          <w:color w:val="auto"/>
          <w:sz w:val="24"/>
          <w:szCs w:val="24"/>
          <w:highlight w:val="none"/>
          <w:u w:val="single"/>
        </w:rPr>
        <w:t>的0.5%/次，该金额不足以弥补发包人实际损失的，发包人有权追偿。</w:t>
      </w:r>
    </w:p>
    <w:p w14:paraId="4E1572D3">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（5）未履行安全文明施工承诺违约金为合同金额的0.5%/次，该金额不足以弥补发包人实际损失的，发包人有权追偿。</w:t>
      </w:r>
    </w:p>
    <w:p w14:paraId="32E871CB">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（6）因承包人原因造成本合同无法履行或承包人违法分包或转包时，发包人有权解除，没收承包人的履约保证金，由此造成的各项损失均由承包人承担。</w:t>
      </w:r>
    </w:p>
    <w:p w14:paraId="1FED9C52">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（7）承包人不能按期提交或不能提交完整的竣工资料或结算资料的，每逾期一天，应向发包人支付500元违约金，发包人有权在应付款中扣除，如上述违约金不足以发包人实际损失的，发包人有权追偿。</w:t>
      </w:r>
    </w:p>
    <w:bookmarkEnd w:id="481"/>
    <w:p w14:paraId="0327403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关于因承包人违约解除合同的约定：执行通用条款。</w:t>
      </w:r>
    </w:p>
    <w:p w14:paraId="4039564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675EB6FD">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highlight w:val="none"/>
          <w:lang w:val="en-US"/>
        </w:rPr>
        <w:t xml:space="preserve">7. 不可抗力 </w:t>
      </w:r>
    </w:p>
    <w:p w14:paraId="3142D4B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17.1 不可抗力的确认</w:t>
      </w:r>
    </w:p>
    <w:p w14:paraId="5D5AC56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除通用合同条款约定的不可抗力事件之外，视为不可抗力的其他情形：火灾、洪水、罢工、政府征用、政府禁止令等。</w:t>
      </w:r>
    </w:p>
    <w:p w14:paraId="1A53319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17.4 因不可抗力解除合同</w:t>
      </w:r>
    </w:p>
    <w:p w14:paraId="4FFCFF4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合同解除后，发包人应在商定或确定发包人应支付款项后28天内完成款项的支付。</w:t>
      </w:r>
    </w:p>
    <w:p w14:paraId="5454564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 保险</w:t>
      </w:r>
    </w:p>
    <w:p w14:paraId="25C07FC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18.1 工程保险</w:t>
      </w:r>
    </w:p>
    <w:p w14:paraId="1ADC4AD2">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6D71FC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highlight w:val="none"/>
          <w:lang w:val="en-US"/>
        </w:rPr>
        <w:t>8.3 其他保险</w:t>
      </w:r>
    </w:p>
    <w:p w14:paraId="02A32D5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bookmarkStart w:id="482" w:name="_Hlk89721533"/>
      <w:r>
        <w:rPr>
          <w:rFonts w:hint="eastAsia" w:ascii="宋体" w:hAnsi="宋体" w:eastAsia="宋体" w:cs="宋体"/>
          <w:color w:val="auto"/>
          <w:kern w:val="0"/>
          <w:sz w:val="24"/>
          <w:highlight w:val="none"/>
          <w:lang w:val="en-US"/>
        </w:rPr>
        <w:t>关于其他保险</w:t>
      </w:r>
      <w:r>
        <w:rPr>
          <w:rFonts w:hint="eastAsia" w:ascii="宋体" w:hAnsi="宋体" w:eastAsia="宋体" w:cs="宋体"/>
          <w:color w:val="auto"/>
          <w:sz w:val="24"/>
          <w:szCs w:val="24"/>
          <w:highlight w:val="none"/>
        </w:rPr>
        <w:t>的约定：除第三者责任险和合同另有约定外，保险费用由被保险人承担。</w:t>
      </w:r>
    </w:p>
    <w:bookmarkEnd w:id="482"/>
    <w:p w14:paraId="52639706">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应当</w:t>
      </w:r>
      <w:r>
        <w:rPr>
          <w:rFonts w:hint="eastAsia" w:ascii="宋体" w:hAnsi="宋体" w:eastAsia="宋体" w:cs="宋体"/>
          <w:color w:val="auto"/>
          <w:sz w:val="24"/>
          <w:szCs w:val="24"/>
          <w:highlight w:val="none"/>
        </w:rPr>
        <w:t>为其施工设备等办理财产保险。</w:t>
      </w:r>
    </w:p>
    <w:p w14:paraId="622CCA1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18.7 通知义务</w:t>
      </w:r>
    </w:p>
    <w:p w14:paraId="55B9413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关于变更保险合同时的通知义务的约定：执行通用条款。</w:t>
      </w:r>
    </w:p>
    <w:p w14:paraId="744C071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20. 争议解决</w:t>
      </w:r>
    </w:p>
    <w:p w14:paraId="762976FD">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w:t>
      </w:r>
      <w:r>
        <w:rPr>
          <w:rFonts w:hint="eastAsia" w:ascii="宋体" w:hAnsi="宋体" w:eastAsia="宋体" w:cs="宋体"/>
          <w:color w:val="auto"/>
          <w:sz w:val="24"/>
          <w:szCs w:val="24"/>
          <w:highlight w:val="none"/>
          <w:u w:val="single"/>
        </w:rPr>
        <w:t>同意</w:t>
      </w:r>
      <w:r>
        <w:rPr>
          <w:rFonts w:hint="eastAsia" w:ascii="宋体" w:hAnsi="宋体" w:eastAsia="宋体" w:cs="宋体"/>
          <w:color w:val="auto"/>
          <w:sz w:val="24"/>
          <w:szCs w:val="24"/>
          <w:highlight w:val="none"/>
        </w:rPr>
        <w:t xml:space="preserve">将工程争议提交争议评审小组决定。  </w:t>
      </w:r>
    </w:p>
    <w:p w14:paraId="519AEED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20.3.1 争议评审小组的确定</w:t>
      </w:r>
    </w:p>
    <w:p w14:paraId="4D8822DC">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争议评审小组成员的确定：发包人和承包人共同选择3名争议评审员组成争议评审小组。</w:t>
      </w:r>
    </w:p>
    <w:p w14:paraId="5BF0F9A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选定争议评审员的期限：自合同签订后28天内，或者争议发生后14天内，选定争议评审员。</w:t>
      </w:r>
    </w:p>
    <w:p w14:paraId="46D9C2F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争议评审小组</w:t>
      </w:r>
      <w:r>
        <w:rPr>
          <w:rFonts w:hint="eastAsia" w:ascii="宋体" w:hAnsi="宋体" w:eastAsia="宋体" w:cs="宋体"/>
          <w:color w:val="auto"/>
          <w:sz w:val="24"/>
          <w:szCs w:val="24"/>
          <w:highlight w:val="none"/>
        </w:rPr>
        <w:t>成员的报酬承担方式：发包人和承包人各承担一半。</w:t>
      </w:r>
    </w:p>
    <w:p w14:paraId="7F47C951">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F2B8598">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CA1DE03">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228C60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20.4诉讼</w:t>
      </w:r>
    </w:p>
    <w:p w14:paraId="4720C8C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735AE6C2">
      <w:pPr>
        <w:pageBreakBefore w:val="0"/>
        <w:widowControl w:val="0"/>
        <w:kinsoku/>
        <w:wordWrap/>
        <w:overflowPunct/>
        <w:topLinePunct w:val="0"/>
        <w:bidi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0F0313C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p>
    <w:p w14:paraId="5EF8EF7C">
      <w:pPr>
        <w:keepNext/>
        <w:keepLines/>
        <w:numPr>
          <w:ilvl w:val="1"/>
          <w:numId w:val="0"/>
        </w:numPr>
        <w:spacing w:before="100" w:line="400" w:lineRule="exact"/>
        <w:jc w:val="center"/>
        <w:outlineLvl w:val="1"/>
        <w:rPr>
          <w:rFonts w:hint="eastAsia" w:ascii="宋体" w:hAnsi="宋体" w:eastAsia="宋体" w:cs="宋体"/>
          <w:b/>
          <w:bCs/>
          <w:color w:val="auto"/>
          <w:sz w:val="24"/>
          <w:highlight w:val="none"/>
        </w:rPr>
      </w:pPr>
      <w:r>
        <w:rPr>
          <w:rFonts w:hint="eastAsia" w:ascii="宋体" w:hAnsi="宋体" w:eastAsia="宋体" w:cs="宋体"/>
          <w:color w:val="auto"/>
          <w:szCs w:val="20"/>
          <w:highlight w:val="none"/>
        </w:rPr>
        <w:br w:type="page"/>
      </w:r>
    </w:p>
    <w:bookmarkEnd w:id="471"/>
    <w:bookmarkEnd w:id="472"/>
    <w:p w14:paraId="7C406F76">
      <w:pPr>
        <w:keepNext w:val="0"/>
        <w:keepLines w:val="0"/>
        <w:pageBreakBefore w:val="0"/>
        <w:widowControl w:val="0"/>
        <w:kinsoku/>
        <w:wordWrap/>
        <w:overflowPunct/>
        <w:topLinePunct w:val="0"/>
        <w:autoSpaceDE w:val="0"/>
        <w:autoSpaceDN w:val="0"/>
        <w:bidi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14:paraId="4D9E0448">
      <w:pPr>
        <w:keepNext w:val="0"/>
        <w:keepLines w:val="0"/>
        <w:pageBreakBefore w:val="0"/>
        <w:widowControl w:val="0"/>
        <w:kinsoku/>
        <w:wordWrap/>
        <w:overflowPunct/>
        <w:topLinePunct w:val="0"/>
        <w:bidi w:val="0"/>
        <w:adjustRightInd/>
        <w:spacing w:line="336"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安全生产合同</w:t>
      </w:r>
    </w:p>
    <w:p w14:paraId="311EFA8F">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u w:val="single"/>
        </w:rPr>
        <w:t xml:space="preserve">                                  </w:t>
      </w:r>
    </w:p>
    <w:p w14:paraId="42F34382">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single"/>
        </w:rPr>
        <w:t xml:space="preserve">                                 </w:t>
      </w:r>
    </w:p>
    <w:p w14:paraId="1BE5E384">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发包人名称（以下称甲方）：</w:t>
      </w:r>
      <w:r>
        <w:rPr>
          <w:rFonts w:hint="eastAsia" w:ascii="宋体" w:hAnsi="宋体" w:eastAsia="宋体" w:cs="宋体"/>
          <w:color w:val="auto"/>
          <w:sz w:val="24"/>
          <w:szCs w:val="24"/>
          <w:highlight w:val="none"/>
          <w:u w:val="single"/>
        </w:rPr>
        <w:t xml:space="preserve">                                         </w:t>
      </w:r>
    </w:p>
    <w:p w14:paraId="08021E7F">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承包人名称（以下称乙方）：</w:t>
      </w:r>
      <w:r>
        <w:rPr>
          <w:rFonts w:hint="eastAsia" w:ascii="宋体" w:hAnsi="宋体" w:eastAsia="宋体" w:cs="宋体"/>
          <w:color w:val="auto"/>
          <w:sz w:val="24"/>
          <w:szCs w:val="24"/>
          <w:highlight w:val="none"/>
          <w:u w:val="single"/>
        </w:rPr>
        <w:t xml:space="preserve">                                          </w:t>
      </w:r>
    </w:p>
    <w:p w14:paraId="0792AA50">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p>
    <w:p w14:paraId="4C5EA636">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施工合同的实施过程中创造安全、高效的施工环境，切实做好本项目的安全管理工作，双方特此签订安全生产合同：</w:t>
      </w:r>
    </w:p>
    <w:p w14:paraId="0D783B3D">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1、甲方职责：</w:t>
      </w:r>
    </w:p>
    <w:p w14:paraId="64922E76">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14:paraId="2EAD391D">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14:paraId="7A216694">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w:t>
      </w:r>
      <w:r>
        <w:rPr>
          <w:rFonts w:hint="eastAsia" w:ascii="宋体" w:hAnsi="宋体" w:cs="宋体"/>
          <w:color w:val="auto"/>
          <w:sz w:val="24"/>
          <w:szCs w:val="24"/>
          <w:highlight w:val="none"/>
          <w:lang w:eastAsia="zh-CN"/>
        </w:rPr>
        <w:t>即</w:t>
      </w:r>
      <w:r>
        <w:rPr>
          <w:rFonts w:hint="eastAsia" w:ascii="宋体" w:hAnsi="宋体" w:eastAsia="宋体" w:cs="宋体"/>
          <w:color w:val="auto"/>
          <w:sz w:val="24"/>
          <w:szCs w:val="24"/>
          <w:highlight w:val="none"/>
        </w:rPr>
        <w:t>：同时设计，同时施工，同时验收，投入使用。</w:t>
      </w:r>
    </w:p>
    <w:p w14:paraId="563E5591">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（4）定期召开安全生产调度会，及时传达中央及地方有关安全生产的精神。组织对乙方施工现场安全生产检查，监督乙方及时处理发现的各项安全隐患。</w:t>
      </w:r>
    </w:p>
    <w:p w14:paraId="64F82459">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14:paraId="60653DC0">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（1）严格遵守国家有关安全生产的法律法规和有关安全生产的规定，认真执行工程承包合同中的有关安全要求，确保施工期间文物安全。</w:t>
      </w:r>
    </w:p>
    <w:p w14:paraId="5E71789E">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按照“安全第一、预防为主”和坚持“管生产必须管安全”的原则，加强安全生产教育，增强安全生产意识，建立健全各项安全生产的管理机构和安全生产管理制度，配置专职及兼职安全检查人员，有组织有领导地开展安全生产活动。各级领导、工程技术人员、生产管理人员和具体操作人员，必须熟悉和遵守本条款的各项规定，做到安全生产工作同时计划布置、检查、总结和评比。</w:t>
      </w:r>
    </w:p>
    <w:p w14:paraId="3FB8AEAE">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3%配置安全员，专职负责所有员工的安全和治安保卫工作及预防事故的发生。安全机构人员有权按有关规定发布指令，并采取保护性措施防止事故发生。</w:t>
      </w:r>
    </w:p>
    <w:p w14:paraId="64E299C8">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（4）乙方在任何时候都应采取各种合理的预防措施，防止其员工发生任何违法、违禁、暴力或妨碍治安的行为。</w:t>
      </w:r>
    </w:p>
    <w:p w14:paraId="1F307FC0">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必须具有劳动安全管理部门颁发的安全生产证书，参加施工的人员，必须接受安全技术教育，熟知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w:t>
      </w:r>
      <w:bookmarkStart w:id="483" w:name="_Hlk89721600"/>
      <w:r>
        <w:rPr>
          <w:rFonts w:hint="eastAsia" w:ascii="宋体" w:hAnsi="宋体" w:eastAsia="宋体" w:cs="宋体"/>
          <w:color w:val="auto"/>
          <w:sz w:val="24"/>
          <w:szCs w:val="24"/>
          <w:highlight w:val="none"/>
        </w:rPr>
        <w:t>施工现场如出现特种作业无证操作的现象时，项目经理必须承担管理责任。</w:t>
      </w:r>
    </w:p>
    <w:bookmarkEnd w:id="483"/>
    <w:p w14:paraId="70B9BEAF">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施工人员都应熟悉消防设备的性能和使用方法；乙方不得将任何种类的爆炸物给予、易货或其他方式转让给任何其他人，或允许、容忍上述同样行为。</w:t>
      </w:r>
    </w:p>
    <w:p w14:paraId="335E28B2">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（7）操作人员上岗，必须按规定穿戴防护用品。施工负责人和安全检查员应随时检查劳动防护用品穿戴情况，不按规定穿戴防护用品的人员不得上岗。</w:t>
      </w:r>
    </w:p>
    <w:p w14:paraId="16F4F52C">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14:paraId="57064735">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（9）施工中采用新技术、新工艺、新设备、新材料时，必须规定相应的安全技术措施，施工现场必须具有相关的安全标志牌。</w:t>
      </w:r>
    </w:p>
    <w:p w14:paraId="5D0D79F2">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必须按照本工程项目特点，组织制定本工程实施中的生产安全事故应急救援预案；如果发生安全事故，按照《国务院关于特大安全事故行政责任追究的规定》以及其他有关规定，及时上报有关部门，并坚持“三不放过”的原则，严肃处理相关责任人。</w:t>
      </w:r>
    </w:p>
    <w:p w14:paraId="2967EE44">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3、违约责任：</w:t>
      </w:r>
    </w:p>
    <w:p w14:paraId="6376ED67">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（1）如因甲方或乙方违约造成安全事故，将依法追究责任。</w:t>
      </w:r>
    </w:p>
    <w:p w14:paraId="589CA6DE">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（2）如因乙方原因造成文物损失，甲方将按照国家文物保护相关法律法规规定追究乙方责任。</w:t>
      </w:r>
    </w:p>
    <w:p w14:paraId="0C1462D3">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bookmarkStart w:id="484" w:name="_Hlk89721651"/>
      <w:r>
        <w:rPr>
          <w:rFonts w:hint="eastAsia" w:ascii="宋体" w:hAnsi="宋体" w:eastAsia="宋体" w:cs="宋体"/>
          <w:color w:val="auto"/>
          <w:sz w:val="24"/>
          <w:szCs w:val="24"/>
          <w:highlight w:val="none"/>
        </w:rPr>
        <w:t>本协议书正本二份、副本八份，合同双方各执正本一份，副本四份，当正本与副本的内容不一致时，以正本为准。</w:t>
      </w:r>
      <w:bookmarkEnd w:id="484"/>
      <w:r>
        <w:rPr>
          <w:rFonts w:hint="eastAsia" w:ascii="宋体" w:hAnsi="宋体" w:eastAsia="宋体" w:cs="宋体"/>
          <w:color w:val="auto"/>
          <w:sz w:val="24"/>
          <w:szCs w:val="24"/>
          <w:highlight w:val="none"/>
        </w:rPr>
        <w:t>由双方法定代表人或其授权的代理人签署与加盖公章生效，全部工程竣工验收后失效。</w:t>
      </w:r>
    </w:p>
    <w:p w14:paraId="345E38D5">
      <w:pPr>
        <w:keepNext w:val="0"/>
        <w:keepLines w:val="0"/>
        <w:pageBreakBefore w:val="0"/>
        <w:widowControl w:val="0"/>
        <w:kinsoku/>
        <w:wordWrap/>
        <w:overflowPunct/>
        <w:topLinePunct w:val="0"/>
        <w:bidi w:val="0"/>
        <w:adjustRightInd/>
        <w:spacing w:line="336" w:lineRule="auto"/>
        <w:ind w:firstLine="600"/>
        <w:textAlignment w:val="auto"/>
        <w:rPr>
          <w:rFonts w:hint="eastAsia" w:ascii="宋体" w:hAnsi="宋体" w:eastAsia="宋体" w:cs="宋体"/>
          <w:color w:val="auto"/>
          <w:sz w:val="24"/>
          <w:szCs w:val="24"/>
          <w:highlight w:val="none"/>
        </w:rPr>
      </w:pPr>
    </w:p>
    <w:p w14:paraId="46744BA3">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14:paraId="531140FB">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3BEBA7B7">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4A4E7C4D">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78D4E0E5">
      <w:pPr>
        <w:keepNext w:val="0"/>
        <w:keepLines w:val="0"/>
        <w:pageBreakBefore w:val="0"/>
        <w:widowControl w:val="0"/>
        <w:kinsoku/>
        <w:wordWrap/>
        <w:overflowPunct/>
        <w:topLinePunct w:val="0"/>
        <w:bidi w:val="0"/>
        <w:adjustRightInd/>
        <w:spacing w:line="336" w:lineRule="auto"/>
        <w:ind w:firstLine="6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65213B13">
      <w:pPr>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color w:val="auto"/>
          <w:sz w:val="24"/>
          <w:szCs w:val="24"/>
          <w:highlight w:val="none"/>
        </w:rPr>
        <w:t>工程质量保修书</w:t>
      </w:r>
    </w:p>
    <w:p w14:paraId="2164F6AF">
      <w:pPr>
        <w:keepNext w:val="0"/>
        <w:keepLines w:val="0"/>
        <w:pageBreakBefore w:val="0"/>
        <w:widowControl/>
        <w:kinsoku/>
        <w:wordWrap/>
        <w:overflowPunct/>
        <w:topLinePunct w:val="0"/>
        <w:autoSpaceDE/>
        <w:autoSpaceDN/>
        <w:bidi w:val="0"/>
        <w:snapToGrid w:val="0"/>
        <w:spacing w:after="120" w:afterLines="50" w:line="32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79676200">
      <w:pPr>
        <w:keepNext w:val="0"/>
        <w:keepLines w:val="0"/>
        <w:pageBreakBefore w:val="0"/>
        <w:widowControl/>
        <w:kinsoku/>
        <w:wordWrap/>
        <w:overflowPunct/>
        <w:topLinePunct w:val="0"/>
        <w:autoSpaceDE/>
        <w:autoSpaceDN/>
        <w:bidi w:val="0"/>
        <w:snapToGrid w:val="0"/>
        <w:spacing w:after="120" w:afterLines="50" w:line="32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42E7F656">
      <w:pPr>
        <w:keepNext w:val="0"/>
        <w:keepLines w:val="0"/>
        <w:pageBreakBefore w:val="0"/>
        <w:widowControl/>
        <w:kinsoku/>
        <w:wordWrap/>
        <w:overflowPunct/>
        <w:topLinePunct w:val="0"/>
        <w:autoSpaceDE/>
        <w:autoSpaceDN/>
        <w:bidi w:val="0"/>
        <w:snapToGrid w:val="0"/>
        <w:spacing w:after="120" w:afterLines="50" w:line="324" w:lineRule="auto"/>
        <w:ind w:left="210" w:leftChars="1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（工程全称）订立工程质量保修书。</w:t>
      </w:r>
    </w:p>
    <w:p w14:paraId="68D4A2FF">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一、工程质量保修范围和内容</w:t>
      </w:r>
    </w:p>
    <w:p w14:paraId="244AFE80">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5C81B395">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797DA0">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7C7DE41D">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1EFE7F62">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4C9BA31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年；</w:t>
      </w:r>
    </w:p>
    <w:p w14:paraId="7C81490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2B968DE8">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5230180E">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个采暖期、供冷期；</w:t>
      </w:r>
    </w:p>
    <w:p w14:paraId="65C34D69">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6．给排水设施、道路等配套工程为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5A6E2425">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D9FFD92">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质量保修期自工程竣工验收合格之日起计算。</w:t>
      </w:r>
    </w:p>
    <w:p w14:paraId="5BDF96D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464D2852">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个月，缺陷责任期自工程通过竣工验收之日起计算。单位/区段工程先于全部工程进行验收，单位/区段工程缺陷责任期自单位/区段工程验收合格之日起算。</w:t>
      </w:r>
    </w:p>
    <w:p w14:paraId="6F3FE34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5" w:name="_Hlk89721702"/>
      <w:r>
        <w:rPr>
          <w:rFonts w:hint="eastAsia" w:ascii="宋体" w:hAnsi="宋体" w:eastAsia="宋体" w:cs="宋体"/>
          <w:color w:val="auto"/>
          <w:sz w:val="24"/>
          <w:szCs w:val="24"/>
          <w:highlight w:val="none"/>
        </w:rPr>
        <w:t>缺陷责任期终止后，发包人应返还剩余的质量保证金（本项目不收取质量保证金）。</w:t>
      </w:r>
    </w:p>
    <w:p w14:paraId="23707E05">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6" w:name="_Hlk89721726"/>
      <w:r>
        <w:rPr>
          <w:rFonts w:hint="eastAsia" w:ascii="宋体" w:hAnsi="宋体" w:eastAsia="宋体" w:cs="宋体"/>
          <w:color w:val="auto"/>
          <w:sz w:val="24"/>
          <w:szCs w:val="24"/>
          <w:highlight w:val="none"/>
        </w:rPr>
        <w:t>承包人在投标（或报价）文件中承诺的质量保修期长于《建设工程质量管理条例》等相应规定的，以承包人在投标（或报价）文件中的承诺为准。</w:t>
      </w:r>
    </w:p>
    <w:bookmarkEnd w:id="485"/>
    <w:bookmarkEnd w:id="486"/>
    <w:p w14:paraId="20130D4B">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四、质量保修责任</w:t>
      </w:r>
    </w:p>
    <w:p w14:paraId="563B40A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7" w:name="_Hlk89721788"/>
      <w:r>
        <w:rPr>
          <w:rFonts w:hint="eastAsia" w:ascii="宋体" w:hAnsi="宋体" w:eastAsia="宋体" w:cs="宋体"/>
          <w:color w:val="auto"/>
          <w:sz w:val="24"/>
          <w:szCs w:val="24"/>
          <w:highlight w:val="none"/>
        </w:rPr>
        <w:t>1．属于保修范围、内容的项目，承包人应当在接到保修通知之日起2天内派人保修。承包人不在约定期限内派人保修的，发包人可以委托他人修理。</w:t>
      </w:r>
    </w:p>
    <w:bookmarkEnd w:id="487"/>
    <w:p w14:paraId="312A155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026FB70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5419771F">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0415B22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8" w:name="_Hlk89721815"/>
      <w:r>
        <w:rPr>
          <w:rFonts w:hint="eastAsia" w:ascii="宋体" w:hAnsi="宋体" w:eastAsia="宋体" w:cs="宋体"/>
          <w:color w:val="auto"/>
          <w:sz w:val="24"/>
          <w:szCs w:val="24"/>
          <w:highlight w:val="none"/>
        </w:rPr>
        <w:t>5. 承包人不在约定期限内派人修理或经历两次（含两次）以上维修仍然不能解决问题的，发包人可以委托他人修理，所发生的费用均由承包人承担。</w:t>
      </w:r>
    </w:p>
    <w:bookmarkEnd w:id="488"/>
    <w:p w14:paraId="4B41CAE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14:paraId="2D254AA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14:paraId="5FC52347">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9" w:name="_Hlk89721855"/>
      <w:r>
        <w:rPr>
          <w:rFonts w:hint="eastAsia" w:ascii="宋体" w:hAnsi="宋体" w:eastAsia="宋体" w:cs="宋体"/>
          <w:color w:val="auto"/>
          <w:sz w:val="24"/>
          <w:szCs w:val="24"/>
          <w:highlight w:val="none"/>
        </w:rPr>
        <w:t>六、双方约定的其他工程质量保修事项：在保修期内，若因工程质量缺陷或承包人维修不及时以及维修过程中给发包人或第三方造成人身、财产损害的，发包人或第三方的任何损失均由承包人承担。如第三方向发包人提出赔偿要求时，发包人有权要求承包人直接向第三方支付相应索赔费用或经通知承包人后，先行向第三方赔付，然后向承包人追偿 。</w:t>
      </w:r>
    </w:p>
    <w:bookmarkEnd w:id="489"/>
    <w:p w14:paraId="31208947">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工程质量保修书由发包人、承包人在工程竣工验收前共同签署，作为工程总承包合同附件，其有效期限至保修期满。</w:t>
      </w:r>
    </w:p>
    <w:p w14:paraId="5EC4BCD3">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p>
    <w:p w14:paraId="684D774F">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837545B">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5D6855A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18D77BC">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91D704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7D4E05A0">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377DBDC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账  号： </w:t>
      </w:r>
    </w:p>
    <w:p w14:paraId="0500CEEE">
      <w:pPr>
        <w:keepNext w:val="0"/>
        <w:keepLines w:val="0"/>
        <w:pageBreakBefore w:val="0"/>
        <w:widowControl/>
        <w:kinsoku/>
        <w:wordWrap/>
        <w:overflowPunct/>
        <w:topLinePunct w:val="0"/>
        <w:autoSpaceDE/>
        <w:autoSpaceDN/>
        <w:bidi w:val="0"/>
        <w:snapToGrid w:val="0"/>
        <w:spacing w:after="120" w:afterLines="50" w:line="360" w:lineRule="auto"/>
        <w:ind w:firstLine="480"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邮政编码：                             邮政编码：</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szCs w:val="24"/>
          <w:highlight w:val="none"/>
        </w:rPr>
        <w:t>廉政合同</w:t>
      </w:r>
    </w:p>
    <w:p w14:paraId="4980921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6FD7A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发包人名称（甲方）：</w:t>
      </w:r>
      <w:r>
        <w:rPr>
          <w:rFonts w:hint="eastAsia" w:ascii="宋体" w:hAnsi="宋体" w:eastAsia="宋体" w:cs="宋体"/>
          <w:color w:val="auto"/>
          <w:sz w:val="24"/>
          <w:szCs w:val="24"/>
          <w:highlight w:val="none"/>
          <w:u w:val="single"/>
        </w:rPr>
        <w:t xml:space="preserve">             </w:t>
      </w:r>
    </w:p>
    <w:p w14:paraId="11CCB94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承包人名称（乙方）：</w:t>
      </w:r>
      <w:r>
        <w:rPr>
          <w:rFonts w:hint="eastAsia" w:ascii="宋体" w:hAnsi="宋体" w:eastAsia="宋体" w:cs="宋体"/>
          <w:color w:val="auto"/>
          <w:sz w:val="24"/>
          <w:szCs w:val="24"/>
          <w:highlight w:val="none"/>
          <w:u w:val="single"/>
        </w:rPr>
        <w:t xml:space="preserve">             </w:t>
      </w:r>
    </w:p>
    <w:p w14:paraId="4B1155C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工程建设中的廉政建设，规范工程建设项目双方的各项活动，防止发生各种谋取不正当利益的违法违纪行为，保护国家、集体和当事人的合法权益，根据国家有关工程建设的法律法规和廉政建设的相关规定，特订立本《廉政合同》。</w:t>
      </w:r>
    </w:p>
    <w:p w14:paraId="159A27E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第一条甲乙两方的约定</w:t>
      </w:r>
    </w:p>
    <w:p w14:paraId="0AD83D1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（一）严格遵守党和国家（包括省、市）关于加强工程建设管理的有关法律、法规，以及廉政建设的各项规定。</w:t>
      </w:r>
    </w:p>
    <w:p w14:paraId="75CBFE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cs="宋体"/>
          <w:color w:val="auto"/>
          <w:sz w:val="24"/>
          <w:szCs w:val="24"/>
          <w:highlight w:val="none"/>
          <w:lang w:eastAsia="zh-CN"/>
        </w:rPr>
        <w:t>宁海县知恩中学卫生间、宿舍维修改造工程</w:t>
      </w:r>
      <w:r>
        <w:rPr>
          <w:rFonts w:hint="eastAsia" w:ascii="宋体" w:hAnsi="宋体" w:eastAsia="宋体" w:cs="宋体"/>
          <w:color w:val="auto"/>
          <w:sz w:val="24"/>
          <w:szCs w:val="24"/>
          <w:highlight w:val="none"/>
        </w:rPr>
        <w:t>合同》规定，自觉按合同办事。</w:t>
      </w:r>
    </w:p>
    <w:p w14:paraId="5FD0E68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（三）双方业务活动必须坚持公开、公平、公正、诚信、透明的原则（除法律法规认定的商业秘密和合同另有规定者外），不得损害国家、集体和各方利益，违反工程建设管理相关规章制度。</w:t>
      </w:r>
    </w:p>
    <w:p w14:paraId="74CA8C3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（四）有对本方人员开展廉政告知、廉政教育和职业道德教育的义务。应加强本方人员廉政监督，建立健全廉政制度，认真查处本方人员的违规违纪行为。</w:t>
      </w:r>
    </w:p>
    <w:p w14:paraId="1A6BFDB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（五）发现一方在业务活动中有不廉洁行为时，有及时提醒对方并监督其纠正的权利和义务。</w:t>
      </w:r>
    </w:p>
    <w:p w14:paraId="276808F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（六）发现一方严重违反本合同条款的行为，有向其上级有关部门举报、建议给予处理并要求告知处理结果的权利。</w:t>
      </w:r>
    </w:p>
    <w:p w14:paraId="751EC63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第二条甲方的责任</w:t>
      </w:r>
    </w:p>
    <w:p w14:paraId="61BF4D3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（一）甲方及其工作人员不得以任何形式向乙方索要或收受回扣、礼金、有价证券和贵重物品等。不得在乙方报销任何应由甲方或个人支付的费用。</w:t>
      </w:r>
    </w:p>
    <w:p w14:paraId="5EC0BAD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（二）甲方工作人员不得参加有可能影响公正执行公务的宴请及娱乐等活动。</w:t>
      </w:r>
    </w:p>
    <w:p w14:paraId="2D5392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（三）甲方及其工作人员不得要求、暗示或接受乙方为个人装修住房、婚丧嫁娶、配偶子女的工作安排以及出国（境）、旅游等提供方便。</w:t>
      </w:r>
    </w:p>
    <w:p w14:paraId="7FEEC5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（四）甲方及其工作人员不得以任何理由向乙方推荐分包单位。</w:t>
      </w:r>
    </w:p>
    <w:p w14:paraId="01A70BA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第三条乙方的责任</w:t>
      </w:r>
    </w:p>
    <w:p w14:paraId="30E7273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（一）乙方不得以任何理由向甲方及其工作人员行贿和馈赠礼金、有价证券和贵重物品等。不得以任何名义在甲方报销应由乙方或个人支付的费用。</w:t>
      </w:r>
    </w:p>
    <w:p w14:paraId="1FEE21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（二）乙方工作人员不得参加有可能影响公正执行公务的宴请及娱乐等活动。</w:t>
      </w:r>
    </w:p>
    <w:p w14:paraId="666031F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（三）乙方及其工作人员不得接受或暗示建设单位为个人装修住房、婚丧嫁娶、配偶子女的工作安排以及出国（境）、旅游等提供方便。</w:t>
      </w:r>
    </w:p>
    <w:p w14:paraId="3D5BC3E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第四条违约责任</w:t>
      </w:r>
    </w:p>
    <w:p w14:paraId="0AB07CF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（一）甲方工作人员有违反本合同第一、二条责任行为的，按照管理权限，依据有关法律法规和规定给予党纪、政纪处分或组织处理；涉嫌犯罪的，移交司法机关追究刑事责任。</w:t>
      </w:r>
    </w:p>
    <w:p w14:paraId="4B3F508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（二）乙方工作人员有违反本合同第一、三条责任行为的，按照管理权限，依据有关法律法规和规定给予党纪、政纪处分或组织处理；涉嫌犯罪的，移交司法机关追究刑事责任。</w:t>
      </w:r>
    </w:p>
    <w:p w14:paraId="3D7B86A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第五条本合同作为《</w:t>
      </w:r>
      <w:bookmarkStart w:id="490" w:name="_Hlk139543567"/>
      <w:r>
        <w:rPr>
          <w:rFonts w:hint="eastAsia" w:ascii="宋体" w:hAnsi="宋体" w:cs="宋体"/>
          <w:color w:val="auto"/>
          <w:sz w:val="24"/>
          <w:szCs w:val="24"/>
          <w:highlight w:val="none"/>
          <w:lang w:eastAsia="zh-CN"/>
        </w:rPr>
        <w:t>宁海县知恩中学卫生间、宿舍维修改造工程</w:t>
      </w:r>
      <w:r>
        <w:rPr>
          <w:rFonts w:hint="eastAsia" w:ascii="宋体" w:hAnsi="宋体" w:eastAsia="宋体" w:cs="宋体"/>
          <w:color w:val="auto"/>
          <w:sz w:val="24"/>
          <w:szCs w:val="24"/>
          <w:highlight w:val="none"/>
        </w:rPr>
        <w:t>合同</w:t>
      </w:r>
      <w:bookmarkEnd w:id="490"/>
      <w:r>
        <w:rPr>
          <w:rFonts w:hint="eastAsia" w:ascii="宋体" w:hAnsi="宋体" w:eastAsia="宋体" w:cs="宋体"/>
          <w:color w:val="auto"/>
          <w:sz w:val="24"/>
          <w:szCs w:val="24"/>
          <w:highlight w:val="none"/>
        </w:rPr>
        <w:t>》的附件，与《</w:t>
      </w:r>
      <w:r>
        <w:rPr>
          <w:rFonts w:hint="eastAsia" w:ascii="宋体" w:hAnsi="宋体" w:cs="宋体"/>
          <w:color w:val="auto"/>
          <w:sz w:val="24"/>
          <w:szCs w:val="24"/>
          <w:highlight w:val="none"/>
          <w:lang w:eastAsia="zh-CN"/>
        </w:rPr>
        <w:t>宁海县知恩中学卫生间、宿舍维修改造工程</w:t>
      </w:r>
      <w:r>
        <w:rPr>
          <w:rFonts w:hint="eastAsia" w:ascii="宋体" w:hAnsi="宋体" w:eastAsia="宋体" w:cs="宋体"/>
          <w:color w:val="auto"/>
          <w:sz w:val="24"/>
          <w:szCs w:val="24"/>
          <w:highlight w:val="none"/>
        </w:rPr>
        <w:t>合同》具有同等法律效力。经双方签署后立即生效。</w:t>
      </w:r>
    </w:p>
    <w:p w14:paraId="3E58385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第六条本合同一式四份，甲乙方各执一份，送交各方上级主管部门各一份。</w:t>
      </w:r>
    </w:p>
    <w:p w14:paraId="04FC64E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95C23B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8BDD6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35121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14:paraId="145DF97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8ECC9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5E41016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10F42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385D841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1109C2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电话：                                          电话： </w:t>
      </w:r>
    </w:p>
    <w:p w14:paraId="36027F43">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pPr>
    </w:p>
    <w:p w14:paraId="323E25F3">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sectPr>
          <w:headerReference r:id="rId6" w:type="first"/>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012624BC">
      <w:pPr>
        <w:snapToGrid w:val="0"/>
        <w:spacing w:line="360" w:lineRule="auto"/>
        <w:jc w:val="center"/>
        <w:outlineLvl w:val="0"/>
        <w:rPr>
          <w:rFonts w:hint="eastAsia" w:ascii="宋体" w:hAnsi="宋体" w:eastAsia="宋体" w:cs="宋体"/>
          <w:b/>
          <w:color w:val="auto"/>
          <w:sz w:val="36"/>
          <w:szCs w:val="20"/>
          <w:highlight w:val="none"/>
        </w:rPr>
      </w:pPr>
      <w:bookmarkStart w:id="491" w:name="_Toc10046"/>
      <w:r>
        <w:rPr>
          <w:rFonts w:hint="eastAsia" w:ascii="宋体" w:hAnsi="宋体" w:eastAsia="宋体" w:cs="宋体"/>
          <w:b/>
          <w:color w:val="auto"/>
          <w:sz w:val="36"/>
          <w:szCs w:val="20"/>
          <w:highlight w:val="none"/>
        </w:rPr>
        <w:t>第六部分</w:t>
      </w:r>
      <w:bookmarkEnd w:id="412"/>
      <w:r>
        <w:rPr>
          <w:rFonts w:hint="eastAsia" w:ascii="宋体" w:hAnsi="宋体" w:eastAsia="宋体" w:cs="宋体"/>
          <w:b/>
          <w:color w:val="auto"/>
          <w:sz w:val="36"/>
          <w:szCs w:val="20"/>
          <w:highlight w:val="none"/>
        </w:rPr>
        <w:t xml:space="preserve"> </w:t>
      </w:r>
      <w:bookmarkEnd w:id="413"/>
      <w:r>
        <w:rPr>
          <w:rFonts w:hint="eastAsia" w:ascii="宋体" w:hAnsi="宋体" w:eastAsia="宋体" w:cs="宋体"/>
          <w:b/>
          <w:color w:val="auto"/>
          <w:sz w:val="36"/>
          <w:szCs w:val="20"/>
          <w:highlight w:val="none"/>
        </w:rPr>
        <w:t>应提交的有关格式范例</w:t>
      </w:r>
      <w:bookmarkEnd w:id="491"/>
    </w:p>
    <w:p w14:paraId="2405E8B8">
      <w:pPr>
        <w:spacing w:line="360" w:lineRule="auto"/>
        <w:jc w:val="center"/>
        <w:outlineLvl w:val="9"/>
        <w:rPr>
          <w:rFonts w:hint="eastAsia" w:ascii="宋体" w:hAnsi="宋体" w:eastAsia="宋体" w:cs="宋体"/>
          <w:b/>
          <w:color w:val="auto"/>
          <w:kern w:val="0"/>
          <w:sz w:val="36"/>
          <w:szCs w:val="36"/>
          <w:highlight w:val="none"/>
        </w:rPr>
      </w:pPr>
    </w:p>
    <w:p w14:paraId="5A83D1D6">
      <w:pPr>
        <w:spacing w:line="360" w:lineRule="auto"/>
        <w:jc w:val="center"/>
        <w:outlineLvl w:val="0"/>
        <w:rPr>
          <w:rFonts w:hint="eastAsia" w:ascii="宋体" w:hAnsi="宋体" w:eastAsia="宋体" w:cs="宋体"/>
          <w:b/>
          <w:color w:val="auto"/>
          <w:kern w:val="0"/>
          <w:sz w:val="36"/>
          <w:szCs w:val="36"/>
          <w:highlight w:val="none"/>
        </w:rPr>
      </w:pPr>
      <w:bookmarkStart w:id="492" w:name="_Toc12223"/>
      <w:r>
        <w:rPr>
          <w:rFonts w:hint="eastAsia" w:ascii="宋体" w:hAnsi="宋体" w:eastAsia="宋体" w:cs="宋体"/>
          <w:b/>
          <w:color w:val="auto"/>
          <w:kern w:val="0"/>
          <w:sz w:val="36"/>
          <w:szCs w:val="36"/>
          <w:highlight w:val="none"/>
        </w:rPr>
        <w:t>资格文件部分</w:t>
      </w:r>
      <w:bookmarkEnd w:id="492"/>
    </w:p>
    <w:p w14:paraId="6201E130">
      <w:pPr>
        <w:spacing w:line="360" w:lineRule="auto"/>
        <w:jc w:val="center"/>
        <w:outlineLvl w:val="0"/>
        <w:rPr>
          <w:rFonts w:hint="eastAsia" w:ascii="宋体" w:hAnsi="宋体" w:eastAsia="宋体" w:cs="宋体"/>
          <w:b/>
          <w:color w:val="auto"/>
          <w:kern w:val="0"/>
          <w:sz w:val="36"/>
          <w:szCs w:val="36"/>
          <w:highlight w:val="none"/>
        </w:rPr>
      </w:pPr>
      <w:bookmarkStart w:id="493" w:name="_Toc26485"/>
      <w:r>
        <w:rPr>
          <w:rFonts w:hint="eastAsia" w:ascii="宋体" w:hAnsi="宋体" w:eastAsia="宋体" w:cs="宋体"/>
          <w:b/>
          <w:color w:val="auto"/>
          <w:kern w:val="0"/>
          <w:sz w:val="36"/>
          <w:szCs w:val="36"/>
          <w:highlight w:val="none"/>
        </w:rPr>
        <w:t>目录</w:t>
      </w:r>
      <w:bookmarkEnd w:id="493"/>
    </w:p>
    <w:p w14:paraId="5628D125">
      <w:pPr>
        <w:spacing w:line="360" w:lineRule="auto"/>
        <w:jc w:val="center"/>
        <w:outlineLvl w:val="9"/>
        <w:rPr>
          <w:rFonts w:hint="eastAsia" w:ascii="宋体" w:hAnsi="宋体" w:eastAsia="宋体" w:cs="宋体"/>
          <w:b/>
          <w:color w:val="auto"/>
          <w:kern w:val="0"/>
          <w:sz w:val="36"/>
          <w:szCs w:val="36"/>
          <w:highlight w:val="none"/>
        </w:rPr>
      </w:pPr>
    </w:p>
    <w:p w14:paraId="65CB59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955FD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14:paraId="580B1B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753F4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115D7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 中小企业声明函………………………………………………………（页码）</w:t>
      </w:r>
    </w:p>
    <w:p w14:paraId="0880F5C7">
      <w:pPr>
        <w:spacing w:line="360" w:lineRule="auto"/>
        <w:ind w:firstLine="480" w:firstLineChars="200"/>
        <w:rPr>
          <w:rFonts w:hint="eastAsia" w:ascii="宋体" w:hAnsi="宋体" w:eastAsia="宋体" w:cs="宋体"/>
          <w:color w:val="auto"/>
          <w:sz w:val="24"/>
          <w:highlight w:val="none"/>
        </w:rPr>
      </w:pPr>
    </w:p>
    <w:p w14:paraId="16A76EE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E3745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906D1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我方参与（项目名称）【项目编号：（采购编号）】政府采购活动，郑重承诺：</w:t>
      </w:r>
    </w:p>
    <w:p w14:paraId="73D8A69B">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30C51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5684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224EA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5214D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0292C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81886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C497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即：重大税收违法失信主体</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、政府采购严重违法失信行为记录名单。</w:t>
      </w:r>
    </w:p>
    <w:p w14:paraId="226B18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693CC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E9CF3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D79666D">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9B567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359BD06">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32E61D7">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184B54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）；本项目不接受联合体或者供应商不以联合体形式参与的，则不需要提供]</w:t>
      </w:r>
    </w:p>
    <w:p w14:paraId="2B58F46F">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D71680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F1324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（根据竞争性磋商公告落实政府采购政策需满足的资格要求选择提供相应的材料；未要求的，无需提供）</w:t>
      </w:r>
    </w:p>
    <w:p w14:paraId="3F0C9EC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 </w:t>
      </w:r>
    </w:p>
    <w:p w14:paraId="01994467">
      <w:pPr>
        <w:widowControl/>
        <w:spacing w:line="360" w:lineRule="auto"/>
        <w:ind w:firstLine="480"/>
        <w:jc w:val="left"/>
        <w:rPr>
          <w:rFonts w:hint="eastAsia" w:ascii="宋体" w:hAnsi="宋体" w:eastAsia="宋体" w:cs="宋体"/>
          <w:color w:val="auto"/>
          <w:sz w:val="24"/>
          <w:highlight w:val="none"/>
        </w:rPr>
      </w:pPr>
    </w:p>
    <w:p w14:paraId="19AD762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）和中小企业声明函，联合协议中中小企业合同金额应当达到竞争性磋商公告载明的比例；如果供应商本身提供所有标的均由中小企业承建的，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AEFB75F">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4AA8F9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）和中小企业声明函，分包意向协议中中小企业合同金额应当达到竞争性磋商公告载明的比例；如果供应商本身提供所有标的均由中小企业承建，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4087382">
      <w:pPr>
        <w:widowControl/>
        <w:spacing w:line="360" w:lineRule="auto"/>
        <w:ind w:left="150"/>
        <w:jc w:val="center"/>
        <w:rPr>
          <w:rFonts w:hint="eastAsia" w:ascii="宋体" w:hAnsi="宋体" w:eastAsia="宋体" w:cs="宋体"/>
          <w:b/>
          <w:color w:val="auto"/>
          <w:kern w:val="0"/>
          <w:sz w:val="32"/>
          <w:szCs w:val="32"/>
          <w:highlight w:val="none"/>
        </w:rPr>
      </w:pPr>
    </w:p>
    <w:p w14:paraId="3951AEE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BDB7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（根据竞争性磋商公告本项目的特定资格要求提供相应的材料；未要求的，无需提供）</w:t>
      </w:r>
    </w:p>
    <w:p w14:paraId="16C16A06">
      <w:pPr>
        <w:rPr>
          <w:rFonts w:hint="eastAsia" w:ascii="宋体" w:hAnsi="宋体" w:eastAsia="宋体" w:cs="宋体"/>
          <w:color w:val="auto"/>
          <w:highlight w:val="none"/>
        </w:rPr>
      </w:pPr>
    </w:p>
    <w:p w14:paraId="5EF807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51035B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6EA8D02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2304BE5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7128F13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6AA3AAF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50077B6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379F773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08EE71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39E0BE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中小企业声明函（工程）</w:t>
      </w:r>
    </w:p>
    <w:p w14:paraId="6B987FC4">
      <w:pPr>
        <w:keepNext w:val="0"/>
        <w:keepLines w:val="0"/>
        <w:pageBreakBefore w:val="0"/>
        <w:widowControl w:val="0"/>
        <w:kinsoku/>
        <w:wordWrap/>
        <w:overflowPunct/>
        <w:topLinePunct w:val="0"/>
        <w:autoSpaceDE/>
        <w:autoSpaceDN/>
        <w:bidi w:val="0"/>
        <w:adjustRightInd w:val="0"/>
        <w:spacing w:line="300" w:lineRule="auto"/>
        <w:ind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B833B1">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w:t>
      </w:r>
      <w:r>
        <w:rPr>
          <w:rFonts w:hint="eastAsia" w:ascii="宋体" w:hAnsi="宋体" w:cs="宋体"/>
          <w:color w:val="auto"/>
          <w:kern w:val="0"/>
          <w:sz w:val="24"/>
          <w:highlight w:val="none"/>
          <w:u w:val="single"/>
          <w:lang w:val="en-US" w:eastAsia="zh-CN"/>
        </w:rPr>
        <w:t>宁海县知恩中学卫生间、宿舍维修改造工程</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建筑业）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cs="宋体"/>
          <w:color w:val="auto"/>
          <w:sz w:val="24"/>
          <w:highlight w:val="none"/>
          <w:lang w:eastAsia="zh-CN"/>
        </w:rPr>
        <w:t>。</w:t>
      </w:r>
    </w:p>
    <w:p w14:paraId="1C8BE1F8">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9A7297C">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FD2276F">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D78E13C">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eastAsia" w:ascii="宋体" w:hAnsi="宋体" w:eastAsia="宋体" w:cs="宋体"/>
          <w:color w:val="auto"/>
          <w:sz w:val="24"/>
          <w:highlight w:val="none"/>
        </w:rPr>
      </w:pPr>
    </w:p>
    <w:p w14:paraId="4744CACC">
      <w:pPr>
        <w:keepNext w:val="0"/>
        <w:keepLines w:val="0"/>
        <w:pageBreakBefore w:val="0"/>
        <w:widowControl w:val="0"/>
        <w:kinsoku/>
        <w:wordWrap/>
        <w:overflowPunct/>
        <w:topLinePunct w:val="0"/>
        <w:autoSpaceDE/>
        <w:autoSpaceDN/>
        <w:bidi w:val="0"/>
        <w:adjustRightInd w:val="0"/>
        <w:snapToGrid w:val="0"/>
        <w:spacing w:line="300" w:lineRule="auto"/>
        <w:ind w:firstLine="5160" w:firstLineChars="2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467EB8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E05BEF">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FB036E7">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468D839">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EA0B15">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1004FC">
      <w:pPr>
        <w:kinsoku/>
        <w:wordWrap/>
        <w:overflowPunct/>
        <w:topLinePunct w:val="0"/>
        <w:bidi w:val="0"/>
        <w:spacing w:line="360" w:lineRule="auto"/>
        <w:jc w:val="center"/>
        <w:outlineLvl w:val="9"/>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rPr>
        <w:t>残疾人福利性单位声明函</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如有）</w:t>
      </w:r>
    </w:p>
    <w:p w14:paraId="46A68654">
      <w:pPr>
        <w:kinsoku/>
        <w:wordWrap/>
        <w:overflowPunct/>
        <w:topLinePunct w:val="0"/>
        <w:bidi w:val="0"/>
        <w:spacing w:line="360" w:lineRule="auto"/>
        <w:outlineLvl w:val="9"/>
        <w:rPr>
          <w:rFonts w:hint="eastAsia" w:ascii="宋体" w:hAnsi="宋体" w:eastAsia="宋体" w:cs="宋体"/>
          <w:b/>
          <w:color w:val="auto"/>
          <w:spacing w:val="6"/>
          <w:sz w:val="30"/>
          <w:szCs w:val="30"/>
          <w:highlight w:val="none"/>
        </w:rPr>
      </w:pPr>
    </w:p>
    <w:p w14:paraId="6079CD05">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67C168E">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2DE7C5A">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14:paraId="783353FA">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14:paraId="2ACB9C12">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0DCD9511">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4C8EDA2">
      <w:pPr>
        <w:pStyle w:val="3"/>
        <w:outlineLvl w:val="9"/>
        <w:rPr>
          <w:rFonts w:hint="eastAsia" w:ascii="宋体" w:hAnsi="宋体" w:eastAsia="宋体" w:cs="宋体"/>
          <w:b w:val="0"/>
          <w:color w:val="auto"/>
          <w:kern w:val="0"/>
          <w:sz w:val="36"/>
          <w:szCs w:val="36"/>
          <w:highlight w:val="none"/>
        </w:rPr>
      </w:pPr>
    </w:p>
    <w:p w14:paraId="14ADA7C0">
      <w:pPr>
        <w:spacing w:line="360" w:lineRule="auto"/>
        <w:ind w:right="420" w:firstLine="3614" w:firstLineChars="1000"/>
        <w:rPr>
          <w:rFonts w:hint="eastAsia" w:ascii="宋体" w:hAnsi="宋体" w:eastAsia="宋体" w:cs="宋体"/>
          <w:b/>
          <w:color w:val="auto"/>
          <w:kern w:val="0"/>
          <w:sz w:val="36"/>
          <w:szCs w:val="36"/>
          <w:highlight w:val="none"/>
        </w:rPr>
      </w:pPr>
    </w:p>
    <w:p w14:paraId="180259B2">
      <w:pPr>
        <w:spacing w:line="360" w:lineRule="auto"/>
        <w:ind w:right="420" w:firstLine="3614" w:firstLineChars="1000"/>
        <w:rPr>
          <w:rFonts w:hint="eastAsia" w:ascii="宋体" w:hAnsi="宋体" w:eastAsia="宋体" w:cs="宋体"/>
          <w:b/>
          <w:color w:val="auto"/>
          <w:kern w:val="0"/>
          <w:sz w:val="36"/>
          <w:szCs w:val="36"/>
          <w:highlight w:val="none"/>
        </w:rPr>
      </w:pPr>
    </w:p>
    <w:p w14:paraId="18DAF8E6">
      <w:pPr>
        <w:spacing w:line="360" w:lineRule="auto"/>
        <w:ind w:right="420" w:firstLine="3614" w:firstLineChars="1000"/>
        <w:rPr>
          <w:rFonts w:hint="eastAsia" w:ascii="宋体" w:hAnsi="宋体" w:eastAsia="宋体" w:cs="宋体"/>
          <w:b/>
          <w:color w:val="auto"/>
          <w:kern w:val="0"/>
          <w:sz w:val="36"/>
          <w:szCs w:val="36"/>
          <w:highlight w:val="none"/>
        </w:rPr>
      </w:pPr>
    </w:p>
    <w:p w14:paraId="150EF42F">
      <w:pPr>
        <w:spacing w:line="360" w:lineRule="auto"/>
        <w:ind w:right="420" w:firstLine="3614" w:firstLineChars="1000"/>
        <w:rPr>
          <w:rFonts w:hint="eastAsia" w:ascii="宋体" w:hAnsi="宋体" w:eastAsia="宋体" w:cs="宋体"/>
          <w:b/>
          <w:color w:val="auto"/>
          <w:kern w:val="0"/>
          <w:sz w:val="36"/>
          <w:szCs w:val="36"/>
          <w:highlight w:val="none"/>
        </w:rPr>
      </w:pPr>
    </w:p>
    <w:p w14:paraId="0A959A8D">
      <w:pPr>
        <w:spacing w:line="360" w:lineRule="auto"/>
        <w:ind w:right="420" w:firstLine="3614" w:firstLineChars="1000"/>
        <w:rPr>
          <w:rFonts w:hint="eastAsia" w:ascii="宋体" w:hAnsi="宋体" w:eastAsia="宋体" w:cs="宋体"/>
          <w:b/>
          <w:color w:val="auto"/>
          <w:kern w:val="0"/>
          <w:sz w:val="36"/>
          <w:szCs w:val="36"/>
          <w:highlight w:val="none"/>
        </w:rPr>
      </w:pPr>
    </w:p>
    <w:p w14:paraId="73E2AC25">
      <w:pPr>
        <w:spacing w:line="360" w:lineRule="auto"/>
        <w:ind w:right="420" w:firstLine="3614" w:firstLineChars="1000"/>
        <w:rPr>
          <w:rFonts w:hint="eastAsia" w:ascii="宋体" w:hAnsi="宋体" w:eastAsia="宋体" w:cs="宋体"/>
          <w:b/>
          <w:color w:val="auto"/>
          <w:kern w:val="0"/>
          <w:sz w:val="36"/>
          <w:szCs w:val="36"/>
          <w:highlight w:val="none"/>
        </w:rPr>
      </w:pPr>
    </w:p>
    <w:p w14:paraId="63984338">
      <w:pPr>
        <w:spacing w:line="360" w:lineRule="auto"/>
        <w:ind w:right="420" w:firstLine="3614" w:firstLineChars="1000"/>
        <w:rPr>
          <w:rFonts w:hint="eastAsia" w:ascii="宋体" w:hAnsi="宋体" w:eastAsia="宋体" w:cs="宋体"/>
          <w:b/>
          <w:color w:val="auto"/>
          <w:kern w:val="0"/>
          <w:sz w:val="36"/>
          <w:szCs w:val="36"/>
          <w:highlight w:val="none"/>
        </w:rPr>
      </w:pPr>
    </w:p>
    <w:p w14:paraId="35BA35F8">
      <w:pPr>
        <w:spacing w:line="360" w:lineRule="auto"/>
        <w:ind w:right="420" w:firstLine="3614" w:firstLineChars="1000"/>
        <w:rPr>
          <w:rFonts w:hint="eastAsia" w:ascii="宋体" w:hAnsi="宋体" w:eastAsia="宋体" w:cs="宋体"/>
          <w:b/>
          <w:color w:val="auto"/>
          <w:kern w:val="0"/>
          <w:sz w:val="36"/>
          <w:szCs w:val="36"/>
          <w:highlight w:val="none"/>
        </w:rPr>
      </w:pPr>
    </w:p>
    <w:p w14:paraId="6F01CBF3">
      <w:pPr>
        <w:spacing w:line="360" w:lineRule="auto"/>
        <w:ind w:right="420" w:firstLine="3614" w:firstLineChars="1000"/>
        <w:rPr>
          <w:rFonts w:hint="eastAsia" w:ascii="宋体" w:hAnsi="宋体" w:eastAsia="宋体" w:cs="宋体"/>
          <w:b/>
          <w:color w:val="auto"/>
          <w:kern w:val="0"/>
          <w:sz w:val="36"/>
          <w:szCs w:val="36"/>
          <w:highlight w:val="none"/>
        </w:rPr>
      </w:pPr>
    </w:p>
    <w:p w14:paraId="1F888D05">
      <w:pPr>
        <w:spacing w:line="360" w:lineRule="auto"/>
        <w:ind w:right="420" w:firstLine="3614" w:firstLineChars="1000"/>
        <w:rPr>
          <w:rFonts w:hint="eastAsia" w:ascii="宋体" w:hAnsi="宋体" w:eastAsia="宋体" w:cs="宋体"/>
          <w:b/>
          <w:color w:val="auto"/>
          <w:kern w:val="0"/>
          <w:sz w:val="36"/>
          <w:szCs w:val="36"/>
          <w:highlight w:val="none"/>
        </w:rPr>
      </w:pPr>
    </w:p>
    <w:p w14:paraId="090D263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8753616">
      <w:pPr>
        <w:spacing w:line="360" w:lineRule="auto"/>
        <w:jc w:val="center"/>
        <w:outlineLvl w:val="0"/>
        <w:rPr>
          <w:rFonts w:hint="eastAsia" w:ascii="宋体" w:hAnsi="宋体" w:eastAsia="宋体" w:cs="宋体"/>
          <w:b/>
          <w:color w:val="auto"/>
          <w:kern w:val="0"/>
          <w:sz w:val="28"/>
          <w:szCs w:val="28"/>
          <w:highlight w:val="none"/>
        </w:rPr>
      </w:pPr>
      <w:bookmarkStart w:id="494" w:name="_Toc22165"/>
      <w:r>
        <w:rPr>
          <w:rFonts w:hint="eastAsia" w:ascii="宋体" w:hAnsi="宋体" w:eastAsia="宋体" w:cs="宋体"/>
          <w:b/>
          <w:color w:val="auto"/>
          <w:kern w:val="0"/>
          <w:sz w:val="28"/>
          <w:szCs w:val="28"/>
          <w:highlight w:val="none"/>
        </w:rPr>
        <w:t>目录</w:t>
      </w:r>
      <w:bookmarkEnd w:id="494"/>
    </w:p>
    <w:p w14:paraId="54C96218">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14:paraId="1F7FD8C1">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5159BB30">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5EACD7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365E5E1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（5）评审标准相应的商务技术资料……………………………………………………（页码）（6）商务技术偏离表……………………………………………………………………（页码）</w:t>
      </w:r>
    </w:p>
    <w:p w14:paraId="2D72487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7C7FC1E5">
      <w:pPr>
        <w:snapToGrid w:val="0"/>
        <w:spacing w:line="360" w:lineRule="auto"/>
        <w:jc w:val="center"/>
        <w:rPr>
          <w:rFonts w:hint="eastAsia" w:ascii="宋体" w:hAnsi="宋体" w:eastAsia="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70D7CD1D">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2FBFE4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FB86E5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我方参加你方组织的（项目名称）【项目编号：（采购编号）】采购的有关活动，并对此项目提交响应文件及报价。为此：</w:t>
      </w:r>
    </w:p>
    <w:p w14:paraId="289C8ED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85649A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F28B06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7EBEB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B8FC7A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2280866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89BB1F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14:paraId="7D1C394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eastAsia="zh-CN"/>
        </w:rPr>
        <w:t>。</w:t>
      </w:r>
    </w:p>
    <w:p w14:paraId="0A40C83A">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93D7D2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50D5E6F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A2EF6F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ABFD52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205930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6FF638E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236E3A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0A8F102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B84A29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015E9B2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0642A64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4883D2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786AF4DD">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18DD080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DE0AD3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6AC6ABB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DDD169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4.5按照竞争性磋商文件的规定，在中标后向采购代理机构一次性支付招标代理服务费。</w:t>
      </w:r>
    </w:p>
    <w:p w14:paraId="15B806B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0FFF70">
      <w:pPr>
        <w:keepNext w:val="0"/>
        <w:keepLines w:val="0"/>
        <w:pageBreakBefore w:val="0"/>
        <w:widowControl w:val="0"/>
        <w:kinsoku/>
        <w:wordWrap/>
        <w:overflowPunct/>
        <w:topLinePunct w:val="0"/>
        <w:autoSpaceDE/>
        <w:autoSpaceDN/>
        <w:bidi w:val="0"/>
        <w:adjustRightInd w:val="0"/>
        <w:spacing w:line="288"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746942A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D38CC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0" w:firstLineChars="1750"/>
        <w:textAlignment w:val="auto"/>
        <w:rPr>
          <w:rFonts w:hint="eastAsia" w:ascii="宋体" w:hAnsi="宋体" w:eastAsia="宋体" w:cs="宋体"/>
          <w:color w:val="auto"/>
          <w:kern w:val="0"/>
          <w:sz w:val="24"/>
          <w:highlight w:val="none"/>
          <w:u w:val="single"/>
        </w:rPr>
      </w:pPr>
    </w:p>
    <w:p w14:paraId="617197E9">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0573A9DE">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A393CC1">
      <w:pPr>
        <w:adjustRightInd/>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投标附录</w:t>
      </w:r>
    </w:p>
    <w:tbl>
      <w:tblPr>
        <w:tblStyle w:val="6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0"/>
        <w:gridCol w:w="1275"/>
        <w:gridCol w:w="3445"/>
        <w:gridCol w:w="1205"/>
      </w:tblGrid>
      <w:tr w14:paraId="2CC2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6D694A2B">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0" w:type="dxa"/>
            <w:noWrap w:val="0"/>
            <w:vAlign w:val="center"/>
          </w:tcPr>
          <w:p w14:paraId="20920093">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275" w:type="dxa"/>
            <w:noWrap w:val="0"/>
            <w:vAlign w:val="center"/>
          </w:tcPr>
          <w:p w14:paraId="401FAD9E">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合同条款号</w:t>
            </w:r>
          </w:p>
        </w:tc>
        <w:tc>
          <w:tcPr>
            <w:tcW w:w="3445" w:type="dxa"/>
            <w:noWrap w:val="0"/>
            <w:vAlign w:val="center"/>
          </w:tcPr>
          <w:p w14:paraId="4B9217A0">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205" w:type="dxa"/>
            <w:noWrap w:val="0"/>
            <w:vAlign w:val="center"/>
          </w:tcPr>
          <w:p w14:paraId="6A7BBF78">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投标承诺</w:t>
            </w:r>
          </w:p>
        </w:tc>
      </w:tr>
      <w:tr w14:paraId="6B03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4A612C9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0" w:type="dxa"/>
            <w:noWrap w:val="0"/>
            <w:vAlign w:val="center"/>
          </w:tcPr>
          <w:p w14:paraId="01769147">
            <w:pPr>
              <w:adjustRightInd/>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275" w:type="dxa"/>
            <w:noWrap w:val="0"/>
            <w:vAlign w:val="center"/>
          </w:tcPr>
          <w:p w14:paraId="59E53612">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3445" w:type="dxa"/>
            <w:noWrap w:val="0"/>
            <w:vAlign w:val="center"/>
          </w:tcPr>
          <w:p w14:paraId="0C0174D1">
            <w:pPr>
              <w:widowControl/>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p>
        </w:tc>
        <w:tc>
          <w:tcPr>
            <w:tcW w:w="1205" w:type="dxa"/>
            <w:noWrap w:val="0"/>
            <w:vAlign w:val="center"/>
          </w:tcPr>
          <w:p w14:paraId="269BDF3B">
            <w:pPr>
              <w:adjustRightInd/>
              <w:snapToGrid w:val="0"/>
              <w:rPr>
                <w:rFonts w:hint="eastAsia" w:ascii="宋体" w:hAnsi="宋体" w:eastAsia="宋体" w:cs="宋体"/>
                <w:color w:val="auto"/>
                <w:sz w:val="24"/>
                <w:szCs w:val="24"/>
                <w:highlight w:val="none"/>
              </w:rPr>
            </w:pPr>
          </w:p>
        </w:tc>
      </w:tr>
      <w:tr w14:paraId="3E2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353D893B">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30" w:type="dxa"/>
            <w:noWrap w:val="0"/>
            <w:vAlign w:val="center"/>
          </w:tcPr>
          <w:p w14:paraId="5EACD298">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误期违约金额</w:t>
            </w:r>
          </w:p>
        </w:tc>
        <w:tc>
          <w:tcPr>
            <w:tcW w:w="1275" w:type="dxa"/>
            <w:noWrap w:val="0"/>
            <w:vAlign w:val="center"/>
          </w:tcPr>
          <w:p w14:paraId="52173B4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7.5.2</w:t>
            </w:r>
          </w:p>
        </w:tc>
        <w:tc>
          <w:tcPr>
            <w:tcW w:w="3445" w:type="dxa"/>
            <w:noWrap w:val="0"/>
            <w:vAlign w:val="center"/>
          </w:tcPr>
          <w:p w14:paraId="58FD2102">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 元/天</w:t>
            </w:r>
          </w:p>
        </w:tc>
        <w:tc>
          <w:tcPr>
            <w:tcW w:w="1205" w:type="dxa"/>
            <w:noWrap w:val="0"/>
            <w:vAlign w:val="center"/>
          </w:tcPr>
          <w:p w14:paraId="63675C58">
            <w:pPr>
              <w:adjustRightInd/>
              <w:snapToGrid w:val="0"/>
              <w:rPr>
                <w:rFonts w:hint="eastAsia" w:ascii="宋体" w:hAnsi="宋体" w:eastAsia="宋体" w:cs="宋体"/>
                <w:color w:val="auto"/>
                <w:sz w:val="24"/>
                <w:szCs w:val="24"/>
                <w:highlight w:val="none"/>
              </w:rPr>
            </w:pPr>
          </w:p>
        </w:tc>
      </w:tr>
      <w:tr w14:paraId="6982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7CE656D5">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30" w:type="dxa"/>
            <w:noWrap w:val="0"/>
            <w:vAlign w:val="center"/>
          </w:tcPr>
          <w:p w14:paraId="7771D87E">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误期赔偿费限额</w:t>
            </w:r>
          </w:p>
        </w:tc>
        <w:tc>
          <w:tcPr>
            <w:tcW w:w="1275" w:type="dxa"/>
            <w:noWrap w:val="0"/>
            <w:vAlign w:val="center"/>
          </w:tcPr>
          <w:p w14:paraId="4239A8D5">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7.5.2</w:t>
            </w:r>
          </w:p>
        </w:tc>
        <w:tc>
          <w:tcPr>
            <w:tcW w:w="3445" w:type="dxa"/>
            <w:noWrap w:val="0"/>
            <w:vAlign w:val="center"/>
          </w:tcPr>
          <w:p w14:paraId="41C089C7">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合同金额的3%</w:t>
            </w:r>
          </w:p>
        </w:tc>
        <w:tc>
          <w:tcPr>
            <w:tcW w:w="1205" w:type="dxa"/>
            <w:noWrap w:val="0"/>
            <w:vAlign w:val="center"/>
          </w:tcPr>
          <w:p w14:paraId="564B3E1E">
            <w:pPr>
              <w:adjustRightInd/>
              <w:snapToGrid w:val="0"/>
              <w:rPr>
                <w:rFonts w:hint="eastAsia" w:ascii="宋体" w:hAnsi="宋体" w:eastAsia="宋体" w:cs="宋体"/>
                <w:color w:val="auto"/>
                <w:sz w:val="24"/>
                <w:szCs w:val="24"/>
                <w:highlight w:val="none"/>
              </w:rPr>
            </w:pPr>
          </w:p>
        </w:tc>
      </w:tr>
      <w:tr w14:paraId="7970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0759FF30">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30" w:type="dxa"/>
            <w:noWrap w:val="0"/>
            <w:vAlign w:val="center"/>
          </w:tcPr>
          <w:p w14:paraId="4A1E514A">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施工总工期</w:t>
            </w:r>
          </w:p>
        </w:tc>
        <w:tc>
          <w:tcPr>
            <w:tcW w:w="1275" w:type="dxa"/>
            <w:noWrap w:val="0"/>
            <w:vAlign w:val="center"/>
          </w:tcPr>
          <w:p w14:paraId="6297814F">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445" w:type="dxa"/>
            <w:noWrap w:val="0"/>
            <w:vAlign w:val="center"/>
          </w:tcPr>
          <w:p w14:paraId="26644825">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30日历日</w:t>
            </w:r>
          </w:p>
        </w:tc>
        <w:tc>
          <w:tcPr>
            <w:tcW w:w="1205" w:type="dxa"/>
            <w:noWrap w:val="0"/>
            <w:vAlign w:val="center"/>
          </w:tcPr>
          <w:p w14:paraId="28859F58">
            <w:pPr>
              <w:adjustRightInd/>
              <w:snapToGrid w:val="0"/>
              <w:rPr>
                <w:rFonts w:hint="eastAsia" w:ascii="宋体" w:hAnsi="宋体" w:eastAsia="宋体" w:cs="宋体"/>
                <w:color w:val="auto"/>
                <w:sz w:val="24"/>
                <w:szCs w:val="24"/>
                <w:highlight w:val="none"/>
              </w:rPr>
            </w:pPr>
          </w:p>
        </w:tc>
      </w:tr>
      <w:tr w14:paraId="02F7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7A1387B2">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30" w:type="dxa"/>
            <w:noWrap w:val="0"/>
            <w:vAlign w:val="center"/>
          </w:tcPr>
          <w:p w14:paraId="075AF73F">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质量标准</w:t>
            </w:r>
          </w:p>
        </w:tc>
        <w:tc>
          <w:tcPr>
            <w:tcW w:w="1275" w:type="dxa"/>
            <w:noWrap w:val="0"/>
            <w:vAlign w:val="center"/>
          </w:tcPr>
          <w:p w14:paraId="76B5843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445" w:type="dxa"/>
            <w:noWrap w:val="0"/>
            <w:vAlign w:val="center"/>
          </w:tcPr>
          <w:p w14:paraId="13B5A3EA">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按国家施工验收规范一次性验收合格标准</w:t>
            </w:r>
          </w:p>
        </w:tc>
        <w:tc>
          <w:tcPr>
            <w:tcW w:w="1205" w:type="dxa"/>
            <w:noWrap w:val="0"/>
            <w:vAlign w:val="center"/>
          </w:tcPr>
          <w:p w14:paraId="0AC549A9">
            <w:pPr>
              <w:adjustRightInd/>
              <w:snapToGrid w:val="0"/>
              <w:rPr>
                <w:rFonts w:hint="eastAsia" w:ascii="宋体" w:hAnsi="宋体" w:eastAsia="宋体" w:cs="宋体"/>
                <w:color w:val="auto"/>
                <w:sz w:val="24"/>
                <w:szCs w:val="24"/>
                <w:highlight w:val="none"/>
              </w:rPr>
            </w:pPr>
          </w:p>
        </w:tc>
      </w:tr>
      <w:tr w14:paraId="1C83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0" w:type="dxa"/>
            <w:noWrap w:val="0"/>
            <w:vAlign w:val="center"/>
          </w:tcPr>
          <w:p w14:paraId="07FDCFCE">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30" w:type="dxa"/>
            <w:noWrap w:val="0"/>
            <w:vAlign w:val="center"/>
          </w:tcPr>
          <w:p w14:paraId="0CC5E63A">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未达到工程质量验收一次性合格标准违约金</w:t>
            </w:r>
          </w:p>
        </w:tc>
        <w:tc>
          <w:tcPr>
            <w:tcW w:w="1275" w:type="dxa"/>
            <w:noWrap w:val="0"/>
            <w:vAlign w:val="center"/>
          </w:tcPr>
          <w:p w14:paraId="25DAB701">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4F975E4A">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合同金额的1.5%</w:t>
            </w:r>
          </w:p>
        </w:tc>
        <w:tc>
          <w:tcPr>
            <w:tcW w:w="1205" w:type="dxa"/>
            <w:noWrap w:val="0"/>
            <w:vAlign w:val="center"/>
          </w:tcPr>
          <w:p w14:paraId="44133BB8">
            <w:pPr>
              <w:adjustRightInd/>
              <w:snapToGrid w:val="0"/>
              <w:rPr>
                <w:rFonts w:hint="eastAsia" w:ascii="宋体" w:hAnsi="宋体" w:eastAsia="宋体" w:cs="宋体"/>
                <w:color w:val="auto"/>
                <w:sz w:val="24"/>
                <w:szCs w:val="24"/>
                <w:highlight w:val="none"/>
              </w:rPr>
            </w:pPr>
          </w:p>
        </w:tc>
      </w:tr>
      <w:tr w14:paraId="4FF5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0" w:type="dxa"/>
            <w:noWrap w:val="0"/>
            <w:vAlign w:val="center"/>
          </w:tcPr>
          <w:p w14:paraId="062BAF7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30" w:type="dxa"/>
            <w:noWrap w:val="0"/>
            <w:vAlign w:val="center"/>
          </w:tcPr>
          <w:p w14:paraId="6CD1566A">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未履行项目经理及主要施工管理人员到场承诺违约金限额</w:t>
            </w:r>
          </w:p>
        </w:tc>
        <w:tc>
          <w:tcPr>
            <w:tcW w:w="1275" w:type="dxa"/>
            <w:noWrap w:val="0"/>
            <w:vAlign w:val="center"/>
          </w:tcPr>
          <w:p w14:paraId="4417D57C">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631B78D9">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1205" w:type="dxa"/>
            <w:noWrap w:val="0"/>
            <w:vAlign w:val="center"/>
          </w:tcPr>
          <w:p w14:paraId="0ECF4C66">
            <w:pPr>
              <w:adjustRightInd/>
              <w:snapToGrid w:val="0"/>
              <w:rPr>
                <w:rFonts w:hint="eastAsia" w:ascii="宋体" w:hAnsi="宋体" w:eastAsia="宋体" w:cs="宋体"/>
                <w:color w:val="auto"/>
                <w:sz w:val="24"/>
                <w:szCs w:val="24"/>
                <w:highlight w:val="none"/>
              </w:rPr>
            </w:pPr>
          </w:p>
        </w:tc>
      </w:tr>
      <w:tr w14:paraId="6FFF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0" w:type="dxa"/>
            <w:noWrap w:val="0"/>
            <w:vAlign w:val="center"/>
          </w:tcPr>
          <w:p w14:paraId="511CC75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30" w:type="dxa"/>
            <w:noWrap w:val="0"/>
            <w:vAlign w:val="center"/>
          </w:tcPr>
          <w:p w14:paraId="4AC71EC9">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未履行主要机械设备到场承诺违约金限额</w:t>
            </w:r>
          </w:p>
        </w:tc>
        <w:tc>
          <w:tcPr>
            <w:tcW w:w="1275" w:type="dxa"/>
            <w:noWrap w:val="0"/>
            <w:vAlign w:val="center"/>
          </w:tcPr>
          <w:p w14:paraId="28B3B134">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564DF06D">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合同价款的0.5%/次</w:t>
            </w:r>
          </w:p>
        </w:tc>
        <w:tc>
          <w:tcPr>
            <w:tcW w:w="1205" w:type="dxa"/>
            <w:noWrap w:val="0"/>
            <w:vAlign w:val="center"/>
          </w:tcPr>
          <w:p w14:paraId="211868BB">
            <w:pPr>
              <w:adjustRightInd/>
              <w:snapToGrid w:val="0"/>
              <w:rPr>
                <w:rFonts w:hint="eastAsia" w:ascii="宋体" w:hAnsi="宋体" w:eastAsia="宋体" w:cs="宋体"/>
                <w:color w:val="auto"/>
                <w:sz w:val="24"/>
                <w:szCs w:val="24"/>
                <w:highlight w:val="none"/>
              </w:rPr>
            </w:pPr>
          </w:p>
        </w:tc>
      </w:tr>
      <w:tr w14:paraId="6D3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noWrap w:val="0"/>
            <w:vAlign w:val="center"/>
          </w:tcPr>
          <w:p w14:paraId="0152B8A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30" w:type="dxa"/>
            <w:noWrap w:val="0"/>
            <w:vAlign w:val="center"/>
          </w:tcPr>
          <w:p w14:paraId="540CAE4C">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未履行安全文明施工承诺违约金限额</w:t>
            </w:r>
          </w:p>
        </w:tc>
        <w:tc>
          <w:tcPr>
            <w:tcW w:w="1275" w:type="dxa"/>
            <w:noWrap w:val="0"/>
            <w:vAlign w:val="center"/>
          </w:tcPr>
          <w:p w14:paraId="2A2DEAB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2AFC4F24">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合同金额的0.5%/次</w:t>
            </w:r>
          </w:p>
        </w:tc>
        <w:tc>
          <w:tcPr>
            <w:tcW w:w="1205" w:type="dxa"/>
            <w:noWrap w:val="0"/>
            <w:vAlign w:val="center"/>
          </w:tcPr>
          <w:p w14:paraId="52F2021F">
            <w:pPr>
              <w:adjustRightInd/>
              <w:snapToGrid w:val="0"/>
              <w:rPr>
                <w:rFonts w:hint="eastAsia" w:ascii="宋体" w:hAnsi="宋体" w:eastAsia="宋体" w:cs="宋体"/>
                <w:color w:val="auto"/>
                <w:sz w:val="24"/>
                <w:szCs w:val="24"/>
                <w:highlight w:val="none"/>
              </w:rPr>
            </w:pPr>
          </w:p>
        </w:tc>
      </w:tr>
      <w:tr w14:paraId="30E0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noWrap w:val="0"/>
            <w:vAlign w:val="center"/>
          </w:tcPr>
          <w:p w14:paraId="72B5EBF1">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730" w:type="dxa"/>
            <w:noWrap w:val="0"/>
            <w:vAlign w:val="center"/>
          </w:tcPr>
          <w:p w14:paraId="7C00F25C">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是否同意招标文件其他内容</w:t>
            </w:r>
          </w:p>
        </w:tc>
        <w:tc>
          <w:tcPr>
            <w:tcW w:w="1275" w:type="dxa"/>
            <w:noWrap w:val="0"/>
            <w:vAlign w:val="center"/>
          </w:tcPr>
          <w:p w14:paraId="35768DF3">
            <w:pPr>
              <w:adjustRightInd/>
              <w:snapToGrid w:val="0"/>
              <w:jc w:val="center"/>
              <w:rPr>
                <w:rFonts w:hint="eastAsia" w:ascii="宋体" w:hAnsi="宋体" w:eastAsia="宋体" w:cs="宋体"/>
                <w:color w:val="auto"/>
                <w:kern w:val="2"/>
                <w:sz w:val="24"/>
                <w:szCs w:val="24"/>
                <w:highlight w:val="none"/>
                <w:lang w:val="en-US" w:eastAsia="zh-CN" w:bidi="ar-SA"/>
              </w:rPr>
            </w:pPr>
          </w:p>
        </w:tc>
        <w:tc>
          <w:tcPr>
            <w:tcW w:w="3445" w:type="dxa"/>
            <w:noWrap w:val="0"/>
            <w:vAlign w:val="center"/>
          </w:tcPr>
          <w:p w14:paraId="111524E9">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同意招标文件其他内容</w:t>
            </w:r>
          </w:p>
        </w:tc>
        <w:tc>
          <w:tcPr>
            <w:tcW w:w="1205" w:type="dxa"/>
            <w:noWrap w:val="0"/>
            <w:vAlign w:val="center"/>
          </w:tcPr>
          <w:p w14:paraId="5CB980ED">
            <w:pPr>
              <w:adjustRightInd/>
              <w:snapToGrid w:val="0"/>
              <w:rPr>
                <w:rFonts w:hint="eastAsia" w:ascii="宋体" w:hAnsi="宋体" w:eastAsia="宋体" w:cs="宋体"/>
                <w:color w:val="auto"/>
                <w:sz w:val="24"/>
                <w:szCs w:val="24"/>
                <w:highlight w:val="none"/>
              </w:rPr>
            </w:pPr>
          </w:p>
        </w:tc>
      </w:tr>
      <w:tr w14:paraId="156A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noWrap w:val="0"/>
            <w:vAlign w:val="center"/>
          </w:tcPr>
          <w:p w14:paraId="633F326B">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730" w:type="dxa"/>
            <w:noWrap w:val="0"/>
            <w:vAlign w:val="center"/>
          </w:tcPr>
          <w:p w14:paraId="01032B53">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是否同意合同条款及合同附件格式</w:t>
            </w:r>
          </w:p>
        </w:tc>
        <w:tc>
          <w:tcPr>
            <w:tcW w:w="1275" w:type="dxa"/>
            <w:noWrap w:val="0"/>
            <w:vAlign w:val="center"/>
          </w:tcPr>
          <w:p w14:paraId="4AF3C036">
            <w:pPr>
              <w:adjustRightInd/>
              <w:snapToGrid w:val="0"/>
              <w:jc w:val="center"/>
              <w:rPr>
                <w:rFonts w:hint="eastAsia" w:ascii="宋体" w:hAnsi="宋体" w:eastAsia="宋体" w:cs="宋体"/>
                <w:color w:val="auto"/>
                <w:kern w:val="2"/>
                <w:sz w:val="24"/>
                <w:szCs w:val="24"/>
                <w:highlight w:val="none"/>
                <w:lang w:val="en-US" w:eastAsia="zh-CN" w:bidi="ar-SA"/>
              </w:rPr>
            </w:pPr>
          </w:p>
        </w:tc>
        <w:tc>
          <w:tcPr>
            <w:tcW w:w="3445" w:type="dxa"/>
            <w:noWrap w:val="0"/>
            <w:vAlign w:val="center"/>
          </w:tcPr>
          <w:p w14:paraId="2449D52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同意合同条款及合同附件格式</w:t>
            </w:r>
          </w:p>
        </w:tc>
        <w:tc>
          <w:tcPr>
            <w:tcW w:w="1205" w:type="dxa"/>
            <w:noWrap w:val="0"/>
            <w:vAlign w:val="center"/>
          </w:tcPr>
          <w:p w14:paraId="1B6EC195">
            <w:pPr>
              <w:adjustRightInd/>
              <w:snapToGrid w:val="0"/>
              <w:rPr>
                <w:rFonts w:hint="eastAsia" w:ascii="宋体" w:hAnsi="宋体" w:eastAsia="宋体" w:cs="宋体"/>
                <w:color w:val="auto"/>
                <w:sz w:val="24"/>
                <w:szCs w:val="24"/>
                <w:highlight w:val="none"/>
              </w:rPr>
            </w:pPr>
          </w:p>
        </w:tc>
      </w:tr>
      <w:tr w14:paraId="228B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345" w:type="dxa"/>
            <w:gridSpan w:val="5"/>
            <w:noWrap w:val="0"/>
            <w:vAlign w:val="center"/>
          </w:tcPr>
          <w:p w14:paraId="69BCA9F8">
            <w:pPr>
              <w:adjustRightInd/>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677DC5C9">
            <w:pPr>
              <w:numPr>
                <w:ilvl w:val="0"/>
                <w:numId w:val="3"/>
              </w:numPr>
              <w:adjustRightInd/>
              <w:snapToGrid w:val="0"/>
              <w:ind w:left="12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“投标承诺”一列，供应商必须承诺“同意”； </w:t>
            </w:r>
          </w:p>
          <w:p w14:paraId="6816F919">
            <w:pPr>
              <w:numPr>
                <w:ilvl w:val="0"/>
                <w:numId w:val="3"/>
              </w:numPr>
              <w:adjustRightInd/>
              <w:snapToGrid w:val="0"/>
              <w:ind w:left="12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供应商在响应招标文件中规定的实质性要求和条件的基础上，可做出其他有利于</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人的承诺。3、上述扣款中发生履约担保支付限额不足时，发包人有权向承包人追偿或在进度款中扣除不足部分金额。</w:t>
            </w:r>
          </w:p>
        </w:tc>
      </w:tr>
    </w:tbl>
    <w:p w14:paraId="6E0EACA4">
      <w:pPr>
        <w:adjustRightInd/>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bidi="ar"/>
        </w:rPr>
        <w:t>供应商名称（电子签名）：</w:t>
      </w:r>
    </w:p>
    <w:p w14:paraId="1DCF7E73">
      <w:pPr>
        <w:pStyle w:val="518"/>
        <w:rPr>
          <w:rFonts w:hint="eastAsia"/>
          <w:color w:val="auto"/>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0"/>
          <w:highlight w:val="none"/>
          <w:lang w:bidi="ar"/>
        </w:rPr>
        <w:t xml:space="preserve">             </w:t>
      </w:r>
      <w:r>
        <w:rPr>
          <w:rFonts w:hint="eastAsia" w:ascii="宋体" w:hAnsi="宋体" w:eastAsia="宋体" w:cs="宋体"/>
          <w:color w:val="auto"/>
          <w:sz w:val="24"/>
          <w:szCs w:val="20"/>
          <w:highlight w:val="none"/>
          <w:lang w:val="en-US" w:eastAsia="zh-CN" w:bidi="ar"/>
        </w:rPr>
        <w:t xml:space="preserve">           </w:t>
      </w:r>
      <w:r>
        <w:rPr>
          <w:rFonts w:hint="eastAsia" w:ascii="宋体" w:hAnsi="宋体" w:eastAsia="宋体" w:cs="宋体"/>
          <w:color w:val="auto"/>
          <w:sz w:val="24"/>
          <w:szCs w:val="20"/>
          <w:highlight w:val="none"/>
          <w:lang w:bidi="ar"/>
        </w:rPr>
        <w:t>日期：   年     月    日</w:t>
      </w:r>
    </w:p>
    <w:p w14:paraId="1CAC258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0BF34B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BCF624">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44662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E6EE20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391E35D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4FA5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3A58D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D43421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D4FC17E">
      <w:pPr>
        <w:snapToGrid w:val="0"/>
        <w:spacing w:line="360" w:lineRule="auto"/>
        <w:rPr>
          <w:rFonts w:hint="eastAsia" w:ascii="宋体" w:hAnsi="宋体" w:eastAsia="宋体" w:cs="宋体"/>
          <w:color w:val="auto"/>
          <w:sz w:val="24"/>
          <w:highlight w:val="none"/>
        </w:rPr>
      </w:pPr>
    </w:p>
    <w:p w14:paraId="055E4F1C">
      <w:pPr>
        <w:snapToGrid w:val="0"/>
        <w:spacing w:line="360" w:lineRule="auto"/>
        <w:rPr>
          <w:rFonts w:hint="eastAsia" w:ascii="宋体" w:hAnsi="宋体" w:eastAsia="宋体" w:cs="宋体"/>
          <w:color w:val="auto"/>
          <w:sz w:val="24"/>
          <w:highlight w:val="none"/>
        </w:rPr>
      </w:pPr>
    </w:p>
    <w:p w14:paraId="26AD1C42">
      <w:pPr>
        <w:snapToGrid w:val="0"/>
        <w:spacing w:line="360" w:lineRule="auto"/>
        <w:rPr>
          <w:rFonts w:hint="eastAsia" w:ascii="宋体" w:hAnsi="宋体" w:eastAsia="宋体" w:cs="宋体"/>
          <w:color w:val="auto"/>
          <w:sz w:val="24"/>
          <w:highlight w:val="none"/>
        </w:rPr>
      </w:pPr>
    </w:p>
    <w:p w14:paraId="2F970935">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7BF9D6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1E038F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51446D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32155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5AA4F00">
      <w:pPr>
        <w:jc w:val="center"/>
        <w:rPr>
          <w:rFonts w:hint="eastAsia" w:ascii="宋体" w:hAnsi="宋体" w:eastAsia="宋体" w:cs="宋体"/>
          <w:b/>
          <w:color w:val="auto"/>
          <w:kern w:val="0"/>
          <w:sz w:val="32"/>
          <w:szCs w:val="32"/>
          <w:highlight w:val="none"/>
        </w:rPr>
      </w:pPr>
    </w:p>
    <w:p w14:paraId="53AF7CF0">
      <w:pPr>
        <w:jc w:val="center"/>
        <w:rPr>
          <w:rFonts w:hint="eastAsia" w:ascii="宋体" w:hAnsi="宋体" w:eastAsia="宋体" w:cs="宋体"/>
          <w:b/>
          <w:color w:val="auto"/>
          <w:kern w:val="0"/>
          <w:sz w:val="32"/>
          <w:szCs w:val="32"/>
          <w:highlight w:val="none"/>
        </w:rPr>
      </w:pPr>
    </w:p>
    <w:p w14:paraId="287AF548">
      <w:pPr>
        <w:jc w:val="center"/>
        <w:rPr>
          <w:rFonts w:hint="eastAsia" w:ascii="宋体" w:hAnsi="宋体" w:eastAsia="宋体" w:cs="宋体"/>
          <w:b/>
          <w:color w:val="auto"/>
          <w:kern w:val="0"/>
          <w:sz w:val="32"/>
          <w:szCs w:val="32"/>
          <w:highlight w:val="none"/>
        </w:rPr>
      </w:pPr>
    </w:p>
    <w:p w14:paraId="75C6980B">
      <w:pPr>
        <w:rPr>
          <w:rFonts w:hint="eastAsia" w:ascii="宋体" w:hAnsi="宋体" w:eastAsia="宋体" w:cs="宋体"/>
          <w:color w:val="auto"/>
          <w:highlight w:val="none"/>
        </w:rPr>
      </w:pPr>
    </w:p>
    <w:p w14:paraId="02243E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F4E9DC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42AFDE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215EF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174F3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3530AB2">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508B8B4A">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CA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5894F0">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442385F">
            <w:pPr>
              <w:pStyle w:val="146"/>
              <w:adjustRightInd w:val="0"/>
              <w:spacing w:line="360" w:lineRule="auto"/>
              <w:rPr>
                <w:rFonts w:hint="eastAsia" w:ascii="宋体" w:hAnsi="宋体" w:eastAsia="宋体" w:cs="宋体"/>
                <w:bCs/>
                <w:color w:val="auto"/>
                <w:sz w:val="24"/>
                <w:highlight w:val="none"/>
              </w:rPr>
            </w:pPr>
          </w:p>
        </w:tc>
      </w:tr>
    </w:tbl>
    <w:p w14:paraId="58E1653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B60443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3BF3239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1106B9">
      <w:pPr>
        <w:jc w:val="center"/>
        <w:rPr>
          <w:rFonts w:hint="eastAsia" w:ascii="宋体" w:hAnsi="宋体" w:eastAsia="宋体" w:cs="宋体"/>
          <w:b/>
          <w:color w:val="auto"/>
          <w:kern w:val="0"/>
          <w:sz w:val="32"/>
          <w:szCs w:val="32"/>
          <w:highlight w:val="none"/>
        </w:rPr>
      </w:pPr>
    </w:p>
    <w:p w14:paraId="16F8A1E1">
      <w:pPr>
        <w:jc w:val="center"/>
        <w:rPr>
          <w:rFonts w:hint="eastAsia" w:ascii="宋体" w:hAnsi="宋体" w:eastAsia="宋体" w:cs="宋体"/>
          <w:b/>
          <w:color w:val="auto"/>
          <w:kern w:val="0"/>
          <w:sz w:val="32"/>
          <w:szCs w:val="32"/>
          <w:highlight w:val="none"/>
        </w:rPr>
      </w:pPr>
    </w:p>
    <w:p w14:paraId="193ECB67">
      <w:pPr>
        <w:jc w:val="center"/>
        <w:rPr>
          <w:rFonts w:hint="eastAsia" w:ascii="宋体" w:hAnsi="宋体" w:eastAsia="宋体" w:cs="宋体"/>
          <w:b/>
          <w:color w:val="auto"/>
          <w:kern w:val="0"/>
          <w:sz w:val="32"/>
          <w:szCs w:val="32"/>
          <w:highlight w:val="none"/>
        </w:rPr>
      </w:pPr>
    </w:p>
    <w:p w14:paraId="61BBF6DE">
      <w:pPr>
        <w:jc w:val="center"/>
        <w:rPr>
          <w:rFonts w:hint="eastAsia" w:ascii="宋体" w:hAnsi="宋体" w:eastAsia="宋体" w:cs="宋体"/>
          <w:b/>
          <w:color w:val="auto"/>
          <w:kern w:val="0"/>
          <w:sz w:val="32"/>
          <w:szCs w:val="32"/>
          <w:highlight w:val="none"/>
        </w:rPr>
      </w:pPr>
    </w:p>
    <w:p w14:paraId="0F423283">
      <w:pPr>
        <w:jc w:val="center"/>
        <w:rPr>
          <w:rFonts w:hint="eastAsia" w:ascii="宋体" w:hAnsi="宋体" w:eastAsia="宋体" w:cs="宋体"/>
          <w:b/>
          <w:color w:val="auto"/>
          <w:kern w:val="0"/>
          <w:sz w:val="32"/>
          <w:szCs w:val="32"/>
          <w:highlight w:val="none"/>
        </w:rPr>
      </w:pPr>
    </w:p>
    <w:p w14:paraId="314E8306">
      <w:pPr>
        <w:jc w:val="center"/>
        <w:rPr>
          <w:rFonts w:hint="eastAsia" w:ascii="宋体" w:hAnsi="宋体" w:eastAsia="宋体" w:cs="宋体"/>
          <w:b/>
          <w:color w:val="auto"/>
          <w:kern w:val="0"/>
          <w:sz w:val="32"/>
          <w:szCs w:val="32"/>
          <w:highlight w:val="none"/>
        </w:rPr>
      </w:pPr>
    </w:p>
    <w:p w14:paraId="7FEF30EA">
      <w:pPr>
        <w:jc w:val="center"/>
        <w:rPr>
          <w:rFonts w:hint="eastAsia" w:ascii="宋体" w:hAnsi="宋体" w:eastAsia="宋体" w:cs="宋体"/>
          <w:b/>
          <w:color w:val="auto"/>
          <w:kern w:val="0"/>
          <w:sz w:val="32"/>
          <w:szCs w:val="32"/>
          <w:highlight w:val="none"/>
        </w:rPr>
      </w:pPr>
    </w:p>
    <w:p w14:paraId="1ECDB883">
      <w:pPr>
        <w:jc w:val="center"/>
        <w:rPr>
          <w:rFonts w:hint="eastAsia" w:ascii="宋体" w:hAnsi="宋体" w:eastAsia="宋体" w:cs="宋体"/>
          <w:b/>
          <w:color w:val="auto"/>
          <w:kern w:val="0"/>
          <w:sz w:val="32"/>
          <w:szCs w:val="32"/>
          <w:highlight w:val="none"/>
        </w:rPr>
      </w:pPr>
    </w:p>
    <w:p w14:paraId="285CE8AB">
      <w:pPr>
        <w:jc w:val="center"/>
        <w:rPr>
          <w:rFonts w:hint="eastAsia" w:ascii="宋体" w:hAnsi="宋体" w:eastAsia="宋体" w:cs="宋体"/>
          <w:b/>
          <w:color w:val="auto"/>
          <w:kern w:val="0"/>
          <w:sz w:val="32"/>
          <w:szCs w:val="32"/>
          <w:highlight w:val="none"/>
        </w:rPr>
      </w:pPr>
    </w:p>
    <w:p w14:paraId="121E885A">
      <w:pPr>
        <w:jc w:val="center"/>
        <w:rPr>
          <w:rFonts w:hint="eastAsia" w:ascii="宋体" w:hAnsi="宋体" w:eastAsia="宋体" w:cs="宋体"/>
          <w:b/>
          <w:color w:val="auto"/>
          <w:kern w:val="0"/>
          <w:sz w:val="32"/>
          <w:szCs w:val="32"/>
          <w:highlight w:val="none"/>
        </w:rPr>
      </w:pPr>
    </w:p>
    <w:p w14:paraId="781123FF">
      <w:pPr>
        <w:snapToGrid w:val="0"/>
        <w:spacing w:line="360" w:lineRule="auto"/>
        <w:ind w:right="480"/>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D064CAE">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w:t>
      </w:r>
    </w:p>
    <w:p w14:paraId="766F1ACE">
      <w:pPr>
        <w:widowControl/>
        <w:spacing w:line="360" w:lineRule="auto"/>
        <w:ind w:firstLine="120" w:firstLineChars="50"/>
        <w:jc w:val="left"/>
        <w:rPr>
          <w:rFonts w:hint="eastAsia" w:ascii="宋体" w:hAnsi="宋体" w:eastAsia="宋体" w:cs="宋体"/>
          <w:color w:val="auto"/>
          <w:sz w:val="24"/>
          <w:highlight w:val="none"/>
        </w:rPr>
      </w:pPr>
      <w:bookmarkStart w:id="495"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495"/>
    <w:p w14:paraId="49865C55">
      <w:pPr>
        <w:snapToGrid w:val="0"/>
        <w:spacing w:line="360" w:lineRule="auto"/>
        <w:rPr>
          <w:rFonts w:hint="eastAsia" w:ascii="宋体" w:hAnsi="宋体" w:eastAsia="宋体" w:cs="宋体"/>
          <w:color w:val="auto"/>
          <w:kern w:val="0"/>
          <w:sz w:val="24"/>
          <w:highlight w:val="none"/>
        </w:rPr>
      </w:pPr>
    </w:p>
    <w:p w14:paraId="56147BB3">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6C6D5BB8">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6F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4EB66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576B0B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4FF25F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380721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55E628C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5BF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69C4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33A330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073AFA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70FA595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6A462C5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6F2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76E5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4991" w:type="dxa"/>
            <w:vAlign w:val="center"/>
          </w:tcPr>
          <w:p w14:paraId="1A9196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39C578C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924DB96">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3B6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294167">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4991" w:type="dxa"/>
            <w:vAlign w:val="center"/>
          </w:tcPr>
          <w:p w14:paraId="7EE027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响应文件满足采购文件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1972537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实质性要求相应的材料（“</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系指实质性要求条款，采购文件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vAlign w:val="center"/>
          </w:tcPr>
          <w:p w14:paraId="745C805A">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76CF62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F667B8">
      <w:pPr>
        <w:snapToGrid w:val="0"/>
        <w:jc w:val="center"/>
        <w:rPr>
          <w:rFonts w:hint="eastAsia" w:ascii="宋体" w:hAnsi="宋体" w:eastAsia="宋体" w:cs="宋体"/>
          <w:b/>
          <w:bCs/>
          <w:color w:val="auto"/>
          <w:sz w:val="32"/>
          <w:szCs w:val="32"/>
          <w:highlight w:val="none"/>
        </w:rPr>
      </w:pPr>
    </w:p>
    <w:p w14:paraId="77131971">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5E941FE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0272BCB8">
      <w:pPr>
        <w:jc w:val="center"/>
        <w:rPr>
          <w:rFonts w:hint="eastAsia" w:ascii="宋体" w:hAnsi="宋体" w:eastAsia="宋体" w:cs="宋体"/>
          <w:b/>
          <w:color w:val="auto"/>
          <w:kern w:val="0"/>
          <w:sz w:val="32"/>
          <w:szCs w:val="32"/>
          <w:highlight w:val="none"/>
        </w:rPr>
      </w:pPr>
    </w:p>
    <w:p w14:paraId="1AF36D0E">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3A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3BFB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FFE290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4BC31A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562D80D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424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6A75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6F3B2B8">
            <w:pPr>
              <w:jc w:val="center"/>
              <w:rPr>
                <w:rFonts w:hint="eastAsia" w:ascii="宋体" w:hAnsi="宋体" w:eastAsia="宋体" w:cs="宋体"/>
                <w:b/>
                <w:color w:val="auto"/>
                <w:kern w:val="0"/>
                <w:sz w:val="32"/>
                <w:szCs w:val="32"/>
                <w:highlight w:val="none"/>
              </w:rPr>
            </w:pPr>
          </w:p>
        </w:tc>
        <w:tc>
          <w:tcPr>
            <w:tcW w:w="3546" w:type="dxa"/>
          </w:tcPr>
          <w:p w14:paraId="30F3AFC3">
            <w:pPr>
              <w:jc w:val="center"/>
              <w:rPr>
                <w:rFonts w:hint="eastAsia" w:ascii="宋体" w:hAnsi="宋体" w:eastAsia="宋体" w:cs="宋体"/>
                <w:b/>
                <w:color w:val="auto"/>
                <w:kern w:val="0"/>
                <w:sz w:val="32"/>
                <w:szCs w:val="32"/>
                <w:highlight w:val="none"/>
              </w:rPr>
            </w:pPr>
          </w:p>
        </w:tc>
        <w:tc>
          <w:tcPr>
            <w:tcW w:w="1276" w:type="dxa"/>
          </w:tcPr>
          <w:p w14:paraId="27915922">
            <w:pPr>
              <w:jc w:val="center"/>
              <w:rPr>
                <w:rFonts w:hint="eastAsia" w:ascii="宋体" w:hAnsi="宋体" w:eastAsia="宋体" w:cs="宋体"/>
                <w:b/>
                <w:color w:val="auto"/>
                <w:kern w:val="0"/>
                <w:sz w:val="32"/>
                <w:szCs w:val="32"/>
                <w:highlight w:val="none"/>
              </w:rPr>
            </w:pPr>
          </w:p>
        </w:tc>
      </w:tr>
      <w:tr w14:paraId="107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D555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7387B4A">
            <w:pPr>
              <w:jc w:val="center"/>
              <w:rPr>
                <w:rFonts w:hint="eastAsia" w:ascii="宋体" w:hAnsi="宋体" w:eastAsia="宋体" w:cs="宋体"/>
                <w:b/>
                <w:color w:val="auto"/>
                <w:kern w:val="0"/>
                <w:sz w:val="32"/>
                <w:szCs w:val="32"/>
                <w:highlight w:val="none"/>
              </w:rPr>
            </w:pPr>
          </w:p>
        </w:tc>
        <w:tc>
          <w:tcPr>
            <w:tcW w:w="3546" w:type="dxa"/>
          </w:tcPr>
          <w:p w14:paraId="2DA2F388">
            <w:pPr>
              <w:jc w:val="center"/>
              <w:rPr>
                <w:rFonts w:hint="eastAsia" w:ascii="宋体" w:hAnsi="宋体" w:eastAsia="宋体" w:cs="宋体"/>
                <w:b/>
                <w:color w:val="auto"/>
                <w:kern w:val="0"/>
                <w:sz w:val="32"/>
                <w:szCs w:val="32"/>
                <w:highlight w:val="none"/>
              </w:rPr>
            </w:pPr>
          </w:p>
        </w:tc>
        <w:tc>
          <w:tcPr>
            <w:tcW w:w="1276" w:type="dxa"/>
          </w:tcPr>
          <w:p w14:paraId="6F279757">
            <w:pPr>
              <w:jc w:val="center"/>
              <w:rPr>
                <w:rFonts w:hint="eastAsia" w:ascii="宋体" w:hAnsi="宋体" w:eastAsia="宋体" w:cs="宋体"/>
                <w:b/>
                <w:color w:val="auto"/>
                <w:kern w:val="0"/>
                <w:sz w:val="32"/>
                <w:szCs w:val="32"/>
                <w:highlight w:val="none"/>
              </w:rPr>
            </w:pPr>
          </w:p>
        </w:tc>
      </w:tr>
      <w:tr w14:paraId="5FB8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0FF67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E15825D">
            <w:pPr>
              <w:jc w:val="center"/>
              <w:rPr>
                <w:rFonts w:hint="eastAsia" w:ascii="宋体" w:hAnsi="宋体" w:eastAsia="宋体" w:cs="宋体"/>
                <w:b/>
                <w:color w:val="auto"/>
                <w:kern w:val="0"/>
                <w:sz w:val="32"/>
                <w:szCs w:val="32"/>
                <w:highlight w:val="none"/>
              </w:rPr>
            </w:pPr>
          </w:p>
        </w:tc>
        <w:tc>
          <w:tcPr>
            <w:tcW w:w="3546" w:type="dxa"/>
          </w:tcPr>
          <w:p w14:paraId="1235D962">
            <w:pPr>
              <w:jc w:val="center"/>
              <w:rPr>
                <w:rFonts w:hint="eastAsia" w:ascii="宋体" w:hAnsi="宋体" w:eastAsia="宋体" w:cs="宋体"/>
                <w:b/>
                <w:color w:val="auto"/>
                <w:kern w:val="0"/>
                <w:sz w:val="32"/>
                <w:szCs w:val="32"/>
                <w:highlight w:val="none"/>
              </w:rPr>
            </w:pPr>
          </w:p>
        </w:tc>
        <w:tc>
          <w:tcPr>
            <w:tcW w:w="1276" w:type="dxa"/>
          </w:tcPr>
          <w:p w14:paraId="53E1E881">
            <w:pPr>
              <w:jc w:val="center"/>
              <w:rPr>
                <w:rFonts w:hint="eastAsia" w:ascii="宋体" w:hAnsi="宋体" w:eastAsia="宋体" w:cs="宋体"/>
                <w:b/>
                <w:color w:val="auto"/>
                <w:kern w:val="0"/>
                <w:sz w:val="32"/>
                <w:szCs w:val="32"/>
                <w:highlight w:val="none"/>
              </w:rPr>
            </w:pPr>
          </w:p>
        </w:tc>
      </w:tr>
    </w:tbl>
    <w:p w14:paraId="1AA6C31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64F64C51">
      <w:pPr>
        <w:jc w:val="center"/>
        <w:rPr>
          <w:rFonts w:hint="eastAsia" w:ascii="宋体" w:hAnsi="宋体" w:eastAsia="宋体" w:cs="宋体"/>
          <w:b/>
          <w:color w:val="auto"/>
          <w:kern w:val="0"/>
          <w:sz w:val="32"/>
          <w:szCs w:val="32"/>
          <w:highlight w:val="none"/>
        </w:rPr>
      </w:pPr>
    </w:p>
    <w:p w14:paraId="46AF66C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DB3784">
      <w:pPr>
        <w:ind w:firstLine="1911" w:firstLineChars="595"/>
        <w:rPr>
          <w:rFonts w:hint="eastAsia" w:ascii="宋体" w:hAnsi="宋体" w:eastAsia="宋体" w:cs="宋体"/>
          <w:b/>
          <w:bCs/>
          <w:color w:val="auto"/>
          <w:sz w:val="32"/>
          <w:szCs w:val="32"/>
          <w:highlight w:val="none"/>
        </w:rPr>
        <w:sectPr>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2DA28512">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F24AB7D">
      <w:pPr>
        <w:snapToGrid w:val="0"/>
        <w:spacing w:line="360" w:lineRule="auto"/>
        <w:rPr>
          <w:rFonts w:hint="eastAsia" w:ascii="宋体" w:hAnsi="宋体" w:eastAsia="宋体" w:cs="宋体"/>
          <w:color w:val="auto"/>
          <w:sz w:val="24"/>
          <w:highlight w:val="none"/>
        </w:rPr>
      </w:pPr>
    </w:p>
    <w:p w14:paraId="3256BE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73063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D37C09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78895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8893A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ADE983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BEDF1E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17A9D95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E4A83B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65A793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144C0F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46413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BC5A91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122E05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62D054">
      <w:pPr>
        <w:spacing w:line="360" w:lineRule="auto"/>
        <w:jc w:val="center"/>
        <w:rPr>
          <w:rFonts w:hint="eastAsia" w:ascii="宋体" w:hAnsi="宋体" w:eastAsia="宋体" w:cs="宋体"/>
          <w:b/>
          <w:bCs/>
          <w:color w:val="auto"/>
          <w:sz w:val="24"/>
          <w:highlight w:val="none"/>
        </w:rPr>
      </w:pPr>
    </w:p>
    <w:p w14:paraId="3908EDF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A10801">
      <w:pPr>
        <w:spacing w:line="360" w:lineRule="auto"/>
        <w:jc w:val="center"/>
        <w:rPr>
          <w:rFonts w:hint="eastAsia" w:ascii="宋体" w:hAnsi="宋体" w:eastAsia="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2BAAD9DF">
      <w:pPr>
        <w:spacing w:line="360" w:lineRule="auto"/>
        <w:jc w:val="center"/>
        <w:outlineLvl w:val="0"/>
        <w:rPr>
          <w:rFonts w:hint="eastAsia" w:ascii="宋体" w:hAnsi="宋体" w:eastAsia="宋体" w:cs="宋体"/>
          <w:b/>
          <w:color w:val="auto"/>
          <w:kern w:val="0"/>
          <w:sz w:val="36"/>
          <w:szCs w:val="36"/>
          <w:highlight w:val="none"/>
        </w:rPr>
      </w:pPr>
      <w:bookmarkStart w:id="496" w:name="_Toc26780"/>
      <w:r>
        <w:rPr>
          <w:rFonts w:hint="eastAsia" w:ascii="宋体" w:hAnsi="宋体" w:eastAsia="宋体" w:cs="宋体"/>
          <w:b/>
          <w:color w:val="auto"/>
          <w:kern w:val="0"/>
          <w:sz w:val="36"/>
          <w:szCs w:val="36"/>
          <w:highlight w:val="none"/>
        </w:rPr>
        <w:t>报价文件部分</w:t>
      </w:r>
      <w:bookmarkEnd w:id="496"/>
    </w:p>
    <w:p w14:paraId="14F71550">
      <w:pPr>
        <w:spacing w:line="360" w:lineRule="auto"/>
        <w:jc w:val="center"/>
        <w:outlineLvl w:val="0"/>
        <w:rPr>
          <w:rFonts w:hint="eastAsia" w:ascii="宋体" w:hAnsi="宋体" w:eastAsia="宋体" w:cs="宋体"/>
          <w:b/>
          <w:color w:val="auto"/>
          <w:kern w:val="0"/>
          <w:sz w:val="36"/>
          <w:szCs w:val="36"/>
          <w:highlight w:val="none"/>
        </w:rPr>
      </w:pPr>
      <w:bookmarkStart w:id="497" w:name="_Toc28096"/>
      <w:r>
        <w:rPr>
          <w:rFonts w:hint="eastAsia" w:ascii="宋体" w:hAnsi="宋体" w:eastAsia="宋体" w:cs="宋体"/>
          <w:b/>
          <w:color w:val="auto"/>
          <w:kern w:val="0"/>
          <w:sz w:val="36"/>
          <w:szCs w:val="36"/>
          <w:highlight w:val="none"/>
        </w:rPr>
        <w:t>目录</w:t>
      </w:r>
      <w:bookmarkEnd w:id="497"/>
    </w:p>
    <w:p w14:paraId="6A41C675">
      <w:pPr>
        <w:spacing w:line="360" w:lineRule="auto"/>
        <w:jc w:val="center"/>
        <w:outlineLvl w:val="9"/>
        <w:rPr>
          <w:rFonts w:hint="eastAsia" w:ascii="宋体" w:hAnsi="宋体" w:eastAsia="宋体" w:cs="宋体"/>
          <w:b/>
          <w:color w:val="auto"/>
          <w:kern w:val="0"/>
          <w:sz w:val="36"/>
          <w:szCs w:val="36"/>
          <w:highlight w:val="none"/>
        </w:rPr>
      </w:pPr>
    </w:p>
    <w:p w14:paraId="73B4A2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（1）报价单…………………………………………………………………………（页码）</w:t>
      </w:r>
    </w:p>
    <w:p w14:paraId="15765A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（2）已标价工程量清单……………………………………………………………（页码）</w:t>
      </w:r>
    </w:p>
    <w:p w14:paraId="0F5EE107">
      <w:pPr>
        <w:snapToGrid w:val="0"/>
        <w:spacing w:line="360" w:lineRule="auto"/>
        <w:ind w:right="480"/>
        <w:jc w:val="center"/>
        <w:rPr>
          <w:rFonts w:hint="eastAsia" w:ascii="宋体" w:hAnsi="宋体" w:eastAsia="宋体" w:cs="宋体"/>
          <w:b/>
          <w:color w:val="auto"/>
          <w:kern w:val="0"/>
          <w:sz w:val="32"/>
          <w:szCs w:val="32"/>
          <w:highlight w:val="none"/>
        </w:rPr>
      </w:pPr>
    </w:p>
    <w:p w14:paraId="09E9ECFE">
      <w:pPr>
        <w:snapToGrid w:val="0"/>
        <w:spacing w:line="360" w:lineRule="auto"/>
        <w:ind w:right="480"/>
        <w:jc w:val="center"/>
        <w:rPr>
          <w:rFonts w:hint="eastAsia" w:ascii="宋体" w:hAnsi="宋体" w:eastAsia="宋体" w:cs="宋体"/>
          <w:b/>
          <w:color w:val="auto"/>
          <w:kern w:val="0"/>
          <w:sz w:val="32"/>
          <w:szCs w:val="32"/>
          <w:highlight w:val="none"/>
        </w:rPr>
      </w:pPr>
    </w:p>
    <w:p w14:paraId="52454682">
      <w:pPr>
        <w:snapToGrid w:val="0"/>
        <w:spacing w:line="360" w:lineRule="auto"/>
        <w:ind w:right="480"/>
        <w:jc w:val="center"/>
        <w:rPr>
          <w:rFonts w:hint="eastAsia" w:ascii="宋体" w:hAnsi="宋体" w:eastAsia="宋体" w:cs="宋体"/>
          <w:b/>
          <w:color w:val="auto"/>
          <w:kern w:val="0"/>
          <w:sz w:val="32"/>
          <w:szCs w:val="32"/>
          <w:highlight w:val="none"/>
        </w:rPr>
      </w:pPr>
    </w:p>
    <w:p w14:paraId="1BACDF3A">
      <w:pPr>
        <w:snapToGrid w:val="0"/>
        <w:spacing w:line="360" w:lineRule="auto"/>
        <w:ind w:right="480"/>
        <w:jc w:val="center"/>
        <w:rPr>
          <w:rFonts w:hint="eastAsia" w:ascii="宋体" w:hAnsi="宋体" w:eastAsia="宋体" w:cs="宋体"/>
          <w:b/>
          <w:color w:val="auto"/>
          <w:kern w:val="0"/>
          <w:sz w:val="32"/>
          <w:szCs w:val="32"/>
          <w:highlight w:val="none"/>
        </w:rPr>
      </w:pPr>
    </w:p>
    <w:p w14:paraId="420BE178">
      <w:pPr>
        <w:snapToGrid w:val="0"/>
        <w:spacing w:line="360" w:lineRule="auto"/>
        <w:ind w:right="480"/>
        <w:jc w:val="center"/>
        <w:rPr>
          <w:rFonts w:hint="eastAsia" w:ascii="宋体" w:hAnsi="宋体" w:eastAsia="宋体" w:cs="宋体"/>
          <w:b/>
          <w:color w:val="auto"/>
          <w:kern w:val="0"/>
          <w:sz w:val="32"/>
          <w:szCs w:val="32"/>
          <w:highlight w:val="none"/>
        </w:rPr>
      </w:pPr>
    </w:p>
    <w:p w14:paraId="7A261F55">
      <w:pPr>
        <w:snapToGrid w:val="0"/>
        <w:spacing w:line="360" w:lineRule="auto"/>
        <w:ind w:right="480"/>
        <w:jc w:val="center"/>
        <w:rPr>
          <w:rFonts w:hint="eastAsia" w:ascii="宋体" w:hAnsi="宋体" w:eastAsia="宋体" w:cs="宋体"/>
          <w:b/>
          <w:color w:val="auto"/>
          <w:kern w:val="0"/>
          <w:sz w:val="32"/>
          <w:szCs w:val="32"/>
          <w:highlight w:val="none"/>
        </w:rPr>
      </w:pPr>
    </w:p>
    <w:p w14:paraId="4B2FA43E">
      <w:pPr>
        <w:snapToGrid w:val="0"/>
        <w:spacing w:line="360" w:lineRule="auto"/>
        <w:ind w:right="480"/>
        <w:jc w:val="center"/>
        <w:rPr>
          <w:rFonts w:hint="eastAsia" w:ascii="宋体" w:hAnsi="宋体" w:eastAsia="宋体" w:cs="宋体"/>
          <w:b/>
          <w:color w:val="auto"/>
          <w:kern w:val="0"/>
          <w:sz w:val="32"/>
          <w:szCs w:val="32"/>
          <w:highlight w:val="none"/>
        </w:rPr>
      </w:pPr>
    </w:p>
    <w:p w14:paraId="0BD6B866">
      <w:pPr>
        <w:snapToGrid w:val="0"/>
        <w:spacing w:line="360" w:lineRule="auto"/>
        <w:ind w:right="480"/>
        <w:jc w:val="center"/>
        <w:rPr>
          <w:rFonts w:hint="eastAsia" w:ascii="宋体" w:hAnsi="宋体" w:eastAsia="宋体" w:cs="宋体"/>
          <w:b/>
          <w:color w:val="auto"/>
          <w:kern w:val="0"/>
          <w:sz w:val="32"/>
          <w:szCs w:val="32"/>
          <w:highlight w:val="none"/>
        </w:rPr>
      </w:pPr>
    </w:p>
    <w:p w14:paraId="75E9017D">
      <w:pPr>
        <w:snapToGrid w:val="0"/>
        <w:spacing w:line="360" w:lineRule="auto"/>
        <w:ind w:right="480"/>
        <w:jc w:val="center"/>
        <w:rPr>
          <w:rFonts w:hint="eastAsia" w:ascii="宋体" w:hAnsi="宋体" w:eastAsia="宋体" w:cs="宋体"/>
          <w:b/>
          <w:color w:val="auto"/>
          <w:kern w:val="0"/>
          <w:sz w:val="32"/>
          <w:szCs w:val="32"/>
          <w:highlight w:val="none"/>
        </w:rPr>
      </w:pPr>
    </w:p>
    <w:p w14:paraId="1C9798D3">
      <w:pPr>
        <w:snapToGrid w:val="0"/>
        <w:spacing w:line="360" w:lineRule="auto"/>
        <w:ind w:right="480"/>
        <w:jc w:val="center"/>
        <w:rPr>
          <w:rFonts w:hint="eastAsia" w:ascii="宋体" w:hAnsi="宋体" w:eastAsia="宋体" w:cs="宋体"/>
          <w:b/>
          <w:color w:val="auto"/>
          <w:kern w:val="0"/>
          <w:sz w:val="32"/>
          <w:szCs w:val="32"/>
          <w:highlight w:val="none"/>
        </w:rPr>
      </w:pPr>
    </w:p>
    <w:p w14:paraId="283DC411">
      <w:pPr>
        <w:snapToGrid w:val="0"/>
        <w:spacing w:line="360" w:lineRule="auto"/>
        <w:ind w:right="480"/>
        <w:jc w:val="center"/>
        <w:rPr>
          <w:rFonts w:hint="eastAsia" w:ascii="宋体" w:hAnsi="宋体" w:eastAsia="宋体" w:cs="宋体"/>
          <w:b/>
          <w:color w:val="auto"/>
          <w:kern w:val="0"/>
          <w:sz w:val="32"/>
          <w:szCs w:val="32"/>
          <w:highlight w:val="none"/>
        </w:rPr>
      </w:pPr>
    </w:p>
    <w:p w14:paraId="0B698FDE">
      <w:pPr>
        <w:snapToGrid w:val="0"/>
        <w:spacing w:line="360" w:lineRule="auto"/>
        <w:ind w:right="480"/>
        <w:jc w:val="center"/>
        <w:rPr>
          <w:rFonts w:hint="eastAsia" w:ascii="宋体" w:hAnsi="宋体" w:eastAsia="宋体" w:cs="宋体"/>
          <w:b/>
          <w:color w:val="auto"/>
          <w:kern w:val="0"/>
          <w:sz w:val="32"/>
          <w:szCs w:val="32"/>
          <w:highlight w:val="none"/>
        </w:rPr>
      </w:pPr>
    </w:p>
    <w:p w14:paraId="2B0E0FE9">
      <w:pPr>
        <w:snapToGrid w:val="0"/>
        <w:spacing w:line="360" w:lineRule="auto"/>
        <w:ind w:right="480"/>
        <w:jc w:val="center"/>
        <w:rPr>
          <w:rFonts w:hint="eastAsia" w:ascii="宋体" w:hAnsi="宋体" w:eastAsia="宋体" w:cs="宋体"/>
          <w:b/>
          <w:color w:val="auto"/>
          <w:kern w:val="0"/>
          <w:sz w:val="32"/>
          <w:szCs w:val="32"/>
          <w:highlight w:val="none"/>
        </w:rPr>
      </w:pPr>
    </w:p>
    <w:p w14:paraId="128AFE72">
      <w:pPr>
        <w:snapToGrid w:val="0"/>
        <w:spacing w:line="360" w:lineRule="auto"/>
        <w:ind w:right="480"/>
        <w:jc w:val="center"/>
        <w:rPr>
          <w:rFonts w:hint="eastAsia" w:ascii="宋体" w:hAnsi="宋体" w:eastAsia="宋体" w:cs="宋体"/>
          <w:b/>
          <w:color w:val="auto"/>
          <w:kern w:val="0"/>
          <w:sz w:val="32"/>
          <w:szCs w:val="32"/>
          <w:highlight w:val="none"/>
        </w:rPr>
      </w:pPr>
    </w:p>
    <w:p w14:paraId="17F73060">
      <w:pPr>
        <w:snapToGrid w:val="0"/>
        <w:spacing w:line="360" w:lineRule="auto"/>
        <w:ind w:right="480"/>
        <w:jc w:val="center"/>
        <w:rPr>
          <w:rFonts w:hint="eastAsia" w:ascii="宋体" w:hAnsi="宋体" w:eastAsia="宋体" w:cs="宋体"/>
          <w:b/>
          <w:color w:val="auto"/>
          <w:kern w:val="0"/>
          <w:sz w:val="32"/>
          <w:szCs w:val="32"/>
          <w:highlight w:val="none"/>
        </w:rPr>
      </w:pPr>
    </w:p>
    <w:p w14:paraId="5CFDA60D">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headerReference r:id="rId11" w:type="default"/>
          <w:footerReference r:id="rId12" w:type="default"/>
          <w:pgSz w:w="11906" w:h="16838"/>
          <w:pgMar w:top="1440" w:right="1080" w:bottom="1440" w:left="1080" w:header="851" w:footer="992" w:gutter="0"/>
          <w:pgNumType w:fmt="decimal"/>
          <w:cols w:space="720" w:num="1"/>
          <w:titlePg/>
          <w:docGrid w:linePitch="312" w:charSpace="0"/>
        </w:sectPr>
      </w:pPr>
    </w:p>
    <w:p w14:paraId="395396CD">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bookmarkStart w:id="498" w:name="_Toc24666"/>
      <w:r>
        <w:rPr>
          <w:rFonts w:hint="eastAsia" w:ascii="宋体" w:hAnsi="宋体" w:eastAsia="宋体" w:cs="宋体"/>
          <w:color w:val="auto"/>
          <w:kern w:val="2"/>
          <w:sz w:val="32"/>
          <w:szCs w:val="32"/>
          <w:highlight w:val="none"/>
        </w:rPr>
        <w:t>一、报价单</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初次报价</w:t>
      </w:r>
      <w:r>
        <w:rPr>
          <w:rFonts w:hint="eastAsia" w:ascii="宋体" w:hAnsi="宋体" w:eastAsia="宋体" w:cs="宋体"/>
          <w:color w:val="auto"/>
          <w:kern w:val="2"/>
          <w:sz w:val="32"/>
          <w:szCs w:val="32"/>
          <w:highlight w:val="none"/>
          <w:lang w:eastAsia="zh-CN"/>
        </w:rPr>
        <w:t>）</w:t>
      </w:r>
      <w:bookmarkEnd w:id="498"/>
    </w:p>
    <w:p w14:paraId="5EF72D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87940A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15909A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917"/>
        <w:gridCol w:w="5125"/>
      </w:tblGrid>
      <w:tr w14:paraId="4198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ADBBBCD">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F4BBA83">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工程</w:t>
            </w:r>
            <w:r>
              <w:rPr>
                <w:rFonts w:hint="eastAsia" w:ascii="宋体" w:hAnsi="宋体" w:eastAsia="宋体" w:cs="宋体"/>
                <w:color w:val="auto"/>
                <w:kern w:val="0"/>
                <w:sz w:val="24"/>
                <w:szCs w:val="24"/>
                <w:highlight w:val="none"/>
              </w:rPr>
              <w:t>内容</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200D3BF">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7F2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840D813">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FB52A4A">
            <w:pPr>
              <w:widowControl/>
              <w:adjustRightInd/>
              <w:spacing w:line="360" w:lineRule="auto"/>
              <w:jc w:val="center"/>
              <w:rPr>
                <w:rFonts w:hint="eastAsia" w:ascii="宋体" w:hAnsi="宋体" w:eastAsia="宋体" w:cs="宋体"/>
                <w:color w:val="auto"/>
                <w:kern w:val="0"/>
                <w:sz w:val="24"/>
                <w:szCs w:val="24"/>
                <w:highlight w:val="none"/>
              </w:rPr>
            </w:pP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7D930F9">
            <w:pPr>
              <w:widowControl/>
              <w:adjustRightInd/>
              <w:spacing w:line="360" w:lineRule="auto"/>
              <w:jc w:val="both"/>
              <w:rPr>
                <w:rFonts w:hint="eastAsia" w:ascii="宋体" w:hAnsi="宋体" w:eastAsia="宋体" w:cs="宋体"/>
                <w:bCs/>
                <w:color w:val="auto"/>
                <w:kern w:val="0"/>
                <w:sz w:val="24"/>
                <w:szCs w:val="24"/>
                <w:highlight w:val="none"/>
              </w:rPr>
            </w:pPr>
          </w:p>
        </w:tc>
      </w:tr>
      <w:tr w14:paraId="66E3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4" w:type="dxa"/>
            <w:gridSpan w:val="2"/>
            <w:tcBorders>
              <w:top w:val="single" w:color="auto" w:sz="4" w:space="0"/>
              <w:left w:val="single" w:color="auto" w:sz="4" w:space="0"/>
              <w:bottom w:val="single" w:color="auto" w:sz="4" w:space="0"/>
              <w:right w:val="single" w:color="auto" w:sz="4" w:space="0"/>
            </w:tcBorders>
            <w:noWrap w:val="0"/>
            <w:vAlign w:val="center"/>
          </w:tcPr>
          <w:p w14:paraId="731D1FCB">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86F6A76">
            <w:pPr>
              <w:widowControl/>
              <w:adjustRightInd/>
              <w:spacing w:line="360" w:lineRule="auto"/>
              <w:jc w:val="both"/>
              <w:rPr>
                <w:rFonts w:hint="eastAsia" w:ascii="宋体" w:hAnsi="宋体" w:eastAsia="宋体" w:cs="宋体"/>
                <w:bCs/>
                <w:color w:val="auto"/>
                <w:kern w:val="0"/>
                <w:sz w:val="24"/>
                <w:szCs w:val="24"/>
                <w:highlight w:val="none"/>
              </w:rPr>
            </w:pPr>
          </w:p>
        </w:tc>
      </w:tr>
      <w:tr w14:paraId="6D73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994" w:type="dxa"/>
            <w:gridSpan w:val="2"/>
            <w:tcBorders>
              <w:top w:val="single" w:color="auto" w:sz="4" w:space="0"/>
              <w:left w:val="single" w:color="auto" w:sz="4" w:space="0"/>
              <w:bottom w:val="single" w:color="auto" w:sz="4" w:space="0"/>
              <w:right w:val="single" w:color="auto" w:sz="4" w:space="0"/>
            </w:tcBorders>
            <w:noWrap w:val="0"/>
            <w:vAlign w:val="center"/>
          </w:tcPr>
          <w:p w14:paraId="404A9022">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125" w:type="dxa"/>
            <w:tcBorders>
              <w:top w:val="single" w:color="auto" w:sz="4" w:space="0"/>
              <w:left w:val="single" w:color="auto" w:sz="4" w:space="0"/>
              <w:bottom w:val="single" w:color="auto" w:sz="4" w:space="0"/>
            </w:tcBorders>
            <w:noWrap w:val="0"/>
            <w:vAlign w:val="center"/>
          </w:tcPr>
          <w:p w14:paraId="107F5D8A">
            <w:pPr>
              <w:widowControl/>
              <w:adjustRightInd/>
              <w:spacing w:before="240" w:line="360" w:lineRule="auto"/>
              <w:jc w:val="center"/>
              <w:rPr>
                <w:rFonts w:hint="eastAsia" w:ascii="宋体" w:hAnsi="宋体" w:eastAsia="宋体" w:cs="宋体"/>
                <w:color w:val="auto"/>
                <w:kern w:val="0"/>
                <w:sz w:val="24"/>
                <w:szCs w:val="24"/>
                <w:highlight w:val="none"/>
              </w:rPr>
            </w:pPr>
          </w:p>
        </w:tc>
      </w:tr>
    </w:tbl>
    <w:p w14:paraId="29EF36C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886AAF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color w:val="auto"/>
          <w:kern w:val="0"/>
          <w:sz w:val="24"/>
          <w:highlight w:val="none"/>
          <w:lang w:val="zh-CN"/>
        </w:rPr>
        <w:t>。</w:t>
      </w:r>
    </w:p>
    <w:p w14:paraId="139254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；采购内容未包含在《报价单》名称栏中，供应商不能作出合理解释的，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响应文件含有采购人不能接受的附加条件的，响应文件无效。</w:t>
      </w:r>
    </w:p>
    <w:p w14:paraId="68225C5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3、特别提示：采购代理机构将对项目名称和项目编号，成交供应商名称、地址和成交金额等予以公示。</w:t>
      </w:r>
    </w:p>
    <w:p w14:paraId="5B5F4F1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4AF1472">
      <w:pPr>
        <w:spacing w:line="360" w:lineRule="auto"/>
        <w:ind w:firstLine="482" w:firstLineChars="200"/>
        <w:rPr>
          <w:rFonts w:hint="eastAsia" w:ascii="宋体" w:hAnsi="宋体" w:eastAsia="宋体" w:cs="宋体"/>
          <w:b/>
          <w:color w:val="auto"/>
          <w:kern w:val="0"/>
          <w:sz w:val="24"/>
          <w:highlight w:val="none"/>
        </w:rPr>
      </w:pPr>
    </w:p>
    <w:p w14:paraId="2C02D034">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16FD2A7">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080" w:right="1440" w:bottom="1080" w:left="1440" w:header="851" w:footer="992" w:gutter="0"/>
          <w:pgNumType w:fmt="decimal"/>
          <w:cols w:space="720" w:num="1"/>
          <w:titlePg/>
          <w:docGrid w:linePitch="312" w:charSpace="0"/>
        </w:sectPr>
      </w:pPr>
    </w:p>
    <w:p w14:paraId="55C39024">
      <w:pPr>
        <w:pStyle w:val="690"/>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499" w:name="_Toc10094"/>
      <w:r>
        <w:rPr>
          <w:rFonts w:hint="eastAsia" w:ascii="宋体" w:hAnsi="宋体" w:eastAsia="宋体" w:cs="宋体"/>
          <w:color w:val="auto"/>
          <w:kern w:val="2"/>
          <w:sz w:val="32"/>
          <w:szCs w:val="32"/>
          <w:highlight w:val="none"/>
        </w:rPr>
        <w:t>二、已标价工程量清单</w:t>
      </w:r>
      <w:bookmarkEnd w:id="499"/>
    </w:p>
    <w:p w14:paraId="393735FC">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注：按采购文件工程量清单编制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另册</w:t>
      </w:r>
      <w:r>
        <w:rPr>
          <w:rFonts w:hint="eastAsia" w:ascii="宋体" w:hAnsi="宋体" w:eastAsia="宋体" w:cs="宋体"/>
          <w:color w:val="auto"/>
          <w:sz w:val="24"/>
          <w:highlight w:val="none"/>
          <w:lang w:eastAsia="zh-CN"/>
        </w:rPr>
        <w:t>）</w:t>
      </w:r>
    </w:p>
    <w:p w14:paraId="6980225E">
      <w:pPr>
        <w:pStyle w:val="61"/>
        <w:ind w:firstLine="480"/>
        <w:rPr>
          <w:rFonts w:hint="eastAsia" w:ascii="宋体" w:hAnsi="宋体" w:eastAsia="宋体" w:cs="宋体"/>
          <w:color w:val="auto"/>
          <w:sz w:val="24"/>
          <w:highlight w:val="none"/>
        </w:rPr>
      </w:pPr>
    </w:p>
    <w:p w14:paraId="7BEAC912">
      <w:pPr>
        <w:pStyle w:val="61"/>
        <w:ind w:firstLine="480"/>
        <w:rPr>
          <w:rFonts w:hint="eastAsia" w:ascii="宋体" w:hAnsi="宋体" w:eastAsia="宋体" w:cs="宋体"/>
          <w:color w:val="auto"/>
          <w:sz w:val="24"/>
          <w:highlight w:val="none"/>
        </w:rPr>
        <w:sectPr>
          <w:footerReference r:id="rId17" w:type="first"/>
          <w:headerReference r:id="rId14" w:type="default"/>
          <w:footerReference r:id="rId15" w:type="default"/>
          <w:footerReference r:id="rId16" w:type="even"/>
          <w:pgSz w:w="11906" w:h="16838"/>
          <w:pgMar w:top="1440" w:right="1080" w:bottom="1440" w:left="1080" w:header="851" w:footer="992" w:gutter="0"/>
          <w:pgNumType w:fmt="decimal"/>
          <w:cols w:space="720" w:num="1"/>
          <w:titlePg/>
          <w:docGrid w:linePitch="312" w:charSpace="0"/>
        </w:sectPr>
      </w:pPr>
    </w:p>
    <w:p w14:paraId="47FADA9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512AC2A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CB8C61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09BA4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B9698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ECB38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4B892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EF1F5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9F9A1C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F1D3AA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A3907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C97EE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688E4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E7091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9CC18D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4D1BF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321DC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C60B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30776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DACA8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905C2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3C3E6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69E3AB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4885AB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49723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9615B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9AD6E3D">
      <w:pPr>
        <w:spacing w:line="360" w:lineRule="auto"/>
        <w:jc w:val="center"/>
        <w:rPr>
          <w:rFonts w:hint="eastAsia" w:ascii="宋体" w:hAnsi="宋体" w:eastAsia="宋体" w:cs="宋体"/>
          <w:b/>
          <w:bCs/>
          <w:color w:val="auto"/>
          <w:sz w:val="24"/>
          <w:highlight w:val="none"/>
        </w:rPr>
      </w:pPr>
    </w:p>
    <w:p w14:paraId="5BAE62DA">
      <w:pPr>
        <w:spacing w:line="360" w:lineRule="auto"/>
        <w:rPr>
          <w:rFonts w:hint="eastAsia" w:ascii="宋体" w:hAnsi="宋体" w:eastAsia="宋体" w:cs="宋体"/>
          <w:b/>
          <w:color w:val="auto"/>
          <w:sz w:val="24"/>
          <w:highlight w:val="none"/>
        </w:rPr>
      </w:pPr>
    </w:p>
    <w:p w14:paraId="78670145">
      <w:pPr>
        <w:spacing w:line="360" w:lineRule="auto"/>
        <w:rPr>
          <w:rFonts w:hint="eastAsia" w:ascii="宋体" w:hAnsi="宋体" w:eastAsia="宋体" w:cs="宋体"/>
          <w:b/>
          <w:color w:val="auto"/>
          <w:sz w:val="24"/>
          <w:highlight w:val="none"/>
        </w:rPr>
      </w:pPr>
    </w:p>
    <w:p w14:paraId="369C6E7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99D5D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1C26D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4EF523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51008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3C25B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A9EC1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C34218">
      <w:pPr>
        <w:widowControl/>
        <w:spacing w:line="360" w:lineRule="auto"/>
        <w:ind w:firstLine="600" w:firstLineChars="200"/>
        <w:jc w:val="left"/>
        <w:rPr>
          <w:rFonts w:hint="eastAsia" w:ascii="宋体" w:hAnsi="宋体" w:eastAsia="宋体" w:cs="宋体"/>
          <w:color w:val="auto"/>
          <w:sz w:val="30"/>
          <w:szCs w:val="30"/>
          <w:highlight w:val="none"/>
        </w:rPr>
      </w:pPr>
    </w:p>
    <w:p w14:paraId="262AE48E">
      <w:pPr>
        <w:spacing w:line="360" w:lineRule="auto"/>
        <w:jc w:val="center"/>
        <w:rPr>
          <w:rFonts w:hint="eastAsia" w:ascii="宋体" w:hAnsi="宋体" w:eastAsia="宋体" w:cs="宋体"/>
          <w:b/>
          <w:color w:val="auto"/>
          <w:spacing w:val="6"/>
          <w:sz w:val="32"/>
          <w:szCs w:val="32"/>
          <w:highlight w:val="none"/>
        </w:rPr>
      </w:pPr>
    </w:p>
    <w:p w14:paraId="557AEB99">
      <w:pPr>
        <w:spacing w:line="360" w:lineRule="auto"/>
        <w:jc w:val="center"/>
        <w:rPr>
          <w:rFonts w:hint="eastAsia" w:ascii="宋体" w:hAnsi="宋体" w:eastAsia="宋体" w:cs="宋体"/>
          <w:b/>
          <w:color w:val="auto"/>
          <w:spacing w:val="6"/>
          <w:sz w:val="32"/>
          <w:szCs w:val="32"/>
          <w:highlight w:val="none"/>
        </w:rPr>
      </w:pPr>
    </w:p>
    <w:p w14:paraId="561DA56D">
      <w:pPr>
        <w:spacing w:line="360" w:lineRule="auto"/>
        <w:jc w:val="center"/>
        <w:rPr>
          <w:rFonts w:hint="eastAsia" w:ascii="宋体" w:hAnsi="宋体" w:eastAsia="宋体" w:cs="宋体"/>
          <w:b/>
          <w:color w:val="auto"/>
          <w:spacing w:val="6"/>
          <w:sz w:val="32"/>
          <w:szCs w:val="32"/>
          <w:highlight w:val="none"/>
        </w:rPr>
      </w:pPr>
    </w:p>
    <w:p w14:paraId="0BF4B437">
      <w:pPr>
        <w:spacing w:line="360" w:lineRule="auto"/>
        <w:jc w:val="center"/>
        <w:rPr>
          <w:rFonts w:hint="eastAsia" w:ascii="宋体" w:hAnsi="宋体" w:eastAsia="宋体" w:cs="宋体"/>
          <w:b/>
          <w:color w:val="auto"/>
          <w:spacing w:val="6"/>
          <w:sz w:val="32"/>
          <w:szCs w:val="32"/>
          <w:highlight w:val="none"/>
        </w:rPr>
      </w:pPr>
    </w:p>
    <w:p w14:paraId="48E0715A">
      <w:pPr>
        <w:spacing w:line="360" w:lineRule="auto"/>
        <w:jc w:val="center"/>
        <w:rPr>
          <w:rFonts w:hint="eastAsia" w:ascii="宋体" w:hAnsi="宋体" w:eastAsia="宋体" w:cs="宋体"/>
          <w:b/>
          <w:color w:val="auto"/>
          <w:spacing w:val="6"/>
          <w:sz w:val="32"/>
          <w:szCs w:val="32"/>
          <w:highlight w:val="none"/>
        </w:rPr>
      </w:pPr>
    </w:p>
    <w:p w14:paraId="30A69842">
      <w:pPr>
        <w:spacing w:line="360" w:lineRule="auto"/>
        <w:jc w:val="center"/>
        <w:rPr>
          <w:rFonts w:hint="eastAsia" w:ascii="宋体" w:hAnsi="宋体" w:eastAsia="宋体" w:cs="宋体"/>
          <w:b/>
          <w:color w:val="auto"/>
          <w:spacing w:val="6"/>
          <w:sz w:val="32"/>
          <w:szCs w:val="32"/>
          <w:highlight w:val="none"/>
        </w:rPr>
      </w:pPr>
    </w:p>
    <w:p w14:paraId="73191564">
      <w:pPr>
        <w:spacing w:line="360" w:lineRule="auto"/>
        <w:jc w:val="center"/>
        <w:rPr>
          <w:rFonts w:hint="eastAsia" w:ascii="宋体" w:hAnsi="宋体" w:eastAsia="宋体" w:cs="宋体"/>
          <w:b/>
          <w:color w:val="auto"/>
          <w:spacing w:val="6"/>
          <w:sz w:val="32"/>
          <w:szCs w:val="32"/>
          <w:highlight w:val="none"/>
        </w:rPr>
      </w:pPr>
    </w:p>
    <w:p w14:paraId="2912154A">
      <w:pPr>
        <w:spacing w:line="360" w:lineRule="auto"/>
        <w:jc w:val="center"/>
        <w:rPr>
          <w:rFonts w:hint="eastAsia" w:ascii="宋体" w:hAnsi="宋体" w:eastAsia="宋体" w:cs="宋体"/>
          <w:b/>
          <w:color w:val="auto"/>
          <w:spacing w:val="6"/>
          <w:sz w:val="32"/>
          <w:szCs w:val="32"/>
          <w:highlight w:val="none"/>
        </w:rPr>
      </w:pPr>
    </w:p>
    <w:p w14:paraId="486F48C3">
      <w:pPr>
        <w:spacing w:line="360" w:lineRule="auto"/>
        <w:jc w:val="center"/>
        <w:rPr>
          <w:rFonts w:hint="eastAsia" w:ascii="宋体" w:hAnsi="宋体" w:eastAsia="宋体" w:cs="宋体"/>
          <w:b/>
          <w:color w:val="auto"/>
          <w:spacing w:val="6"/>
          <w:sz w:val="32"/>
          <w:szCs w:val="32"/>
          <w:highlight w:val="none"/>
        </w:rPr>
      </w:pPr>
    </w:p>
    <w:p w14:paraId="4FA9AE5E">
      <w:pPr>
        <w:spacing w:line="360" w:lineRule="auto"/>
        <w:jc w:val="center"/>
        <w:rPr>
          <w:rFonts w:hint="eastAsia" w:ascii="宋体" w:hAnsi="宋体" w:eastAsia="宋体" w:cs="宋体"/>
          <w:b/>
          <w:color w:val="auto"/>
          <w:spacing w:val="6"/>
          <w:sz w:val="32"/>
          <w:szCs w:val="32"/>
          <w:highlight w:val="none"/>
        </w:rPr>
      </w:pPr>
    </w:p>
    <w:p w14:paraId="455D5B4A">
      <w:pPr>
        <w:spacing w:line="360" w:lineRule="auto"/>
        <w:jc w:val="center"/>
        <w:rPr>
          <w:rFonts w:hint="eastAsia" w:ascii="宋体" w:hAnsi="宋体" w:eastAsia="宋体" w:cs="宋体"/>
          <w:b/>
          <w:color w:val="auto"/>
          <w:spacing w:val="6"/>
          <w:sz w:val="32"/>
          <w:szCs w:val="32"/>
          <w:highlight w:val="none"/>
        </w:rPr>
      </w:pPr>
    </w:p>
    <w:p w14:paraId="3DD000E6">
      <w:pPr>
        <w:spacing w:line="360" w:lineRule="auto"/>
        <w:jc w:val="center"/>
        <w:rPr>
          <w:rFonts w:hint="eastAsia" w:ascii="宋体" w:hAnsi="宋体" w:eastAsia="宋体" w:cs="宋体"/>
          <w:b/>
          <w:color w:val="auto"/>
          <w:spacing w:val="6"/>
          <w:sz w:val="32"/>
          <w:szCs w:val="32"/>
          <w:highlight w:val="none"/>
        </w:rPr>
      </w:pPr>
    </w:p>
    <w:p w14:paraId="285615AA">
      <w:pPr>
        <w:spacing w:line="360" w:lineRule="auto"/>
        <w:jc w:val="left"/>
        <w:rPr>
          <w:rFonts w:hint="eastAsia" w:ascii="宋体" w:hAnsi="宋体" w:eastAsia="宋体" w:cs="宋体"/>
          <w:b/>
          <w:color w:val="auto"/>
          <w:spacing w:val="6"/>
          <w:sz w:val="32"/>
          <w:szCs w:val="32"/>
          <w:highlight w:val="none"/>
        </w:rPr>
      </w:pPr>
    </w:p>
    <w:p w14:paraId="183E4D60">
      <w:pPr>
        <w:spacing w:line="360" w:lineRule="auto"/>
        <w:jc w:val="left"/>
        <w:rPr>
          <w:rFonts w:hint="eastAsia" w:ascii="宋体" w:hAnsi="宋体" w:eastAsia="宋体" w:cs="宋体"/>
          <w:b/>
          <w:color w:val="auto"/>
          <w:spacing w:val="6"/>
          <w:sz w:val="32"/>
          <w:szCs w:val="32"/>
          <w:highlight w:val="none"/>
        </w:rPr>
      </w:pPr>
    </w:p>
    <w:p w14:paraId="600D4B6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619B41E1">
      <w:pPr>
        <w:spacing w:line="360" w:lineRule="auto"/>
        <w:jc w:val="center"/>
        <w:rPr>
          <w:rFonts w:hint="eastAsia" w:ascii="宋体" w:hAnsi="宋体" w:eastAsia="宋体" w:cs="宋体"/>
          <w:b/>
          <w:color w:val="auto"/>
          <w:sz w:val="24"/>
          <w:highlight w:val="none"/>
        </w:rPr>
      </w:pPr>
    </w:p>
    <w:p w14:paraId="0EB2EFD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D8D7A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E7EFD5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CF2DE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EF9252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599CD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1415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07117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61BA3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5D591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F1B1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950C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74924E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0BF1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F108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79ED8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0DB9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04C12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91FB51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E80D3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9F2A5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B69BFC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A30C9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55151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B2DB74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AD8F7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01B40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759B55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8907A1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983D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52708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EB137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E78D5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EA3B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D906F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71311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EB048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FCAB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9EBAF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58B31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D30FE3">
      <w:pPr>
        <w:spacing w:line="360" w:lineRule="auto"/>
        <w:rPr>
          <w:rFonts w:hint="eastAsia" w:ascii="宋体" w:hAnsi="宋体" w:eastAsia="宋体" w:cs="宋体"/>
          <w:b/>
          <w:color w:val="auto"/>
          <w:sz w:val="24"/>
          <w:highlight w:val="none"/>
        </w:rPr>
      </w:pPr>
    </w:p>
    <w:p w14:paraId="3CD00930">
      <w:pPr>
        <w:spacing w:line="360" w:lineRule="auto"/>
        <w:rPr>
          <w:rFonts w:hint="eastAsia" w:ascii="宋体" w:hAnsi="宋体" w:eastAsia="宋体" w:cs="宋体"/>
          <w:b/>
          <w:color w:val="auto"/>
          <w:sz w:val="24"/>
          <w:highlight w:val="none"/>
        </w:rPr>
      </w:pPr>
    </w:p>
    <w:p w14:paraId="59B0F1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31EBB5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7171E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22780E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C169C2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84D4C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463C0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404B31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6AEC78">
      <w:pPr>
        <w:spacing w:line="360" w:lineRule="auto"/>
        <w:rPr>
          <w:rFonts w:hint="eastAsia" w:ascii="宋体" w:hAnsi="宋体" w:eastAsia="宋体" w:cs="宋体"/>
          <w:b/>
          <w:color w:val="auto"/>
          <w:sz w:val="24"/>
          <w:highlight w:val="none"/>
        </w:rPr>
      </w:pPr>
    </w:p>
    <w:p w14:paraId="4078854B">
      <w:pPr>
        <w:autoSpaceDE w:val="0"/>
        <w:autoSpaceDN w:val="0"/>
        <w:jc w:val="center"/>
        <w:rPr>
          <w:rFonts w:hint="eastAsia" w:ascii="宋体" w:hAnsi="宋体" w:eastAsia="宋体" w:cs="宋体"/>
          <w:b/>
          <w:color w:val="auto"/>
          <w:spacing w:val="6"/>
          <w:sz w:val="32"/>
          <w:szCs w:val="32"/>
          <w:highlight w:val="none"/>
        </w:rPr>
      </w:pPr>
    </w:p>
    <w:p w14:paraId="3C28342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15C445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7F37C6BD">
      <w:pPr>
        <w:spacing w:line="360" w:lineRule="auto"/>
        <w:rPr>
          <w:rFonts w:hint="eastAsia" w:ascii="宋体" w:hAnsi="宋体" w:eastAsia="宋体" w:cs="宋体"/>
          <w:color w:val="auto"/>
          <w:sz w:val="24"/>
          <w:highlight w:val="none"/>
          <w:u w:val="single"/>
        </w:rPr>
      </w:pPr>
    </w:p>
    <w:p w14:paraId="53DD8E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703BC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4CD2E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09B68F6">
      <w:pPr>
        <w:spacing w:line="360" w:lineRule="auto"/>
        <w:ind w:firstLine="494"/>
        <w:rPr>
          <w:rFonts w:hint="eastAsia" w:ascii="宋体" w:hAnsi="宋体" w:eastAsia="宋体" w:cs="宋体"/>
          <w:color w:val="auto"/>
          <w:sz w:val="24"/>
          <w:highlight w:val="none"/>
        </w:rPr>
      </w:pPr>
    </w:p>
    <w:p w14:paraId="1AD8516C">
      <w:pPr>
        <w:spacing w:line="360" w:lineRule="auto"/>
        <w:ind w:firstLine="494"/>
        <w:rPr>
          <w:rFonts w:hint="eastAsia" w:ascii="宋体" w:hAnsi="宋体" w:eastAsia="宋体" w:cs="宋体"/>
          <w:color w:val="auto"/>
          <w:sz w:val="24"/>
          <w:highlight w:val="none"/>
        </w:rPr>
      </w:pPr>
    </w:p>
    <w:p w14:paraId="59FFC2D9">
      <w:pPr>
        <w:spacing w:line="360" w:lineRule="auto"/>
        <w:ind w:firstLine="494"/>
        <w:rPr>
          <w:rFonts w:hint="eastAsia" w:ascii="宋体" w:hAnsi="宋体" w:eastAsia="宋体" w:cs="宋体"/>
          <w:color w:val="auto"/>
          <w:sz w:val="24"/>
          <w:highlight w:val="none"/>
        </w:rPr>
      </w:pPr>
    </w:p>
    <w:p w14:paraId="615727D2">
      <w:pPr>
        <w:spacing w:line="360" w:lineRule="auto"/>
        <w:ind w:firstLine="494"/>
        <w:rPr>
          <w:rFonts w:hint="eastAsia" w:ascii="宋体" w:hAnsi="宋体" w:eastAsia="宋体" w:cs="宋体"/>
          <w:color w:val="auto"/>
          <w:sz w:val="24"/>
          <w:highlight w:val="none"/>
        </w:rPr>
      </w:pPr>
    </w:p>
    <w:p w14:paraId="27A6D7E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E0271D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29E34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B52A74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8D32F1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8D32F14">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E0004A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E0004AA">
                      <w:pPr>
                        <w:jc w:val="center"/>
                      </w:pPr>
                    </w:p>
                  </w:txbxContent>
                </v:textbox>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266B32D7">
      <w:pPr>
        <w:autoSpaceDE w:val="0"/>
        <w:autoSpaceDN w:val="0"/>
        <w:jc w:val="center"/>
        <w:rPr>
          <w:rFonts w:hint="eastAsia" w:ascii="宋体" w:hAnsi="宋体" w:eastAsia="宋体" w:cs="宋体"/>
          <w:b/>
          <w:color w:val="auto"/>
          <w:spacing w:val="6"/>
          <w:sz w:val="32"/>
          <w:szCs w:val="32"/>
          <w:highlight w:val="none"/>
        </w:rPr>
      </w:pPr>
    </w:p>
    <w:p w14:paraId="223E4DC3">
      <w:pPr>
        <w:autoSpaceDE w:val="0"/>
        <w:autoSpaceDN w:val="0"/>
        <w:jc w:val="center"/>
        <w:rPr>
          <w:rFonts w:hint="eastAsia" w:ascii="宋体" w:hAnsi="宋体" w:eastAsia="宋体" w:cs="宋体"/>
          <w:b/>
          <w:color w:val="auto"/>
          <w:spacing w:val="6"/>
          <w:sz w:val="32"/>
          <w:szCs w:val="32"/>
          <w:highlight w:val="none"/>
        </w:rPr>
      </w:pPr>
    </w:p>
    <w:p w14:paraId="06B88578">
      <w:pPr>
        <w:autoSpaceDE w:val="0"/>
        <w:autoSpaceDN w:val="0"/>
        <w:jc w:val="center"/>
        <w:rPr>
          <w:rFonts w:hint="eastAsia" w:ascii="宋体" w:hAnsi="宋体" w:eastAsia="宋体" w:cs="宋体"/>
          <w:b/>
          <w:color w:val="auto"/>
          <w:spacing w:val="6"/>
          <w:sz w:val="32"/>
          <w:szCs w:val="32"/>
          <w:highlight w:val="none"/>
        </w:rPr>
      </w:pPr>
    </w:p>
    <w:p w14:paraId="6C8171DB">
      <w:pPr>
        <w:autoSpaceDE w:val="0"/>
        <w:autoSpaceDN w:val="0"/>
        <w:jc w:val="center"/>
        <w:rPr>
          <w:rFonts w:hint="eastAsia" w:ascii="宋体" w:hAnsi="宋体" w:eastAsia="宋体" w:cs="宋体"/>
          <w:b/>
          <w:color w:val="auto"/>
          <w:spacing w:val="6"/>
          <w:sz w:val="32"/>
          <w:szCs w:val="32"/>
          <w:highlight w:val="none"/>
        </w:rPr>
      </w:pPr>
    </w:p>
    <w:p w14:paraId="733C54AA">
      <w:pPr>
        <w:autoSpaceDE w:val="0"/>
        <w:autoSpaceDN w:val="0"/>
        <w:jc w:val="center"/>
        <w:rPr>
          <w:rFonts w:hint="eastAsia" w:ascii="宋体" w:hAnsi="宋体" w:eastAsia="宋体" w:cs="宋体"/>
          <w:b/>
          <w:color w:val="auto"/>
          <w:spacing w:val="6"/>
          <w:sz w:val="32"/>
          <w:szCs w:val="32"/>
          <w:highlight w:val="none"/>
        </w:rPr>
      </w:pPr>
    </w:p>
    <w:p w14:paraId="2BEBC47F">
      <w:pPr>
        <w:autoSpaceDE w:val="0"/>
        <w:autoSpaceDN w:val="0"/>
        <w:jc w:val="center"/>
        <w:rPr>
          <w:rFonts w:hint="eastAsia" w:ascii="宋体" w:hAnsi="宋体" w:eastAsia="宋体" w:cs="宋体"/>
          <w:b/>
          <w:color w:val="auto"/>
          <w:spacing w:val="6"/>
          <w:sz w:val="32"/>
          <w:szCs w:val="32"/>
          <w:highlight w:val="none"/>
        </w:rPr>
      </w:pPr>
    </w:p>
    <w:p w14:paraId="57A5AF1F">
      <w:pPr>
        <w:autoSpaceDE w:val="0"/>
        <w:autoSpaceDN w:val="0"/>
        <w:jc w:val="center"/>
        <w:rPr>
          <w:rFonts w:hint="eastAsia" w:ascii="宋体" w:hAnsi="宋体" w:eastAsia="宋体" w:cs="宋体"/>
          <w:b/>
          <w:color w:val="auto"/>
          <w:spacing w:val="6"/>
          <w:sz w:val="32"/>
          <w:szCs w:val="32"/>
          <w:highlight w:val="none"/>
        </w:rPr>
      </w:pPr>
    </w:p>
    <w:p w14:paraId="15450F25">
      <w:pPr>
        <w:autoSpaceDE w:val="0"/>
        <w:autoSpaceDN w:val="0"/>
        <w:jc w:val="center"/>
        <w:rPr>
          <w:rFonts w:hint="eastAsia" w:ascii="宋体" w:hAnsi="宋体" w:eastAsia="宋体" w:cs="宋体"/>
          <w:b/>
          <w:color w:val="auto"/>
          <w:spacing w:val="6"/>
          <w:sz w:val="32"/>
          <w:szCs w:val="32"/>
          <w:highlight w:val="none"/>
        </w:rPr>
      </w:pPr>
    </w:p>
    <w:p w14:paraId="3BF9A8DF">
      <w:pPr>
        <w:autoSpaceDE w:val="0"/>
        <w:autoSpaceDN w:val="0"/>
        <w:jc w:val="center"/>
        <w:rPr>
          <w:rFonts w:hint="eastAsia" w:ascii="宋体" w:hAnsi="宋体" w:eastAsia="宋体" w:cs="宋体"/>
          <w:b/>
          <w:color w:val="auto"/>
          <w:spacing w:val="6"/>
          <w:sz w:val="32"/>
          <w:szCs w:val="32"/>
          <w:highlight w:val="none"/>
        </w:rPr>
      </w:pPr>
    </w:p>
    <w:p w14:paraId="5DED637B">
      <w:pPr>
        <w:autoSpaceDE w:val="0"/>
        <w:autoSpaceDN w:val="0"/>
        <w:jc w:val="center"/>
        <w:rPr>
          <w:rFonts w:hint="eastAsia" w:ascii="宋体" w:hAnsi="宋体" w:eastAsia="宋体" w:cs="宋体"/>
          <w:b/>
          <w:color w:val="auto"/>
          <w:spacing w:val="6"/>
          <w:sz w:val="32"/>
          <w:szCs w:val="32"/>
          <w:highlight w:val="none"/>
        </w:rPr>
      </w:pPr>
    </w:p>
    <w:p w14:paraId="1BF6DD2A">
      <w:pPr>
        <w:autoSpaceDE w:val="0"/>
        <w:autoSpaceDN w:val="0"/>
        <w:jc w:val="center"/>
        <w:rPr>
          <w:rFonts w:hint="eastAsia" w:ascii="宋体" w:hAnsi="宋体" w:eastAsia="宋体" w:cs="宋体"/>
          <w:b/>
          <w:color w:val="auto"/>
          <w:spacing w:val="6"/>
          <w:sz w:val="32"/>
          <w:szCs w:val="32"/>
          <w:highlight w:val="none"/>
        </w:rPr>
      </w:pPr>
    </w:p>
    <w:p w14:paraId="3B70DD57">
      <w:pPr>
        <w:autoSpaceDE w:val="0"/>
        <w:autoSpaceDN w:val="0"/>
        <w:jc w:val="center"/>
        <w:rPr>
          <w:rFonts w:hint="eastAsia" w:ascii="宋体" w:hAnsi="宋体" w:eastAsia="宋体" w:cs="宋体"/>
          <w:b/>
          <w:color w:val="auto"/>
          <w:spacing w:val="6"/>
          <w:sz w:val="32"/>
          <w:szCs w:val="32"/>
          <w:highlight w:val="none"/>
        </w:rPr>
      </w:pPr>
    </w:p>
    <w:p w14:paraId="14BED576">
      <w:pPr>
        <w:autoSpaceDE w:val="0"/>
        <w:autoSpaceDN w:val="0"/>
        <w:jc w:val="center"/>
        <w:rPr>
          <w:rFonts w:hint="eastAsia" w:ascii="宋体" w:hAnsi="宋体" w:eastAsia="宋体" w:cs="宋体"/>
          <w:b/>
          <w:color w:val="auto"/>
          <w:spacing w:val="6"/>
          <w:sz w:val="32"/>
          <w:szCs w:val="32"/>
          <w:highlight w:val="none"/>
        </w:rPr>
      </w:pPr>
    </w:p>
    <w:p w14:paraId="66CE97AB">
      <w:pPr>
        <w:autoSpaceDE w:val="0"/>
        <w:autoSpaceDN w:val="0"/>
        <w:jc w:val="center"/>
        <w:rPr>
          <w:rFonts w:hint="eastAsia" w:ascii="宋体" w:hAnsi="宋体" w:eastAsia="宋体" w:cs="宋体"/>
          <w:b/>
          <w:color w:val="auto"/>
          <w:spacing w:val="6"/>
          <w:sz w:val="32"/>
          <w:szCs w:val="32"/>
          <w:highlight w:val="none"/>
        </w:rPr>
      </w:pPr>
    </w:p>
    <w:p w14:paraId="6A0BB5DD">
      <w:pPr>
        <w:autoSpaceDE w:val="0"/>
        <w:autoSpaceDN w:val="0"/>
        <w:jc w:val="center"/>
        <w:rPr>
          <w:rFonts w:hint="eastAsia" w:ascii="宋体" w:hAnsi="宋体" w:eastAsia="宋体" w:cs="宋体"/>
          <w:b/>
          <w:color w:val="auto"/>
          <w:spacing w:val="6"/>
          <w:sz w:val="32"/>
          <w:szCs w:val="32"/>
          <w:highlight w:val="none"/>
        </w:rPr>
      </w:pPr>
    </w:p>
    <w:p w14:paraId="6BB27D1D">
      <w:pPr>
        <w:autoSpaceDE w:val="0"/>
        <w:autoSpaceDN w:val="0"/>
        <w:jc w:val="center"/>
        <w:rPr>
          <w:rFonts w:hint="eastAsia" w:ascii="宋体" w:hAnsi="宋体" w:eastAsia="宋体" w:cs="宋体"/>
          <w:b/>
          <w:color w:val="auto"/>
          <w:spacing w:val="6"/>
          <w:sz w:val="32"/>
          <w:szCs w:val="32"/>
          <w:highlight w:val="none"/>
        </w:rPr>
      </w:pPr>
    </w:p>
    <w:p w14:paraId="17508D98">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315EC626">
      <w:pPr>
        <w:keepNext w:val="0"/>
        <w:keepLines w:val="0"/>
        <w:pageBreakBefore w:val="0"/>
        <w:widowControl/>
        <w:kinsoku/>
        <w:wordWrap/>
        <w:overflowPunct/>
        <w:topLinePunct w:val="0"/>
        <w:bidi w:val="0"/>
        <w:adjustRightInd w:val="0"/>
        <w:spacing w:line="312"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4D22D9C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693AED82">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CE5F55E">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5A0BAB4E">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73BEF9AA">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bookmarkStart w:id="500"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624A40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3FC0C2B">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00"/>
    <w:p w14:paraId="1A425187">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D47D681">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ADCBEB">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18910CE2">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D2B0E41">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72A76E44">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36A7B0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F882CB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327E16">
      <w:pPr>
        <w:keepNext w:val="0"/>
        <w:keepLines w:val="0"/>
        <w:pageBreakBefore w:val="0"/>
        <w:kinsoku/>
        <w:wordWrap/>
        <w:overflowPunct/>
        <w:topLinePunct w:val="0"/>
        <w:bidi w:val="0"/>
        <w:adjustRightInd w:val="0"/>
        <w:snapToGrid w:val="0"/>
        <w:spacing w:line="312"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80924A8">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D09DB2F">
      <w:pPr>
        <w:keepNext w:val="0"/>
        <w:keepLines w:val="0"/>
        <w:pageBreakBefore w:val="0"/>
        <w:kinsoku/>
        <w:wordWrap/>
        <w:overflowPunct/>
        <w:topLinePunct w:val="0"/>
        <w:bidi w:val="0"/>
        <w:adjustRightInd w:val="0"/>
        <w:spacing w:line="312"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5BD5D0">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6A7438E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217B1A8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FB74F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EE5BF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8E801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43E9C08">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4B087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F85AE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99D5D6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01"/>
    </w:p>
    <w:p w14:paraId="4128D1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3B74585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AE9CF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AF5AA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3E7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FE5308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AB4EA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D1D19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4A97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D5B20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3E9D1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C89A9D6">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FCAF474">
      <w:pPr>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E96F6">
    <w:pPr>
      <w:pStyle w:val="40"/>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CFA7">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F7F4">
                          <w:pPr>
                            <w:pStyle w:val="4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08F7F4">
                    <w:pPr>
                      <w:pStyle w:val="4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C5F">
    <w:pPr>
      <w:pStyle w:val="40"/>
      <w:framePr w:wrap="around" w:vAnchor="text" w:hAnchor="margin" w:xAlign="right" w:y="1"/>
      <w:rPr>
        <w:rStyle w:val="72"/>
      </w:rPr>
    </w:pPr>
    <w:r>
      <w:fldChar w:fldCharType="begin"/>
    </w:r>
    <w:r>
      <w:rPr>
        <w:rStyle w:val="72"/>
      </w:rPr>
      <w:instrText xml:space="preserve">PAGE  </w:instrText>
    </w:r>
    <w:r>
      <w:fldChar w:fldCharType="end"/>
    </w:r>
  </w:p>
  <w:p w14:paraId="0A79908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A0EF">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E7C14">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7E7C14">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46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B851">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A7D4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CA7D4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D234">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67E33">
                          <w:pPr>
                            <w:pStyle w:val="4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667E33">
                    <w:pPr>
                      <w:pStyle w:val="40"/>
                    </w:pPr>
                    <w:r>
                      <w:fldChar w:fldCharType="begin"/>
                    </w:r>
                    <w:r>
                      <w:instrText xml:space="preserve"> PAGE  \* MERGEFORMAT </w:instrText>
                    </w:r>
                    <w:r>
                      <w:fldChar w:fldCharType="separate"/>
                    </w:r>
                    <w:r>
                      <w:t>37</w:t>
                    </w:r>
                    <w:r>
                      <w:fldChar w:fldCharType="end"/>
                    </w:r>
                  </w:p>
                </w:txbxContent>
              </v:textbox>
            </v:shape>
          </w:pict>
        </mc:Fallback>
      </mc:AlternateContent>
    </w:r>
  </w:p>
  <w:p w14:paraId="5E8122F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B9DC">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A0D2A">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4A0D2A">
                    <w:pPr>
                      <w:pStyle w:val="40"/>
                    </w:pPr>
                    <w:r>
                      <w:fldChar w:fldCharType="begin"/>
                    </w:r>
                    <w:r>
                      <w:instrText xml:space="preserve"> PAGE  \* MERGEFORMAT </w:instrText>
                    </w:r>
                    <w:r>
                      <w:fldChar w:fldCharType="separate"/>
                    </w:r>
                    <w:r>
                      <w:t>36</w:t>
                    </w:r>
                    <w:r>
                      <w:fldChar w:fldCharType="end"/>
                    </w:r>
                  </w:p>
                </w:txbxContent>
              </v:textbox>
            </v:shape>
          </w:pict>
        </mc:Fallback>
      </mc:AlternateContent>
    </w:r>
  </w:p>
  <w:p w14:paraId="3514B2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92EC">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21C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0F21CB">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5A676D4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A8F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7D054">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87D054">
                    <w:pPr>
                      <w:pStyle w:val="40"/>
                    </w:pPr>
                    <w:r>
                      <w:fldChar w:fldCharType="begin"/>
                    </w:r>
                    <w:r>
                      <w:instrText xml:space="preserve"> PAGE  \* MERGEFORMAT </w:instrText>
                    </w:r>
                    <w:r>
                      <w:fldChar w:fldCharType="separate"/>
                    </w:r>
                    <w:r>
                      <w:t>74</w:t>
                    </w:r>
                    <w:r>
                      <w:fldChar w:fldCharType="end"/>
                    </w:r>
                  </w:p>
                </w:txbxContent>
              </v:textbox>
            </v:shape>
          </w:pict>
        </mc:Fallback>
      </mc:AlternateContent>
    </w:r>
  </w:p>
  <w:p w14:paraId="361514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8D1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C937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0C9379">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732860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BC55">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65FE">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2C65FE">
                    <w:pPr>
                      <w:pStyle w:val="40"/>
                    </w:pPr>
                    <w:r>
                      <w:fldChar w:fldCharType="begin"/>
                    </w:r>
                    <w:r>
                      <w:instrText xml:space="preserve"> PAGE  \* MERGEFORMAT </w:instrText>
                    </w:r>
                    <w:r>
                      <w:fldChar w:fldCharType="separate"/>
                    </w:r>
                    <w:r>
                      <w:t>76</w:t>
                    </w:r>
                    <w:r>
                      <w:fldChar w:fldCharType="end"/>
                    </w:r>
                  </w:p>
                </w:txbxContent>
              </v:textbox>
            </v:shape>
          </w:pict>
        </mc:Fallback>
      </mc:AlternateContent>
    </w:r>
  </w:p>
  <w:p w14:paraId="469645F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1E1F">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1538">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954D">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7C36"/>
    <w:multiLevelType w:val="singleLevel"/>
    <w:tmpl w:val="93BB7C36"/>
    <w:lvl w:ilvl="0" w:tentative="0">
      <w:start w:val="1"/>
      <w:numFmt w:val="decimal"/>
      <w:suff w:val="nothing"/>
      <w:lvlText w:val="（%1）"/>
      <w:lvlJc w:val="left"/>
    </w:lvl>
  </w:abstractNum>
  <w:abstractNum w:abstractNumId="1">
    <w:nsid w:val="DC18356E"/>
    <w:multiLevelType w:val="singleLevel"/>
    <w:tmpl w:val="DC18356E"/>
    <w:lvl w:ilvl="0" w:tentative="0">
      <w:start w:val="1"/>
      <w:numFmt w:val="decimal"/>
      <w:suff w:val="nothing"/>
      <w:lvlText w:val="%1、"/>
      <w:lvlJc w:val="left"/>
      <w:pPr>
        <w:ind w:left="120" w:firstLine="0"/>
      </w:pPr>
      <w:rPr>
        <w:rFonts w:hint="default"/>
        <w:b/>
        <w:bCs/>
      </w:rPr>
    </w:lvl>
  </w:abstractNum>
  <w:abstractNum w:abstractNumId="2">
    <w:nsid w:val="00000001"/>
    <w:multiLevelType w:val="singleLevel"/>
    <w:tmpl w:val="00000001"/>
    <w:lvl w:ilvl="0" w:tentative="0">
      <w:start w:val="1"/>
      <w:numFmt w:val="decimal"/>
      <w:lvlText w:val="%1."/>
      <w:lvlJc w:val="left"/>
      <w:pPr>
        <w:tabs>
          <w:tab w:val="left"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22"/>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1675"/>
    <w:rsid w:val="011B5A3A"/>
    <w:rsid w:val="011F6449"/>
    <w:rsid w:val="01236AFB"/>
    <w:rsid w:val="019F7441"/>
    <w:rsid w:val="01B37585"/>
    <w:rsid w:val="01C65DA5"/>
    <w:rsid w:val="01D55165"/>
    <w:rsid w:val="01DF6BF8"/>
    <w:rsid w:val="01EC2C57"/>
    <w:rsid w:val="022D189F"/>
    <w:rsid w:val="025F0711"/>
    <w:rsid w:val="026B2E25"/>
    <w:rsid w:val="02824D4D"/>
    <w:rsid w:val="02DC4B10"/>
    <w:rsid w:val="02DD76CE"/>
    <w:rsid w:val="02F36323"/>
    <w:rsid w:val="02F5619C"/>
    <w:rsid w:val="0326446A"/>
    <w:rsid w:val="032D5555"/>
    <w:rsid w:val="03597303"/>
    <w:rsid w:val="036634D2"/>
    <w:rsid w:val="03D1158F"/>
    <w:rsid w:val="03DD35E4"/>
    <w:rsid w:val="03F040A4"/>
    <w:rsid w:val="04076900"/>
    <w:rsid w:val="041A5A3B"/>
    <w:rsid w:val="042311BA"/>
    <w:rsid w:val="042B157A"/>
    <w:rsid w:val="048F763B"/>
    <w:rsid w:val="049F330E"/>
    <w:rsid w:val="04AA775C"/>
    <w:rsid w:val="04AF1889"/>
    <w:rsid w:val="04C64E6C"/>
    <w:rsid w:val="04F66F48"/>
    <w:rsid w:val="04FC088E"/>
    <w:rsid w:val="05251E14"/>
    <w:rsid w:val="05A16594"/>
    <w:rsid w:val="05A7762D"/>
    <w:rsid w:val="060E5804"/>
    <w:rsid w:val="060E5941"/>
    <w:rsid w:val="06110FAF"/>
    <w:rsid w:val="061E21DC"/>
    <w:rsid w:val="06493CA7"/>
    <w:rsid w:val="065A6178"/>
    <w:rsid w:val="066F1CF3"/>
    <w:rsid w:val="06716FC0"/>
    <w:rsid w:val="06930BB8"/>
    <w:rsid w:val="071077EF"/>
    <w:rsid w:val="07245D42"/>
    <w:rsid w:val="07264C62"/>
    <w:rsid w:val="0774295E"/>
    <w:rsid w:val="0779354C"/>
    <w:rsid w:val="07950B26"/>
    <w:rsid w:val="07A46B95"/>
    <w:rsid w:val="07B8379D"/>
    <w:rsid w:val="08061376"/>
    <w:rsid w:val="08452D77"/>
    <w:rsid w:val="086401F8"/>
    <w:rsid w:val="08661343"/>
    <w:rsid w:val="08751CAA"/>
    <w:rsid w:val="087E4C40"/>
    <w:rsid w:val="08923AEE"/>
    <w:rsid w:val="08A871D0"/>
    <w:rsid w:val="08D079DD"/>
    <w:rsid w:val="08D66AD6"/>
    <w:rsid w:val="08DA33A3"/>
    <w:rsid w:val="08E60609"/>
    <w:rsid w:val="08E80F13"/>
    <w:rsid w:val="09175C96"/>
    <w:rsid w:val="09335624"/>
    <w:rsid w:val="0944690F"/>
    <w:rsid w:val="09535675"/>
    <w:rsid w:val="095F057D"/>
    <w:rsid w:val="09642282"/>
    <w:rsid w:val="09733572"/>
    <w:rsid w:val="09772C16"/>
    <w:rsid w:val="098353B5"/>
    <w:rsid w:val="09A92330"/>
    <w:rsid w:val="09B06B87"/>
    <w:rsid w:val="09C13146"/>
    <w:rsid w:val="09E04166"/>
    <w:rsid w:val="09FC4E8C"/>
    <w:rsid w:val="0A1C0718"/>
    <w:rsid w:val="0A3E7710"/>
    <w:rsid w:val="0A5B7E63"/>
    <w:rsid w:val="0A703465"/>
    <w:rsid w:val="0A73514E"/>
    <w:rsid w:val="0A797E2C"/>
    <w:rsid w:val="0AA374A5"/>
    <w:rsid w:val="0AAB7649"/>
    <w:rsid w:val="0ABC5606"/>
    <w:rsid w:val="0AE97A36"/>
    <w:rsid w:val="0AFA273F"/>
    <w:rsid w:val="0B30404E"/>
    <w:rsid w:val="0B4C6C14"/>
    <w:rsid w:val="0B547599"/>
    <w:rsid w:val="0B631A88"/>
    <w:rsid w:val="0B683D45"/>
    <w:rsid w:val="0B7F3F11"/>
    <w:rsid w:val="0B884417"/>
    <w:rsid w:val="0B941820"/>
    <w:rsid w:val="0BF6188C"/>
    <w:rsid w:val="0BF73C91"/>
    <w:rsid w:val="0C170175"/>
    <w:rsid w:val="0C571A41"/>
    <w:rsid w:val="0C5C1171"/>
    <w:rsid w:val="0C5E1CBC"/>
    <w:rsid w:val="0C615B50"/>
    <w:rsid w:val="0C8445DA"/>
    <w:rsid w:val="0C87121B"/>
    <w:rsid w:val="0CC007F7"/>
    <w:rsid w:val="0CC617AC"/>
    <w:rsid w:val="0CE618DF"/>
    <w:rsid w:val="0CFE707A"/>
    <w:rsid w:val="0CFF716D"/>
    <w:rsid w:val="0D063BDA"/>
    <w:rsid w:val="0D08375F"/>
    <w:rsid w:val="0D184CFB"/>
    <w:rsid w:val="0D4A7419"/>
    <w:rsid w:val="0D827401"/>
    <w:rsid w:val="0D84094E"/>
    <w:rsid w:val="0D8A00E9"/>
    <w:rsid w:val="0D8D589E"/>
    <w:rsid w:val="0DA01C73"/>
    <w:rsid w:val="0DD63300"/>
    <w:rsid w:val="0DF50604"/>
    <w:rsid w:val="0DF702FE"/>
    <w:rsid w:val="0E0013EF"/>
    <w:rsid w:val="0E060E51"/>
    <w:rsid w:val="0E3746E5"/>
    <w:rsid w:val="0E40791B"/>
    <w:rsid w:val="0E45462B"/>
    <w:rsid w:val="0E5604B2"/>
    <w:rsid w:val="0E6D5D79"/>
    <w:rsid w:val="0E8B67D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B7B98"/>
    <w:rsid w:val="105D0EB6"/>
    <w:rsid w:val="10646583"/>
    <w:rsid w:val="107D4B15"/>
    <w:rsid w:val="10831EE3"/>
    <w:rsid w:val="108A3C80"/>
    <w:rsid w:val="10C26171"/>
    <w:rsid w:val="10F33360"/>
    <w:rsid w:val="10FC16EA"/>
    <w:rsid w:val="110F1D40"/>
    <w:rsid w:val="11110304"/>
    <w:rsid w:val="11266F33"/>
    <w:rsid w:val="112F2150"/>
    <w:rsid w:val="118963A1"/>
    <w:rsid w:val="118B7221"/>
    <w:rsid w:val="11C6522A"/>
    <w:rsid w:val="11C94643"/>
    <w:rsid w:val="11E104CC"/>
    <w:rsid w:val="11E20309"/>
    <w:rsid w:val="121865DB"/>
    <w:rsid w:val="121F5200"/>
    <w:rsid w:val="12255233"/>
    <w:rsid w:val="124473D0"/>
    <w:rsid w:val="12530213"/>
    <w:rsid w:val="127723A9"/>
    <w:rsid w:val="12862074"/>
    <w:rsid w:val="12883966"/>
    <w:rsid w:val="129E45B4"/>
    <w:rsid w:val="12D81596"/>
    <w:rsid w:val="13072A44"/>
    <w:rsid w:val="134A0092"/>
    <w:rsid w:val="134B1FA7"/>
    <w:rsid w:val="135F4BE2"/>
    <w:rsid w:val="139B1A0A"/>
    <w:rsid w:val="139D25C7"/>
    <w:rsid w:val="13BF3CE4"/>
    <w:rsid w:val="141008D8"/>
    <w:rsid w:val="14125FE6"/>
    <w:rsid w:val="146D271E"/>
    <w:rsid w:val="14982588"/>
    <w:rsid w:val="149A5AD9"/>
    <w:rsid w:val="149E38CE"/>
    <w:rsid w:val="14A7619D"/>
    <w:rsid w:val="150536C3"/>
    <w:rsid w:val="150C1963"/>
    <w:rsid w:val="15134A3F"/>
    <w:rsid w:val="151447A0"/>
    <w:rsid w:val="152B4878"/>
    <w:rsid w:val="154A6454"/>
    <w:rsid w:val="15762120"/>
    <w:rsid w:val="15E312F7"/>
    <w:rsid w:val="15E61562"/>
    <w:rsid w:val="15F725A6"/>
    <w:rsid w:val="16155F5D"/>
    <w:rsid w:val="16645DAC"/>
    <w:rsid w:val="16A8729C"/>
    <w:rsid w:val="16AE750E"/>
    <w:rsid w:val="16B33777"/>
    <w:rsid w:val="16BC70A7"/>
    <w:rsid w:val="16C6339E"/>
    <w:rsid w:val="170671B4"/>
    <w:rsid w:val="172F2D79"/>
    <w:rsid w:val="174447C5"/>
    <w:rsid w:val="17557BEF"/>
    <w:rsid w:val="17686429"/>
    <w:rsid w:val="17920BDE"/>
    <w:rsid w:val="17C7174B"/>
    <w:rsid w:val="17D349C1"/>
    <w:rsid w:val="183028D1"/>
    <w:rsid w:val="1830729E"/>
    <w:rsid w:val="183619A2"/>
    <w:rsid w:val="185570FA"/>
    <w:rsid w:val="1870062C"/>
    <w:rsid w:val="18817102"/>
    <w:rsid w:val="18825214"/>
    <w:rsid w:val="18830A15"/>
    <w:rsid w:val="18852B28"/>
    <w:rsid w:val="188B5321"/>
    <w:rsid w:val="19232435"/>
    <w:rsid w:val="19932372"/>
    <w:rsid w:val="19A20DD5"/>
    <w:rsid w:val="19AE03F1"/>
    <w:rsid w:val="19FB50F5"/>
    <w:rsid w:val="1A0257DE"/>
    <w:rsid w:val="1A071A03"/>
    <w:rsid w:val="1A115971"/>
    <w:rsid w:val="1A1F16AE"/>
    <w:rsid w:val="1A3B5C77"/>
    <w:rsid w:val="1A725B49"/>
    <w:rsid w:val="1A7935F0"/>
    <w:rsid w:val="1A8213DE"/>
    <w:rsid w:val="1A984BAD"/>
    <w:rsid w:val="1AB8220E"/>
    <w:rsid w:val="1ACE017F"/>
    <w:rsid w:val="1AE4166C"/>
    <w:rsid w:val="1AF06CFB"/>
    <w:rsid w:val="1AF11B8D"/>
    <w:rsid w:val="1B11359C"/>
    <w:rsid w:val="1B2A271F"/>
    <w:rsid w:val="1B530544"/>
    <w:rsid w:val="1B713184"/>
    <w:rsid w:val="1B864A41"/>
    <w:rsid w:val="1BA209CF"/>
    <w:rsid w:val="1BB4777D"/>
    <w:rsid w:val="1BCA69C2"/>
    <w:rsid w:val="1BD75AB8"/>
    <w:rsid w:val="1C0459C2"/>
    <w:rsid w:val="1C1B3B4A"/>
    <w:rsid w:val="1C7725CD"/>
    <w:rsid w:val="1C88086E"/>
    <w:rsid w:val="1CE61A3F"/>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516DF"/>
    <w:rsid w:val="1EA703CC"/>
    <w:rsid w:val="1EB7330C"/>
    <w:rsid w:val="1F0A0FF3"/>
    <w:rsid w:val="1F5771FF"/>
    <w:rsid w:val="1F904124"/>
    <w:rsid w:val="1FE868A9"/>
    <w:rsid w:val="20034907"/>
    <w:rsid w:val="20173E4B"/>
    <w:rsid w:val="204E48BC"/>
    <w:rsid w:val="208921B3"/>
    <w:rsid w:val="20973DEB"/>
    <w:rsid w:val="20B26522"/>
    <w:rsid w:val="20B44310"/>
    <w:rsid w:val="20EF2BFD"/>
    <w:rsid w:val="211116EB"/>
    <w:rsid w:val="216133FC"/>
    <w:rsid w:val="219F3832"/>
    <w:rsid w:val="21C0372C"/>
    <w:rsid w:val="21D56769"/>
    <w:rsid w:val="21E52EF3"/>
    <w:rsid w:val="21FB5D7B"/>
    <w:rsid w:val="22015E94"/>
    <w:rsid w:val="220B1C3D"/>
    <w:rsid w:val="221A20CD"/>
    <w:rsid w:val="221D1D20"/>
    <w:rsid w:val="22334A87"/>
    <w:rsid w:val="225C57E4"/>
    <w:rsid w:val="22BE6801"/>
    <w:rsid w:val="22E50C2D"/>
    <w:rsid w:val="233500BF"/>
    <w:rsid w:val="23377FF7"/>
    <w:rsid w:val="236B425F"/>
    <w:rsid w:val="236D3F2E"/>
    <w:rsid w:val="23836192"/>
    <w:rsid w:val="23901F29"/>
    <w:rsid w:val="239C0061"/>
    <w:rsid w:val="23B908A4"/>
    <w:rsid w:val="23CB7951"/>
    <w:rsid w:val="23E95BEF"/>
    <w:rsid w:val="23FD0064"/>
    <w:rsid w:val="241B6B26"/>
    <w:rsid w:val="24382957"/>
    <w:rsid w:val="245375B0"/>
    <w:rsid w:val="24642C0A"/>
    <w:rsid w:val="24911A78"/>
    <w:rsid w:val="24B22173"/>
    <w:rsid w:val="24B95AD9"/>
    <w:rsid w:val="24BE24DA"/>
    <w:rsid w:val="24CF5825"/>
    <w:rsid w:val="24D663E6"/>
    <w:rsid w:val="24D77F2B"/>
    <w:rsid w:val="24E85B0E"/>
    <w:rsid w:val="24F40DAC"/>
    <w:rsid w:val="258B00E2"/>
    <w:rsid w:val="25A917A6"/>
    <w:rsid w:val="25BC4323"/>
    <w:rsid w:val="25BE27CC"/>
    <w:rsid w:val="25F74A5C"/>
    <w:rsid w:val="2628662C"/>
    <w:rsid w:val="262D45DE"/>
    <w:rsid w:val="26572F97"/>
    <w:rsid w:val="26871DC8"/>
    <w:rsid w:val="26A53EF9"/>
    <w:rsid w:val="26A94201"/>
    <w:rsid w:val="26AC274F"/>
    <w:rsid w:val="27044A29"/>
    <w:rsid w:val="271D34C8"/>
    <w:rsid w:val="272E28D6"/>
    <w:rsid w:val="276142BF"/>
    <w:rsid w:val="27783712"/>
    <w:rsid w:val="27907362"/>
    <w:rsid w:val="27CC55DE"/>
    <w:rsid w:val="28333E1D"/>
    <w:rsid w:val="28454BD6"/>
    <w:rsid w:val="28455253"/>
    <w:rsid w:val="28551971"/>
    <w:rsid w:val="285B1C53"/>
    <w:rsid w:val="289F7086"/>
    <w:rsid w:val="28C32028"/>
    <w:rsid w:val="28CC490F"/>
    <w:rsid w:val="28DE40AA"/>
    <w:rsid w:val="29260D41"/>
    <w:rsid w:val="29345E77"/>
    <w:rsid w:val="294C65AD"/>
    <w:rsid w:val="296B44E2"/>
    <w:rsid w:val="297C23F1"/>
    <w:rsid w:val="29806583"/>
    <w:rsid w:val="298B3C4C"/>
    <w:rsid w:val="29F26D24"/>
    <w:rsid w:val="2A15033F"/>
    <w:rsid w:val="2A1662C1"/>
    <w:rsid w:val="2A1C7367"/>
    <w:rsid w:val="2A2815FA"/>
    <w:rsid w:val="2A6D6092"/>
    <w:rsid w:val="2A7D76B4"/>
    <w:rsid w:val="2A953B0E"/>
    <w:rsid w:val="2B437463"/>
    <w:rsid w:val="2B7807EE"/>
    <w:rsid w:val="2B830B12"/>
    <w:rsid w:val="2BA50BF7"/>
    <w:rsid w:val="2BBF00EC"/>
    <w:rsid w:val="2BC37CFD"/>
    <w:rsid w:val="2BD5237F"/>
    <w:rsid w:val="2BE536CE"/>
    <w:rsid w:val="2BE758D9"/>
    <w:rsid w:val="2C09049E"/>
    <w:rsid w:val="2C0A653C"/>
    <w:rsid w:val="2C191F85"/>
    <w:rsid w:val="2CB5310F"/>
    <w:rsid w:val="2CD40174"/>
    <w:rsid w:val="2CE82D6F"/>
    <w:rsid w:val="2D1C3A00"/>
    <w:rsid w:val="2D343236"/>
    <w:rsid w:val="2D4F6EFD"/>
    <w:rsid w:val="2DD15014"/>
    <w:rsid w:val="2DE25FD6"/>
    <w:rsid w:val="2DF72DE4"/>
    <w:rsid w:val="2E0220AF"/>
    <w:rsid w:val="2E4B082A"/>
    <w:rsid w:val="2E5D4E86"/>
    <w:rsid w:val="2E5D790B"/>
    <w:rsid w:val="2E6D4BB5"/>
    <w:rsid w:val="2E9A3C18"/>
    <w:rsid w:val="2EBB0FEE"/>
    <w:rsid w:val="2EC63002"/>
    <w:rsid w:val="2EEF7C91"/>
    <w:rsid w:val="2F0A6B38"/>
    <w:rsid w:val="2F6F0207"/>
    <w:rsid w:val="2F752057"/>
    <w:rsid w:val="2F946CCB"/>
    <w:rsid w:val="2FD25781"/>
    <w:rsid w:val="2FDC745C"/>
    <w:rsid w:val="2FFD7934"/>
    <w:rsid w:val="30272F37"/>
    <w:rsid w:val="302E3742"/>
    <w:rsid w:val="30733ACD"/>
    <w:rsid w:val="308C3862"/>
    <w:rsid w:val="309379D8"/>
    <w:rsid w:val="30A270F7"/>
    <w:rsid w:val="30DF1478"/>
    <w:rsid w:val="30E90273"/>
    <w:rsid w:val="30EC586F"/>
    <w:rsid w:val="319C6071"/>
    <w:rsid w:val="31A11ECE"/>
    <w:rsid w:val="31AC537E"/>
    <w:rsid w:val="31E3679B"/>
    <w:rsid w:val="31E732FD"/>
    <w:rsid w:val="32517576"/>
    <w:rsid w:val="32A30D11"/>
    <w:rsid w:val="32BE5C2C"/>
    <w:rsid w:val="32D63C1D"/>
    <w:rsid w:val="32F221BA"/>
    <w:rsid w:val="32F37D51"/>
    <w:rsid w:val="32FB6478"/>
    <w:rsid w:val="33024A12"/>
    <w:rsid w:val="332410BB"/>
    <w:rsid w:val="33263B3F"/>
    <w:rsid w:val="33613E2E"/>
    <w:rsid w:val="336963EB"/>
    <w:rsid w:val="33816EEB"/>
    <w:rsid w:val="33EB55CD"/>
    <w:rsid w:val="33EC4C02"/>
    <w:rsid w:val="34055C0B"/>
    <w:rsid w:val="340D2360"/>
    <w:rsid w:val="3410665D"/>
    <w:rsid w:val="34211214"/>
    <w:rsid w:val="342E63AB"/>
    <w:rsid w:val="34945B3E"/>
    <w:rsid w:val="34950E68"/>
    <w:rsid w:val="34986E94"/>
    <w:rsid w:val="34A51AF9"/>
    <w:rsid w:val="34AF62C9"/>
    <w:rsid w:val="34CB4388"/>
    <w:rsid w:val="34FA6E12"/>
    <w:rsid w:val="34FB01C9"/>
    <w:rsid w:val="354D7158"/>
    <w:rsid w:val="358D5588"/>
    <w:rsid w:val="35E2289C"/>
    <w:rsid w:val="363A3B40"/>
    <w:rsid w:val="365302AE"/>
    <w:rsid w:val="36607A0A"/>
    <w:rsid w:val="366E227C"/>
    <w:rsid w:val="366F2E0D"/>
    <w:rsid w:val="367B6A5C"/>
    <w:rsid w:val="36A74ADA"/>
    <w:rsid w:val="36AD60D5"/>
    <w:rsid w:val="36B224F9"/>
    <w:rsid w:val="36B82E98"/>
    <w:rsid w:val="36EC0CC9"/>
    <w:rsid w:val="36F31241"/>
    <w:rsid w:val="373F410B"/>
    <w:rsid w:val="374B6987"/>
    <w:rsid w:val="37EE7094"/>
    <w:rsid w:val="38296C89"/>
    <w:rsid w:val="383002EB"/>
    <w:rsid w:val="38586797"/>
    <w:rsid w:val="38BC0149"/>
    <w:rsid w:val="38BE49A0"/>
    <w:rsid w:val="38D87D1C"/>
    <w:rsid w:val="39636459"/>
    <w:rsid w:val="396B7F6C"/>
    <w:rsid w:val="39B417A9"/>
    <w:rsid w:val="39D349ED"/>
    <w:rsid w:val="39FC5695"/>
    <w:rsid w:val="3A006D8E"/>
    <w:rsid w:val="3A204F94"/>
    <w:rsid w:val="3A2C112E"/>
    <w:rsid w:val="3A3651E5"/>
    <w:rsid w:val="3A744481"/>
    <w:rsid w:val="3A8C7BEF"/>
    <w:rsid w:val="3A906246"/>
    <w:rsid w:val="3AC240CF"/>
    <w:rsid w:val="3B2349B7"/>
    <w:rsid w:val="3B3757BB"/>
    <w:rsid w:val="3B563B4D"/>
    <w:rsid w:val="3B616CFF"/>
    <w:rsid w:val="3B6259F6"/>
    <w:rsid w:val="3B867018"/>
    <w:rsid w:val="3B976654"/>
    <w:rsid w:val="3BC01EFC"/>
    <w:rsid w:val="3BCA786A"/>
    <w:rsid w:val="3BD31E2F"/>
    <w:rsid w:val="3BD57167"/>
    <w:rsid w:val="3BF15831"/>
    <w:rsid w:val="3C105946"/>
    <w:rsid w:val="3C16395B"/>
    <w:rsid w:val="3C3913C6"/>
    <w:rsid w:val="3C3A6FCB"/>
    <w:rsid w:val="3C471448"/>
    <w:rsid w:val="3C5F759A"/>
    <w:rsid w:val="3C6C525A"/>
    <w:rsid w:val="3C771FCD"/>
    <w:rsid w:val="3C8E7B71"/>
    <w:rsid w:val="3CB06008"/>
    <w:rsid w:val="3CCE23CB"/>
    <w:rsid w:val="3CD17D17"/>
    <w:rsid w:val="3D0B51B6"/>
    <w:rsid w:val="3D2F373D"/>
    <w:rsid w:val="3D3C7F39"/>
    <w:rsid w:val="3D440F09"/>
    <w:rsid w:val="3D4504A0"/>
    <w:rsid w:val="3D5C27B7"/>
    <w:rsid w:val="3D8734BB"/>
    <w:rsid w:val="3D9A11D4"/>
    <w:rsid w:val="3DA16D89"/>
    <w:rsid w:val="3DA364BE"/>
    <w:rsid w:val="3DDF36A1"/>
    <w:rsid w:val="3DE041CB"/>
    <w:rsid w:val="3E0D48F6"/>
    <w:rsid w:val="3E1868B4"/>
    <w:rsid w:val="3E377251"/>
    <w:rsid w:val="3E42664B"/>
    <w:rsid w:val="3E5A7334"/>
    <w:rsid w:val="3E7B5D6B"/>
    <w:rsid w:val="3E843E66"/>
    <w:rsid w:val="3E8F51FE"/>
    <w:rsid w:val="3E926F87"/>
    <w:rsid w:val="3E9A59DE"/>
    <w:rsid w:val="3EAF4836"/>
    <w:rsid w:val="3EC33DFA"/>
    <w:rsid w:val="3EFC7B0D"/>
    <w:rsid w:val="3F060E16"/>
    <w:rsid w:val="3F1D1096"/>
    <w:rsid w:val="3F2F0234"/>
    <w:rsid w:val="3F6363FE"/>
    <w:rsid w:val="3F756B8F"/>
    <w:rsid w:val="3F95482B"/>
    <w:rsid w:val="4019356B"/>
    <w:rsid w:val="40592157"/>
    <w:rsid w:val="406E1CAE"/>
    <w:rsid w:val="40A0133A"/>
    <w:rsid w:val="40C31A53"/>
    <w:rsid w:val="40FF545D"/>
    <w:rsid w:val="410067C8"/>
    <w:rsid w:val="41306BEE"/>
    <w:rsid w:val="41526553"/>
    <w:rsid w:val="416176D3"/>
    <w:rsid w:val="418F0D2A"/>
    <w:rsid w:val="41D01505"/>
    <w:rsid w:val="422C0B41"/>
    <w:rsid w:val="423351B6"/>
    <w:rsid w:val="42474939"/>
    <w:rsid w:val="424C3C57"/>
    <w:rsid w:val="42613FF3"/>
    <w:rsid w:val="42660D96"/>
    <w:rsid w:val="428667D2"/>
    <w:rsid w:val="42CD1CE0"/>
    <w:rsid w:val="42CD54E6"/>
    <w:rsid w:val="42D27F5D"/>
    <w:rsid w:val="42E1381E"/>
    <w:rsid w:val="42ED6459"/>
    <w:rsid w:val="42F777ED"/>
    <w:rsid w:val="42FE58DD"/>
    <w:rsid w:val="43174B3D"/>
    <w:rsid w:val="434B790E"/>
    <w:rsid w:val="4360274F"/>
    <w:rsid w:val="436D4129"/>
    <w:rsid w:val="43977AB6"/>
    <w:rsid w:val="43A3342B"/>
    <w:rsid w:val="43AF3A7B"/>
    <w:rsid w:val="43C77C27"/>
    <w:rsid w:val="43DE09EE"/>
    <w:rsid w:val="44002FAD"/>
    <w:rsid w:val="441C37AA"/>
    <w:rsid w:val="445F4B27"/>
    <w:rsid w:val="449101DD"/>
    <w:rsid w:val="44DE1391"/>
    <w:rsid w:val="451B225C"/>
    <w:rsid w:val="452410C9"/>
    <w:rsid w:val="45317DFB"/>
    <w:rsid w:val="456D3CE4"/>
    <w:rsid w:val="4579042C"/>
    <w:rsid w:val="457F0571"/>
    <w:rsid w:val="45851176"/>
    <w:rsid w:val="45C55BC2"/>
    <w:rsid w:val="45C63B94"/>
    <w:rsid w:val="45F87937"/>
    <w:rsid w:val="460E7DA5"/>
    <w:rsid w:val="46422483"/>
    <w:rsid w:val="464622B6"/>
    <w:rsid w:val="4659254A"/>
    <w:rsid w:val="465B0637"/>
    <w:rsid w:val="465E3F0D"/>
    <w:rsid w:val="466A16E6"/>
    <w:rsid w:val="46893F2B"/>
    <w:rsid w:val="46C444E6"/>
    <w:rsid w:val="46C4686E"/>
    <w:rsid w:val="47007EDC"/>
    <w:rsid w:val="477B778F"/>
    <w:rsid w:val="478203EC"/>
    <w:rsid w:val="47893C6F"/>
    <w:rsid w:val="47B025FA"/>
    <w:rsid w:val="4809698F"/>
    <w:rsid w:val="4811697D"/>
    <w:rsid w:val="487A3E25"/>
    <w:rsid w:val="488915F0"/>
    <w:rsid w:val="488B5503"/>
    <w:rsid w:val="48937E21"/>
    <w:rsid w:val="489A0361"/>
    <w:rsid w:val="48A8102D"/>
    <w:rsid w:val="48AD6D29"/>
    <w:rsid w:val="48B94FF3"/>
    <w:rsid w:val="48E37AAB"/>
    <w:rsid w:val="48FD4B4C"/>
    <w:rsid w:val="490A68E0"/>
    <w:rsid w:val="491055FE"/>
    <w:rsid w:val="494A3653"/>
    <w:rsid w:val="495F5B3E"/>
    <w:rsid w:val="496F77D7"/>
    <w:rsid w:val="497654FD"/>
    <w:rsid w:val="497756A4"/>
    <w:rsid w:val="498738A0"/>
    <w:rsid w:val="49B0389E"/>
    <w:rsid w:val="49B64211"/>
    <w:rsid w:val="49D41AAC"/>
    <w:rsid w:val="49E0398C"/>
    <w:rsid w:val="49F6167F"/>
    <w:rsid w:val="4A064FA0"/>
    <w:rsid w:val="4A16615C"/>
    <w:rsid w:val="4A4424D7"/>
    <w:rsid w:val="4A6175BB"/>
    <w:rsid w:val="4AB82D0F"/>
    <w:rsid w:val="4AEB7664"/>
    <w:rsid w:val="4AFD7C19"/>
    <w:rsid w:val="4B0567D1"/>
    <w:rsid w:val="4B236AAE"/>
    <w:rsid w:val="4B2F799D"/>
    <w:rsid w:val="4B5C0D0B"/>
    <w:rsid w:val="4B707271"/>
    <w:rsid w:val="4B9739F7"/>
    <w:rsid w:val="4BEE2503"/>
    <w:rsid w:val="4BF727EA"/>
    <w:rsid w:val="4C245A30"/>
    <w:rsid w:val="4C7327B1"/>
    <w:rsid w:val="4CB6685F"/>
    <w:rsid w:val="4CC367FE"/>
    <w:rsid w:val="4D077F3C"/>
    <w:rsid w:val="4D123355"/>
    <w:rsid w:val="4D2408F7"/>
    <w:rsid w:val="4D2A3B31"/>
    <w:rsid w:val="4D312C52"/>
    <w:rsid w:val="4D905305"/>
    <w:rsid w:val="4D964A72"/>
    <w:rsid w:val="4D9C1254"/>
    <w:rsid w:val="4D9E5B15"/>
    <w:rsid w:val="4DF3347D"/>
    <w:rsid w:val="4E613784"/>
    <w:rsid w:val="4E6A7E03"/>
    <w:rsid w:val="4E793892"/>
    <w:rsid w:val="4E800872"/>
    <w:rsid w:val="4EC153CA"/>
    <w:rsid w:val="4EC569ED"/>
    <w:rsid w:val="4ED50EA1"/>
    <w:rsid w:val="4EEC050C"/>
    <w:rsid w:val="4F104EC3"/>
    <w:rsid w:val="4F47354A"/>
    <w:rsid w:val="4F911C54"/>
    <w:rsid w:val="4FE625E0"/>
    <w:rsid w:val="4FF54C3A"/>
    <w:rsid w:val="5021480F"/>
    <w:rsid w:val="505C301C"/>
    <w:rsid w:val="50830AE8"/>
    <w:rsid w:val="50962ECB"/>
    <w:rsid w:val="50A42E38"/>
    <w:rsid w:val="50A4577F"/>
    <w:rsid w:val="50B13D8B"/>
    <w:rsid w:val="50B73D1F"/>
    <w:rsid w:val="50BD5BC9"/>
    <w:rsid w:val="50C11EEE"/>
    <w:rsid w:val="50CD206E"/>
    <w:rsid w:val="50E97CFC"/>
    <w:rsid w:val="50FA4028"/>
    <w:rsid w:val="510D65B7"/>
    <w:rsid w:val="511157AB"/>
    <w:rsid w:val="511A07F1"/>
    <w:rsid w:val="5142540C"/>
    <w:rsid w:val="518832C8"/>
    <w:rsid w:val="519D3C50"/>
    <w:rsid w:val="51A0432A"/>
    <w:rsid w:val="51A86090"/>
    <w:rsid w:val="51B7396D"/>
    <w:rsid w:val="52076DD7"/>
    <w:rsid w:val="522A1749"/>
    <w:rsid w:val="522E4CC3"/>
    <w:rsid w:val="5244713B"/>
    <w:rsid w:val="52615633"/>
    <w:rsid w:val="526F4DE4"/>
    <w:rsid w:val="52804889"/>
    <w:rsid w:val="52977FD4"/>
    <w:rsid w:val="52A25790"/>
    <w:rsid w:val="52A96B6F"/>
    <w:rsid w:val="52B45975"/>
    <w:rsid w:val="52D94AA4"/>
    <w:rsid w:val="52DB396B"/>
    <w:rsid w:val="52EA3A62"/>
    <w:rsid w:val="52F50BB8"/>
    <w:rsid w:val="53097272"/>
    <w:rsid w:val="534C1537"/>
    <w:rsid w:val="53544462"/>
    <w:rsid w:val="536D5E34"/>
    <w:rsid w:val="538426F2"/>
    <w:rsid w:val="538611BC"/>
    <w:rsid w:val="5397158E"/>
    <w:rsid w:val="53C120CA"/>
    <w:rsid w:val="53E325D5"/>
    <w:rsid w:val="54013861"/>
    <w:rsid w:val="543970F9"/>
    <w:rsid w:val="54487265"/>
    <w:rsid w:val="544D6070"/>
    <w:rsid w:val="545F5483"/>
    <w:rsid w:val="54605E1E"/>
    <w:rsid w:val="54B3506A"/>
    <w:rsid w:val="54CA0D16"/>
    <w:rsid w:val="54DD4057"/>
    <w:rsid w:val="54E7490F"/>
    <w:rsid w:val="550158B0"/>
    <w:rsid w:val="550764A4"/>
    <w:rsid w:val="550B2BF6"/>
    <w:rsid w:val="55214EB5"/>
    <w:rsid w:val="55364EFD"/>
    <w:rsid w:val="555D4828"/>
    <w:rsid w:val="557A4C8B"/>
    <w:rsid w:val="558931E1"/>
    <w:rsid w:val="55923347"/>
    <w:rsid w:val="55925180"/>
    <w:rsid w:val="55983B1B"/>
    <w:rsid w:val="55A8376B"/>
    <w:rsid w:val="55BB6F76"/>
    <w:rsid w:val="55C94D0E"/>
    <w:rsid w:val="55DC29B6"/>
    <w:rsid w:val="55DD4241"/>
    <w:rsid w:val="55F360AA"/>
    <w:rsid w:val="55F53B68"/>
    <w:rsid w:val="566B6D1E"/>
    <w:rsid w:val="56DD2A92"/>
    <w:rsid w:val="57032A2C"/>
    <w:rsid w:val="570F5219"/>
    <w:rsid w:val="57284198"/>
    <w:rsid w:val="572E78E5"/>
    <w:rsid w:val="57441E9D"/>
    <w:rsid w:val="575D12B5"/>
    <w:rsid w:val="57610A87"/>
    <w:rsid w:val="577B1140"/>
    <w:rsid w:val="577B7F21"/>
    <w:rsid w:val="577F181B"/>
    <w:rsid w:val="57921984"/>
    <w:rsid w:val="579737F0"/>
    <w:rsid w:val="57980616"/>
    <w:rsid w:val="57AB7B30"/>
    <w:rsid w:val="57AF5251"/>
    <w:rsid w:val="57B26373"/>
    <w:rsid w:val="57B63F04"/>
    <w:rsid w:val="57CD20C2"/>
    <w:rsid w:val="57D675AB"/>
    <w:rsid w:val="57D95FDD"/>
    <w:rsid w:val="57F53090"/>
    <w:rsid w:val="57F57D7F"/>
    <w:rsid w:val="582D7C06"/>
    <w:rsid w:val="58917D2F"/>
    <w:rsid w:val="5894085C"/>
    <w:rsid w:val="58AE4A09"/>
    <w:rsid w:val="58AE4F0C"/>
    <w:rsid w:val="58B85899"/>
    <w:rsid w:val="58E363A9"/>
    <w:rsid w:val="591E264C"/>
    <w:rsid w:val="59297A6C"/>
    <w:rsid w:val="594A0E7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5C3E21"/>
    <w:rsid w:val="5B7F05AD"/>
    <w:rsid w:val="5B843A1C"/>
    <w:rsid w:val="5B873E3F"/>
    <w:rsid w:val="5C02690E"/>
    <w:rsid w:val="5C196DA7"/>
    <w:rsid w:val="5C2A048C"/>
    <w:rsid w:val="5C2C639A"/>
    <w:rsid w:val="5C4D2220"/>
    <w:rsid w:val="5C80234E"/>
    <w:rsid w:val="5C8A680C"/>
    <w:rsid w:val="5D0C4701"/>
    <w:rsid w:val="5D0F0395"/>
    <w:rsid w:val="5D221076"/>
    <w:rsid w:val="5D397964"/>
    <w:rsid w:val="5D5A391C"/>
    <w:rsid w:val="5D5F10C0"/>
    <w:rsid w:val="5D790E2F"/>
    <w:rsid w:val="5D891B7B"/>
    <w:rsid w:val="5DAD38EE"/>
    <w:rsid w:val="5DD52015"/>
    <w:rsid w:val="5DF179D9"/>
    <w:rsid w:val="5E006862"/>
    <w:rsid w:val="5E0207B9"/>
    <w:rsid w:val="5E1834A1"/>
    <w:rsid w:val="5E261785"/>
    <w:rsid w:val="5E4A7017"/>
    <w:rsid w:val="5E552BBA"/>
    <w:rsid w:val="5E611C10"/>
    <w:rsid w:val="5E7A0F3F"/>
    <w:rsid w:val="5E910E34"/>
    <w:rsid w:val="5EC84F8E"/>
    <w:rsid w:val="5EFC7377"/>
    <w:rsid w:val="5F06174D"/>
    <w:rsid w:val="5F3A3602"/>
    <w:rsid w:val="5F45733B"/>
    <w:rsid w:val="5F473629"/>
    <w:rsid w:val="5F6277C6"/>
    <w:rsid w:val="5F6D0B1D"/>
    <w:rsid w:val="5F75467A"/>
    <w:rsid w:val="5F8D0B82"/>
    <w:rsid w:val="5FB05FBE"/>
    <w:rsid w:val="5FCC5339"/>
    <w:rsid w:val="5FE34A5B"/>
    <w:rsid w:val="5FE626D2"/>
    <w:rsid w:val="5FF42892"/>
    <w:rsid w:val="5FFE1E36"/>
    <w:rsid w:val="60232584"/>
    <w:rsid w:val="603F3936"/>
    <w:rsid w:val="607330CE"/>
    <w:rsid w:val="60825176"/>
    <w:rsid w:val="609F2AC4"/>
    <w:rsid w:val="60C80F39"/>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6759F"/>
    <w:rsid w:val="635600A5"/>
    <w:rsid w:val="635B1DB5"/>
    <w:rsid w:val="63711FED"/>
    <w:rsid w:val="63841957"/>
    <w:rsid w:val="63880DDC"/>
    <w:rsid w:val="638D750D"/>
    <w:rsid w:val="63AC6CC0"/>
    <w:rsid w:val="63F23480"/>
    <w:rsid w:val="64055776"/>
    <w:rsid w:val="641F5B67"/>
    <w:rsid w:val="64240056"/>
    <w:rsid w:val="643E143A"/>
    <w:rsid w:val="64491666"/>
    <w:rsid w:val="648B6EEF"/>
    <w:rsid w:val="64A36491"/>
    <w:rsid w:val="64C158BF"/>
    <w:rsid w:val="64CE2EAA"/>
    <w:rsid w:val="64FA1A3D"/>
    <w:rsid w:val="653C3090"/>
    <w:rsid w:val="653D11CC"/>
    <w:rsid w:val="65854376"/>
    <w:rsid w:val="658767BE"/>
    <w:rsid w:val="65892531"/>
    <w:rsid w:val="65CD4F6C"/>
    <w:rsid w:val="65D025CA"/>
    <w:rsid w:val="660760F9"/>
    <w:rsid w:val="66195831"/>
    <w:rsid w:val="662E75B1"/>
    <w:rsid w:val="66342C2E"/>
    <w:rsid w:val="663E784C"/>
    <w:rsid w:val="665017C5"/>
    <w:rsid w:val="666351EC"/>
    <w:rsid w:val="668B6A45"/>
    <w:rsid w:val="67112C4A"/>
    <w:rsid w:val="672F3F24"/>
    <w:rsid w:val="673E055F"/>
    <w:rsid w:val="67551CE3"/>
    <w:rsid w:val="6773145F"/>
    <w:rsid w:val="679F1764"/>
    <w:rsid w:val="67A22552"/>
    <w:rsid w:val="67B22DCC"/>
    <w:rsid w:val="67BC5ABE"/>
    <w:rsid w:val="67BE71AA"/>
    <w:rsid w:val="67CF7323"/>
    <w:rsid w:val="67D90273"/>
    <w:rsid w:val="67DE5875"/>
    <w:rsid w:val="67E55852"/>
    <w:rsid w:val="67EB1AB4"/>
    <w:rsid w:val="67FA1285"/>
    <w:rsid w:val="68551F4F"/>
    <w:rsid w:val="687C10C9"/>
    <w:rsid w:val="68840C16"/>
    <w:rsid w:val="68876EFB"/>
    <w:rsid w:val="68884654"/>
    <w:rsid w:val="68982A5A"/>
    <w:rsid w:val="689F444F"/>
    <w:rsid w:val="68B96DBB"/>
    <w:rsid w:val="68CA2805"/>
    <w:rsid w:val="68E937A3"/>
    <w:rsid w:val="68FB149A"/>
    <w:rsid w:val="691A5BA5"/>
    <w:rsid w:val="69220E84"/>
    <w:rsid w:val="693D1D24"/>
    <w:rsid w:val="693E15D3"/>
    <w:rsid w:val="6947763D"/>
    <w:rsid w:val="69627681"/>
    <w:rsid w:val="6977531D"/>
    <w:rsid w:val="69CC2BFF"/>
    <w:rsid w:val="69FD55B8"/>
    <w:rsid w:val="6A0B1C62"/>
    <w:rsid w:val="6A2406C8"/>
    <w:rsid w:val="6A627569"/>
    <w:rsid w:val="6A7B50CC"/>
    <w:rsid w:val="6A9A1ADF"/>
    <w:rsid w:val="6A9E04CD"/>
    <w:rsid w:val="6A9E5F94"/>
    <w:rsid w:val="6ADE0BD1"/>
    <w:rsid w:val="6AE54422"/>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003BD"/>
    <w:rsid w:val="6C9D744C"/>
    <w:rsid w:val="6CD7002F"/>
    <w:rsid w:val="6CDE53E3"/>
    <w:rsid w:val="6D073C22"/>
    <w:rsid w:val="6D167928"/>
    <w:rsid w:val="6D26299B"/>
    <w:rsid w:val="6D3F175A"/>
    <w:rsid w:val="6D4772EC"/>
    <w:rsid w:val="6D9078AF"/>
    <w:rsid w:val="6DAA3FEF"/>
    <w:rsid w:val="6DC0172B"/>
    <w:rsid w:val="6DCB690C"/>
    <w:rsid w:val="6DD41A5B"/>
    <w:rsid w:val="6DF43C2E"/>
    <w:rsid w:val="6DF51CA3"/>
    <w:rsid w:val="6E48095A"/>
    <w:rsid w:val="6E8335BD"/>
    <w:rsid w:val="6E8E12EF"/>
    <w:rsid w:val="6E972936"/>
    <w:rsid w:val="6EA453E3"/>
    <w:rsid w:val="6EB64C6D"/>
    <w:rsid w:val="6ED446C5"/>
    <w:rsid w:val="6ED86C32"/>
    <w:rsid w:val="6F2A7D94"/>
    <w:rsid w:val="6F8331F1"/>
    <w:rsid w:val="6FAE1A09"/>
    <w:rsid w:val="6FD75BF8"/>
    <w:rsid w:val="6FE85BD6"/>
    <w:rsid w:val="707723D0"/>
    <w:rsid w:val="70953742"/>
    <w:rsid w:val="70F5661B"/>
    <w:rsid w:val="71360107"/>
    <w:rsid w:val="713B688E"/>
    <w:rsid w:val="7148279F"/>
    <w:rsid w:val="719153D9"/>
    <w:rsid w:val="71AD69F8"/>
    <w:rsid w:val="71D43752"/>
    <w:rsid w:val="71DE7E1D"/>
    <w:rsid w:val="71F1796A"/>
    <w:rsid w:val="71FB63D5"/>
    <w:rsid w:val="72154626"/>
    <w:rsid w:val="72262B5D"/>
    <w:rsid w:val="72283FF7"/>
    <w:rsid w:val="722E7212"/>
    <w:rsid w:val="723A0474"/>
    <w:rsid w:val="725923E4"/>
    <w:rsid w:val="72864BF7"/>
    <w:rsid w:val="729023FC"/>
    <w:rsid w:val="73B61051"/>
    <w:rsid w:val="73C0646E"/>
    <w:rsid w:val="742222F5"/>
    <w:rsid w:val="74476126"/>
    <w:rsid w:val="74706664"/>
    <w:rsid w:val="747F3682"/>
    <w:rsid w:val="748C3B60"/>
    <w:rsid w:val="749C4185"/>
    <w:rsid w:val="74C517D1"/>
    <w:rsid w:val="75067759"/>
    <w:rsid w:val="752E6DCD"/>
    <w:rsid w:val="7551380D"/>
    <w:rsid w:val="755D394A"/>
    <w:rsid w:val="75600BE5"/>
    <w:rsid w:val="7564475C"/>
    <w:rsid w:val="7583797F"/>
    <w:rsid w:val="75D20F1D"/>
    <w:rsid w:val="75DA2C18"/>
    <w:rsid w:val="75F37776"/>
    <w:rsid w:val="75F54412"/>
    <w:rsid w:val="761D08E0"/>
    <w:rsid w:val="76353AE4"/>
    <w:rsid w:val="765D347C"/>
    <w:rsid w:val="76826699"/>
    <w:rsid w:val="76AB2793"/>
    <w:rsid w:val="76C87133"/>
    <w:rsid w:val="76CD08D5"/>
    <w:rsid w:val="76DB4B92"/>
    <w:rsid w:val="76E44AD6"/>
    <w:rsid w:val="77052AA4"/>
    <w:rsid w:val="77136511"/>
    <w:rsid w:val="77340A39"/>
    <w:rsid w:val="77351FD0"/>
    <w:rsid w:val="77472422"/>
    <w:rsid w:val="777032C5"/>
    <w:rsid w:val="777F31F2"/>
    <w:rsid w:val="77822286"/>
    <w:rsid w:val="77D1700D"/>
    <w:rsid w:val="77E97202"/>
    <w:rsid w:val="77EC04CC"/>
    <w:rsid w:val="782A3D58"/>
    <w:rsid w:val="78526DDD"/>
    <w:rsid w:val="78775729"/>
    <w:rsid w:val="7897278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45071"/>
    <w:rsid w:val="7A5C1EB5"/>
    <w:rsid w:val="7A615382"/>
    <w:rsid w:val="7A67303B"/>
    <w:rsid w:val="7A9949D4"/>
    <w:rsid w:val="7AAB1D04"/>
    <w:rsid w:val="7AB46E34"/>
    <w:rsid w:val="7ABA4368"/>
    <w:rsid w:val="7AD05746"/>
    <w:rsid w:val="7AE03419"/>
    <w:rsid w:val="7B257FFD"/>
    <w:rsid w:val="7B343476"/>
    <w:rsid w:val="7B564EC8"/>
    <w:rsid w:val="7B5A2978"/>
    <w:rsid w:val="7B5A7E4C"/>
    <w:rsid w:val="7B667AF9"/>
    <w:rsid w:val="7B7468F8"/>
    <w:rsid w:val="7BEC1C9F"/>
    <w:rsid w:val="7BEE0103"/>
    <w:rsid w:val="7C0A0FE4"/>
    <w:rsid w:val="7C2059A9"/>
    <w:rsid w:val="7C254906"/>
    <w:rsid w:val="7C590818"/>
    <w:rsid w:val="7C7C10F6"/>
    <w:rsid w:val="7C853BEA"/>
    <w:rsid w:val="7C881368"/>
    <w:rsid w:val="7CD564F7"/>
    <w:rsid w:val="7CE27788"/>
    <w:rsid w:val="7D0C32F1"/>
    <w:rsid w:val="7D0F408D"/>
    <w:rsid w:val="7D344D95"/>
    <w:rsid w:val="7D491C6C"/>
    <w:rsid w:val="7D5429C0"/>
    <w:rsid w:val="7D6D017E"/>
    <w:rsid w:val="7D6E6D43"/>
    <w:rsid w:val="7DB57A34"/>
    <w:rsid w:val="7DB84FA0"/>
    <w:rsid w:val="7DE60973"/>
    <w:rsid w:val="7DEF0916"/>
    <w:rsid w:val="7E1E5218"/>
    <w:rsid w:val="7E4436FD"/>
    <w:rsid w:val="7E6C679B"/>
    <w:rsid w:val="7E9A4E1F"/>
    <w:rsid w:val="7EA7723A"/>
    <w:rsid w:val="7ED36B9B"/>
    <w:rsid w:val="7EF56FBB"/>
    <w:rsid w:val="7F0768EB"/>
    <w:rsid w:val="7F143BEC"/>
    <w:rsid w:val="7F362021"/>
    <w:rsid w:val="7F52262B"/>
    <w:rsid w:val="7F715AF2"/>
    <w:rsid w:val="7F7B47F9"/>
    <w:rsid w:val="7F886E69"/>
    <w:rsid w:val="7FBC56E6"/>
    <w:rsid w:val="9FC78728"/>
    <w:rsid w:val="BB7FA927"/>
    <w:rsid w:val="EFF72F48"/>
    <w:rsid w:val="F5FFD31F"/>
    <w:rsid w:val="F7ED41B5"/>
    <w:rsid w:val="FDB5A1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qFormat/>
    <w:uiPriority w:val="0"/>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1"/>
    <w:link w:val="318"/>
    <w:qFormat/>
    <w:uiPriority w:val="0"/>
    <w:pPr>
      <w:ind w:firstLine="420"/>
    </w:pPr>
    <w:rPr>
      <w:rFonts w:hAnsi="Calibri" w:cs="Times New Roman"/>
      <w:snapToGrid/>
      <w:szCs w:val="20"/>
    </w:rPr>
  </w:style>
  <w:style w:type="paragraph" w:styleId="61">
    <w:name w:val="Body Text First Indent 2"/>
    <w:basedOn w:val="24"/>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格  1."/>
    <w:basedOn w:val="1"/>
    <w:qFormat/>
    <w:uiPriority w:val="0"/>
    <w:pPr>
      <w:spacing w:line="360" w:lineRule="auto"/>
      <w:ind w:firstLine="480" w:firstLineChars="200"/>
      <w:textAlignment w:val="baseline"/>
    </w:pPr>
    <w:rPr>
      <w:rFonts w:cs="宋体"/>
      <w:kern w:val="0"/>
      <w:sz w:val="28"/>
      <w:szCs w:val="20"/>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89</Pages>
  <Words>84</Words>
  <Characters>101</Characters>
  <Lines>405</Lines>
  <Paragraphs>114</Paragraphs>
  <TotalTime>0</TotalTime>
  <ScaleCrop>false</ScaleCrop>
  <LinksUpToDate>false</LinksUpToDate>
  <CharactersWithSpaces>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Jnkun</cp:lastModifiedBy>
  <cp:lastPrinted>2024-04-02T17:17:00Z</cp:lastPrinted>
  <dcterms:modified xsi:type="dcterms:W3CDTF">2025-06-30T07:32:16Z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B6A2B49F368A49639B6C7F0F644C5B25_13</vt:lpwstr>
  </property>
  <property fmtid="{D5CDD505-2E9C-101B-9397-08002B2CF9AE}" pid="5" name="commondata">
    <vt:lpwstr>eyJoZGlkIjoiNGNlMmFkMDQ1NDY0ZmRiM2Q0NjY4NTFjN2IwMTllYjMifQ==</vt:lpwstr>
  </property>
  <property fmtid="{D5CDD505-2E9C-101B-9397-08002B2CF9AE}" pid="6" name="KSOTemplateDocerSaveRecord">
    <vt:lpwstr>eyJoZGlkIjoiZDQ3MTgzNzA2NzdiZWM1Yjg1YzAxNmU3NWNmODFjMmMiLCJ1c2VySWQiOiIxNzg2MzQ1MCJ9</vt:lpwstr>
  </property>
</Properties>
</file>