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jc w:val="center"/>
        <w:textAlignment w:val="bottom"/>
        <w:outlineLvl w:val="0"/>
        <w:rPr>
          <w:rFonts w:hint="eastAsia" w:ascii="宋体"/>
          <w:b/>
          <w:bCs/>
          <w:kern w:val="0"/>
          <w:sz w:val="44"/>
          <w:szCs w:val="44"/>
        </w:rPr>
      </w:pPr>
      <w:bookmarkStart w:id="0" w:name="_Toc8206"/>
      <w:bookmarkStart w:id="1" w:name="_Toc21155"/>
      <w:bookmarkStart w:id="2" w:name="_Toc3675"/>
      <w:r>
        <w:rPr>
          <w:rFonts w:hint="eastAsia" w:ascii="宋体"/>
          <w:b/>
          <w:kern w:val="0"/>
          <w:sz w:val="96"/>
          <w:szCs w:val="96"/>
        </w:rPr>
        <w:t>公开采购文件</w:t>
      </w:r>
      <w:bookmarkEnd w:id="0"/>
      <w:bookmarkEnd w:id="1"/>
      <w:bookmarkEnd w:id="2"/>
    </w:p>
    <w:p>
      <w:pPr>
        <w:shd w:val="clear" w:color="auto" w:fill="FFFFFF"/>
        <w:spacing w:line="360" w:lineRule="auto"/>
        <w:jc w:val="center"/>
        <w:textAlignment w:val="bottom"/>
        <w:rPr>
          <w:rFonts w:hint="eastAsia" w:ascii="宋体"/>
          <w:b/>
          <w:bCs/>
          <w:kern w:val="0"/>
          <w:sz w:val="44"/>
          <w:szCs w:val="44"/>
        </w:rPr>
      </w:pPr>
    </w:p>
    <w:p>
      <w:pPr>
        <w:keepNext w:val="0"/>
        <w:keepLines w:val="0"/>
        <w:pageBreakBefore w:val="0"/>
        <w:shd w:val="clear" w:color="auto" w:fill="FFFFFF"/>
        <w:kinsoku/>
        <w:wordWrap/>
        <w:overflowPunct/>
        <w:topLinePunct w:val="0"/>
        <w:bidi w:val="0"/>
        <w:adjustRightInd/>
        <w:snapToGrid/>
        <w:spacing w:line="480" w:lineRule="auto"/>
        <w:jc w:val="center"/>
        <w:textAlignment w:val="bottom"/>
        <w:rPr>
          <w:rFonts w:hint="eastAsia"/>
          <w:b/>
          <w:sz w:val="32"/>
          <w:szCs w:val="32"/>
          <w:highlight w:val="none"/>
          <w:lang w:val="en-US" w:eastAsia="zh-CN"/>
        </w:rPr>
      </w:pPr>
    </w:p>
    <w:p>
      <w:pPr>
        <w:keepNext w:val="0"/>
        <w:keepLines w:val="0"/>
        <w:pageBreakBefore w:val="0"/>
        <w:shd w:val="clear" w:color="auto" w:fill="FFFFFF"/>
        <w:kinsoku/>
        <w:wordWrap/>
        <w:overflowPunct/>
        <w:topLinePunct w:val="0"/>
        <w:bidi w:val="0"/>
        <w:adjustRightInd/>
        <w:snapToGrid/>
        <w:spacing w:line="480" w:lineRule="auto"/>
        <w:jc w:val="center"/>
        <w:textAlignment w:val="bottom"/>
        <w:rPr>
          <w:rFonts w:hint="eastAsia"/>
          <w:b/>
          <w:sz w:val="32"/>
          <w:szCs w:val="32"/>
          <w:highlight w:val="none"/>
          <w:lang w:val="en-US" w:eastAsia="zh-CN"/>
        </w:rPr>
      </w:pPr>
    </w:p>
    <w:p>
      <w:pPr>
        <w:keepNext w:val="0"/>
        <w:keepLines w:val="0"/>
        <w:pageBreakBefore w:val="0"/>
        <w:shd w:val="clear" w:color="auto" w:fill="FFFFFF"/>
        <w:kinsoku/>
        <w:wordWrap/>
        <w:overflowPunct/>
        <w:topLinePunct w:val="0"/>
        <w:bidi w:val="0"/>
        <w:adjustRightInd/>
        <w:snapToGrid/>
        <w:spacing w:line="480" w:lineRule="auto"/>
        <w:jc w:val="left"/>
        <w:textAlignment w:val="bottom"/>
        <w:rPr>
          <w:rFonts w:hint="default" w:eastAsia="宋体"/>
          <w:b/>
          <w:sz w:val="32"/>
          <w:szCs w:val="32"/>
          <w:highlight w:val="none"/>
          <w:u w:val="single"/>
          <w:lang w:val="en-US" w:eastAsia="zh-CN"/>
        </w:rPr>
      </w:pPr>
      <w:r>
        <w:rPr>
          <w:rFonts w:hint="eastAsia"/>
          <w:b/>
          <w:sz w:val="32"/>
          <w:szCs w:val="32"/>
          <w:highlight w:val="none"/>
          <w:lang w:val="en-US" w:eastAsia="zh-CN"/>
        </w:rPr>
        <w:t>项目名称：</w:t>
      </w:r>
      <w:r>
        <w:rPr>
          <w:rFonts w:hint="eastAsia"/>
          <w:b/>
          <w:sz w:val="32"/>
          <w:szCs w:val="32"/>
          <w:highlight w:val="none"/>
          <w:u w:val="single"/>
          <w:lang w:val="en-US" w:eastAsia="zh-CN"/>
        </w:rPr>
        <w:t xml:space="preserve">  鄞州区省级“无废城市”建设技术服务项目  </w:t>
      </w:r>
    </w:p>
    <w:p>
      <w:pPr>
        <w:keepNext w:val="0"/>
        <w:keepLines w:val="0"/>
        <w:pageBreakBefore w:val="0"/>
        <w:shd w:val="clear" w:color="auto" w:fill="FFFFFF"/>
        <w:kinsoku/>
        <w:wordWrap/>
        <w:overflowPunct/>
        <w:topLinePunct w:val="0"/>
        <w:bidi w:val="0"/>
        <w:adjustRightInd/>
        <w:snapToGrid/>
        <w:spacing w:line="480" w:lineRule="auto"/>
        <w:jc w:val="left"/>
        <w:textAlignment w:val="bottom"/>
        <w:rPr>
          <w:rFonts w:hint="eastAsia"/>
          <w:b/>
          <w:sz w:val="32"/>
          <w:szCs w:val="32"/>
          <w:highlight w:val="none"/>
        </w:rPr>
      </w:pPr>
    </w:p>
    <w:p>
      <w:pPr>
        <w:keepNext w:val="0"/>
        <w:keepLines w:val="0"/>
        <w:pageBreakBefore w:val="0"/>
        <w:shd w:val="clear" w:color="auto" w:fill="FFFFFF"/>
        <w:kinsoku/>
        <w:wordWrap/>
        <w:overflowPunct/>
        <w:topLinePunct w:val="0"/>
        <w:bidi w:val="0"/>
        <w:adjustRightInd/>
        <w:snapToGrid/>
        <w:spacing w:line="480" w:lineRule="auto"/>
        <w:jc w:val="left"/>
        <w:textAlignment w:val="bottom"/>
        <w:rPr>
          <w:rFonts w:hint="eastAsia"/>
          <w:b/>
          <w:sz w:val="32"/>
          <w:szCs w:val="32"/>
          <w:highlight w:val="none"/>
          <w:lang w:val="en-US" w:eastAsia="zh-CN"/>
        </w:rPr>
      </w:pPr>
    </w:p>
    <w:p>
      <w:pPr>
        <w:keepNext w:val="0"/>
        <w:keepLines w:val="0"/>
        <w:pageBreakBefore w:val="0"/>
        <w:shd w:val="clear" w:color="auto" w:fill="FFFFFF"/>
        <w:kinsoku/>
        <w:wordWrap/>
        <w:overflowPunct/>
        <w:topLinePunct w:val="0"/>
        <w:bidi w:val="0"/>
        <w:adjustRightInd/>
        <w:snapToGrid/>
        <w:spacing w:line="480" w:lineRule="auto"/>
        <w:jc w:val="left"/>
        <w:textAlignment w:val="bottom"/>
        <w:rPr>
          <w:rFonts w:hint="eastAsia" w:eastAsia="宋体"/>
          <w:b/>
          <w:sz w:val="32"/>
          <w:szCs w:val="32"/>
          <w:highlight w:val="none"/>
          <w:u w:val="single"/>
          <w:lang w:val="en-US" w:eastAsia="zh-CN"/>
        </w:rPr>
      </w:pPr>
      <w:r>
        <w:rPr>
          <w:rFonts w:hint="eastAsia"/>
          <w:b/>
          <w:sz w:val="32"/>
          <w:szCs w:val="32"/>
          <w:highlight w:val="none"/>
          <w:lang w:val="en-US" w:eastAsia="zh-CN"/>
        </w:rPr>
        <w:t>项目编号：</w:t>
      </w:r>
      <w:r>
        <w:rPr>
          <w:rFonts w:hint="eastAsia"/>
          <w:b/>
          <w:sz w:val="32"/>
          <w:szCs w:val="32"/>
          <w:highlight w:val="none"/>
          <w:u w:val="single"/>
          <w:lang w:val="en-US" w:eastAsia="zh-CN"/>
        </w:rPr>
        <w:t xml:space="preserve">            </w:t>
      </w:r>
      <w:r>
        <w:rPr>
          <w:rFonts w:hint="eastAsia" w:ascii="宋体" w:hAnsi="宋体" w:eastAsia="宋体" w:cs="宋体"/>
          <w:b/>
          <w:sz w:val="32"/>
          <w:szCs w:val="32"/>
          <w:highlight w:val="none"/>
          <w:u w:val="single"/>
          <w:lang w:val="en-US" w:eastAsia="zh-CN"/>
        </w:rPr>
        <w:t>正基（2025）20</w:t>
      </w:r>
      <w:r>
        <w:rPr>
          <w:rFonts w:hint="eastAsia" w:ascii="宋体" w:hAnsi="宋体" w:cs="宋体"/>
          <w:b/>
          <w:sz w:val="32"/>
          <w:szCs w:val="32"/>
          <w:highlight w:val="none"/>
          <w:u w:val="single"/>
          <w:lang w:val="en-US" w:eastAsia="zh-CN"/>
        </w:rPr>
        <w:t>29</w:t>
      </w:r>
      <w:r>
        <w:rPr>
          <w:rFonts w:hint="eastAsia" w:ascii="宋体" w:hAnsi="宋体" w:eastAsia="宋体" w:cs="宋体"/>
          <w:b/>
          <w:sz w:val="32"/>
          <w:szCs w:val="32"/>
          <w:highlight w:val="none"/>
          <w:u w:val="single"/>
          <w:lang w:val="en-US" w:eastAsia="zh-CN"/>
        </w:rPr>
        <w:t xml:space="preserve">号   </w:t>
      </w:r>
      <w:r>
        <w:rPr>
          <w:rFonts w:hint="eastAsia"/>
          <w:b/>
          <w:sz w:val="32"/>
          <w:szCs w:val="32"/>
          <w:highlight w:val="none"/>
          <w:u w:val="single"/>
          <w:lang w:val="en-US" w:eastAsia="zh-CN"/>
        </w:rPr>
        <w:t xml:space="preserve">        </w:t>
      </w:r>
    </w:p>
    <w:p>
      <w:pPr>
        <w:keepNext w:val="0"/>
        <w:keepLines w:val="0"/>
        <w:pageBreakBefore w:val="0"/>
        <w:shd w:val="clear" w:color="auto" w:fill="FFFFFF"/>
        <w:kinsoku/>
        <w:wordWrap/>
        <w:overflowPunct/>
        <w:topLinePunct w:val="0"/>
        <w:bidi w:val="0"/>
        <w:adjustRightInd/>
        <w:snapToGrid/>
        <w:spacing w:line="480" w:lineRule="auto"/>
        <w:jc w:val="left"/>
        <w:textAlignment w:val="bottom"/>
        <w:rPr>
          <w:rFonts w:ascii="宋体"/>
          <w:b/>
          <w:bCs/>
          <w:kern w:val="0"/>
          <w:sz w:val="32"/>
          <w:szCs w:val="32"/>
        </w:rPr>
      </w:pPr>
    </w:p>
    <w:p>
      <w:pPr>
        <w:keepNext w:val="0"/>
        <w:keepLines w:val="0"/>
        <w:pageBreakBefore w:val="0"/>
        <w:shd w:val="clear" w:color="auto" w:fill="FFFFFF"/>
        <w:kinsoku/>
        <w:wordWrap/>
        <w:overflowPunct/>
        <w:topLinePunct w:val="0"/>
        <w:bidi w:val="0"/>
        <w:adjustRightInd/>
        <w:snapToGrid/>
        <w:spacing w:line="480" w:lineRule="auto"/>
        <w:jc w:val="left"/>
        <w:textAlignment w:val="bottom"/>
        <w:rPr>
          <w:rFonts w:ascii="宋体"/>
          <w:b/>
          <w:kern w:val="0"/>
          <w:sz w:val="32"/>
          <w:szCs w:val="32"/>
        </w:rPr>
      </w:pPr>
    </w:p>
    <w:p>
      <w:pPr>
        <w:keepNext w:val="0"/>
        <w:keepLines w:val="0"/>
        <w:pageBreakBefore w:val="0"/>
        <w:shd w:val="clear" w:color="auto" w:fill="FFFFFF"/>
        <w:kinsoku/>
        <w:wordWrap/>
        <w:overflowPunct/>
        <w:topLinePunct w:val="0"/>
        <w:bidi w:val="0"/>
        <w:adjustRightInd/>
        <w:snapToGrid/>
        <w:spacing w:line="480" w:lineRule="auto"/>
        <w:jc w:val="left"/>
        <w:textAlignment w:val="bottom"/>
        <w:rPr>
          <w:rFonts w:hint="default" w:ascii="宋体" w:eastAsia="宋体"/>
          <w:b/>
          <w:kern w:val="0"/>
          <w:sz w:val="32"/>
          <w:szCs w:val="32"/>
          <w:lang w:val="en-US" w:eastAsia="zh-CN"/>
        </w:rPr>
      </w:pPr>
      <w:r>
        <w:rPr>
          <w:rFonts w:hint="eastAsia" w:ascii="宋体"/>
          <w:b/>
          <w:kern w:val="0"/>
          <w:sz w:val="32"/>
          <w:szCs w:val="32"/>
        </w:rPr>
        <w:t>采购人：</w:t>
      </w:r>
      <w:r>
        <w:rPr>
          <w:rFonts w:hint="eastAsia"/>
          <w:b/>
          <w:sz w:val="32"/>
          <w:szCs w:val="32"/>
          <w:highlight w:val="none"/>
          <w:u w:val="single"/>
          <w:lang w:val="en-US" w:eastAsia="zh-CN"/>
        </w:rPr>
        <w:t xml:space="preserve">     </w:t>
      </w:r>
      <w:r>
        <w:rPr>
          <w:rFonts w:hint="eastAsia" w:ascii="宋体"/>
          <w:b/>
          <w:kern w:val="0"/>
          <w:sz w:val="32"/>
          <w:szCs w:val="32"/>
          <w:u w:val="single"/>
          <w:lang w:eastAsia="zh-CN"/>
        </w:rPr>
        <w:t>宁波市生态环境局鄞州分局（</w:t>
      </w:r>
      <w:r>
        <w:rPr>
          <w:rFonts w:hint="eastAsia" w:ascii="宋体"/>
          <w:b/>
          <w:kern w:val="0"/>
          <w:sz w:val="32"/>
          <w:szCs w:val="32"/>
          <w:u w:val="single"/>
          <w:lang w:val="en-US" w:eastAsia="zh-CN"/>
        </w:rPr>
        <w:t>盖章</w:t>
      </w:r>
      <w:r>
        <w:rPr>
          <w:rFonts w:hint="eastAsia" w:ascii="宋体"/>
          <w:b/>
          <w:kern w:val="0"/>
          <w:sz w:val="32"/>
          <w:szCs w:val="32"/>
          <w:u w:val="single"/>
          <w:lang w:eastAsia="zh-CN"/>
        </w:rPr>
        <w:t>）</w:t>
      </w:r>
      <w:r>
        <w:rPr>
          <w:rFonts w:hint="eastAsia"/>
          <w:b/>
          <w:sz w:val="32"/>
          <w:szCs w:val="32"/>
          <w:highlight w:val="none"/>
          <w:u w:val="single"/>
          <w:lang w:val="en-US" w:eastAsia="zh-CN"/>
        </w:rPr>
        <w:t xml:space="preserve">     </w:t>
      </w:r>
    </w:p>
    <w:p>
      <w:pPr>
        <w:pStyle w:val="3"/>
        <w:keepNext w:val="0"/>
        <w:keepLines w:val="0"/>
        <w:pageBreakBefore w:val="0"/>
        <w:kinsoku/>
        <w:wordWrap/>
        <w:overflowPunct/>
        <w:topLinePunct w:val="0"/>
        <w:bidi w:val="0"/>
        <w:adjustRightInd/>
        <w:snapToGrid/>
        <w:spacing w:line="480" w:lineRule="auto"/>
        <w:jc w:val="left"/>
        <w:rPr>
          <w:rFonts w:hint="eastAsia"/>
          <w:sz w:val="32"/>
          <w:szCs w:val="32"/>
        </w:rPr>
      </w:pPr>
    </w:p>
    <w:p>
      <w:pPr>
        <w:pStyle w:val="13"/>
        <w:keepNext w:val="0"/>
        <w:keepLines w:val="0"/>
        <w:pageBreakBefore w:val="0"/>
        <w:kinsoku/>
        <w:wordWrap/>
        <w:overflowPunct/>
        <w:topLinePunct w:val="0"/>
        <w:bidi w:val="0"/>
        <w:adjustRightInd/>
        <w:snapToGrid/>
        <w:spacing w:line="480" w:lineRule="auto"/>
        <w:ind w:left="0" w:leftChars="0" w:firstLine="0" w:firstLineChars="0"/>
        <w:jc w:val="left"/>
        <w:rPr>
          <w:sz w:val="32"/>
          <w:szCs w:val="32"/>
        </w:rPr>
      </w:pPr>
    </w:p>
    <w:p>
      <w:pPr>
        <w:keepNext w:val="0"/>
        <w:keepLines w:val="0"/>
        <w:pageBreakBefore w:val="0"/>
        <w:kinsoku/>
        <w:wordWrap/>
        <w:overflowPunct/>
        <w:topLinePunct w:val="0"/>
        <w:autoSpaceDE w:val="0"/>
        <w:autoSpaceDN w:val="0"/>
        <w:bidi w:val="0"/>
        <w:adjustRightInd/>
        <w:snapToGrid/>
        <w:spacing w:line="480" w:lineRule="auto"/>
        <w:jc w:val="left"/>
        <w:rPr>
          <w:rFonts w:hint="eastAsia" w:ascii="宋体"/>
          <w:b/>
          <w:kern w:val="0"/>
          <w:sz w:val="32"/>
          <w:szCs w:val="32"/>
          <w:u w:val="single"/>
        </w:rPr>
      </w:pPr>
      <w:r>
        <w:rPr>
          <w:rFonts w:hint="eastAsia" w:ascii="宋体"/>
          <w:b/>
          <w:bCs/>
          <w:kern w:val="0"/>
          <w:sz w:val="32"/>
          <w:szCs w:val="32"/>
        </w:rPr>
        <w:t>采购代理机构：</w:t>
      </w:r>
      <w:r>
        <w:rPr>
          <w:rFonts w:hint="eastAsia" w:ascii="宋体"/>
          <w:b/>
          <w:bCs/>
          <w:kern w:val="0"/>
          <w:sz w:val="32"/>
          <w:szCs w:val="32"/>
          <w:u w:val="single"/>
        </w:rPr>
        <w:t>宁</w:t>
      </w:r>
      <w:r>
        <w:rPr>
          <w:rFonts w:hint="eastAsia" w:ascii="宋体"/>
          <w:b/>
          <w:kern w:val="0"/>
          <w:sz w:val="32"/>
          <w:szCs w:val="32"/>
          <w:u w:val="single"/>
        </w:rPr>
        <w:t>波正源工程造价咨询有限公司</w:t>
      </w:r>
      <w:r>
        <w:rPr>
          <w:rFonts w:hint="eastAsia" w:ascii="宋体"/>
          <w:b/>
          <w:kern w:val="0"/>
          <w:sz w:val="32"/>
          <w:szCs w:val="32"/>
          <w:u w:val="single"/>
          <w:lang w:eastAsia="zh-CN"/>
        </w:rPr>
        <w:t>（</w:t>
      </w:r>
      <w:r>
        <w:rPr>
          <w:rFonts w:hint="eastAsia" w:ascii="宋体"/>
          <w:b/>
          <w:kern w:val="0"/>
          <w:sz w:val="32"/>
          <w:szCs w:val="32"/>
          <w:u w:val="single"/>
          <w:lang w:val="en-US" w:eastAsia="zh-CN"/>
        </w:rPr>
        <w:t>盖章</w:t>
      </w:r>
      <w:r>
        <w:rPr>
          <w:rFonts w:hint="eastAsia" w:ascii="宋体"/>
          <w:b/>
          <w:kern w:val="0"/>
          <w:sz w:val="32"/>
          <w:szCs w:val="32"/>
          <w:u w:val="single"/>
          <w:lang w:eastAsia="zh-CN"/>
        </w:rPr>
        <w:t>）</w:t>
      </w:r>
      <w:r>
        <w:rPr>
          <w:rFonts w:hint="eastAsia"/>
          <w:b/>
          <w:sz w:val="32"/>
          <w:szCs w:val="32"/>
          <w:highlight w:val="none"/>
          <w:u w:val="single"/>
          <w:lang w:val="en-US" w:eastAsia="zh-CN"/>
        </w:rPr>
        <w:t xml:space="preserve"> </w:t>
      </w:r>
    </w:p>
    <w:p>
      <w:pPr>
        <w:pStyle w:val="3"/>
        <w:keepNext w:val="0"/>
        <w:keepLines w:val="0"/>
        <w:pageBreakBefore w:val="0"/>
        <w:kinsoku/>
        <w:wordWrap/>
        <w:overflowPunct/>
        <w:topLinePunct w:val="0"/>
        <w:bidi w:val="0"/>
        <w:adjustRightInd/>
        <w:snapToGrid/>
        <w:spacing w:line="480" w:lineRule="auto"/>
        <w:jc w:val="left"/>
        <w:rPr>
          <w:rFonts w:hint="eastAsia"/>
          <w:sz w:val="32"/>
          <w:szCs w:val="32"/>
        </w:rPr>
      </w:pPr>
    </w:p>
    <w:p>
      <w:pPr>
        <w:pStyle w:val="3"/>
        <w:keepNext w:val="0"/>
        <w:keepLines w:val="0"/>
        <w:pageBreakBefore w:val="0"/>
        <w:kinsoku/>
        <w:wordWrap/>
        <w:overflowPunct/>
        <w:topLinePunct w:val="0"/>
        <w:bidi w:val="0"/>
        <w:adjustRightInd/>
        <w:snapToGrid/>
        <w:spacing w:line="480" w:lineRule="auto"/>
        <w:jc w:val="left"/>
        <w:rPr>
          <w:rFonts w:hint="eastAsia"/>
          <w:sz w:val="32"/>
          <w:szCs w:val="32"/>
        </w:rPr>
      </w:pPr>
    </w:p>
    <w:p>
      <w:pPr>
        <w:keepNext w:val="0"/>
        <w:keepLines w:val="0"/>
        <w:pageBreakBefore w:val="0"/>
        <w:kinsoku/>
        <w:wordWrap/>
        <w:overflowPunct/>
        <w:topLinePunct w:val="0"/>
        <w:autoSpaceDE w:val="0"/>
        <w:autoSpaceDN w:val="0"/>
        <w:bidi w:val="0"/>
        <w:adjustRightInd/>
        <w:snapToGrid/>
        <w:spacing w:line="480" w:lineRule="auto"/>
        <w:jc w:val="left"/>
        <w:rPr>
          <w:rFonts w:hint="default" w:ascii="Times New Roman" w:hAnsi="Times New Roman" w:eastAsia="宋体" w:cs="Times New Roman"/>
          <w:b/>
          <w:sz w:val="32"/>
          <w:szCs w:val="32"/>
          <w:highlight w:val="none"/>
          <w:u w:val="single"/>
          <w:lang w:val="en-US" w:eastAsia="zh-CN"/>
        </w:rPr>
      </w:pPr>
      <w:r>
        <w:rPr>
          <w:rFonts w:hint="eastAsia" w:ascii="宋体" w:hAnsi="Times New Roman" w:eastAsia="宋体" w:cs="Times New Roman"/>
          <w:b/>
          <w:bCs/>
          <w:kern w:val="0"/>
          <w:sz w:val="32"/>
          <w:szCs w:val="32"/>
          <w:lang w:val="en-US" w:eastAsia="zh-CN"/>
        </w:rPr>
        <w:t>编制日期：</w:t>
      </w:r>
      <w:r>
        <w:rPr>
          <w:rFonts w:hint="eastAsia" w:ascii="Times New Roman" w:hAnsi="Times New Roman" w:eastAsia="宋体" w:cs="Times New Roman"/>
          <w:b/>
          <w:sz w:val="32"/>
          <w:szCs w:val="32"/>
          <w:highlight w:val="none"/>
          <w:u w:val="single"/>
          <w:lang w:val="en-US" w:eastAsia="zh-CN"/>
        </w:rPr>
        <w:t xml:space="preserve">                </w:t>
      </w:r>
      <w:r>
        <w:rPr>
          <w:rFonts w:hint="eastAsia" w:ascii="宋体" w:hAnsi="宋体" w:eastAsia="宋体" w:cs="宋体"/>
          <w:b/>
          <w:sz w:val="32"/>
          <w:szCs w:val="32"/>
          <w:highlight w:val="none"/>
          <w:u w:val="single"/>
          <w:lang w:val="en-US" w:eastAsia="zh-CN"/>
        </w:rPr>
        <w:t>2025年0</w:t>
      </w:r>
      <w:r>
        <w:rPr>
          <w:rFonts w:hint="eastAsia" w:ascii="宋体" w:hAnsi="宋体" w:cs="宋体"/>
          <w:b/>
          <w:sz w:val="32"/>
          <w:szCs w:val="32"/>
          <w:highlight w:val="none"/>
          <w:u w:val="single"/>
          <w:lang w:val="en-US" w:eastAsia="zh-CN"/>
        </w:rPr>
        <w:t>7</w:t>
      </w:r>
      <w:r>
        <w:rPr>
          <w:rFonts w:hint="eastAsia" w:ascii="宋体" w:hAnsi="宋体" w:eastAsia="宋体" w:cs="宋体"/>
          <w:b/>
          <w:sz w:val="32"/>
          <w:szCs w:val="32"/>
          <w:highlight w:val="none"/>
          <w:u w:val="single"/>
          <w:lang w:val="en-US" w:eastAsia="zh-CN"/>
        </w:rPr>
        <w:t xml:space="preserve">月 </w:t>
      </w:r>
      <w:r>
        <w:rPr>
          <w:rFonts w:hint="eastAsia" w:ascii="Times New Roman" w:hAnsi="Times New Roman" w:eastAsia="宋体" w:cs="Times New Roman"/>
          <w:b/>
          <w:sz w:val="32"/>
          <w:szCs w:val="32"/>
          <w:highlight w:val="none"/>
          <w:u w:val="single"/>
          <w:lang w:val="en-US" w:eastAsia="zh-CN"/>
        </w:rPr>
        <w:t xml:space="preserve">              </w:t>
      </w:r>
    </w:p>
    <w:p>
      <w:pPr>
        <w:keepNext w:val="0"/>
        <w:keepLines w:val="0"/>
        <w:pageBreakBefore w:val="0"/>
        <w:kinsoku/>
        <w:wordWrap/>
        <w:overflowPunct/>
        <w:topLinePunct w:val="0"/>
        <w:autoSpaceDE w:val="0"/>
        <w:autoSpaceDN w:val="0"/>
        <w:bidi w:val="0"/>
        <w:adjustRightInd/>
        <w:snapToGrid/>
        <w:spacing w:line="480" w:lineRule="auto"/>
        <w:jc w:val="center"/>
        <w:rPr>
          <w:rFonts w:hint="eastAsia" w:ascii="宋体"/>
          <w:kern w:val="0"/>
          <w:sz w:val="32"/>
          <w:szCs w:val="32"/>
        </w:rPr>
      </w:pPr>
    </w:p>
    <w:p>
      <w:pPr>
        <w:keepNext w:val="0"/>
        <w:keepLines w:val="0"/>
        <w:pageBreakBefore w:val="0"/>
        <w:kinsoku/>
        <w:wordWrap/>
        <w:overflowPunct/>
        <w:topLinePunct w:val="0"/>
        <w:autoSpaceDE w:val="0"/>
        <w:autoSpaceDN w:val="0"/>
        <w:bidi w:val="0"/>
        <w:adjustRightInd/>
        <w:snapToGrid/>
        <w:spacing w:line="480" w:lineRule="auto"/>
        <w:jc w:val="center"/>
        <w:rPr>
          <w:rFonts w:hint="eastAsia" w:ascii="宋体"/>
          <w:kern w:val="0"/>
          <w:sz w:val="30"/>
          <w:szCs w:val="30"/>
        </w:rPr>
      </w:pPr>
    </w:p>
    <w:p>
      <w:pPr>
        <w:shd w:val="clear" w:color="auto" w:fill="FFFFFF"/>
        <w:spacing w:line="360" w:lineRule="auto"/>
        <w:jc w:val="center"/>
        <w:textAlignment w:val="bottom"/>
        <w:rPr>
          <w:rFonts w:hint="eastAsia" w:ascii="宋体"/>
          <w:b/>
          <w:bCs/>
          <w:kern w:val="0"/>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
      <w:sdtPr>
        <w:rPr>
          <w:rFonts w:ascii="宋体" w:hAnsi="宋体" w:eastAsia="宋体" w:cstheme="minorBidi"/>
          <w:kern w:val="2"/>
          <w:sz w:val="21"/>
          <w:szCs w:val="24"/>
          <w:lang w:val="en-US" w:eastAsia="zh-CN" w:bidi="ar-SA"/>
        </w:rPr>
        <w:id w:val="147469469"/>
        <w15:color w:val="DBDBDB"/>
        <w:docPartObj>
          <w:docPartGallery w:val="Table of Contents"/>
          <w:docPartUnique/>
        </w:docPartObj>
      </w:sdtPr>
      <w:sdtEndPr>
        <w:rPr>
          <w:rFonts w:hint="eastAsia" w:ascii="宋体" w:hAnsi="宋体" w:eastAsia="宋体" w:cs="宋体"/>
          <w:kern w:val="2"/>
          <w:sz w:val="21"/>
          <w:szCs w:val="36"/>
          <w:lang w:val="en-US" w:eastAsia="zh-CN" w:bidi="ar-SA"/>
        </w:rPr>
      </w:sdtEndPr>
      <w:sdtContent>
        <w:p>
          <w:pPr>
            <w:spacing w:before="0" w:beforeLines="0" w:after="0" w:afterLines="0" w:line="240" w:lineRule="auto"/>
            <w:ind w:left="0" w:leftChars="0" w:right="0" w:rightChars="0" w:firstLine="0" w:firstLineChars="0"/>
            <w:jc w:val="center"/>
            <w:rPr>
              <w:b/>
              <w:bCs/>
              <w:sz w:val="52"/>
              <w:szCs w:val="72"/>
            </w:rPr>
          </w:pPr>
          <w:r>
            <w:rPr>
              <w:rFonts w:ascii="宋体" w:hAnsi="宋体" w:eastAsia="宋体"/>
              <w:b/>
              <w:bCs/>
              <w:sz w:val="52"/>
              <w:szCs w:val="72"/>
            </w:rPr>
            <w:t>目录</w:t>
          </w:r>
        </w:p>
        <w:p>
          <w:pPr>
            <w:pStyle w:val="18"/>
            <w:tabs>
              <w:tab w:val="right" w:leader="dot" w:pos="8306"/>
            </w:tabs>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TOC \o "1-1" \h \u </w:instrText>
          </w:r>
          <w:r>
            <w:rPr>
              <w:rFonts w:hint="eastAsia" w:ascii="宋体" w:hAnsi="宋体" w:eastAsia="宋体" w:cs="宋体"/>
              <w:sz w:val="28"/>
              <w:szCs w:val="36"/>
            </w:rPr>
            <w:fldChar w:fldCharType="separate"/>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720" w:lineRule="auto"/>
            <w:textAlignment w:val="auto"/>
            <w:rPr>
              <w:rFonts w:hint="eastAsia" w:ascii="宋体" w:hAnsi="宋体" w:eastAsia="宋体" w:cs="宋体"/>
              <w:sz w:val="28"/>
              <w:szCs w:val="28"/>
            </w:rPr>
          </w:pPr>
          <w:r>
            <w:rPr>
              <w:rFonts w:hint="eastAsia" w:ascii="宋体" w:hAnsi="宋体" w:eastAsia="宋体" w:cs="宋体"/>
              <w:sz w:val="28"/>
              <w:szCs w:val="52"/>
            </w:rPr>
            <w:fldChar w:fldCharType="begin"/>
          </w:r>
          <w:r>
            <w:rPr>
              <w:rFonts w:hint="eastAsia" w:ascii="宋体" w:hAnsi="宋体" w:eastAsia="宋体" w:cs="宋体"/>
              <w:sz w:val="28"/>
              <w:szCs w:val="52"/>
            </w:rPr>
            <w:instrText xml:space="preserve"> HYPERLINK \l _Toc9087 </w:instrText>
          </w:r>
          <w:r>
            <w:rPr>
              <w:rFonts w:hint="eastAsia" w:ascii="宋体" w:hAnsi="宋体" w:eastAsia="宋体" w:cs="宋体"/>
              <w:sz w:val="28"/>
              <w:szCs w:val="52"/>
            </w:rPr>
            <w:fldChar w:fldCharType="separate"/>
          </w:r>
          <w:r>
            <w:rPr>
              <w:rFonts w:hint="eastAsia" w:ascii="宋体" w:hAnsi="宋体" w:eastAsia="宋体" w:cs="宋体"/>
              <w:sz w:val="28"/>
              <w:szCs w:val="28"/>
            </w:rPr>
            <w:t>第一部分 招标公告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_Toc9087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52"/>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720" w:lineRule="auto"/>
            <w:textAlignment w:val="auto"/>
            <w:rPr>
              <w:rFonts w:hint="eastAsia" w:ascii="宋体" w:hAnsi="宋体" w:eastAsia="宋体" w:cs="宋体"/>
              <w:sz w:val="28"/>
              <w:szCs w:val="28"/>
            </w:rPr>
          </w:pPr>
          <w:r>
            <w:rPr>
              <w:rFonts w:hint="eastAsia" w:ascii="宋体" w:hAnsi="宋体" w:eastAsia="宋体" w:cs="宋体"/>
              <w:sz w:val="28"/>
              <w:szCs w:val="52"/>
            </w:rPr>
            <w:fldChar w:fldCharType="begin"/>
          </w:r>
          <w:r>
            <w:rPr>
              <w:rFonts w:hint="eastAsia" w:ascii="宋体" w:hAnsi="宋体" w:eastAsia="宋体" w:cs="宋体"/>
              <w:sz w:val="28"/>
              <w:szCs w:val="52"/>
            </w:rPr>
            <w:instrText xml:space="preserve"> HYPERLINK \l _Toc13170 </w:instrText>
          </w:r>
          <w:r>
            <w:rPr>
              <w:rFonts w:hint="eastAsia" w:ascii="宋体" w:hAnsi="宋体" w:eastAsia="宋体" w:cs="宋体"/>
              <w:sz w:val="28"/>
              <w:szCs w:val="52"/>
            </w:rPr>
            <w:fldChar w:fldCharType="separate"/>
          </w:r>
          <w:r>
            <w:rPr>
              <w:rFonts w:hint="eastAsia" w:ascii="宋体" w:hAnsi="宋体" w:eastAsia="宋体" w:cs="宋体"/>
              <w:sz w:val="28"/>
              <w:szCs w:val="28"/>
            </w:rPr>
            <w:t>第二部分  投标资料表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_Toc13170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52"/>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720" w:lineRule="auto"/>
            <w:textAlignment w:val="auto"/>
            <w:rPr>
              <w:rFonts w:hint="eastAsia" w:ascii="宋体" w:hAnsi="宋体" w:eastAsia="宋体" w:cs="宋体"/>
              <w:sz w:val="28"/>
              <w:szCs w:val="28"/>
            </w:rPr>
          </w:pPr>
          <w:r>
            <w:rPr>
              <w:rFonts w:hint="eastAsia" w:ascii="宋体" w:hAnsi="宋体" w:eastAsia="宋体" w:cs="宋体"/>
              <w:sz w:val="28"/>
              <w:szCs w:val="52"/>
            </w:rPr>
            <w:fldChar w:fldCharType="begin"/>
          </w:r>
          <w:r>
            <w:rPr>
              <w:rFonts w:hint="eastAsia" w:ascii="宋体" w:hAnsi="宋体" w:eastAsia="宋体" w:cs="宋体"/>
              <w:sz w:val="28"/>
              <w:szCs w:val="52"/>
            </w:rPr>
            <w:instrText xml:space="preserve"> HYPERLINK \l _Toc1173 </w:instrText>
          </w:r>
          <w:r>
            <w:rPr>
              <w:rFonts w:hint="eastAsia" w:ascii="宋体" w:hAnsi="宋体" w:eastAsia="宋体" w:cs="宋体"/>
              <w:sz w:val="28"/>
              <w:szCs w:val="52"/>
            </w:rPr>
            <w:fldChar w:fldCharType="separate"/>
          </w:r>
          <w:r>
            <w:rPr>
              <w:rFonts w:hint="eastAsia" w:ascii="宋体" w:hAnsi="宋体" w:eastAsia="宋体" w:cs="宋体"/>
              <w:sz w:val="28"/>
              <w:szCs w:val="28"/>
            </w:rPr>
            <w:t>第三部分 投标人须知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_Toc1173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52"/>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720" w:lineRule="auto"/>
            <w:textAlignment w:val="auto"/>
            <w:rPr>
              <w:rFonts w:hint="eastAsia" w:ascii="宋体" w:hAnsi="宋体" w:eastAsia="宋体" w:cs="宋体"/>
              <w:sz w:val="28"/>
              <w:szCs w:val="28"/>
            </w:rPr>
          </w:pPr>
          <w:r>
            <w:rPr>
              <w:rFonts w:hint="eastAsia" w:ascii="宋体" w:hAnsi="宋体" w:eastAsia="宋体" w:cs="宋体"/>
              <w:sz w:val="28"/>
              <w:szCs w:val="52"/>
            </w:rPr>
            <w:fldChar w:fldCharType="begin"/>
          </w:r>
          <w:r>
            <w:rPr>
              <w:rFonts w:hint="eastAsia" w:ascii="宋体" w:hAnsi="宋体" w:eastAsia="宋体" w:cs="宋体"/>
              <w:sz w:val="28"/>
              <w:szCs w:val="52"/>
            </w:rPr>
            <w:instrText xml:space="preserve"> HYPERLINK \l _Toc20909 </w:instrText>
          </w:r>
          <w:r>
            <w:rPr>
              <w:rFonts w:hint="eastAsia" w:ascii="宋体" w:hAnsi="宋体" w:eastAsia="宋体" w:cs="宋体"/>
              <w:sz w:val="28"/>
              <w:szCs w:val="52"/>
            </w:rPr>
            <w:fldChar w:fldCharType="separate"/>
          </w:r>
          <w:r>
            <w:rPr>
              <w:rFonts w:hint="eastAsia" w:ascii="宋体" w:hAnsi="宋体" w:eastAsia="宋体" w:cs="宋体"/>
              <w:sz w:val="28"/>
              <w:szCs w:val="28"/>
              <w:lang w:val="en-US" w:eastAsia="zh-CN"/>
            </w:rPr>
            <w:t>第四部分 评分办法及标准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_Toc20909 \h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52"/>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720" w:lineRule="auto"/>
            <w:textAlignment w:val="auto"/>
            <w:rPr>
              <w:rFonts w:hint="eastAsia" w:ascii="宋体" w:hAnsi="宋体" w:eastAsia="宋体" w:cs="宋体"/>
              <w:sz w:val="28"/>
              <w:szCs w:val="28"/>
            </w:rPr>
          </w:pPr>
          <w:r>
            <w:rPr>
              <w:rFonts w:hint="eastAsia" w:ascii="宋体" w:hAnsi="宋体" w:eastAsia="宋体" w:cs="宋体"/>
              <w:sz w:val="28"/>
              <w:szCs w:val="52"/>
            </w:rPr>
            <w:fldChar w:fldCharType="begin"/>
          </w:r>
          <w:r>
            <w:rPr>
              <w:rFonts w:hint="eastAsia" w:ascii="宋体" w:hAnsi="宋体" w:eastAsia="宋体" w:cs="宋体"/>
              <w:sz w:val="28"/>
              <w:szCs w:val="52"/>
            </w:rPr>
            <w:instrText xml:space="preserve"> HYPERLINK \l _Toc7822 </w:instrText>
          </w:r>
          <w:r>
            <w:rPr>
              <w:rFonts w:hint="eastAsia" w:ascii="宋体" w:hAnsi="宋体" w:eastAsia="宋体" w:cs="宋体"/>
              <w:sz w:val="28"/>
              <w:szCs w:val="52"/>
            </w:rPr>
            <w:fldChar w:fldCharType="separate"/>
          </w:r>
          <w:r>
            <w:rPr>
              <w:rFonts w:hint="eastAsia" w:ascii="宋体" w:hAnsi="宋体" w:eastAsia="宋体" w:cs="宋体"/>
              <w:sz w:val="28"/>
              <w:szCs w:val="28"/>
            </w:rPr>
            <w:t>第</w:t>
          </w:r>
          <w:r>
            <w:rPr>
              <w:rFonts w:hint="eastAsia" w:ascii="宋体" w:hAnsi="宋体" w:eastAsia="宋体" w:cs="宋体"/>
              <w:sz w:val="28"/>
              <w:szCs w:val="28"/>
              <w:lang w:val="en-US" w:eastAsia="zh-CN"/>
            </w:rPr>
            <w:t>五</w:t>
          </w:r>
          <w:r>
            <w:rPr>
              <w:rFonts w:hint="eastAsia" w:ascii="宋体" w:hAnsi="宋体" w:eastAsia="宋体" w:cs="宋体"/>
              <w:sz w:val="28"/>
              <w:szCs w:val="28"/>
            </w:rPr>
            <w:t>部分 采购内容及要求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_Toc7822 \h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52"/>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720" w:lineRule="auto"/>
            <w:textAlignment w:val="auto"/>
            <w:rPr>
              <w:rFonts w:hint="eastAsia" w:ascii="宋体" w:hAnsi="宋体" w:eastAsia="宋体" w:cs="宋体"/>
              <w:sz w:val="28"/>
              <w:szCs w:val="28"/>
            </w:rPr>
          </w:pPr>
          <w:r>
            <w:rPr>
              <w:rFonts w:hint="eastAsia" w:ascii="宋体" w:hAnsi="宋体" w:eastAsia="宋体" w:cs="宋体"/>
              <w:sz w:val="28"/>
              <w:szCs w:val="52"/>
            </w:rPr>
            <w:fldChar w:fldCharType="begin"/>
          </w:r>
          <w:r>
            <w:rPr>
              <w:rFonts w:hint="eastAsia" w:ascii="宋体" w:hAnsi="宋体" w:eastAsia="宋体" w:cs="宋体"/>
              <w:sz w:val="28"/>
              <w:szCs w:val="52"/>
            </w:rPr>
            <w:instrText xml:space="preserve"> HYPERLINK \l _Toc31323 </w:instrText>
          </w:r>
          <w:r>
            <w:rPr>
              <w:rFonts w:hint="eastAsia" w:ascii="宋体" w:hAnsi="宋体" w:eastAsia="宋体" w:cs="宋体"/>
              <w:sz w:val="28"/>
              <w:szCs w:val="52"/>
            </w:rPr>
            <w:fldChar w:fldCharType="separate"/>
          </w:r>
          <w:r>
            <w:rPr>
              <w:rFonts w:hint="eastAsia" w:ascii="宋体" w:hAnsi="宋体" w:eastAsia="宋体" w:cs="宋体"/>
              <w:sz w:val="28"/>
              <w:szCs w:val="28"/>
            </w:rPr>
            <w:t>第</w:t>
          </w:r>
          <w:r>
            <w:rPr>
              <w:rFonts w:hint="eastAsia" w:ascii="宋体" w:hAnsi="宋体" w:eastAsia="宋体" w:cs="宋体"/>
              <w:sz w:val="28"/>
              <w:szCs w:val="28"/>
              <w:lang w:val="en-US" w:eastAsia="zh-CN"/>
            </w:rPr>
            <w:t>六</w:t>
          </w:r>
          <w:r>
            <w:rPr>
              <w:rFonts w:hint="eastAsia" w:ascii="宋体" w:hAnsi="宋体" w:eastAsia="宋体" w:cs="宋体"/>
              <w:sz w:val="28"/>
              <w:szCs w:val="28"/>
            </w:rPr>
            <w:t>部分 拟签订的合同文本</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_Toc31323 \h </w:instrText>
          </w:r>
          <w:r>
            <w:rPr>
              <w:rFonts w:hint="eastAsia" w:ascii="宋体" w:hAnsi="宋体" w:eastAsia="宋体" w:cs="宋体"/>
              <w:sz w:val="28"/>
              <w:szCs w:val="28"/>
            </w:rPr>
            <w:fldChar w:fldCharType="separate"/>
          </w:r>
          <w:r>
            <w:rPr>
              <w:rFonts w:hint="eastAsia"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sz w:val="28"/>
              <w:szCs w:val="52"/>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720" w:lineRule="auto"/>
            <w:textAlignment w:val="auto"/>
            <w:rPr>
              <w:rFonts w:hint="eastAsia" w:ascii="宋体" w:hAnsi="宋体" w:eastAsia="宋体" w:cs="宋体"/>
              <w:sz w:val="28"/>
              <w:szCs w:val="28"/>
            </w:rPr>
          </w:pPr>
          <w:r>
            <w:rPr>
              <w:rFonts w:hint="eastAsia" w:ascii="宋体" w:hAnsi="宋体" w:eastAsia="宋体" w:cs="宋体"/>
              <w:sz w:val="28"/>
              <w:szCs w:val="52"/>
            </w:rPr>
            <w:fldChar w:fldCharType="begin"/>
          </w:r>
          <w:r>
            <w:rPr>
              <w:rFonts w:hint="eastAsia" w:ascii="宋体" w:hAnsi="宋体" w:eastAsia="宋体" w:cs="宋体"/>
              <w:sz w:val="28"/>
              <w:szCs w:val="52"/>
            </w:rPr>
            <w:instrText xml:space="preserve"> HYPERLINK \l _Toc17112 </w:instrText>
          </w:r>
          <w:r>
            <w:rPr>
              <w:rFonts w:hint="eastAsia" w:ascii="宋体" w:hAnsi="宋体" w:eastAsia="宋体" w:cs="宋体"/>
              <w:sz w:val="28"/>
              <w:szCs w:val="52"/>
            </w:rPr>
            <w:fldChar w:fldCharType="separate"/>
          </w:r>
          <w:r>
            <w:rPr>
              <w:rFonts w:hint="eastAsia" w:ascii="宋体" w:hAnsi="宋体" w:eastAsia="宋体" w:cs="宋体"/>
              <w:sz w:val="28"/>
              <w:szCs w:val="28"/>
            </w:rPr>
            <w:t>第七部分 格式与表格</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_Toc17112 \h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52"/>
            </w:rPr>
            <w:fldChar w:fldCharType="end"/>
          </w:r>
        </w:p>
        <w:p>
          <w:pPr>
            <w:pStyle w:val="18"/>
            <w:keepNext w:val="0"/>
            <w:keepLines w:val="0"/>
            <w:pageBreakBefore w:val="0"/>
            <w:widowControl/>
            <w:tabs>
              <w:tab w:val="right" w:leader="dot" w:pos="8306"/>
            </w:tabs>
            <w:kinsoku/>
            <w:wordWrap/>
            <w:overflowPunct/>
            <w:topLinePunct w:val="0"/>
            <w:autoSpaceDE/>
            <w:autoSpaceDN/>
            <w:bidi w:val="0"/>
            <w:adjustRightInd/>
            <w:snapToGrid/>
            <w:spacing w:line="720" w:lineRule="auto"/>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eastAsia="宋体" w:cs="宋体"/>
              <w:sz w:val="28"/>
              <w:szCs w:val="36"/>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宋体" w:hAnsi="宋体" w:eastAsia="宋体" w:cs="宋体"/>
              <w:szCs w:val="36"/>
            </w:rPr>
            <w:fldChar w:fldCharType="end"/>
          </w:r>
        </w:p>
      </w:sdtContent>
    </w:sdt>
    <w:p>
      <w:pPr>
        <w:pStyle w:val="5"/>
        <w:keepNext/>
        <w:keepLines/>
        <w:pageBreakBefore w:val="0"/>
        <w:widowControl w:val="0"/>
        <w:kinsoku/>
        <w:wordWrap/>
        <w:overflowPunct/>
        <w:topLinePunct w:val="0"/>
        <w:autoSpaceDE/>
        <w:autoSpaceDN/>
        <w:bidi w:val="0"/>
        <w:adjustRightInd/>
        <w:snapToGrid/>
        <w:spacing w:before="0" w:after="0"/>
        <w:jc w:val="center"/>
        <w:textAlignment w:val="auto"/>
        <w:rPr>
          <w:rFonts w:hint="eastAsia"/>
        </w:rPr>
      </w:pPr>
      <w:bookmarkStart w:id="3" w:name="_Toc9087"/>
      <w:r>
        <w:rPr>
          <w:rFonts w:hint="eastAsia"/>
        </w:rPr>
        <w:t>第一部分 招标公告</w:t>
      </w:r>
      <w:bookmarkEnd w:id="3"/>
    </w:p>
    <w:tbl>
      <w:tblPr>
        <w:tblStyle w:val="16"/>
        <w:tblW w:w="91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1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ertAlign w:val="baseline"/>
              </w:rPr>
            </w:pPr>
            <w:r>
              <w:rPr>
                <w:rFonts w:hint="eastAsia" w:ascii="宋体" w:hAnsi="宋体" w:eastAsia="宋体" w:cs="宋体"/>
                <w:b/>
                <w:bCs/>
                <w:vertAlign w:val="baseline"/>
              </w:rPr>
              <w:t>项目概况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vertAlign w:val="baseline"/>
              </w:rPr>
            </w:pPr>
            <w:r>
              <w:rPr>
                <w:rFonts w:hint="eastAsia" w:ascii="宋体" w:hAnsi="宋体" w:eastAsia="宋体" w:cs="宋体"/>
                <w:vertAlign w:val="baseline"/>
                <w:lang w:eastAsia="zh-CN"/>
              </w:rPr>
              <w:t>鄞州区省级“无废城市”建设技术服务项目</w:t>
            </w:r>
            <w:r>
              <w:rPr>
                <w:rFonts w:hint="eastAsia" w:ascii="宋体" w:hAnsi="宋体" w:eastAsia="宋体" w:cs="宋体"/>
                <w:vertAlign w:val="baseline"/>
              </w:rPr>
              <w:t>的潜在供应商应在政采云平台（https://www.zcygov.cn/）获取（下载）采购文件，并于2025年</w:t>
            </w:r>
            <w:r>
              <w:rPr>
                <w:rFonts w:hint="eastAsia" w:ascii="宋体" w:hAnsi="宋体" w:eastAsia="宋体" w:cs="宋体"/>
                <w:vertAlign w:val="baseline"/>
                <w:lang w:val="en-US" w:eastAsia="zh-CN"/>
              </w:rPr>
              <w:t>08</w:t>
            </w:r>
            <w:r>
              <w:rPr>
                <w:rFonts w:hint="eastAsia" w:ascii="宋体" w:hAnsi="宋体" w:eastAsia="宋体" w:cs="宋体"/>
                <w:vertAlign w:val="baseline"/>
              </w:rPr>
              <w:t>月</w:t>
            </w:r>
            <w:r>
              <w:rPr>
                <w:rFonts w:hint="eastAsia" w:ascii="宋体" w:hAnsi="宋体" w:eastAsia="宋体" w:cs="宋体"/>
                <w:vertAlign w:val="baseline"/>
                <w:lang w:val="en-US" w:eastAsia="zh-CN"/>
              </w:rPr>
              <w:t>11</w:t>
            </w:r>
            <w:r>
              <w:rPr>
                <w:rFonts w:hint="eastAsia" w:ascii="宋体" w:hAnsi="宋体" w:eastAsia="宋体" w:cs="宋体"/>
                <w:vertAlign w:val="baseline"/>
              </w:rPr>
              <w:t>日</w:t>
            </w:r>
            <w:r>
              <w:rPr>
                <w:rFonts w:hint="eastAsia" w:ascii="宋体" w:hAnsi="宋体" w:eastAsia="宋体" w:cs="宋体"/>
                <w:vertAlign w:val="baseline"/>
                <w:lang w:val="en-US" w:eastAsia="zh-CN"/>
              </w:rPr>
              <w:t>13</w:t>
            </w:r>
            <w:r>
              <w:rPr>
                <w:rFonts w:hint="eastAsia" w:ascii="宋体" w:hAnsi="宋体" w:eastAsia="宋体" w:cs="宋体"/>
                <w:vertAlign w:val="baseline"/>
              </w:rPr>
              <w:t>时</w:t>
            </w:r>
            <w:r>
              <w:rPr>
                <w:rFonts w:hint="eastAsia" w:ascii="宋体" w:hAnsi="宋体" w:eastAsia="宋体" w:cs="宋体"/>
                <w:vertAlign w:val="baseline"/>
                <w:lang w:val="en-US" w:eastAsia="zh-CN"/>
              </w:rPr>
              <w:t>3</w:t>
            </w:r>
            <w:r>
              <w:rPr>
                <w:rFonts w:hint="eastAsia" w:ascii="宋体" w:hAnsi="宋体" w:eastAsia="宋体" w:cs="宋体"/>
                <w:vertAlign w:val="baseline"/>
              </w:rPr>
              <w:t>0分（北京时间）前递交（上传）投标文件。</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项目编号：正基</w:t>
      </w:r>
      <w:r>
        <w:rPr>
          <w:rFonts w:hint="eastAsia" w:ascii="宋体" w:hAnsi="宋体" w:eastAsia="宋体" w:cs="宋体"/>
          <w:lang w:eastAsia="zh-CN"/>
        </w:rPr>
        <w:t>（</w:t>
      </w:r>
      <w:r>
        <w:rPr>
          <w:rFonts w:hint="eastAsia" w:ascii="宋体" w:hAnsi="宋体" w:eastAsia="宋体" w:cs="宋体"/>
          <w:lang w:val="en-US" w:eastAsia="zh-CN"/>
        </w:rPr>
        <w:t>2025</w:t>
      </w:r>
      <w:r>
        <w:rPr>
          <w:rFonts w:hint="eastAsia" w:ascii="宋体" w:hAnsi="宋体" w:eastAsia="宋体" w:cs="宋体"/>
          <w:lang w:eastAsia="zh-CN"/>
        </w:rPr>
        <w:t>）2029</w:t>
      </w:r>
      <w:r>
        <w:rPr>
          <w:rFonts w:hint="eastAsia" w:ascii="宋体" w:hAnsi="宋体" w:eastAsia="宋体" w:cs="宋体"/>
        </w:rPr>
        <w:t>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eastAsia="zh-CN"/>
        </w:rPr>
      </w:pPr>
      <w:r>
        <w:rPr>
          <w:rFonts w:hint="eastAsia" w:ascii="宋体" w:hAnsi="宋体" w:eastAsia="宋体" w:cs="宋体"/>
        </w:rPr>
        <w:t>项目名称：</w:t>
      </w:r>
      <w:r>
        <w:rPr>
          <w:rFonts w:hint="eastAsia" w:ascii="宋体" w:hAnsi="宋体" w:eastAsia="宋体" w:cs="宋体"/>
          <w:lang w:eastAsia="zh-CN"/>
        </w:rPr>
        <w:t>鄞州区省级“无废城市”建设技术服务项目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eastAsia" w:ascii="宋体" w:hAnsi="宋体" w:eastAsia="宋体" w:cs="宋体"/>
        </w:rPr>
        <w:t>预算金额（元）：</w:t>
      </w:r>
      <w:r>
        <w:rPr>
          <w:rFonts w:hint="eastAsia" w:ascii="宋体" w:hAnsi="宋体" w:eastAsia="宋体" w:cs="宋体"/>
          <w:lang w:val="en-US" w:eastAsia="zh-CN"/>
        </w:rPr>
        <w:t>516000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最高限价（元）：</w:t>
      </w:r>
      <w:r>
        <w:rPr>
          <w:rFonts w:hint="eastAsia" w:ascii="宋体" w:hAnsi="宋体" w:eastAsia="宋体" w:cs="宋体"/>
          <w:lang w:val="en-US" w:eastAsia="zh-CN"/>
        </w:rPr>
        <w:t>516000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采购需求：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eastAsia="zh-CN"/>
        </w:rPr>
      </w:pPr>
      <w:r>
        <w:rPr>
          <w:rFonts w:hint="eastAsia" w:ascii="宋体" w:hAnsi="宋体" w:eastAsia="宋体" w:cs="宋体"/>
        </w:rPr>
        <w:t>标项名称：</w:t>
      </w:r>
      <w:r>
        <w:rPr>
          <w:rFonts w:hint="eastAsia" w:ascii="宋体" w:hAnsi="宋体" w:eastAsia="宋体" w:cs="宋体"/>
          <w:lang w:eastAsia="zh-CN"/>
        </w:rPr>
        <w:t>鄞州区省级“无废城市”建设技术服务项目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数量：1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eastAsia="zh-CN"/>
        </w:rPr>
      </w:pPr>
      <w:r>
        <w:rPr>
          <w:rFonts w:hint="eastAsia" w:ascii="宋体" w:hAnsi="宋体" w:eastAsia="宋体" w:cs="宋体"/>
        </w:rPr>
        <w:t>预算金额（元）：</w:t>
      </w:r>
      <w:r>
        <w:rPr>
          <w:rFonts w:hint="eastAsia" w:ascii="宋体" w:hAnsi="宋体" w:eastAsia="宋体" w:cs="宋体"/>
          <w:lang w:eastAsia="zh-CN"/>
        </w:rPr>
        <w:t>516000</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简要规格描述或项目基本概况介绍、用途：</w:t>
      </w:r>
      <w:r>
        <w:rPr>
          <w:rFonts w:hint="eastAsia" w:ascii="宋体" w:hAnsi="宋体" w:eastAsia="宋体" w:cs="宋体"/>
          <w:lang w:eastAsia="zh-CN"/>
        </w:rPr>
        <w:t>鄞州区省级“无废城市”建设技术服务</w:t>
      </w:r>
      <w:r>
        <w:rPr>
          <w:rFonts w:hint="eastAsia" w:ascii="宋体" w:hAnsi="宋体" w:eastAsia="宋体" w:cs="宋体"/>
        </w:rPr>
        <w:t>，具体详见采购文件第五部分 采购内容及要求。</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备注：/。</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合同履约期限：合同签订后至2026年1月31日前完成。</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本项目（否）接受联合体投标。</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b/>
          <w:bCs/>
        </w:rPr>
      </w:pPr>
      <w:r>
        <w:rPr>
          <w:rFonts w:hint="eastAsia" w:ascii="宋体" w:hAnsi="宋体" w:eastAsia="宋体" w:cs="宋体"/>
          <w:b/>
          <w:bCs/>
        </w:rPr>
        <w:t>二、申请人的资格要求：</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1、满足《中华人民共和国政府采购法》第二十二条规定；未被“信用中国”（www.creditchina.gov.cn）、中国政府采购网（www.ccgp.gov.cn）列入失信被执行人、重大税收违失信主体、政府采购严重违法失信行为记录名单。</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2、落实政府采购政策需满足的资格要求：标项1：</w:t>
      </w:r>
      <w:bookmarkStart w:id="4" w:name="OLE_LINK2"/>
      <w:r>
        <w:rPr>
          <w:rFonts w:hint="eastAsia" w:ascii="宋体" w:hAnsi="宋体" w:eastAsia="宋体" w:cs="宋体"/>
        </w:rPr>
        <w:t>本项目为专门面向中小企业采购，服务全部由符合政策要求的中型、小型或微型企业承接，提供中小企业声明函。（残疾人福利性企业、监狱企业视同小微企业）。</w:t>
      </w:r>
      <w:bookmarkEnd w:id="4"/>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3、本项目的特定资格要求：无。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rPr>
        <w:t>三、获取（下载）采购文件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时间：2025年</w:t>
      </w:r>
      <w:r>
        <w:rPr>
          <w:rFonts w:hint="eastAsia" w:ascii="宋体" w:hAnsi="宋体" w:eastAsia="宋体" w:cs="宋体"/>
          <w:lang w:val="en-US" w:eastAsia="zh-CN"/>
        </w:rPr>
        <w:t>07</w:t>
      </w:r>
      <w:r>
        <w:rPr>
          <w:rFonts w:hint="eastAsia" w:ascii="宋体" w:hAnsi="宋体" w:eastAsia="宋体" w:cs="宋体"/>
        </w:rPr>
        <w:t>月</w:t>
      </w:r>
      <w:r>
        <w:rPr>
          <w:rFonts w:hint="eastAsia" w:ascii="宋体" w:hAnsi="宋体" w:eastAsia="宋体" w:cs="宋体"/>
          <w:lang w:val="en-US" w:eastAsia="zh-CN"/>
        </w:rPr>
        <w:t>21</w:t>
      </w:r>
      <w:r>
        <w:rPr>
          <w:rFonts w:hint="eastAsia" w:ascii="宋体" w:hAnsi="宋体" w:eastAsia="宋体" w:cs="宋体"/>
        </w:rPr>
        <w:t>日至2025年</w:t>
      </w:r>
      <w:r>
        <w:rPr>
          <w:rFonts w:hint="eastAsia" w:ascii="宋体" w:hAnsi="宋体" w:eastAsia="宋体" w:cs="宋体"/>
          <w:lang w:val="en-US" w:eastAsia="zh-CN"/>
        </w:rPr>
        <w:t>07</w:t>
      </w:r>
      <w:r>
        <w:rPr>
          <w:rFonts w:hint="eastAsia" w:ascii="宋体" w:hAnsi="宋体" w:eastAsia="宋体" w:cs="宋体"/>
        </w:rPr>
        <w:t>月</w:t>
      </w:r>
      <w:r>
        <w:rPr>
          <w:rFonts w:hint="eastAsia" w:ascii="宋体" w:hAnsi="宋体" w:eastAsia="宋体" w:cs="宋体"/>
          <w:lang w:val="en-US" w:eastAsia="zh-CN"/>
        </w:rPr>
        <w:t>28</w:t>
      </w:r>
      <w:r>
        <w:rPr>
          <w:rFonts w:hint="eastAsia" w:ascii="宋体" w:hAnsi="宋体" w:eastAsia="宋体" w:cs="宋体"/>
        </w:rPr>
        <w:t>日，每天上午00:00至12:00，下午12:00至23:59（北京时间，线上获取法定节假日均可，线下获取文件法定节假日除外）。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 xml:space="preserve">地点（网址）：政府采购云平台（www.zcygov.cn）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方式：（1）供应商登录政采云平台https://www.zcygov.cn/在线申请获取采购文件（进入“项目采购”应用，在获取采购文件菜单中选择项目，申请获取采购文件）。（2）本招标公告附件中的采购文件仅供阅览使用，供应商应在规定的采购文件提供期限内在政采云平台登录上述供应商注册的账号后获取采购文件，未在规定的采购文件提供期限内或未按上述方式获取采购文件的，其投标均视为无效，并不得对采购文件提起质疑投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售价（元）：0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提交投标文件截止时间：</w:t>
      </w:r>
      <w:r>
        <w:rPr>
          <w:rFonts w:hint="eastAsia" w:ascii="宋体" w:hAnsi="宋体" w:eastAsia="宋体" w:cs="宋体"/>
          <w:vertAlign w:val="baseline"/>
        </w:rPr>
        <w:t>2025年</w:t>
      </w:r>
      <w:r>
        <w:rPr>
          <w:rFonts w:hint="eastAsia" w:ascii="宋体" w:hAnsi="宋体" w:eastAsia="宋体" w:cs="宋体"/>
          <w:lang w:val="en-US" w:eastAsia="zh-CN"/>
        </w:rPr>
        <w:t>08</w:t>
      </w:r>
      <w:r>
        <w:rPr>
          <w:rFonts w:hint="eastAsia" w:ascii="宋体" w:hAnsi="宋体" w:eastAsia="宋体" w:cs="宋体"/>
        </w:rPr>
        <w:t>月</w:t>
      </w:r>
      <w:r>
        <w:rPr>
          <w:rFonts w:hint="eastAsia" w:ascii="宋体" w:hAnsi="宋体" w:eastAsia="宋体" w:cs="宋体"/>
          <w:lang w:val="en-US" w:eastAsia="zh-CN"/>
        </w:rPr>
        <w:t>11</w:t>
      </w:r>
      <w:r>
        <w:rPr>
          <w:rFonts w:hint="eastAsia" w:ascii="宋体" w:hAnsi="宋体" w:eastAsia="宋体" w:cs="宋体"/>
        </w:rPr>
        <w:t>日</w:t>
      </w:r>
      <w:r>
        <w:rPr>
          <w:rFonts w:hint="eastAsia" w:ascii="宋体" w:hAnsi="宋体" w:eastAsia="宋体" w:cs="宋体"/>
          <w:vertAlign w:val="baseline"/>
          <w:lang w:val="en-US" w:eastAsia="zh-CN"/>
        </w:rPr>
        <w:t>13</w:t>
      </w:r>
      <w:r>
        <w:rPr>
          <w:rFonts w:hint="eastAsia" w:ascii="宋体" w:hAnsi="宋体" w:eastAsia="宋体" w:cs="宋体"/>
          <w:vertAlign w:val="baseline"/>
        </w:rPr>
        <w:t>时</w:t>
      </w:r>
      <w:r>
        <w:rPr>
          <w:rFonts w:hint="eastAsia" w:ascii="宋体" w:hAnsi="宋体" w:eastAsia="宋体" w:cs="宋体"/>
          <w:vertAlign w:val="baseline"/>
          <w:lang w:val="en-US" w:eastAsia="zh-CN"/>
        </w:rPr>
        <w:t>3</w:t>
      </w:r>
      <w:r>
        <w:rPr>
          <w:rFonts w:hint="eastAsia" w:ascii="宋体" w:hAnsi="宋体" w:eastAsia="宋体" w:cs="宋体"/>
          <w:vertAlign w:val="baseline"/>
        </w:rPr>
        <w:t>0分</w:t>
      </w:r>
      <w:r>
        <w:rPr>
          <w:rFonts w:hint="eastAsia" w:ascii="宋体" w:hAnsi="宋体" w:eastAsia="宋体" w:cs="宋体"/>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投标地点（网址）：请登录政采云投标客户端投标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开标时间：</w:t>
      </w:r>
      <w:r>
        <w:rPr>
          <w:rFonts w:hint="eastAsia" w:ascii="宋体" w:hAnsi="宋体" w:eastAsia="宋体" w:cs="宋体"/>
          <w:vertAlign w:val="baseline"/>
        </w:rPr>
        <w:t>2025年</w:t>
      </w:r>
      <w:r>
        <w:rPr>
          <w:rFonts w:hint="eastAsia" w:ascii="宋体" w:hAnsi="宋体" w:eastAsia="宋体" w:cs="宋体"/>
          <w:lang w:val="en-US" w:eastAsia="zh-CN"/>
        </w:rPr>
        <w:t>08</w:t>
      </w:r>
      <w:r>
        <w:rPr>
          <w:rFonts w:hint="eastAsia" w:ascii="宋体" w:hAnsi="宋体" w:eastAsia="宋体" w:cs="宋体"/>
        </w:rPr>
        <w:t>月</w:t>
      </w:r>
      <w:r>
        <w:rPr>
          <w:rFonts w:hint="eastAsia" w:ascii="宋体" w:hAnsi="宋体" w:eastAsia="宋体" w:cs="宋体"/>
          <w:lang w:val="en-US" w:eastAsia="zh-CN"/>
        </w:rPr>
        <w:t>11</w:t>
      </w:r>
      <w:r>
        <w:rPr>
          <w:rFonts w:hint="eastAsia" w:ascii="宋体" w:hAnsi="宋体" w:eastAsia="宋体" w:cs="宋体"/>
        </w:rPr>
        <w:t>日</w:t>
      </w:r>
      <w:r>
        <w:rPr>
          <w:rFonts w:hint="eastAsia" w:ascii="宋体" w:hAnsi="宋体" w:eastAsia="宋体" w:cs="宋体"/>
          <w:vertAlign w:val="baseline"/>
          <w:lang w:val="en-US" w:eastAsia="zh-CN"/>
        </w:rPr>
        <w:t>13</w:t>
      </w:r>
      <w:r>
        <w:rPr>
          <w:rFonts w:hint="eastAsia" w:ascii="宋体" w:hAnsi="宋体" w:eastAsia="宋体" w:cs="宋体"/>
          <w:vertAlign w:val="baseline"/>
        </w:rPr>
        <w:t>时</w:t>
      </w:r>
      <w:r>
        <w:rPr>
          <w:rFonts w:hint="eastAsia" w:ascii="宋体" w:hAnsi="宋体" w:eastAsia="宋体" w:cs="宋体"/>
          <w:vertAlign w:val="baseline"/>
          <w:lang w:val="en-US" w:eastAsia="zh-CN"/>
        </w:rPr>
        <w:t>3</w:t>
      </w:r>
      <w:r>
        <w:rPr>
          <w:rFonts w:hint="eastAsia" w:ascii="宋体" w:hAnsi="宋体" w:eastAsia="宋体" w:cs="宋体"/>
          <w:vertAlign w:val="baseline"/>
        </w:rPr>
        <w:t>0分</w:t>
      </w:r>
      <w:r>
        <w:rPr>
          <w:rFonts w:hint="eastAsia" w:ascii="宋体" w:hAnsi="宋体" w:eastAsia="宋体" w:cs="宋体"/>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rPr>
      </w:pPr>
      <w:r>
        <w:rPr>
          <w:rFonts w:hint="eastAsia" w:ascii="宋体" w:hAnsi="宋体" w:eastAsia="宋体" w:cs="宋体"/>
        </w:rPr>
        <w:t>开标地点（网址）：</w:t>
      </w:r>
      <w:r>
        <w:rPr>
          <w:rFonts w:hint="eastAsia" w:ascii="宋体" w:hAnsi="宋体" w:eastAsia="宋体" w:cs="宋体"/>
          <w:b w:val="0"/>
          <w:bCs w:val="0"/>
        </w:rPr>
        <w:t>政府采购云平台（http://www.zcygov.cn）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rPr>
        <w:t xml:space="preserve">五、公告期限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自本公告发布之日起5个工作日。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rPr>
        <w:t>六、其他补充事宜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4、其他事项：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落实的政策：《关于促进残疾人就业政府采购政策的通知》（财库[2018]141号）、《政府采购促进中小企业发展管理办法》财库〔2020〕46号、《关于政府采购支持监狱企业发展有关问题的通知》（财库[2014]68号）、《关于调整优化节能产品、环境标志产品政府采购执行机制的通知》（财库〔2019〕9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（3）投标与开标注意事项：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1）本项目实行网上投标，采用电子投标文件。若供应商参与投标，自行承担投标一切费用。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2）标前准备：各供应商应在开标前确保成为浙江政府采购网正式注册入库供应商，并完成CA数字证书办理。因未注册入库、未办理CA数字证书等原因造成无法投标或投标失败等后果由供应商自行承担。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投标文件制作：①应按照本项目招标文件和政府采购云平台的要求编制、加密并递交投标文件。供应商在使用系统进行投标的过程中遇到涉及平台使用的任何问题，可致电政府采购云平台技术支持热线咨询，联系方式：95763。 ②供应商通过政府采购云平台电子投标工具制作投标文件，电子投标工具请供应商自行前往浙江政府采购网下载并安装，投标文件制作具体流程详见政府采购云平台。③以U盘存储的电子备份投标文件1份，按政府采购云平台要求制作的电子备份文件，以用于异常情况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4）本招标公告附件中的招标文件仅供阅览使用，供应商应在规定的招标文件获取期限内在政采云平台登录供应商注册的账号后获取招标文件，未按上述方式获取招标文件的，不得对招标文件提起质疑投诉。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5）供应商应于投标截止时间前将电子投标文件上传到政府采购云平台www.zcygov.cn，未上传电子投标文件，视为供应商放弃投标。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6）供应商如提供备份投标文件的，应于提交投标文件截止时间前，将以U盘存储的电子备份投标文件密封，直接提交或者以邮寄方式递交备份响应文件1份，逾期送达或未密封将予以拒收。供应商仅提供备份投标文件的，投标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7）采购代理机构将在招标文件规定的开标时间通过政府采购云平台组织开标、开启投标文件，所有供应商均应准时在线参加。开标时间后30分钟内供应商可以登录政府采购云平台www.zcygov.cn，用“项目采购-开标评标”功能进行解密投标文件。若供应商在开标时间后30分钟内无法解密或解密失败，可使用备份电子投标文件进行评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（4）重要提示：参加投标的供应商应于投标前到“浙江政府采购网（http://zfcg.czt.zj.gov.cn/）”上进行供应商注册申请，并通过财政部门的终审后登记加入到“浙江省政府采购供应商库”。 中标人必须注册并登记加入“浙江省政府采购供应商库”。具体要求及注册申请流程详见《浙江省政府采购供应商注册及诚信管理暂行办法》（浙财采监字{2009}28号）和浙江政府采购网“网上办事指南”的“供应商注册申请”。本次政府采购活动有关信息在“浙江政府采购网（http://zfcg.czt.zj.gov.cn/）”、“宁波市公共资源交易电子服务系统（https://jyxt.zwb.ningbo.gov.cn:4011/website/home）”网站上公布，公布信息视同送达所有潜在竞标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rPr>
        <w:t>七、对本次采购提出询问、质疑、投诉，请按以下方式联系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名称：宁波市生态环境局鄞州分局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地址：浙江省宁波市鄞州区惠风东路258号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传真：/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项目联系人（询问）：</w:t>
      </w:r>
      <w:r>
        <w:rPr>
          <w:rFonts w:hint="eastAsia" w:ascii="宋体" w:hAnsi="宋体" w:eastAsia="宋体" w:cs="宋体"/>
          <w:lang w:val="en-US" w:eastAsia="zh-CN"/>
        </w:rPr>
        <w:t>李</w:t>
      </w:r>
      <w:r>
        <w:rPr>
          <w:rFonts w:hint="eastAsia" w:ascii="宋体" w:hAnsi="宋体" w:eastAsia="宋体" w:cs="宋体"/>
        </w:rPr>
        <w:t>老师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项目联系方式（询问）：0574-89295646</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质疑联系人：</w:t>
      </w:r>
      <w:r>
        <w:rPr>
          <w:rFonts w:hint="eastAsia" w:ascii="宋体" w:hAnsi="宋体" w:eastAsia="宋体" w:cs="宋体"/>
          <w:lang w:val="en-US" w:eastAsia="zh-CN"/>
        </w:rPr>
        <w:t>乌</w:t>
      </w:r>
      <w:r>
        <w:rPr>
          <w:rFonts w:hint="eastAsia" w:ascii="宋体" w:hAnsi="宋体" w:eastAsia="宋体" w:cs="宋体"/>
        </w:rPr>
        <w:t>老师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质疑联系方式：0574-89189547</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2、采购代理机构信息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名称：宁波正源工程造价咨询有限公司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地址：宁波市鄞州区春园路125号708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传真：0574-88211197</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项目联系人（询问）：陈含群、戚忠法、苗雨鑫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项目联系方式（询问）：0574-88211080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质疑联系人：郑文斌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质疑联系方式：0574-88211527</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3、同级政府采购监督管理部门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名称：宁波市鄞州区政府采购管理办公室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地址：宁波市鄞州区前河南路16号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传真：/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联系人：郑老师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监督投诉电话：0574-89295894</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若对项目采购电子交易系统操作有疑问，可登录政采云（https://www.zcygov.cn/），点击右侧咨询小采，获取采小蜜智能服务管家帮助，或拨打政采云服务热线95763获取热线服务帮助。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CA问题联系电话（人工）：汇信CA 400-888-4636；天谷CA 400-087-8198。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sectPr>
          <w:footerReference r:id="rId4" w:type="default"/>
          <w:pgSz w:w="11906" w:h="16838"/>
          <w:pgMar w:top="1417" w:right="1417" w:bottom="1417" w:left="1417"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5"/>
        <w:keepNext/>
        <w:keepLines/>
        <w:pageBreakBefore w:val="0"/>
        <w:widowControl w:val="0"/>
        <w:kinsoku/>
        <w:wordWrap/>
        <w:overflowPunct/>
        <w:topLinePunct w:val="0"/>
        <w:autoSpaceDE/>
        <w:autoSpaceDN/>
        <w:bidi w:val="0"/>
        <w:adjustRightInd/>
        <w:snapToGrid/>
        <w:spacing w:before="0" w:after="0"/>
        <w:jc w:val="center"/>
        <w:textAlignment w:val="auto"/>
        <w:rPr>
          <w:rFonts w:hint="eastAsia"/>
          <w:b/>
        </w:rPr>
      </w:pPr>
      <w:bookmarkStart w:id="5" w:name="_Toc13170"/>
      <w:r>
        <w:rPr>
          <w:rFonts w:hint="eastAsia"/>
          <w:b/>
        </w:rPr>
        <w:t>第二部分  投标资料表</w:t>
      </w:r>
      <w:bookmarkEnd w:id="5"/>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85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tcBorders>
              <w:tl2br w:val="nil"/>
              <w:tr2bl w:val="nil"/>
            </w:tcBorders>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序号</w:t>
            </w:r>
          </w:p>
        </w:tc>
        <w:tc>
          <w:tcPr>
            <w:tcW w:w="8511" w:type="dxa"/>
            <w:tcBorders>
              <w:tl2br w:val="nil"/>
              <w:tr2bl w:val="nil"/>
            </w:tcBorders>
            <w:vAlign w:val="center"/>
          </w:tcPr>
          <w:p>
            <w:pPr>
              <w:rPr>
                <w:rFonts w:hint="eastAsia" w:ascii="宋体" w:hAnsi="宋体" w:eastAsia="宋体" w:cs="宋体"/>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vMerge w:val="restart"/>
            <w:tcBorders>
              <w:tl2br w:val="nil"/>
              <w:tr2bl w:val="nil"/>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vertAlign w:val="baseline"/>
                <w:lang w:val="en-US" w:eastAsia="zh-CN"/>
              </w:rPr>
            </w:pPr>
            <w:r>
              <w:rPr>
                <w:rFonts w:hint="eastAsia" w:ascii="宋体" w:hAnsi="宋体" w:eastAsia="宋体" w:cs="宋体"/>
                <w:bCs/>
                <w:color w:val="auto"/>
                <w:szCs w:val="21"/>
                <w:highlight w:val="none"/>
                <w:lang w:val="en-US" w:eastAsia="zh-CN"/>
              </w:rPr>
              <w:t>1</w:t>
            </w:r>
          </w:p>
        </w:tc>
        <w:tc>
          <w:tcPr>
            <w:tcW w:w="8511" w:type="dxa"/>
            <w:tcBorders>
              <w:tl2br w:val="nil"/>
              <w:tr2bl w:val="nil"/>
            </w:tcBorders>
            <w:vAlign w:val="center"/>
          </w:tcPr>
          <w:p>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rPr>
            </w:pPr>
            <w:r>
              <w:rPr>
                <w:rFonts w:hint="eastAsia" w:ascii="宋体" w:hAnsi="宋体" w:eastAsia="宋体" w:cs="宋体"/>
              </w:rPr>
              <w:t>采购人：</w:t>
            </w:r>
            <w:r>
              <w:rPr>
                <w:rFonts w:hint="eastAsia" w:ascii="宋体" w:hAnsi="宋体" w:cs="宋体"/>
                <w:color w:val="auto"/>
                <w:szCs w:val="22"/>
                <w:highlight w:val="none"/>
              </w:rPr>
              <w:t>宁波市生态环境局鄞州分局</w:t>
            </w:r>
          </w:p>
          <w:p>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vertAlign w:val="baseline"/>
              </w:rPr>
            </w:pPr>
            <w:r>
              <w:rPr>
                <w:rFonts w:hint="eastAsia" w:ascii="宋体" w:hAnsi="宋体" w:eastAsia="宋体" w:cs="宋体"/>
              </w:rPr>
              <w:t>联系人：</w:t>
            </w:r>
            <w:r>
              <w:rPr>
                <w:rFonts w:hint="eastAsia" w:ascii="宋体" w:hAnsi="宋体" w:cs="宋体"/>
                <w:color w:val="auto"/>
                <w:szCs w:val="22"/>
                <w:highlight w:val="none"/>
                <w:lang w:val="en-US" w:eastAsia="zh-CN"/>
              </w:rPr>
              <w:t>李老师</w:t>
            </w:r>
            <w:r>
              <w:rPr>
                <w:rFonts w:hint="eastAsia" w:ascii="宋体" w:hAnsi="宋体" w:eastAsia="宋体" w:cs="宋体"/>
              </w:rPr>
              <w:t xml:space="preserve">                联系电话：0574-89295646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vertAlign w:val="baseline"/>
                <w:lang w:val="en-US" w:eastAsia="zh-CN"/>
              </w:rPr>
            </w:pPr>
          </w:p>
        </w:tc>
        <w:tc>
          <w:tcPr>
            <w:tcW w:w="8511" w:type="dxa"/>
            <w:tcBorders>
              <w:tl2br w:val="nil"/>
              <w:tr2bl w:val="nil"/>
            </w:tcBorders>
            <w:vAlign w:val="center"/>
          </w:tcPr>
          <w:p>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rPr>
            </w:pPr>
            <w:r>
              <w:rPr>
                <w:rFonts w:hint="eastAsia" w:ascii="宋体" w:hAnsi="宋体" w:eastAsia="宋体" w:cs="宋体"/>
              </w:rPr>
              <w:t>采购代理机构：</w:t>
            </w:r>
            <w:r>
              <w:rPr>
                <w:rFonts w:hint="eastAsia" w:ascii="宋体" w:hAnsi="宋体" w:cs="宋体"/>
                <w:color w:val="auto"/>
                <w:szCs w:val="21"/>
                <w:highlight w:val="none"/>
                <w:lang w:val="en-US" w:eastAsia="zh-CN"/>
              </w:rPr>
              <w:t>宁波正源工程造价咨询有限公司</w:t>
            </w:r>
          </w:p>
          <w:p>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rPr>
            </w:pPr>
            <w:r>
              <w:rPr>
                <w:rFonts w:hint="eastAsia" w:ascii="宋体" w:hAnsi="宋体" w:eastAsia="宋体" w:cs="宋体"/>
              </w:rPr>
              <w:t>联系人：</w:t>
            </w:r>
            <w:r>
              <w:rPr>
                <w:rFonts w:hint="eastAsia" w:ascii="宋体" w:hAnsi="宋体" w:cs="宋体"/>
                <w:color w:val="auto"/>
                <w:szCs w:val="21"/>
                <w:highlight w:val="none"/>
                <w:lang w:val="en-US" w:eastAsia="zh-CN"/>
              </w:rPr>
              <w:t>陈含群、戚忠法、苗雨鑫</w:t>
            </w:r>
          </w:p>
          <w:p>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vertAlign w:val="baseline"/>
              </w:rPr>
            </w:pPr>
            <w:r>
              <w:rPr>
                <w:rFonts w:hint="eastAsia" w:ascii="宋体" w:hAnsi="宋体" w:eastAsia="宋体" w:cs="宋体"/>
              </w:rPr>
              <w:t>电话：</w:t>
            </w:r>
            <w:r>
              <w:rPr>
                <w:rFonts w:hint="eastAsia" w:ascii="宋体" w:hAnsi="宋体" w:cs="宋体"/>
                <w:color w:val="auto"/>
                <w:szCs w:val="21"/>
                <w:highlight w:val="none"/>
              </w:rPr>
              <w:t>0574-</w:t>
            </w:r>
            <w:r>
              <w:rPr>
                <w:rFonts w:hint="eastAsia" w:ascii="宋体" w:hAnsi="宋体" w:cs="宋体"/>
                <w:color w:val="auto"/>
                <w:szCs w:val="21"/>
                <w:highlight w:val="none"/>
                <w:lang w:val="en-US" w:eastAsia="zh-CN"/>
              </w:rPr>
              <w:t>88211080</w:t>
            </w:r>
            <w:r>
              <w:rPr>
                <w:rFonts w:hint="eastAsia" w:ascii="宋体" w:hAnsi="宋体" w:eastAsia="宋体" w:cs="宋体"/>
              </w:rPr>
              <w:t xml:space="preserve">       传真：0574-</w:t>
            </w:r>
            <w:r>
              <w:rPr>
                <w:rFonts w:hint="eastAsia" w:ascii="宋体" w:hAnsi="宋体" w:eastAsia="宋体" w:cs="宋体"/>
                <w:lang w:val="en-US" w:eastAsia="zh-CN"/>
              </w:rPr>
              <w:t>88211197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tcBorders>
              <w:tl2br w:val="nil"/>
              <w:tr2bl w:val="nil"/>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vertAlign w:val="baseline"/>
                <w:lang w:val="en-US" w:eastAsia="zh-CN"/>
              </w:rPr>
            </w:pPr>
            <w:r>
              <w:rPr>
                <w:rFonts w:hint="eastAsia" w:ascii="宋体" w:hAnsi="宋体" w:eastAsia="宋体" w:cs="宋体"/>
                <w:bCs/>
                <w:color w:val="auto"/>
                <w:szCs w:val="21"/>
                <w:highlight w:val="none"/>
                <w:lang w:val="en-US" w:eastAsia="zh-CN"/>
              </w:rPr>
              <w:t>2</w:t>
            </w:r>
          </w:p>
        </w:tc>
        <w:tc>
          <w:tcPr>
            <w:tcW w:w="8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vertAlign w:val="baseline"/>
              </w:rPr>
            </w:pPr>
            <w:r>
              <w:rPr>
                <w:rFonts w:hint="eastAsia" w:ascii="宋体" w:hAnsi="宋体" w:eastAsia="宋体" w:cs="宋体"/>
                <w:color w:val="auto"/>
                <w:szCs w:val="21"/>
                <w:highlight w:val="none"/>
              </w:rPr>
              <w:t>经批准的本次采购方式：公开招标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tcBorders>
              <w:tl2br w:val="nil"/>
              <w:tr2bl w:val="nil"/>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vertAlign w:val="baseline"/>
                <w:lang w:val="en-US" w:eastAsia="zh-CN"/>
              </w:rPr>
            </w:pPr>
            <w:r>
              <w:rPr>
                <w:rFonts w:hint="eastAsia" w:ascii="宋体" w:hAnsi="宋体" w:eastAsia="宋体" w:cs="宋体"/>
                <w:bCs/>
                <w:color w:val="auto"/>
                <w:szCs w:val="21"/>
                <w:highlight w:val="none"/>
                <w:lang w:val="en-US" w:eastAsia="zh-CN"/>
              </w:rPr>
              <w:t>3</w:t>
            </w:r>
          </w:p>
        </w:tc>
        <w:tc>
          <w:tcPr>
            <w:tcW w:w="8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vertAlign w:val="baseline"/>
              </w:rPr>
            </w:pPr>
            <w:r>
              <w:rPr>
                <w:rFonts w:hint="eastAsia" w:ascii="宋体" w:hAnsi="宋体" w:eastAsia="宋体" w:cs="宋体"/>
                <w:color w:val="auto"/>
                <w:szCs w:val="21"/>
                <w:highlight w:val="none"/>
              </w:rPr>
              <w:t>投标人的资格要求：详见“第一部分 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tcBorders>
              <w:tl2br w:val="nil"/>
              <w:tr2bl w:val="nil"/>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vertAlign w:val="baseline"/>
                <w:lang w:val="en-US" w:eastAsia="zh-CN"/>
              </w:rPr>
            </w:pPr>
            <w:r>
              <w:rPr>
                <w:rFonts w:hint="eastAsia" w:ascii="宋体" w:hAnsi="宋体" w:eastAsia="宋体" w:cs="宋体"/>
                <w:bCs/>
                <w:color w:val="auto"/>
                <w:szCs w:val="21"/>
                <w:highlight w:val="none"/>
                <w:lang w:val="en-US" w:eastAsia="zh-CN"/>
              </w:rPr>
              <w:t>4</w:t>
            </w:r>
          </w:p>
        </w:tc>
        <w:tc>
          <w:tcPr>
            <w:tcW w:w="8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vertAlign w:val="baseline"/>
              </w:rPr>
            </w:pPr>
            <w:r>
              <w:rPr>
                <w:rFonts w:hint="eastAsia" w:ascii="宋体" w:hAnsi="宋体" w:eastAsia="宋体" w:cs="宋体"/>
                <w:color w:val="auto"/>
                <w:szCs w:val="21"/>
                <w:highlight w:val="none"/>
              </w:rPr>
              <w:t>资格审查：本项目采用资格后审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tcBorders>
              <w:tl2br w:val="nil"/>
              <w:tr2bl w:val="nil"/>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vertAlign w:val="baseline"/>
                <w:lang w:val="en-US" w:eastAsia="zh-CN"/>
              </w:rPr>
            </w:pPr>
            <w:r>
              <w:rPr>
                <w:rFonts w:hint="eastAsia" w:ascii="Times New Roman" w:hAnsi="Times New Roman" w:eastAsia="宋体"/>
                <w:color w:val="auto"/>
                <w:szCs w:val="21"/>
                <w:highlight w:val="none"/>
              </w:rPr>
              <w:t>★</w:t>
            </w:r>
            <w:r>
              <w:rPr>
                <w:rFonts w:hint="eastAsia" w:ascii="宋体" w:hAnsi="宋体" w:eastAsia="宋体" w:cs="宋体"/>
                <w:bCs/>
                <w:color w:val="auto"/>
                <w:szCs w:val="21"/>
                <w:highlight w:val="none"/>
                <w:lang w:val="en-US" w:eastAsia="zh-CN"/>
              </w:rPr>
              <w:t>5</w:t>
            </w:r>
          </w:p>
        </w:tc>
        <w:tc>
          <w:tcPr>
            <w:tcW w:w="8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vertAlign w:val="baseline"/>
              </w:rPr>
            </w:pPr>
            <w:r>
              <w:rPr>
                <w:rFonts w:hint="eastAsia" w:ascii="宋体" w:hAnsi="宋体" w:eastAsia="宋体" w:cs="宋体"/>
                <w:color w:val="auto"/>
                <w:szCs w:val="21"/>
                <w:highlight w:val="none"/>
              </w:rPr>
              <w:t>商务条款资料部分：详见招标文件第四部分 采购内容及要求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tcBorders>
              <w:tl2br w:val="nil"/>
              <w:tr2bl w:val="nil"/>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vertAlign w:val="baseline"/>
                <w:lang w:val="en-US" w:eastAsia="zh-CN"/>
              </w:rPr>
            </w:pPr>
            <w:r>
              <w:rPr>
                <w:rFonts w:hint="eastAsia" w:ascii="Times New Roman" w:hAnsi="Times New Roman" w:eastAsia="宋体"/>
                <w:color w:val="auto"/>
                <w:szCs w:val="21"/>
                <w:highlight w:val="none"/>
              </w:rPr>
              <w:t>★</w:t>
            </w:r>
            <w:r>
              <w:rPr>
                <w:rFonts w:hint="eastAsia" w:ascii="宋体" w:hAnsi="宋体" w:eastAsia="宋体" w:cs="宋体"/>
                <w:bCs/>
                <w:color w:val="auto"/>
                <w:szCs w:val="21"/>
                <w:highlight w:val="none"/>
                <w:lang w:val="en-US" w:eastAsia="zh-CN"/>
              </w:rPr>
              <w:t>6</w:t>
            </w:r>
          </w:p>
        </w:tc>
        <w:tc>
          <w:tcPr>
            <w:tcW w:w="8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（1）</w:t>
            </w:r>
            <w:r>
              <w:rPr>
                <w:rFonts w:hint="eastAsia" w:ascii="宋体" w:hAnsi="宋体" w:eastAsia="宋体" w:cs="宋体"/>
                <w:b/>
                <w:bCs/>
                <w:color w:val="auto"/>
                <w:szCs w:val="21"/>
                <w:highlight w:val="none"/>
                <w:lang w:val="en-US" w:eastAsia="zh-CN"/>
              </w:rPr>
              <w:t>最高限价：516000元，投标报价超过最高限价的，其投标将作无效标处理。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投标报价包含完成本项目全部服务内容的一切费用。有关本项目实施所需的所有费用（含税费）均计入报价。合同履约期间，中标人承诺合同价不因市场因素和政策因素的变动而调整，请供应商自行考虑相关风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vertAlign w:val="baseline"/>
              </w:rPr>
            </w:pPr>
            <w:r>
              <w:rPr>
                <w:rFonts w:hint="eastAsia" w:ascii="宋体" w:hAnsi="宋体" w:eastAsia="宋体" w:cs="宋体"/>
                <w:color w:val="auto"/>
                <w:szCs w:val="21"/>
                <w:highlight w:val="none"/>
              </w:rPr>
              <w:t>（3）不论中标结果如何，投标人均应自行承担所有与投标有关的全部费用。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tcBorders>
              <w:tl2br w:val="nil"/>
              <w:tr2bl w:val="nil"/>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vertAlign w:val="baseline"/>
                <w:lang w:val="en-US" w:eastAsia="zh-CN"/>
              </w:rPr>
            </w:pPr>
            <w:r>
              <w:rPr>
                <w:rFonts w:hint="eastAsia" w:ascii="宋体" w:hAnsi="宋体" w:eastAsia="宋体" w:cs="宋体"/>
                <w:bCs/>
                <w:color w:val="auto"/>
                <w:szCs w:val="21"/>
                <w:highlight w:val="none"/>
                <w:lang w:val="en-US" w:eastAsia="zh-CN"/>
              </w:rPr>
              <w:t>7</w:t>
            </w:r>
          </w:p>
        </w:tc>
        <w:tc>
          <w:tcPr>
            <w:tcW w:w="8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vertAlign w:val="baseline"/>
              </w:rPr>
            </w:pPr>
            <w:r>
              <w:rPr>
                <w:rFonts w:hint="eastAsia" w:ascii="宋体" w:hAnsi="宋体" w:eastAsia="宋体" w:cs="宋体"/>
                <w:color w:val="auto"/>
                <w:szCs w:val="21"/>
                <w:highlight w:val="none"/>
              </w:rPr>
              <w:t>投标有效期：开标之日起90日历天。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tcBorders>
              <w:tl2br w:val="nil"/>
              <w:tr2bl w:val="nil"/>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vertAlign w:val="baseline"/>
                <w:lang w:val="en-US" w:eastAsia="zh-CN"/>
              </w:rPr>
            </w:pPr>
            <w:r>
              <w:rPr>
                <w:rFonts w:hint="eastAsia" w:ascii="Times New Roman" w:hAnsi="Times New Roman" w:eastAsia="宋体"/>
                <w:color w:val="auto"/>
                <w:szCs w:val="21"/>
                <w:highlight w:val="none"/>
              </w:rPr>
              <w:t>★</w:t>
            </w:r>
            <w:r>
              <w:rPr>
                <w:rFonts w:hint="eastAsia" w:ascii="宋体" w:hAnsi="宋体" w:eastAsia="宋体" w:cs="宋体"/>
                <w:bCs/>
                <w:color w:val="auto"/>
                <w:szCs w:val="21"/>
                <w:highlight w:val="none"/>
                <w:lang w:val="en-US" w:eastAsia="zh-CN"/>
              </w:rPr>
              <w:t>8</w:t>
            </w:r>
          </w:p>
        </w:tc>
        <w:tc>
          <w:tcPr>
            <w:tcW w:w="8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投标文件组成与份数：上传到政府采购云平台的电子加密投标文件（含资格证明文件、商务技术文件、报价文件）1份。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“电子加密投标文件”：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①“电子加密投标文件”是指通过“政采云电子交易客户端”完成投标文件编制后生成并加密的数据电文形式的投标文件。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vertAlign w:val="baseline"/>
              </w:rPr>
            </w:pPr>
            <w:r>
              <w:rPr>
                <w:rFonts w:hint="eastAsia" w:ascii="宋体" w:hAnsi="宋体" w:eastAsia="宋体" w:cs="宋体"/>
                <w:color w:val="auto"/>
                <w:szCs w:val="21"/>
                <w:highlight w:val="none"/>
              </w:rPr>
              <w:t>②供应商应先安装“政采云电子交易客户端”，并按照本招标文件和“政府采购云平台”的要求，通过“政采云电子交易客户端”编制并加密投标文件。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tcBorders>
              <w:tl2br w:val="nil"/>
              <w:tr2bl w:val="nil"/>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宋体" w:eastAsia="宋体" w:cs="宋体"/>
                <w:vertAlign w:val="baseline"/>
                <w:lang w:val="en-US" w:eastAsia="zh-CN"/>
              </w:rPr>
            </w:pPr>
            <w:r>
              <w:rPr>
                <w:rFonts w:hint="eastAsia" w:ascii="宋体" w:hAnsi="宋体" w:eastAsia="宋体" w:cs="宋体"/>
                <w:bCs/>
                <w:color w:val="auto"/>
                <w:szCs w:val="21"/>
                <w:highlight w:val="none"/>
                <w:lang w:val="en-US" w:eastAsia="zh-CN"/>
              </w:rPr>
              <w:t>9</w:t>
            </w:r>
          </w:p>
        </w:tc>
        <w:tc>
          <w:tcPr>
            <w:tcW w:w="8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vertAlign w:val="baseline"/>
              </w:rPr>
            </w:pPr>
            <w:r>
              <w:rPr>
                <w:rFonts w:hint="eastAsia" w:ascii="宋体" w:hAnsi="宋体" w:eastAsia="宋体" w:cs="宋体"/>
                <w:color w:val="auto"/>
                <w:szCs w:val="21"/>
                <w:highlight w:val="none"/>
              </w:rPr>
              <w:t>按照采购文件确定的事项、采购内容变更的规定、中标人的投标响应、中标人的投标承诺、中标通知书确定的数量和金额签订合同。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tcBorders>
              <w:tl2br w:val="nil"/>
              <w:tr2bl w:val="nil"/>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宋体" w:hAnsi="宋体" w:eastAsia="宋体" w:cs="宋体"/>
                <w:vertAlign w:val="baseline"/>
                <w:lang w:val="en-US" w:eastAsia="zh-CN"/>
              </w:rPr>
            </w:pPr>
            <w:r>
              <w:rPr>
                <w:rFonts w:hint="eastAsia" w:ascii="宋体" w:hAnsi="宋体" w:eastAsia="宋体" w:cs="宋体"/>
                <w:bCs/>
                <w:color w:val="auto"/>
                <w:szCs w:val="21"/>
                <w:highlight w:val="none"/>
                <w:lang w:val="en-US" w:eastAsia="zh-CN"/>
              </w:rPr>
              <w:t>10</w:t>
            </w:r>
          </w:p>
        </w:tc>
        <w:tc>
          <w:tcPr>
            <w:tcW w:w="8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vertAlign w:val="baseline"/>
              </w:rPr>
            </w:pPr>
            <w:r>
              <w:rPr>
                <w:rFonts w:hint="eastAsia" w:ascii="宋体" w:hAnsi="宋体" w:eastAsia="宋体" w:cs="宋体"/>
                <w:color w:val="auto"/>
                <w:szCs w:val="21"/>
                <w:highlight w:val="none"/>
              </w:rPr>
              <w:t>其他：采购公告与中标公告发布网站：浙江政府采购网（http://zfcg.czt.zj.gov.cn/）、宁波市公共资源交易电子服务系统（https://jyxt.zwb.ningbo.gov.cn:4011）</w:t>
            </w:r>
            <w:r>
              <w:rPr>
                <w:rFonts w:hint="eastAsia" w:ascii="宋体" w:hAnsi="宋体" w:eastAsia="宋体" w:cs="宋体"/>
                <w:color w:val="auto"/>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7" w:type="dxa"/>
            <w:tcBorders>
              <w:tl2br w:val="nil"/>
              <w:tr2bl w:val="nil"/>
            </w:tcBorders>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宋体" w:hAnsi="宋体" w:eastAsia="宋体" w:cs="宋体"/>
                <w:vertAlign w:val="baseline"/>
                <w:lang w:val="en-US" w:eastAsia="zh-CN"/>
              </w:rPr>
            </w:pPr>
            <w:r>
              <w:rPr>
                <w:rFonts w:hint="eastAsia" w:ascii="宋体" w:hAnsi="宋体" w:eastAsia="宋体" w:cs="宋体"/>
                <w:bCs/>
                <w:color w:val="auto"/>
                <w:szCs w:val="21"/>
                <w:highlight w:val="none"/>
                <w:lang w:val="en-US" w:eastAsia="zh-CN"/>
              </w:rPr>
              <w:t>11</w:t>
            </w:r>
          </w:p>
        </w:tc>
        <w:tc>
          <w:tcPr>
            <w:tcW w:w="8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招标服务费：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本项目招标代理服务费用按照中标通知书确定的中标金额，参照原国家计委关于印发《招标代理服务收费管理暂行办法》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计价格[2002]1980号文件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、发改价格[2011]534号《国家发展改革委关于降低部分建设项目收费标准规范收费行为等有关问题的通知》中招标费率规定的服务类标准计取，向中标人收取中标服务费。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）中标服务费只收现金、银行票汇款、电汇款。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lang w:val="en-US" w:eastAsia="zh-CN"/>
              </w:rPr>
              <w:t>应在</w:t>
            </w:r>
            <w:r>
              <w:rPr>
                <w:rFonts w:hint="eastAsia" w:ascii="宋体" w:hAnsi="宋体" w:eastAsia="宋体" w:cs="宋体"/>
                <w:color w:val="auto"/>
                <w:szCs w:val="21"/>
                <w:highlight w:val="none"/>
              </w:rPr>
              <w:t>接到代理机构通知之日</w:t>
            </w:r>
            <w:r>
              <w:rPr>
                <w:rFonts w:hint="eastAsia" w:ascii="宋体" w:hAnsi="宋体" w:eastAsia="宋体" w:cs="宋体"/>
                <w:color w:val="auto"/>
                <w:szCs w:val="21"/>
                <w:highlight w:val="none"/>
                <w:lang w:val="en-US" w:eastAsia="zh-CN"/>
              </w:rPr>
              <w:t>起</w:t>
            </w:r>
            <w:r>
              <w:rPr>
                <w:rFonts w:hint="eastAsia" w:ascii="宋体" w:hAnsi="宋体" w:eastAsia="宋体" w:cs="宋体"/>
                <w:color w:val="auto"/>
                <w:szCs w:val="21"/>
                <w:highlight w:val="none"/>
                <w:lang w:eastAsia="zh-CN"/>
              </w:rPr>
              <w:t>5个工作日内向本采购代理机构领取中标通知书</w:t>
            </w:r>
            <w:r>
              <w:rPr>
                <w:rFonts w:hint="eastAsia" w:ascii="宋体" w:hAnsi="宋体" w:eastAsia="宋体" w:cs="宋体"/>
                <w:color w:val="auto"/>
                <w:szCs w:val="21"/>
                <w:highlight w:val="none"/>
                <w:lang w:val="en-US" w:eastAsia="zh-CN"/>
              </w:rPr>
              <w:t>并</w:t>
            </w:r>
            <w:r>
              <w:rPr>
                <w:rFonts w:hint="eastAsia" w:ascii="宋体" w:hAnsi="宋体" w:eastAsia="宋体" w:cs="宋体"/>
                <w:color w:val="auto"/>
                <w:szCs w:val="21"/>
                <w:highlight w:val="none"/>
              </w:rPr>
              <w:t>支付招标服务费</w:t>
            </w:r>
            <w:r>
              <w:rPr>
                <w:rFonts w:hint="eastAsia" w:ascii="宋体" w:hAnsi="宋体" w:eastAsia="宋体" w:cs="宋体"/>
                <w:color w:val="auto"/>
                <w:szCs w:val="21"/>
                <w:highlight w:val="none"/>
                <w:lang w:eastAsia="zh-CN"/>
              </w:rPr>
              <w:t>（根据中标人需求可采用邮寄或到采购代理机构现场领取）。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）关于本次采购的服务费汇入以下账户：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开户银行：宁波银行鄞州支行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帐    号：53010122000003772</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vertAlign w:val="baseline"/>
              </w:rPr>
            </w:pPr>
            <w:r>
              <w:rPr>
                <w:rFonts w:hint="eastAsia" w:ascii="宋体" w:hAnsi="宋体" w:eastAsia="宋体" w:cs="宋体"/>
                <w:color w:val="auto"/>
                <w:szCs w:val="21"/>
                <w:highlight w:val="none"/>
                <w:lang w:eastAsia="zh-CN"/>
              </w:rPr>
              <w:t>户    名：宁波正源工程造价咨询有限公司</w:t>
            </w:r>
          </w:p>
        </w:tc>
      </w:tr>
    </w:tbl>
    <w:p>
      <w:pPr>
        <w:bidi w:val="0"/>
        <w:rPr>
          <w:rFonts w:hint="eastAsia"/>
        </w:rPr>
      </w:pPr>
    </w:p>
    <w:p>
      <w:pPr>
        <w:bidi w:val="0"/>
        <w:rPr>
          <w:rFonts w:hint="eastAsia"/>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pStyle w:val="5"/>
        <w:keepNext/>
        <w:keepLines/>
        <w:pageBreakBefore w:val="0"/>
        <w:widowControl w:val="0"/>
        <w:kinsoku/>
        <w:wordWrap/>
        <w:overflowPunct/>
        <w:topLinePunct w:val="0"/>
        <w:autoSpaceDE/>
        <w:autoSpaceDN/>
        <w:bidi w:val="0"/>
        <w:adjustRightInd/>
        <w:snapToGrid/>
        <w:spacing w:before="0" w:after="0"/>
        <w:jc w:val="center"/>
        <w:textAlignment w:val="auto"/>
        <w:rPr>
          <w:rFonts w:hint="eastAsia"/>
          <w:b/>
        </w:rPr>
      </w:pPr>
      <w:bookmarkStart w:id="6" w:name="_Toc1173"/>
      <w:r>
        <w:rPr>
          <w:rFonts w:hint="eastAsia"/>
          <w:b/>
        </w:rPr>
        <w:t>第三部分 投标人须知</w:t>
      </w:r>
      <w:bookmarkEnd w:id="6"/>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一、说明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1、项目概况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1.1采购人的项目（载明在《投标资料表》中）已经政府采购行政管理部门批准。采购人委托</w:t>
      </w:r>
      <w:r>
        <w:rPr>
          <w:rFonts w:hint="eastAsia" w:ascii="宋体" w:hAnsi="宋体" w:eastAsia="宋体" w:cs="宋体"/>
          <w:lang w:val="en-US" w:eastAsia="zh-CN"/>
        </w:rPr>
        <w:t>宁波正源工程造价咨询有限公司</w:t>
      </w:r>
      <w:r>
        <w:rPr>
          <w:rFonts w:hint="eastAsia" w:ascii="宋体" w:hAnsi="宋体" w:eastAsia="宋体" w:cs="宋体"/>
        </w:rPr>
        <w:t>代理本次招标采购工作。有关采购人、采购代理机构的名称、联系人、电话、传真等信息载明在《投标资料表》中。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1.2经批准的本次采购方式载明在《投标资料表》中。</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二、投标人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2、合格的投标人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2.1投标人应该是符合《投标资料表》的报名条件。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2.2参加本次投标活动的投标人应具备以下条件，并遵守国家有关的法律、法令和条例的规定：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（2）具有履行合同要求提供服务所必须的设备、人员和专业技术能力；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（3）有依法缴纳税收和社会保障资金的良好纪录；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（4）参加本次投标活动之前三年内经营活动无重大违法纪录；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（5）满足采购人为获得满意服务供应而提出的其他要求。（见采购文件中资格要求）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（6）单位负责人为同一人或者存在直接控股、管理关系的不同供应商，不得参加同一合同项下的政府采购活动；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（7）除单一来源采购项目外，为采购项目提供整体设计、规范编制或者项目管理、监理、检测等服务的供应商，不得再参加该采购项目的其他采购活动。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3、投标人代表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若投标人为中国境内企业或组织必须为该企业或组织的人员，若投标人为自然人必须为中国合法公民。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4、投标费用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不论招标的结果如何，投标人自行承担其参加本次投标有关的全部费用。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rPr>
      </w:pPr>
      <w:r>
        <w:rPr>
          <w:rFonts w:hint="eastAsia" w:ascii="宋体" w:hAnsi="宋体" w:eastAsia="宋体" w:cs="宋体"/>
        </w:rPr>
        <w:t>5、特别说明（针对货物采购）：/</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三、采购文件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6、采购文件的构成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采购文件含有以下部分，文本条款装订成册。内容如下：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第一部分 采购公告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第二部分 投标资料表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第三部分 投标人须知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第四部分 采购内容及要求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第五部分 评标办法及标准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第六部分 拟签订的合同文本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第七部分 格式与表格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投标人应详细阅读采购文件的全部内容和要求，不按采购文件的要求递交投标文件和资料导致的风险由投标人承担。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7、质疑与投诉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7.1投标人认为采购文件、采购过程和中标、成交结果使自己的权益受到损害的，可以在知道或者应知其权益受到损害之日起七个工作日内，以书面形式向采购人、采购机构提出质疑</w:t>
      </w:r>
      <w:r>
        <w:rPr>
          <w:rFonts w:hint="eastAsia" w:ascii="宋体" w:hAnsi="宋体" w:eastAsia="宋体" w:cs="宋体"/>
          <w:b/>
          <w:bCs/>
        </w:rPr>
        <w:t>（注：投标人须在法定质疑期内一次性提出针对同一采购程序环节的质疑）</w:t>
      </w:r>
      <w:r>
        <w:rPr>
          <w:rFonts w:hint="eastAsia" w:ascii="宋体" w:hAnsi="宋体" w:eastAsia="宋体" w:cs="宋体"/>
        </w:rPr>
        <w:t>。潜在投标人的书面质疑或澄清要求均应加盖单位公章，署明日期。投标人未按规定要求提出的，则视同认可采购文件，但法律法规及规范性文件有明确规定的除外。供应商对采购机构的质疑答复不满意或者采购机构未在规定时间内作出答复的，可以在答复期满后十五个工作日内向同级政府采购监督管理部门投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7.2对于受理的质疑，采购代理机构将以书面形式或其他适当方式进行答疑，必要时将书面答复发送所有取得本采购文件的投标人。若采购代理机构所作的答疑不引起采购文件相应条款的实质性改变，则不应视作对采购文件的修正或更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7.3采购代理机构发送的答疑文件是采购文件的组成部分，对投标人具有约束力。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7.4未尽事宜，见《政府采购质疑和投诉办法》（中华人民共和国财政部令第94号）。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8、采购文件的澄清与修改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8.1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澄清或者修改的内容可能影响投标文件编制的，采购人或者采购代理机构应当在投标截止时间至少15日前，以书面形式通知所有获取采购文件的潜在投标人；不足15日的，采购人或者采购代理机构应当顺延提交投标文件的截止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8.2采购代理机构必须以书面形式答复投标人要求澄清的问题，并将不包含问题来源的答复书面通知所有获取采购文件的投标人；除书面答复以外的其他澄清方式及澄清内容均无效。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8.3采购文件澄清、答复、修改、补充的内容为采购文件的组成部分。当采购文件与采购文件的答复、澄清、修改、补充通知就同一内容的表述不一致时，以最后发出的书面文件为准。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8.4采购文件的澄清、答复、修改或补充都应该通过本代理机构以法定形式发布，采购人非通过本机构，不得擅自澄清、答复、修改或补充采购文件。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9、关于分公司投标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除金融、保险、通讯等特定行业外，法人的分支机构由于不能独立承担民事责任，不能以分支机构的身份参加政府采购，只能法人身份参加。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10、关于知识产权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10.1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10.2投标报价应包含所有应向所有权人支付的专利权、商标权或其它知识产权的一切相关费用。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10.3系统软件、通用软件必须是具有在中国境内的合法使用权或版权的正版软件，涉及到第三方提出侵权或知识产权的起诉及支付版税等费用由供应商承担所有责任及费用。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highlight w:val="none"/>
        </w:rPr>
      </w:pPr>
      <w:r>
        <w:rPr>
          <w:rFonts w:hint="eastAsia" w:ascii="宋体" w:hAnsi="宋体" w:eastAsia="宋体" w:cs="宋体"/>
          <w:b/>
          <w:bCs/>
          <w:sz w:val="24"/>
          <w:szCs w:val="32"/>
          <w:highlight w:val="none"/>
        </w:rPr>
        <w:t>四、投标文件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11、投标文件的组成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11.1投标文件分为资格证明文件、报价文件、技术商务文件三部分；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资格证明文件包含但不限于以下文件：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（1）有效的企业法人营业执照（或事业法人登记证）、其他组织（个体工商户）的营业执照或者民办非企业单位登记证书复印件（复印件加盖公章）；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val="en-US" w:eastAsia="zh-CN"/>
        </w:rPr>
        <w:t>关于资格的承诺函</w:t>
      </w:r>
      <w:r>
        <w:rPr>
          <w:rFonts w:hint="eastAsia" w:ascii="宋体" w:hAnsi="宋体" w:eastAsia="宋体" w:cs="宋体"/>
          <w:highlight w:val="none"/>
        </w:rPr>
        <w:t>（格式见附件)；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3）中小企业声明函（格式见附件）或残疾人福利性单位声明函（若有，格式见附件）或监狱企业的证明文件：由省级以上监狱管理局、戒毒管理局（含新疆生产建设兵团）出具的属于监狱企业的证明文件（若有，格式自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报价文件包含但不限于以下文件：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（1）投标函；（格式见附件）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（2）开标一览表；（格式见附件）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（3）投标人认为需提交的其他文件资料；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技术商务文件包含但不限于以下文件：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（1）技术商务分自评表（格式见附件）；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2</w:t>
      </w:r>
      <w:r>
        <w:rPr>
          <w:rFonts w:hint="eastAsia" w:ascii="宋体" w:hAnsi="宋体" w:eastAsia="宋体" w:cs="宋体"/>
          <w:highlight w:val="none"/>
        </w:rPr>
        <w:t>）法定代表人身份证明书</w:t>
      </w:r>
      <w:r>
        <w:rPr>
          <w:rFonts w:hint="eastAsia" w:ascii="宋体" w:hAnsi="宋体" w:eastAsia="宋体" w:cs="宋体"/>
          <w:highlight w:val="none"/>
          <w:lang w:val="en-US" w:eastAsia="zh-CN"/>
        </w:rPr>
        <w:t>及</w:t>
      </w:r>
      <w:r>
        <w:rPr>
          <w:rFonts w:hint="eastAsia" w:ascii="宋体" w:hAnsi="宋体" w:eastAsia="宋体" w:cs="宋体"/>
          <w:highlight w:val="none"/>
        </w:rPr>
        <w:t>法定代表人授权书（若投标人代表系法定代表人，无需提供授权书，必须提供法定代表人身份证复印件</w:t>
      </w:r>
      <w:r>
        <w:rPr>
          <w:rFonts w:hint="eastAsia" w:ascii="宋体" w:hAnsi="宋体" w:eastAsia="宋体" w:cs="宋体"/>
          <w:highlight w:val="none"/>
          <w:lang w:eastAsia="zh-CN"/>
        </w:rPr>
        <w:t>）</w:t>
      </w:r>
      <w:r>
        <w:rPr>
          <w:rFonts w:hint="eastAsia" w:ascii="宋体" w:hAnsi="宋体" w:eastAsia="宋体" w:cs="宋体"/>
          <w:highlight w:val="none"/>
        </w:rPr>
        <w:t>（格式见附件）；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3</w:t>
      </w:r>
      <w:r>
        <w:rPr>
          <w:rFonts w:hint="eastAsia" w:ascii="宋体" w:hAnsi="宋体" w:eastAsia="宋体" w:cs="宋体"/>
          <w:highlight w:val="none"/>
        </w:rPr>
        <w:t>）针对招标文件第四部分拟定的实施方案等；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4</w:t>
      </w:r>
      <w:r>
        <w:rPr>
          <w:rFonts w:hint="eastAsia" w:ascii="宋体" w:hAnsi="宋体" w:eastAsia="宋体" w:cs="宋体"/>
          <w:highlight w:val="none"/>
        </w:rPr>
        <w:t>）技术条款偏离表（格式见附件）；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5</w:t>
      </w:r>
      <w:r>
        <w:rPr>
          <w:rFonts w:hint="eastAsia" w:ascii="宋体" w:hAnsi="宋体" w:eastAsia="宋体" w:cs="宋体"/>
          <w:highlight w:val="none"/>
        </w:rPr>
        <w:t>）商务条款偏离表（格式见附件）；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rPr>
        <w:t>（</w:t>
      </w:r>
      <w:r>
        <w:rPr>
          <w:rFonts w:hint="eastAsia" w:ascii="宋体" w:hAnsi="宋体" w:eastAsia="宋体" w:cs="宋体"/>
          <w:highlight w:val="none"/>
          <w:lang w:val="en-US" w:eastAsia="zh-CN"/>
        </w:rPr>
        <w:t>6</w:t>
      </w:r>
      <w:r>
        <w:rPr>
          <w:rFonts w:hint="eastAsia" w:ascii="宋体" w:hAnsi="宋体" w:eastAsia="宋体" w:cs="宋体"/>
          <w:highlight w:val="none"/>
        </w:rPr>
        <w:t>）</w:t>
      </w:r>
      <w:r>
        <w:rPr>
          <w:rFonts w:hint="eastAsia" w:ascii="宋体" w:hAnsi="宋体" w:eastAsia="宋体" w:cs="宋体"/>
          <w:highlight w:val="none"/>
          <w:lang w:val="en-US" w:eastAsia="zh-CN"/>
        </w:rPr>
        <w:t>类似项目业绩一览表</w:t>
      </w:r>
      <w:r>
        <w:rPr>
          <w:rFonts w:hint="eastAsia" w:ascii="宋体" w:hAnsi="宋体" w:eastAsia="宋体" w:cs="宋体"/>
          <w:highlight w:val="none"/>
        </w:rPr>
        <w:t>（格式见附件）；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7</w:t>
      </w:r>
      <w:r>
        <w:rPr>
          <w:rFonts w:hint="eastAsia" w:ascii="宋体" w:hAnsi="宋体" w:eastAsia="宋体" w:cs="宋体"/>
          <w:highlight w:val="none"/>
        </w:rPr>
        <w:t>）项目人员配备表（格式见附件）；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8</w:t>
      </w:r>
      <w:r>
        <w:rPr>
          <w:rFonts w:hint="eastAsia" w:ascii="宋体" w:hAnsi="宋体" w:eastAsia="宋体" w:cs="宋体"/>
          <w:highlight w:val="none"/>
        </w:rPr>
        <w:t>）供应商基本情况表（格式见附件）；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9</w:t>
      </w:r>
      <w:r>
        <w:rPr>
          <w:rFonts w:hint="eastAsia" w:ascii="宋体" w:hAnsi="宋体" w:eastAsia="宋体" w:cs="宋体"/>
          <w:highlight w:val="none"/>
        </w:rPr>
        <w:t>）本项目负责人简历表（格式见附件）；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10</w:t>
      </w:r>
      <w:r>
        <w:rPr>
          <w:rFonts w:hint="eastAsia" w:ascii="宋体" w:hAnsi="宋体" w:eastAsia="宋体" w:cs="宋体"/>
          <w:highlight w:val="none"/>
        </w:rPr>
        <w:t>）评分标准或采购文件需要提供的其他技术商务材料；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1</w:t>
      </w:r>
      <w:r>
        <w:rPr>
          <w:rFonts w:hint="eastAsia" w:ascii="宋体" w:hAnsi="宋体" w:eastAsia="宋体" w:cs="宋体"/>
          <w:highlight w:val="none"/>
        </w:rPr>
        <w:t>）投标人认为需提交的其他文件资料。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11.2本次招标对投标文件组成要求，表述在《投标资料表》中。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12、投标报价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12.1投标人应全面充分了解本招标项目的全部内容及要求以及服务现场的基本条件，按照《投标资料表》规定与要求报价，并包含服务过程中可能涉及的所有费用。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12.2所有投标报价必须以人民币报价，不接受外币报价。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12.3投标报价只有一个，而且一经开标，投标价不得变更。如果出现有两个及以上的报价又未声明以哪一报价方案为主，则投标将被拒绝。投标声明应载明在“开标一览表”中，供开标时唱出。未经唱出的投标声明在评标时不作考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12.4投标报价中有关单价在中标后及合同执行过程中是固定不变的，投标人不得以任何理由予以变更。任何包含价格调整要求的投标，将被作无效投标处理。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13、投标文件编写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13.1投标文件应表述准确、完整、详细，并按统一格式填写。开标一览表系开标仪式上唱标的内容，应按格式完整填写。投标文件因表达不清楚所引起的后果由投标人负责。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13.2投标语言：中文。除签名、盖章、专用名称等特殊情形外，以中文汉语以外的文字表述的投标文件视同未提供。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13.3投标文件中所使用的计量单位，除非本采购文件“招标内容及要求”有特殊要求，应采用国家法定计量单位。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14、投标文件的有效期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14.1投标文件应在《投标资料表》规定的投标有效期内保持有效。有效期短于规定期限的，将导致投标无效而被拒绝。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14.2在特殊情况下，在原投标有效期截止之前，应采购人的要求，采购代理机构可要求投标人延长投标文件的有效期，这种要求的提出和投标人的答复都应以书面（含传真）的形式进行。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14.3中标人的投标文件自开标之日起至合同履行完毕止均应保持有效。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15、投标文件的签署和份数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15.1供应商应按本采购文件规定的格式和顺序编制、装订投标文件，投标文件要求有目录并标注页码，投标文件内容不完整、编排混乱导致投标文件被误读、漏读或者查找不到相关内容的，是供应商的责任。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15.2投标文件的份数：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本项目实行网上投标，供应商应准备以下投标文件：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（1）上传到政府采购云平台的电子加密投标文件（含资格证明文件、技术商务文件、报价文件）1份。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（2）以U盘存储的电子备份投标文件（含资格证明文件、技术商务文件、报价文件）1份（如有）。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15.3电子投标文件：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供应商应根据政府采购云平台的要求及本采购文件规定的格式和顺序编制电子投标文件并进行关联定位。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16、投标文件的包装、递交、修改和撤回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16.1以U盘存储的电子备份投标文件用封袋密封后递交（如有）。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16.2未按规定密封或标记的投标文件将被拒绝，由此造成投标文件被误投或提前拆封的风险由供应商承担。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16.3供应商在投标截止时间之前，可以对已提交的电子备份投标文件进行修改或撤回，并书面通知招标采购单位；投标截止时间后，供应商不得撤回、修改投标文件。修改后重新递交的电子备份投标文件应当按本采购文件的要求签署、盖章和密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16.4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五、开标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17、开标准备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采购代理机构将在规定的时间和地点进行开标，供应商的法定代表人或其授权代表可参加开标会。供应商的法定代表人或其授权代表未按时签到登记的，视同放弃开标监督权利、认可开标结果，不得事后对开标过程提出任何异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18、开标程序：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18.1电子招投标开标程序：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投标截止时间后，供应商登录政采云平台，用“项目采购-开标评标”功能对电子投标文件进行在线解密，在线解密电子投标文件时间为开标时间起 30 分钟内；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采购人或代理机构对供应商的资格进行审查；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评标委员会对商务技术投标文件进行评审；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在系统上公开资格和商务技术评审结果；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在系统上公开报价开标情况；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评标委员会对报价情况进行评审；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eastAsia="zh-CN"/>
        </w:rPr>
      </w:pPr>
      <w:r>
        <w:rPr>
          <w:rFonts w:hint="eastAsia" w:ascii="宋体" w:hAnsi="宋体" w:eastAsia="宋体" w:cs="宋体"/>
          <w:lang w:val="en-US" w:eastAsia="zh-CN"/>
        </w:rPr>
        <w:t>（7）</w:t>
      </w:r>
      <w:r>
        <w:rPr>
          <w:rFonts w:hint="eastAsia" w:ascii="宋体" w:hAnsi="宋体" w:eastAsia="宋体" w:cs="宋体"/>
        </w:rPr>
        <w:t>在系统上公布评审结果</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（8）开标结束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18.2特别说明：政府采购云平台如对电子化开标及评审程序有调整的，按调整后的程序操作。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本项目原则上采用政采云电子招投标开标程序，但有以下情形之一的，按以下处理：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（1）若有供应商在规定时间内无法解密或解密失败，代理机构将开启该供应商递交的以U盘存储的电子备份投标文件，上传至政采云平台项目采购模块，以完成开标，电子投标文件自动失效。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（2）采购过程中出现以下情形，导致电子交易平台无法正常运行，或者无法保证电子交易的公平、公正和安全时，采购人（或代理机构）可中止电子交易活动：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 xml:space="preserve">①电子交易平台发生故障而无法登录访问的；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②电子交易平台应用或数据库出现错误，不能进行正常操作的；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③电子交易平台发现严重安全漏洞，有潜在泄密危险的；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 xml:space="preserve">④病毒发作导致不能进行正常操作的；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⑤其他无法保证电子交易的公平、公正和安全的情况。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出现前款规定情形，不影响采购公平、公正性的，采购人（或代理机构）可以待上述情形消除后继续组织电子交易活动。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（4）未开启的备份投标文件现场不予以退还。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六、评标和定标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19、评标委员会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19.1受采购人的委托，采购代理机构根据《中华人民共和国政府采购法》、财政部第87号令的规定和有关的法律法规组建评标委员会，评标委员会负责评标工作。评标委员会由采购人代表（≤1人）和评审专家（≥4人）组成。评标委员会成员名单在评标结果公告前应当保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19.2评标委员会将遵循公平、公正、科学、廉洁的原则和规定的程序进行评标，并且只依据投标文件本身对采购文件的响应情况进行评审，不考虑投标人在开标后提交的任何的补充声明、修正方案。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19.3评委依法独立评审，并对评审意见承担个人责任。对明显畸高、畸低的评分（其个人主观打分偏离所有评审小组成员主观评分平均分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19.4评标委员会将核对投标价格和服务内容，对发现的价格计算错误按下述原则处理：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（1）投标文件中开标一览表内容与投标文件中相应内容不一致的，以开标一览表为准；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（2）投标文件的大写金额和小写金额不一致的，以大写金额为准；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（4）总价金额与按单价汇总金额不一致，以单价金额计算结果为准。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rPr>
      </w:pPr>
      <w:r>
        <w:rPr>
          <w:rFonts w:hint="eastAsia" w:ascii="宋体" w:hAnsi="宋体" w:eastAsia="宋体" w:cs="宋体"/>
          <w:b/>
          <w:bCs/>
        </w:rPr>
        <w:t>（5）客户端填写的报价与以pdf格式上传</w:t>
      </w:r>
      <w:r>
        <w:rPr>
          <w:rFonts w:hint="eastAsia" w:ascii="宋体" w:hAnsi="宋体" w:eastAsia="宋体" w:cs="宋体"/>
          <w:b/>
          <w:bCs/>
          <w:lang w:val="en-US" w:eastAsia="zh-CN"/>
        </w:rPr>
        <w:t>的报价</w:t>
      </w:r>
      <w:r>
        <w:rPr>
          <w:rFonts w:hint="eastAsia" w:ascii="宋体" w:hAnsi="宋体" w:eastAsia="宋体" w:cs="宋体"/>
          <w:b/>
          <w:bCs/>
        </w:rPr>
        <w:t>文件中的报价不一致的，应以pdf格式上传</w:t>
      </w:r>
      <w:r>
        <w:rPr>
          <w:rFonts w:hint="eastAsia" w:ascii="宋体" w:hAnsi="宋体" w:eastAsia="宋体" w:cs="宋体"/>
          <w:b/>
          <w:bCs/>
          <w:lang w:val="en-US" w:eastAsia="zh-CN"/>
        </w:rPr>
        <w:t>的报价</w:t>
      </w:r>
      <w:r>
        <w:rPr>
          <w:rFonts w:hint="eastAsia" w:ascii="宋体" w:hAnsi="宋体" w:eastAsia="宋体" w:cs="宋体"/>
          <w:b/>
          <w:bCs/>
        </w:rPr>
        <w:t>文件中的报价为准。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同时出现两种以上不一致的，按照前款规定的顺序修正。修正后的报价经投标人确认后产生约束力，投标人不确认的，其投标无效。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19.5评标委员会根据采购文件的《评标办法》及在《投标资料表》和《招标内容和要求》中所列的具体标准，对投标文件进行评审。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20、澄清问题的形式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20.1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20.2政采云具体操作如下：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在评审过程中，如评标委员会对投标文件有疑问，由评标委员会组长将问题汇总后发函，或由采购代理机构代替发起。供应商在截止时间前，予以回复。此回复将作为投标文件内容的一部分，具有相应的法律效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路径：用户中心—项目采购—询标澄清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（1）政采云平台通过待办事项和短信提醒供应商在截止时间前完成澄清。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（2）供应商在“询标澄清-待办理”标签页下选择状态为“待澄清”的项目，点击操作栏【澄清】。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（3）查看函内容，在澄清截止时间前上传澄清文件并对澄清文件进行签章。（注：澄清文件必须以PDF格式上传，文件大小：50M）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（4）签章完成，文件名称处显示“已签章”，供应商可“撤回签章”修改澄清函和“查看文件”。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（6）完成状态：供应商澄清文件提交成功后，在“询标澄清-全部”标签页下显示状态为“已澄清”。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20.3开标现场，供应商安排法定代表人或授权代表到场的，则由评标委员会组长将问题汇总后向供应商发出书面“采购响应文件问题澄清通知”，供应商应对需要澄清的问题作书面回答，该书面澄清应当由供应商的法定代表人或授权代表签字或者加盖供应商公章。书面澄清将作为投标文件内容的一部分，具有相应的法律效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20.4供应商未在截止时间前完成澄清，将被视作自动放弃。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21、评标办法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21.1本项目采用综合评分法。本次招标采用的评标方法具体说明载明在采购文件“评标办法”部分中。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21.2综合评分法：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投标文件满足采购文件全部实质性要求，且按照评审因素的量化指标评审得分最高的投标人为中标候选人的评标方法。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22、评标程序和原则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22.1评标程序：遵循初步审查、澄清有关问题、比较与评价、推荐中标候选人的程序依次进行。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22.2初步审查：包含资格性审查和符合性审查。初步审查不合格者不进入澄清有关问题及后续的评标程序。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（1）资格性审查：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依据法律法规和采购文件的规定，采购人或采购代理机构对其资格证明文件齐全性和有效性等方面进行审查，以确定投标人是否具备投标资格。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（2）符合性检查：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依据采购文件的规定，评标委员会从投标文件的有效性、完整性和对采购文件的响应程度进行审查，以确定是否对采购文件的要求作出实质性响应。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22.3澄清有关问题：按第20条规定进行。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22.4比较与评价：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（1）技术商务评价：按照采购文件的要求和《评标标准》对照投标文件的响应进行技术商务评价，评定其偏差程度，并计算其相应的技术商务评分分值。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（2）综合评价：对经过技术商务评价的投标，按《评标标准》规定的评价办法进行综合评价，并按以下原则进行评审计算：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综合评分法的最终得分计算：综合得分=报价得分+技术商务评审得分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综合评价结束，按照上述第21条规定，列出进入最终评审各投标人排序次序。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22.5推荐中标候选人：按23条规定推荐中标候选人。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23、推荐中标候选人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rPr>
      </w:pPr>
      <w:r>
        <w:rPr>
          <w:rFonts w:hint="eastAsia" w:ascii="宋体" w:hAnsi="宋体" w:eastAsia="宋体" w:cs="宋体"/>
          <w:b/>
          <w:bCs/>
        </w:rPr>
        <w:t>评标委员会根据投标人的综合得分由高到低排定顺序，推荐本项目的中标候选人1名。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24、采购方式转换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公开招标数额标准以上的采购项目，投标截止后投标人不足3家或者通过资格审查或符合性审查的投标人不足3家的，除采购任务取消情形外，按照以下方式处理：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24.1采购文件存在不合理条款或者招标程序不符合规定的，采购人、采购代理机构改正后依法重新招标；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24.2采购文件没有不合理条款、招标程序符合规定，需要采用其他采购方式采购的，采购人依法报财政部门批准。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25、评标过程的监控与保密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25.1本项目评标过程实行全程录音、录像监控，投标人在评标过程中所进行的试图影响评标结果的不公正活动，可能导致其投标被拒绝。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25.2开标后到中标通知书发出之前，所有涉及评标委员会名单以及对投标文件的澄清、评价、比较等情况，评标委员会成员、采购人和采购代理机构的有关人员均不得向投标人或其他无关人员透露。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26、确定中标人、评标结果公示与质疑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26.1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26.2代理机构自中标人确定之日起2个工作日内，在发布招标公告的网站上对中标结果进行公示，中标结果公告期限为1个工作日。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26.3投标人若对评标结果有异议，可在中标公告期限届满之日起七个工作日内向采购人提出书面质疑，质疑书应该有质疑人名称、地址、公章、法定代表人签名盖章、联系人姓名、联系电话、传真以及被质疑人名称及联系方式，被质疑采购项目名称、编号及采购内容，具体的质疑事项及事实依据，认为自己合法权益受到损害或可能受到损害的相关证据材料，提出质疑的日期，否则视为无效质疑。本采购代理机构将受采购人委托在收到质疑文件之日起7个工作日内书面答复。不受理无效的任何质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七、无效投标认定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27、实质上没有响应采购文件要求的投标将被视为无效投标。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27.1在资格审查时，不具备采购文件中规定的资格要求的，或者资格证明文件不全的，投标文件将被视为无效。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27.2在符合性审查（技术商务文件）时，如发现下列情形之一的，投标文件将被视为无效：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（1）投标文件未按采购文件要求签署、签章的（不影响投标文件法律效力的除外）；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（2）投标有效期不满足采购文件要求的；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（3）明显不符合采购文件要求的，或者与采购文件中标注“★”的条款发生实质性偏离的；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（4）投标文件中含有采购人不能接受的附加条件的；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（5）委托人未提供法定代表人授权委托书、填写项目不齐全的；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（6）投标文件格式不规范、提供资料不齐全或者内容虚假的；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（7）投标文件的实质性内容未使用中文表述、表述不明确、前后矛盾或者使用计量单位不符合采购文件要求的（经评标委员会认定并允许其更正的笔误除外）；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（8）投标文件的关键内容字迹模糊、无法辨认的，或者投标文件中经修正的内容字迹模糊难以辨认或者修改处未按规定签署、盖章的；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rPr>
      </w:pPr>
      <w:r>
        <w:rPr>
          <w:rFonts w:hint="eastAsia" w:ascii="宋体" w:hAnsi="宋体" w:eastAsia="宋体" w:cs="宋体"/>
          <w:b/>
          <w:bCs/>
        </w:rPr>
        <w:t>（9）不同投标人的投标文件出自同一终端设备或在相同Internet主机分配地址（相同IP地址）网上报名投标的作无效标处理。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（10）法律、法规和采购文件规定的其他无效情形。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27.3在符合性审查（报价文件）时，如发现下列情形之一的，投标文件将被视为无效：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（1）未提交投标函或投标函内容不符合采购文件要求的；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（2）投标文件未按采购文件要求签署、签章的（不影响投标文件法律效力的除外）；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（3）报价超过采购文件中规定的预算金额或者最高限价的；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（4）未采用招标文件要求的报价形式报价的；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（5）投标报价具有选择性的；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6）投标人的报价明显低于其他通过符合性审查投标人的报价，评标委员会认为有可能影响产品质量或者不能诚信履约要求其在合理的时间内提供书面说明，必要时提交相关证明材料，投标人不能证明其报价合理性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（7）采购文件规定的其他无效情形。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27.4被拒绝的投标文件为无效。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八、授予合同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28、授予合同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采购人在授予合同时不能对中标单价或其他实质性条款和条件作任何改变。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29、中标通知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29.1采购代理机构自中标人确定之日起2个工作日内，在指定的媒体上公告中标结果，采购文件随中标结果同时公告。中标公告期限为1个工作日。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29.2在发布中标公告的同时本采购代理机构向中标人发出中标通知书，向其他投标人发出招标结果通知书，中标通知书对采购人和中标人具有同等法律效力。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29.3中标人按下述第30条规定与采购人签订合同，中标通知书是合同的组成部分。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30、签订合同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30.1中标人在本采购代理机构发出中标通知书的30日内，应与采购人按照采购文件和中标人的投标文件的约定内容签订书面合同。否则，采购人可撤销其中标资格并按本须知规定另选中标人或重新招标。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30.2采购文件、中标人的投标文件及在评标过程中提交的澄清文件均应作为合同附件。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31、履约保证金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31.1签订合同后，中标人应根据采购文件确定的履约保证金的金额交纳履约保证金。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31.2签订合同后，如中标人不按双方合同约定履约，则没收其全部履约保证金，履约保证金不足以赔偿损失的，按实际损失赔偿。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31.3采购人负责对中标人的履约行为进行验收，验收标准为本项目的采购文件以及中标人的投标文件，要求验收必须符合相关政策法规和地方标准。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九、履约验收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32、采购人负责对中标人的履约行为进行验收。政府向社会公众提供的公共服务项目，验收时应当邀请服务对象参与并出具意见，验收结果应当向社会公告。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十、招标服务费用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33、招标服务费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中标人应向本采购代理机构支付招标服务费。招标服务费的收费依据及相关规定载明在采购文件《投标资料表》中。</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十一、政府采购活动中有关中小企业的相关规定（采购进口产品的项目不适用）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rPr>
      </w:pPr>
      <w:r>
        <w:rPr>
          <w:rFonts w:hint="eastAsia" w:ascii="宋体" w:hAnsi="宋体" w:eastAsia="宋体" w:cs="宋体"/>
          <w:b/>
          <w:bCs/>
        </w:rPr>
        <w:t>34、本项目</w:t>
      </w:r>
      <w:r>
        <w:rPr>
          <w:rFonts w:hint="eastAsia" w:ascii="宋体" w:hAnsi="宋体" w:eastAsia="宋体" w:cs="宋体"/>
          <w:b/>
          <w:bCs/>
          <w:u w:val="single"/>
        </w:rPr>
        <w:t xml:space="preserve"> </w:t>
      </w:r>
      <w:r>
        <w:rPr>
          <w:rFonts w:hint="eastAsia" w:ascii="宋体" w:hAnsi="宋体" w:eastAsia="宋体" w:cs="宋体"/>
          <w:b/>
          <w:bCs/>
          <w:u w:val="single"/>
          <w:lang w:val="en-US" w:eastAsia="zh-CN"/>
        </w:rPr>
        <w:t>是</w:t>
      </w:r>
      <w:r>
        <w:rPr>
          <w:rFonts w:hint="eastAsia" w:ascii="宋体" w:hAnsi="宋体" w:eastAsia="宋体" w:cs="宋体"/>
          <w:b/>
          <w:bCs/>
          <w:u w:val="single"/>
        </w:rPr>
        <w:t xml:space="preserve"> </w:t>
      </w:r>
      <w:r>
        <w:rPr>
          <w:rFonts w:hint="eastAsia" w:ascii="宋体" w:hAnsi="宋体" w:eastAsia="宋体" w:cs="宋体"/>
          <w:b/>
          <w:bCs/>
        </w:rPr>
        <w:t>专门面向中小企业/小微企业采购。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35、本项目对应的中小企业划型标准所属行业：</w:t>
      </w:r>
      <w:r>
        <w:rPr>
          <w:rFonts w:hint="eastAsia" w:ascii="宋体" w:hAnsi="宋体" w:eastAsia="宋体" w:cs="宋体"/>
          <w:b/>
          <w:bCs/>
          <w:u w:val="single"/>
        </w:rPr>
        <w:t>其他未列明行业</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rPr>
      </w:pPr>
      <w:r>
        <w:rPr>
          <w:rFonts w:hint="eastAsia" w:ascii="宋体" w:hAnsi="宋体" w:eastAsia="宋体" w:cs="宋体"/>
          <w:b/>
          <w:bCs/>
        </w:rPr>
        <w:t>注：其他未列明行业。从业人员300人以下的为中小微型企业。其中，从业人员100人及以上的为中型企业；从业人员10人及以上的为小型企业；从业人员10人以下的为微型企业。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36、小微企业是指中华人民共和国境内依法设立，依据国务院批准的中小企业划分标准确定的小型企业和微型企业，但与大企业的负责人为同一人，或者与大企业存在直接控股、管理关系的除外。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符合中小企业划分标准的个体工商户，在政府采购活动中视同中小企业。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国务院批准的中小企业划分标准：具体见工信部联企业[2011]300号。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37、在政府采购活动中，供应商提供的货物、工程或者服务符合下列情形的，可享受小型、微型企业（以下简称小微企业）的价格扣除：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（1）在货物采购项目中，货物由小微企业制造，即货物由小微企业生产且使用该小微企业商号或者注册商标；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（2）在工程采购项目中，工程由小微企业承建，即工程施工单位为小微企业；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（3）在服务采购项目中，服务由小微企业承接，即提供服务的人员为小微企业依照《中华人民共和国劳动合同法》订立劳动合同的从业人员。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以联合体形式参加政府采购活动，联合体各方均为中小企业的，联合体视同中小企业。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38、在货物采购项目中，供应商提供的货物既有中小企业制造货物，也有大型企业制造货物的，不享受小微企业价格扣除。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39、本项目对符合《政府采购促进中小企业发展管理办法》（财库﹝2020﹞46号）规定的小微企业报价给予10%的扣除，用扣除后的价格参加评审。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40、小微企业应按照招标文件格式要求提供《中小企业声明函》。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41、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42、根据《关于促进残疾人就业政府采购政策的通知》（财库[2017]141号）规定，在政府采购活动中，残疾人福利性单位视同小型、微型企业。残疾人福利性单位参加政府采购活动时，提供《残疾人福利性单位声明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43、按规定享受扶持政策获得政府采购合同的，小微企业不得将合同分包给大中型企业，中型企业不得将合同分包给大型企业。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44、供应商按照《政府采购促进中小企业发展管理办法》（财库﹝2020﹞46号）规定提供声明函内容不实的，属于提供虚假材料谋取中标、成交，依照《中华人民共和国政府采购法》等国家有关规定追究相应责任。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pStyle w:val="5"/>
        <w:keepNext/>
        <w:keepLines/>
        <w:pageBreakBefore w:val="0"/>
        <w:widowControl w:val="0"/>
        <w:numPr>
          <w:ilvl w:val="0"/>
          <w:numId w:val="1"/>
        </w:numPr>
        <w:kinsoku/>
        <w:wordWrap/>
        <w:overflowPunct/>
        <w:topLinePunct w:val="0"/>
        <w:autoSpaceDE/>
        <w:autoSpaceDN/>
        <w:bidi w:val="0"/>
        <w:adjustRightInd/>
        <w:snapToGrid/>
        <w:spacing w:before="0" w:after="0"/>
        <w:jc w:val="center"/>
        <w:textAlignment w:val="auto"/>
        <w:rPr>
          <w:rFonts w:hint="eastAsia"/>
          <w:b/>
          <w:lang w:val="en-US" w:eastAsia="zh-CN"/>
        </w:rPr>
      </w:pPr>
      <w:bookmarkStart w:id="7" w:name="_Toc20909"/>
      <w:r>
        <w:rPr>
          <w:rFonts w:hint="eastAsia"/>
          <w:b/>
          <w:lang w:val="en-US" w:eastAsia="zh-CN"/>
        </w:rPr>
        <w:t>评分办法及标准</w:t>
      </w:r>
      <w:bookmarkEnd w:id="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default" w:ascii="宋体" w:hAnsi="宋体" w:eastAsia="宋体" w:cs="宋体"/>
          <w:lang w:val="en-US" w:eastAsia="zh-CN"/>
        </w:rPr>
        <w:t>本评标办法是对《投标人须知》中的</w:t>
      </w:r>
      <w:r>
        <w:rPr>
          <w:rFonts w:hint="eastAsia" w:ascii="宋体" w:hAnsi="宋体" w:eastAsia="宋体" w:cs="宋体"/>
          <w:lang w:val="en-US" w:eastAsia="zh-CN"/>
        </w:rPr>
        <w:t>六</w:t>
      </w:r>
      <w:r>
        <w:rPr>
          <w:rFonts w:hint="default" w:ascii="宋体" w:hAnsi="宋体" w:eastAsia="宋体" w:cs="宋体"/>
          <w:lang w:val="en-US" w:eastAsia="zh-CN"/>
        </w:rPr>
        <w:t>、评标和定标的具体补充，如有不一致，以本办法为准。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default" w:ascii="宋体" w:hAnsi="宋体" w:eastAsia="宋体" w:cs="宋体"/>
          <w:lang w:val="en-US" w:eastAsia="zh-CN"/>
        </w:rPr>
        <w:t>评标委员会按照采购文件“投标人须知”中关于评标委员会、评标办法、评标程序和原则、推荐中标候选人、定标等规定和本标准开展评标工作。</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bCs/>
          <w:lang w:val="en-US" w:eastAsia="zh-CN"/>
        </w:rPr>
      </w:pPr>
      <w:r>
        <w:rPr>
          <w:rFonts w:hint="eastAsia" w:ascii="宋体" w:hAnsi="宋体" w:eastAsia="宋体" w:cs="宋体"/>
          <w:b/>
          <w:bCs/>
          <w:lang w:val="en-US" w:eastAsia="zh-CN"/>
        </w:rPr>
        <w:t>一、</w:t>
      </w:r>
      <w:r>
        <w:rPr>
          <w:rFonts w:hint="default" w:ascii="宋体" w:hAnsi="宋体" w:eastAsia="宋体" w:cs="宋体"/>
          <w:b/>
          <w:bCs/>
          <w:lang w:val="en-US" w:eastAsia="zh-CN"/>
        </w:rPr>
        <w:t>评标办法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default" w:ascii="宋体" w:hAnsi="宋体" w:eastAsia="宋体" w:cs="宋体"/>
          <w:lang w:val="en-US" w:eastAsia="zh-CN"/>
        </w:rPr>
        <w:t>本次采购招标项目选用：综合评分法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bCs/>
          <w:lang w:val="en-US" w:eastAsia="zh-CN"/>
        </w:rPr>
      </w:pPr>
      <w:r>
        <w:rPr>
          <w:rFonts w:hint="eastAsia" w:ascii="宋体" w:hAnsi="宋体" w:eastAsia="宋体" w:cs="宋体"/>
          <w:b/>
          <w:bCs/>
          <w:lang w:val="en-US" w:eastAsia="zh-CN"/>
        </w:rPr>
        <w:t>二、</w:t>
      </w:r>
      <w:r>
        <w:rPr>
          <w:rFonts w:hint="default" w:ascii="宋体" w:hAnsi="宋体" w:eastAsia="宋体" w:cs="宋体"/>
          <w:b/>
          <w:bCs/>
          <w:lang w:val="en-US" w:eastAsia="zh-CN"/>
        </w:rPr>
        <w:t>评标细则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default" w:ascii="宋体" w:hAnsi="宋体" w:eastAsia="宋体" w:cs="宋体"/>
          <w:lang w:val="en-US" w:eastAsia="zh-CN"/>
        </w:rPr>
        <w:t>1、对初步审查（含资格审查、符合性审查）合格者进行评分。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default" w:ascii="宋体" w:hAnsi="宋体" w:eastAsia="宋体" w:cs="宋体"/>
          <w:lang w:val="en-US" w:eastAsia="zh-CN"/>
        </w:rPr>
        <w:t>2、每位评委根据《评分标准》独立逐栏打分，每栏分值不得超出规定的分值范围；各评分因素分值保留小数点后二位。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default" w:ascii="宋体" w:hAnsi="宋体" w:eastAsia="宋体" w:cs="宋体"/>
          <w:lang w:val="en-US" w:eastAsia="zh-CN"/>
        </w:rPr>
        <w:t>3、价格评审基准价格与价格评审：按照“评分标准”中评审得分公式计算，以四舍五入方法整合到小数点后二位。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default" w:ascii="宋体" w:hAnsi="宋体" w:eastAsia="宋体" w:cs="宋体"/>
          <w:lang w:val="en-US" w:eastAsia="zh-CN"/>
        </w:rPr>
        <w:t>4、最终得分：各评委商务技术分的算术平均值+投标价格分=最终得分，以四舍五入法整合到小数点后二位。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default" w:ascii="宋体" w:hAnsi="宋体" w:eastAsia="宋体" w:cs="宋体"/>
          <w:lang w:val="en-US" w:eastAsia="zh-CN"/>
        </w:rPr>
        <w:t>5、评价排序：按评审后得分由高到低顺序排列。得分相同的，按投标报价由低到高顺序排列。得分且投标报价相同的并列，抽签决定中标候选人。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bCs/>
          <w:lang w:val="en-US" w:eastAsia="zh-CN"/>
        </w:rPr>
      </w:pPr>
      <w:r>
        <w:rPr>
          <w:rFonts w:hint="eastAsia" w:ascii="宋体" w:hAnsi="宋体" w:eastAsia="宋体" w:cs="宋体"/>
          <w:b/>
          <w:bCs/>
          <w:lang w:val="en-US" w:eastAsia="zh-CN"/>
        </w:rPr>
        <w:t>三、</w:t>
      </w:r>
      <w:r>
        <w:rPr>
          <w:rFonts w:hint="default" w:ascii="宋体" w:hAnsi="宋体" w:eastAsia="宋体" w:cs="宋体"/>
          <w:b/>
          <w:bCs/>
          <w:lang w:val="en-US" w:eastAsia="zh-CN"/>
        </w:rPr>
        <w:t>专门面向中小企业政策要求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bCs/>
          <w:lang w:val="en-US" w:eastAsia="zh-CN"/>
        </w:rPr>
      </w:pPr>
      <w:r>
        <w:rPr>
          <w:rFonts w:hint="default" w:ascii="宋体" w:hAnsi="宋体" w:eastAsia="宋体" w:cs="宋体"/>
          <w:b/>
          <w:bCs/>
          <w:lang w:val="en-US" w:eastAsia="zh-CN"/>
        </w:rPr>
        <w:t>落实政府采购专门面向中小企业政策要求，非中小微企业的投标将被拒绝。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bCs/>
          <w:lang w:val="en-US" w:eastAsia="zh-CN"/>
        </w:rPr>
      </w:pPr>
      <w:r>
        <w:rPr>
          <w:rFonts w:hint="eastAsia" w:ascii="宋体" w:hAnsi="宋体" w:eastAsia="宋体" w:cs="宋体"/>
          <w:b/>
          <w:bCs/>
          <w:lang w:val="en-US" w:eastAsia="zh-CN"/>
        </w:rPr>
        <w:t>1、</w:t>
      </w:r>
      <w:r>
        <w:rPr>
          <w:rFonts w:hint="default" w:ascii="宋体" w:hAnsi="宋体" w:eastAsia="宋体" w:cs="宋体"/>
          <w:b/>
          <w:bCs/>
          <w:lang w:val="en-US" w:eastAsia="zh-CN"/>
        </w:rPr>
        <w:t>中型、小型、微型企业符合政策扶持的要求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default" w:ascii="宋体" w:hAnsi="宋体" w:eastAsia="宋体" w:cs="宋体"/>
          <w:lang w:val="en-US" w:eastAsia="zh-CN"/>
        </w:rPr>
        <w:t>中小企业应当同时符合以下条件：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default" w:ascii="宋体" w:hAnsi="宋体" w:eastAsia="宋体" w:cs="宋体"/>
          <w:lang w:val="en-US" w:eastAsia="zh-CN"/>
        </w:rPr>
        <w:t>1）服务由中小企业承接，即提供服务的人员为中小企业依照《中华人民共和国劳动合同法》订立劳动合同的从业人员。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default" w:ascii="宋体" w:hAnsi="宋体" w:eastAsia="宋体" w:cs="宋体"/>
          <w:lang w:val="en-US" w:eastAsia="zh-CN"/>
        </w:rPr>
        <w:t>2）在中华人民共和国境内依法设立，依据国务院批准的中小企业划分标准确定的中小微型企业，且与大企业的负责人不为同一人，或者与大企业不存在直接控股、管理关系。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bCs/>
          <w:lang w:val="en-US" w:eastAsia="zh-CN"/>
        </w:rPr>
      </w:pPr>
      <w:r>
        <w:rPr>
          <w:rFonts w:hint="default" w:ascii="宋体" w:hAnsi="宋体" w:eastAsia="宋体" w:cs="宋体"/>
          <w:b/>
          <w:bCs/>
          <w:lang w:val="en-US" w:eastAsia="zh-CN"/>
        </w:rPr>
        <w:t>3）符合采购标的对应的中小企业划分标准所属行业：</w:t>
      </w:r>
      <w:r>
        <w:rPr>
          <w:rFonts w:hint="default" w:ascii="宋体" w:hAnsi="宋体" w:eastAsia="宋体" w:cs="宋体"/>
          <w:b/>
          <w:bCs/>
          <w:u w:val="single"/>
          <w:lang w:val="en-US" w:eastAsia="zh-CN"/>
        </w:rPr>
        <w:t>鄞州区省级“无废城市”建设技术服务项目</w:t>
      </w:r>
      <w:r>
        <w:rPr>
          <w:rFonts w:hint="default" w:ascii="宋体" w:hAnsi="宋体" w:eastAsia="宋体" w:cs="宋体"/>
          <w:b/>
          <w:bCs/>
          <w:lang w:val="en-US" w:eastAsia="zh-CN"/>
        </w:rPr>
        <w:t>，属于</w:t>
      </w:r>
      <w:r>
        <w:rPr>
          <w:rFonts w:hint="default" w:ascii="宋体" w:hAnsi="宋体" w:eastAsia="宋体" w:cs="宋体"/>
          <w:b/>
          <w:bCs/>
          <w:u w:val="single"/>
          <w:lang w:val="en-US" w:eastAsia="zh-CN"/>
        </w:rPr>
        <w:t>其他未列明行业</w:t>
      </w:r>
      <w:r>
        <w:rPr>
          <w:rFonts w:hint="default" w:ascii="宋体" w:hAnsi="宋体" w:eastAsia="宋体" w:cs="宋体"/>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default" w:ascii="宋体" w:hAnsi="宋体" w:eastAsia="宋体" w:cs="宋体"/>
          <w:lang w:val="en-US" w:eastAsia="zh-CN"/>
        </w:rPr>
        <w:t>中小企业划分标准以《工业和信息化部、国家统计局、国家发展和改革委员会、财政部关于印发中小企业划型标准规定的通知》（工信部联企业[2011]300号）规定的划分标准为准。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default" w:ascii="宋体" w:hAnsi="宋体" w:eastAsia="宋体" w:cs="宋体"/>
          <w:lang w:val="en-US" w:eastAsia="zh-CN"/>
        </w:rPr>
        <w:t>参加政府采购活动的中型企业、小型企业和微型企业应当在投标文件中提供《中小企业声明函》，否则不予认可。</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bCs/>
          <w:lang w:val="en-US" w:eastAsia="zh-CN"/>
        </w:rPr>
      </w:pPr>
      <w:r>
        <w:rPr>
          <w:rFonts w:hint="default" w:ascii="宋体" w:hAnsi="宋体" w:eastAsia="宋体" w:cs="宋体"/>
          <w:b/>
          <w:bCs/>
          <w:lang w:val="en-US" w:eastAsia="zh-CN"/>
        </w:rPr>
        <w:t>2</w:t>
      </w:r>
      <w:r>
        <w:rPr>
          <w:rFonts w:hint="eastAsia" w:ascii="宋体" w:hAnsi="宋体" w:eastAsia="宋体" w:cs="宋体"/>
          <w:b/>
          <w:bCs/>
          <w:lang w:val="en-US" w:eastAsia="zh-CN"/>
        </w:rPr>
        <w:t>、</w:t>
      </w:r>
      <w:r>
        <w:rPr>
          <w:rFonts w:hint="default" w:ascii="宋体" w:hAnsi="宋体" w:eastAsia="宋体" w:cs="宋体"/>
          <w:b/>
          <w:bCs/>
          <w:lang w:val="en-US" w:eastAsia="zh-CN"/>
        </w:rPr>
        <w:t>残疾人福利性单位产品价格扣除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default" w:ascii="宋体" w:hAnsi="宋体" w:eastAsia="宋体" w:cs="宋体"/>
          <w:lang w:val="en-US" w:eastAsia="zh-CN"/>
        </w:rPr>
        <w:t>根据《关于促进残疾人就业政府采购政策的通知》（财库[2017]141号）的规定，符合条件的残疾人福利性单位在参加政府采购活动时，在投标文件中提供该通知规定的《残疾人福利性单位声明函》，并对声明的真实性负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default" w:ascii="宋体" w:hAnsi="宋体" w:eastAsia="宋体" w:cs="宋体"/>
          <w:lang w:val="en-US" w:eastAsia="zh-CN"/>
        </w:rPr>
        <w:t>中标人为残疾人福利性单位的，视同小微企业，采购人或采购代理机构随采购结果同时公告其《残疾人福利性单位声明函》，接受社会监督。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default" w:ascii="宋体" w:hAnsi="宋体" w:eastAsia="宋体" w:cs="宋体"/>
          <w:lang w:val="en-US" w:eastAsia="zh-CN"/>
        </w:rPr>
        <w:t>投标人提供的《残疾人福利性单位声明函》与事实不符的，依照《政府采购法》第七十七条第一款的规定追究法律责任。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四、评审程序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1、资格条件审查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由招标人或代理机构对投标人的资格进行审查。</w:t>
      </w:r>
      <w:r>
        <w:rPr>
          <w:rFonts w:hint="default" w:ascii="宋体" w:hAnsi="宋体" w:eastAsia="宋体" w:cs="宋体"/>
          <w:lang w:val="en-US" w:eastAsia="zh-CN"/>
        </w:rPr>
        <w:t xml:space="preserve"> </w:t>
      </w:r>
    </w:p>
    <w:tbl>
      <w:tblPr>
        <w:tblStyle w:val="15"/>
        <w:tblW w:w="910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5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b/>
                <w:bCs/>
                <w:lang w:val="en-US" w:eastAsia="zh-CN"/>
              </w:rPr>
            </w:pPr>
            <w:r>
              <w:rPr>
                <w:rFonts w:hint="default" w:ascii="宋体" w:hAnsi="宋体" w:eastAsia="宋体" w:cs="宋体"/>
                <w:b/>
                <w:bCs/>
                <w:lang w:val="en-US" w:eastAsia="zh-CN"/>
              </w:rPr>
              <w:t>审查类别</w:t>
            </w:r>
          </w:p>
        </w:tc>
        <w:tc>
          <w:tcPr>
            <w:tcW w:w="75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b/>
                <w:bCs/>
                <w:lang w:val="en-US" w:eastAsia="zh-CN"/>
              </w:rPr>
            </w:pPr>
            <w:r>
              <w:rPr>
                <w:rFonts w:hint="default" w:ascii="宋体" w:hAnsi="宋体" w:eastAsia="宋体" w:cs="宋体"/>
                <w:b/>
                <w:bCs/>
                <w:lang w:val="en-US" w:eastAsia="zh-CN"/>
              </w:rPr>
              <w:t>审查内容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lang w:val="en-US" w:eastAsia="zh-CN"/>
              </w:rPr>
            </w:pPr>
            <w:r>
              <w:rPr>
                <w:rFonts w:hint="default" w:ascii="宋体" w:hAnsi="宋体" w:eastAsia="宋体" w:cs="宋体"/>
                <w:lang w:val="en-US" w:eastAsia="zh-CN"/>
              </w:rPr>
              <w:t>资格条件审查</w:t>
            </w:r>
          </w:p>
        </w:tc>
        <w:tc>
          <w:tcPr>
            <w:tcW w:w="75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lang w:val="en-US" w:eastAsia="zh-CN"/>
              </w:rPr>
            </w:pPr>
            <w:r>
              <w:rPr>
                <w:rFonts w:hint="default" w:ascii="宋体" w:hAnsi="宋体" w:eastAsia="宋体" w:cs="宋体"/>
                <w:lang w:val="en-US" w:eastAsia="zh-CN"/>
              </w:rPr>
              <w:t>（一）符合《中华人民共和国政府采购法》第二十二条规定的投标人资格条件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lang w:val="en-US" w:eastAsia="zh-CN"/>
              </w:rPr>
            </w:pPr>
          </w:p>
        </w:tc>
        <w:tc>
          <w:tcPr>
            <w:tcW w:w="75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lang w:val="en-US" w:eastAsia="zh-CN"/>
              </w:rPr>
            </w:pPr>
            <w:r>
              <w:rPr>
                <w:rFonts w:hint="default" w:ascii="宋体" w:hAnsi="宋体" w:eastAsia="宋体" w:cs="宋体"/>
                <w:lang w:val="en-US" w:eastAsia="zh-CN"/>
              </w:rPr>
              <w:t>（二）单位负责人为同一人或者存在直接控股、管理关系的不同投标人，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lang w:val="en-US" w:eastAsia="zh-CN"/>
              </w:rPr>
            </w:pPr>
          </w:p>
        </w:tc>
        <w:tc>
          <w:tcPr>
            <w:tcW w:w="75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lang w:val="en-US" w:eastAsia="zh-CN"/>
              </w:rPr>
            </w:pPr>
            <w:r>
              <w:rPr>
                <w:rFonts w:hint="default" w:ascii="宋体" w:hAnsi="宋体" w:eastAsia="宋体" w:cs="宋体"/>
                <w:lang w:val="en-US" w:eastAsia="zh-CN"/>
              </w:rPr>
              <w:t>（三）投标人未被列入“信用中国”网站(www.creditchina.gov.cn)记录失信被执行人或</w:t>
            </w:r>
            <w:r>
              <w:rPr>
                <w:rFonts w:hint="eastAsia" w:ascii="宋体" w:hAnsi="宋体" w:eastAsia="宋体" w:cs="宋体"/>
                <w:lang w:val="en-US" w:eastAsia="zh-CN"/>
              </w:rPr>
              <w:t>重大税收违法失信主体</w:t>
            </w:r>
            <w:r>
              <w:rPr>
                <w:rFonts w:hint="default" w:ascii="宋体" w:hAnsi="宋体" w:eastAsia="宋体" w:cs="宋体"/>
                <w:lang w:val="en-US" w:eastAsia="zh-CN"/>
              </w:rPr>
              <w:t>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投标人需提供相关证明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lang w:val="en-US" w:eastAsia="zh-CN"/>
              </w:rPr>
            </w:pPr>
          </w:p>
        </w:tc>
        <w:tc>
          <w:tcPr>
            <w:tcW w:w="75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lang w:val="en-US" w:eastAsia="zh-CN"/>
              </w:rPr>
            </w:pPr>
            <w:r>
              <w:rPr>
                <w:rFonts w:hint="default" w:ascii="宋体" w:hAnsi="宋体" w:eastAsia="宋体" w:cs="宋体"/>
                <w:lang w:val="en-US" w:eastAsia="zh-CN"/>
              </w:rPr>
              <w:t>（四）落实政府采购政策需满足的资格要求。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lang w:val="en-US" w:eastAsia="zh-CN"/>
              </w:rPr>
            </w:pPr>
          </w:p>
        </w:tc>
        <w:tc>
          <w:tcPr>
            <w:tcW w:w="75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lang w:val="en-US" w:eastAsia="zh-CN"/>
              </w:rPr>
            </w:pPr>
            <w:r>
              <w:rPr>
                <w:rFonts w:hint="default" w:ascii="宋体" w:hAnsi="宋体" w:eastAsia="宋体" w:cs="宋体"/>
                <w:lang w:val="en-US" w:eastAsia="zh-CN"/>
              </w:rPr>
              <w:t>（五）特定的资格条件。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lang w:val="en-US" w:eastAsia="zh-CN"/>
              </w:rPr>
            </w:pPr>
          </w:p>
        </w:tc>
        <w:tc>
          <w:tcPr>
            <w:tcW w:w="75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lang w:val="en-US" w:eastAsia="zh-CN"/>
              </w:rPr>
            </w:pPr>
            <w:r>
              <w:rPr>
                <w:rFonts w:hint="default" w:ascii="宋体" w:hAnsi="宋体" w:eastAsia="宋体" w:cs="宋体"/>
                <w:lang w:val="en-US" w:eastAsia="zh-CN"/>
              </w:rPr>
              <w:t>（</w:t>
            </w:r>
            <w:r>
              <w:rPr>
                <w:rFonts w:hint="eastAsia" w:ascii="宋体" w:hAnsi="宋体" w:eastAsia="宋体" w:cs="宋体"/>
                <w:lang w:val="en-US" w:eastAsia="zh-CN"/>
              </w:rPr>
              <w:t>六</w:t>
            </w:r>
            <w:r>
              <w:rPr>
                <w:rFonts w:hint="default" w:ascii="宋体" w:hAnsi="宋体" w:eastAsia="宋体" w:cs="宋体"/>
                <w:lang w:val="en-US" w:eastAsia="zh-CN"/>
              </w:rPr>
              <w:t>）本项目</w:t>
            </w:r>
            <w:r>
              <w:rPr>
                <w:rFonts w:hint="eastAsia" w:ascii="宋体" w:hAnsi="宋体" w:eastAsia="宋体" w:cs="宋体"/>
                <w:lang w:val="en-US" w:eastAsia="zh-CN"/>
              </w:rPr>
              <w:t>不</w:t>
            </w:r>
            <w:r>
              <w:rPr>
                <w:rFonts w:hint="default" w:ascii="宋体" w:hAnsi="宋体" w:eastAsia="宋体" w:cs="宋体"/>
                <w:lang w:val="en-US" w:eastAsia="zh-CN"/>
              </w:rPr>
              <w:t>接受联合体投标。</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2、符合性审查：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评标委员会应当对符合资格的投标人的投标文件进行符合性审查，以确定其是否满足招标文件的实质性要求。</w:t>
      </w:r>
    </w:p>
    <w:tbl>
      <w:tblPr>
        <w:tblStyle w:val="15"/>
        <w:tblW w:w="909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5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5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b/>
                <w:bCs/>
                <w:lang w:val="en-US" w:eastAsia="zh-CN"/>
              </w:rPr>
            </w:pPr>
            <w:r>
              <w:rPr>
                <w:rFonts w:hint="default" w:ascii="宋体" w:hAnsi="宋体" w:eastAsia="宋体" w:cs="宋体"/>
                <w:b/>
                <w:bCs/>
                <w:lang w:val="en-US" w:eastAsia="zh-CN"/>
              </w:rPr>
              <w:t>审查类别</w:t>
            </w:r>
          </w:p>
        </w:tc>
        <w:tc>
          <w:tcPr>
            <w:tcW w:w="75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b/>
                <w:bCs/>
                <w:lang w:val="en-US" w:eastAsia="zh-CN"/>
              </w:rPr>
            </w:pPr>
            <w:r>
              <w:rPr>
                <w:rFonts w:hint="default" w:ascii="宋体" w:hAnsi="宋体" w:eastAsia="宋体" w:cs="宋体"/>
                <w:b/>
                <w:bCs/>
                <w:lang w:val="en-US" w:eastAsia="zh-CN"/>
              </w:rPr>
              <w:t>审查内容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lang w:val="en-US" w:eastAsia="zh-CN"/>
              </w:rPr>
            </w:pPr>
            <w:r>
              <w:rPr>
                <w:rFonts w:hint="default" w:ascii="宋体" w:hAnsi="宋体" w:eastAsia="宋体" w:cs="宋体"/>
                <w:lang w:val="en-US" w:eastAsia="zh-CN"/>
              </w:rPr>
              <w:t>符合性审查</w:t>
            </w:r>
          </w:p>
        </w:tc>
        <w:tc>
          <w:tcPr>
            <w:tcW w:w="754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lang w:val="en-US" w:eastAsia="zh-CN"/>
              </w:rPr>
            </w:pPr>
            <w:r>
              <w:rPr>
                <w:rFonts w:hint="default" w:ascii="宋体" w:hAnsi="宋体" w:eastAsia="宋体" w:cs="宋体"/>
                <w:lang w:val="en-US" w:eastAsia="zh-CN"/>
              </w:rPr>
              <w:t>按招标文件要求签署、签章。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1" w:type="dxa"/>
            <w:vMerge w:val="continue"/>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lang w:val="en-US" w:eastAsia="zh-CN"/>
              </w:rPr>
            </w:pPr>
          </w:p>
        </w:tc>
        <w:tc>
          <w:tcPr>
            <w:tcW w:w="754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lang w:val="en-US" w:eastAsia="zh-CN"/>
              </w:rPr>
            </w:pPr>
            <w:r>
              <w:rPr>
                <w:rFonts w:hint="default" w:ascii="宋体" w:hAnsi="宋体" w:eastAsia="宋体" w:cs="宋体"/>
                <w:lang w:val="en-US" w:eastAsia="zh-CN"/>
              </w:rPr>
              <w:t>投标有效期满足招标文件要求。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1" w:type="dxa"/>
            <w:vMerge w:val="continue"/>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lang w:val="en-US" w:eastAsia="zh-CN"/>
              </w:rPr>
            </w:pPr>
          </w:p>
        </w:tc>
        <w:tc>
          <w:tcPr>
            <w:tcW w:w="754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lang w:val="en-US" w:eastAsia="zh-CN"/>
              </w:rPr>
            </w:pPr>
            <w:r>
              <w:rPr>
                <w:rFonts w:hint="default" w:ascii="宋体" w:hAnsi="宋体" w:eastAsia="宋体" w:cs="宋体"/>
                <w:lang w:val="en-US" w:eastAsia="zh-CN"/>
              </w:rPr>
              <w:t>符合招标文件要求的，未发生与招标文件中标注“★”的条款实质性偏离的。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1" w:type="dxa"/>
            <w:vMerge w:val="continue"/>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lang w:val="en-US" w:eastAsia="zh-CN"/>
              </w:rPr>
            </w:pPr>
          </w:p>
        </w:tc>
        <w:tc>
          <w:tcPr>
            <w:tcW w:w="754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lang w:val="en-US" w:eastAsia="zh-CN"/>
              </w:rPr>
            </w:pPr>
            <w:r>
              <w:rPr>
                <w:rFonts w:hint="default" w:ascii="宋体" w:hAnsi="宋体" w:eastAsia="宋体" w:cs="宋体"/>
                <w:lang w:val="en-US" w:eastAsia="zh-CN"/>
              </w:rPr>
              <w:t>不含有采购人不能接受的附加条件。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1" w:type="dxa"/>
            <w:vMerge w:val="continue"/>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lang w:val="en-US" w:eastAsia="zh-CN"/>
              </w:rPr>
            </w:pPr>
          </w:p>
        </w:tc>
        <w:tc>
          <w:tcPr>
            <w:tcW w:w="754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lang w:val="en-US" w:eastAsia="zh-CN"/>
              </w:rPr>
            </w:pPr>
            <w:r>
              <w:rPr>
                <w:rFonts w:hint="default" w:ascii="宋体" w:hAnsi="宋体" w:eastAsia="宋体" w:cs="宋体"/>
                <w:lang w:val="en-US" w:eastAsia="zh-CN"/>
              </w:rPr>
              <w:t>委托人提供法定代表人授权委托书或填写项目齐全。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1" w:type="dxa"/>
            <w:vMerge w:val="continue"/>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lang w:val="en-US" w:eastAsia="zh-CN"/>
              </w:rPr>
            </w:pPr>
          </w:p>
        </w:tc>
        <w:tc>
          <w:tcPr>
            <w:tcW w:w="754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lang w:val="en-US" w:eastAsia="zh-CN"/>
              </w:rPr>
            </w:pPr>
            <w:r>
              <w:rPr>
                <w:rFonts w:hint="default" w:ascii="宋体" w:hAnsi="宋体" w:eastAsia="宋体" w:cs="宋体"/>
                <w:lang w:val="en-US" w:eastAsia="zh-CN"/>
              </w:rPr>
              <w:t>投标文件格式规范、提供资料齐全或者未提供虚假内容。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1" w:type="dxa"/>
            <w:vMerge w:val="continue"/>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lang w:val="en-US" w:eastAsia="zh-CN"/>
              </w:rPr>
            </w:pPr>
          </w:p>
        </w:tc>
        <w:tc>
          <w:tcPr>
            <w:tcW w:w="754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lang w:val="en-US" w:eastAsia="zh-CN"/>
              </w:rPr>
            </w:pPr>
            <w:r>
              <w:rPr>
                <w:rFonts w:hint="default" w:ascii="宋体" w:hAnsi="宋体" w:eastAsia="宋体" w:cs="宋体"/>
                <w:lang w:val="en-US" w:eastAsia="zh-CN"/>
              </w:rPr>
              <w:t>投标文件的实质性内容使用中文表述、表述明确、前后不矛盾或者使用计量单位符合招标文件要求的（经评标委员会认定并允许其当场更正的笔误除外）。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1" w:type="dxa"/>
            <w:vMerge w:val="continue"/>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lang w:val="en-US" w:eastAsia="zh-CN"/>
              </w:rPr>
            </w:pPr>
          </w:p>
        </w:tc>
        <w:tc>
          <w:tcPr>
            <w:tcW w:w="754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lang w:val="en-US" w:eastAsia="zh-CN"/>
              </w:rPr>
            </w:pPr>
            <w:r>
              <w:rPr>
                <w:rFonts w:hint="default" w:ascii="宋体" w:hAnsi="宋体" w:eastAsia="宋体" w:cs="宋体"/>
                <w:lang w:val="en-US" w:eastAsia="zh-CN"/>
              </w:rPr>
              <w:t>投标文件的关键内容字迹清晰、易辨认的，或者投标文件中经修正的内容字迹易辩认或者修改处按规定签署、盖章。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1" w:type="dxa"/>
            <w:vMerge w:val="continue"/>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lang w:val="en-US" w:eastAsia="zh-CN"/>
              </w:rPr>
            </w:pPr>
          </w:p>
        </w:tc>
        <w:tc>
          <w:tcPr>
            <w:tcW w:w="754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lang w:val="en-US" w:eastAsia="zh-CN"/>
              </w:rPr>
            </w:pPr>
            <w:r>
              <w:rPr>
                <w:rFonts w:hint="eastAsia" w:ascii="宋体" w:hAnsi="宋体" w:eastAsia="宋体" w:cs="宋体"/>
                <w:lang w:val="en-US" w:eastAsia="zh-CN"/>
              </w:rPr>
              <w:t>评标小组认为供应商的报价明显低于其他供应商的报价，有可能影响产品质量或者不能诚信履约的，应当要求其在评审现场合理的时间内提供书面说明，必要时递交相关证明材料；供应商不能证明其报价合理性的，评标小组应当将其作为无效响应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1" w:type="dxa"/>
            <w:vMerge w:val="continue"/>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lang w:val="en-US" w:eastAsia="zh-CN"/>
              </w:rPr>
            </w:pPr>
          </w:p>
        </w:tc>
        <w:tc>
          <w:tcPr>
            <w:tcW w:w="754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lang w:val="en-US" w:eastAsia="zh-CN"/>
              </w:rPr>
            </w:pPr>
            <w:r>
              <w:rPr>
                <w:rFonts w:hint="default" w:ascii="宋体" w:hAnsi="宋体" w:eastAsia="宋体" w:cs="宋体"/>
                <w:lang w:val="en-US" w:eastAsia="zh-CN"/>
              </w:rPr>
              <w:t>未发现法律、法规和招标文件规定的其他无效情形。</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bCs/>
          <w:lang w:val="en-US" w:eastAsia="zh-CN"/>
        </w:rPr>
      </w:pPr>
      <w:r>
        <w:rPr>
          <w:rFonts w:hint="eastAsia" w:ascii="宋体" w:hAnsi="宋体" w:eastAsia="宋体" w:cs="宋体"/>
          <w:b/>
          <w:bCs/>
          <w:lang w:val="en-US" w:eastAsia="zh-CN"/>
        </w:rPr>
        <w:t>五、</w:t>
      </w:r>
      <w:r>
        <w:rPr>
          <w:rFonts w:hint="default" w:ascii="宋体" w:hAnsi="宋体" w:eastAsia="宋体" w:cs="宋体"/>
          <w:b/>
          <w:bCs/>
          <w:lang w:val="en-US" w:eastAsia="zh-CN"/>
        </w:rPr>
        <w:t>评分标准</w:t>
      </w:r>
    </w:p>
    <w:tbl>
      <w:tblPr>
        <w:tblStyle w:val="16"/>
        <w:tblW w:w="96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221"/>
        <w:gridCol w:w="6660"/>
        <w:gridCol w:w="7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tblHeader/>
          <w:jc w:val="center"/>
        </w:trPr>
        <w:tc>
          <w:tcPr>
            <w:tcW w:w="95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评分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w:t>
            </w:r>
          </w:p>
        </w:tc>
        <w:tc>
          <w:tcPr>
            <w:tcW w:w="122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评审内容</w:t>
            </w:r>
          </w:p>
        </w:tc>
        <w:tc>
          <w:tcPr>
            <w:tcW w:w="666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评分标准</w:t>
            </w:r>
          </w:p>
        </w:tc>
        <w:tc>
          <w:tcPr>
            <w:tcW w:w="78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6" w:hRule="atLeast"/>
          <w:jc w:val="center"/>
        </w:trPr>
        <w:tc>
          <w:tcPr>
            <w:tcW w:w="951" w:type="dxa"/>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商务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技术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部分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90分</w:t>
            </w:r>
          </w:p>
        </w:tc>
        <w:tc>
          <w:tcPr>
            <w:tcW w:w="122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项目组织实施方案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w:t>
            </w:r>
            <w:r>
              <w:rPr>
                <w:rFonts w:hint="default" w:ascii="宋体" w:hAnsi="宋体" w:eastAsia="宋体" w:cs="宋体"/>
                <w:b w:val="0"/>
                <w:bCs w:val="0"/>
                <w:kern w:val="2"/>
                <w:sz w:val="21"/>
                <w:szCs w:val="21"/>
                <w:vertAlign w:val="baseline"/>
                <w:lang w:val="en-US" w:eastAsia="zh-CN" w:bidi="ar-SA"/>
              </w:rPr>
              <w:t>60分</w:t>
            </w:r>
            <w:r>
              <w:rPr>
                <w:rFonts w:hint="eastAsia" w:ascii="宋体" w:hAnsi="宋体" w:eastAsia="宋体" w:cs="宋体"/>
                <w:b w:val="0"/>
                <w:bCs w:val="0"/>
                <w:kern w:val="2"/>
                <w:sz w:val="21"/>
                <w:szCs w:val="21"/>
                <w:vertAlign w:val="baseline"/>
                <w:lang w:val="en-US" w:eastAsia="zh-CN" w:bidi="ar-SA"/>
              </w:rPr>
              <w:t>）</w:t>
            </w:r>
          </w:p>
        </w:tc>
        <w:tc>
          <w:tcPr>
            <w:tcW w:w="66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w:t>
            </w:r>
            <w:r>
              <w:rPr>
                <w:rFonts w:hint="default" w:ascii="宋体" w:hAnsi="宋体" w:eastAsia="宋体" w:cs="宋体"/>
                <w:b w:val="0"/>
                <w:bCs w:val="0"/>
                <w:kern w:val="2"/>
                <w:sz w:val="21"/>
                <w:szCs w:val="21"/>
                <w:vertAlign w:val="baseline"/>
                <w:lang w:val="en-US" w:eastAsia="zh-CN" w:bidi="ar-SA"/>
              </w:rPr>
              <w:t>根据投标人对本项目所在区域了解情况，对本项目基本现状的了解情况等方面进行综合评议（10分）：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情况了解分析透彻，问题剖析准确的,符合项目基本现状的得10分；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现状了解分析和问题剖析与项目基本现状基本吻合的得8分；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现状了解分析、问题剖析存在缺陷，与项目基本现状存在差距的得6分；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kern w:val="2"/>
                <w:sz w:val="21"/>
                <w:szCs w:val="21"/>
                <w:vertAlign w:val="baseline"/>
                <w:lang w:val="en-US" w:eastAsia="zh-CN" w:bidi="ar-SA"/>
              </w:rPr>
            </w:pPr>
            <w:r>
              <w:rPr>
                <w:rFonts w:hint="default" w:ascii="宋体" w:hAnsi="宋体" w:eastAsia="宋体" w:cs="宋体"/>
                <w:b w:val="0"/>
                <w:bCs w:val="0"/>
                <w:kern w:val="2"/>
                <w:sz w:val="21"/>
                <w:szCs w:val="21"/>
                <w:vertAlign w:val="baseline"/>
                <w:lang w:val="en-US" w:eastAsia="zh-CN" w:bidi="ar-SA"/>
              </w:rPr>
              <w:t>对项目现状情况不了解，内容分析不充分，不符合项目基本现状的本项不得分。</w:t>
            </w:r>
          </w:p>
        </w:tc>
        <w:tc>
          <w:tcPr>
            <w:tcW w:w="78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9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2"/>
                <w:sz w:val="21"/>
                <w:szCs w:val="21"/>
                <w:vertAlign w:val="baseline"/>
                <w:lang w:val="en-US" w:eastAsia="zh-CN" w:bidi="ar-SA"/>
              </w:rPr>
            </w:pPr>
          </w:p>
        </w:tc>
        <w:tc>
          <w:tcPr>
            <w:tcW w:w="122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2"/>
                <w:sz w:val="21"/>
                <w:szCs w:val="21"/>
                <w:vertAlign w:val="baseline"/>
                <w:lang w:val="en-US" w:eastAsia="zh-CN" w:bidi="ar-SA"/>
              </w:rPr>
            </w:pPr>
          </w:p>
        </w:tc>
        <w:tc>
          <w:tcPr>
            <w:tcW w:w="66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2）根据投标人对本项目要求理解的准确程度及理解准确性等方面进行综合评议（10分）：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需求内容分析透彻，问题剖析准确的,符合项目实际情况的得10分；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需求内容了解分析和问题剖析与实际情况基本吻合的得8分；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需求内容了解分析、问题剖析存在缺陷，与项目实际情况存在差距的得6分；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对项目需求内容不了解，内容分析不充分，不符合项目实际情况的本项不得分。</w:t>
            </w:r>
          </w:p>
        </w:tc>
        <w:tc>
          <w:tcPr>
            <w:tcW w:w="78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4" w:hRule="atLeast"/>
          <w:jc w:val="center"/>
        </w:trPr>
        <w:tc>
          <w:tcPr>
            <w:tcW w:w="9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2"/>
                <w:sz w:val="21"/>
                <w:szCs w:val="21"/>
                <w:vertAlign w:val="baseline"/>
                <w:lang w:val="en-US" w:eastAsia="zh-CN" w:bidi="ar-SA"/>
              </w:rPr>
            </w:pPr>
          </w:p>
        </w:tc>
        <w:tc>
          <w:tcPr>
            <w:tcW w:w="122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2"/>
                <w:sz w:val="21"/>
                <w:szCs w:val="21"/>
                <w:vertAlign w:val="baseline"/>
                <w:lang w:val="en-US" w:eastAsia="zh-CN" w:bidi="ar-SA"/>
              </w:rPr>
            </w:pPr>
          </w:p>
        </w:tc>
        <w:tc>
          <w:tcPr>
            <w:tcW w:w="66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3）根据投标人对本项目工作中的重点、难点的把握，作针对性阐述，并提出合理化的建议和措施进行综合评议（10分）：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重点难点分析内容完整、准确，建议措施具有针对性，切实可行，符合项目实际情况和需求要求的得10分；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重点难点分析内容较为完整、准确，建议措施较具有针对性，基本可行，基本符合项目实际情况的得8分；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重点难点分析内容不够完整、准确，建议措施针对性和可行性一般，与项目实际情况有偏离得6分；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重点难点分析内容不完整、准确，建议措施不可行，不符合项目实际情况的本项不得分。</w:t>
            </w:r>
          </w:p>
        </w:tc>
        <w:tc>
          <w:tcPr>
            <w:tcW w:w="78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8" w:hRule="atLeast"/>
          <w:jc w:val="center"/>
        </w:trPr>
        <w:tc>
          <w:tcPr>
            <w:tcW w:w="9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2"/>
                <w:sz w:val="21"/>
                <w:szCs w:val="21"/>
                <w:vertAlign w:val="baseline"/>
                <w:lang w:val="en-US" w:eastAsia="zh-CN" w:bidi="ar-SA"/>
              </w:rPr>
            </w:pPr>
          </w:p>
        </w:tc>
        <w:tc>
          <w:tcPr>
            <w:tcW w:w="122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2"/>
                <w:sz w:val="21"/>
                <w:szCs w:val="21"/>
                <w:vertAlign w:val="baseline"/>
                <w:lang w:val="en-US" w:eastAsia="zh-CN" w:bidi="ar-SA"/>
              </w:rPr>
            </w:pPr>
          </w:p>
        </w:tc>
        <w:tc>
          <w:tcPr>
            <w:tcW w:w="66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4）根据投标人对本项目整体实施方案进行综合评议（10分）：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方案内容完整、全面，考虑周全，符合项目采购需求要求的得10分；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方案内容较完整、基本满足项目采购需求要求的得8分；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方案完整性一般，完善性较差，与采购需求要求有偏离的得6分；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方案内容不完整、不具有操作性，不能满足项目采购需求要求的本项不得分。</w:t>
            </w:r>
          </w:p>
        </w:tc>
        <w:tc>
          <w:tcPr>
            <w:tcW w:w="78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2"/>
                <w:sz w:val="21"/>
                <w:szCs w:val="21"/>
                <w:vertAlign w:val="baseline"/>
                <w:lang w:val="en-US" w:eastAsia="zh-CN" w:bidi="ar-SA"/>
              </w:rPr>
            </w:pPr>
          </w:p>
        </w:tc>
        <w:tc>
          <w:tcPr>
            <w:tcW w:w="122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2"/>
                <w:sz w:val="21"/>
                <w:szCs w:val="21"/>
                <w:vertAlign w:val="baseline"/>
                <w:lang w:val="en-US" w:eastAsia="zh-CN" w:bidi="ar-SA"/>
              </w:rPr>
            </w:pPr>
          </w:p>
        </w:tc>
        <w:tc>
          <w:tcPr>
            <w:tcW w:w="66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5）根据投标人提供的质量建设目标、成果质量保证措施等进行综合评议（10分）：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内容符合项目实际情况，针对性强，对于项目的实施和顺利落实具有积极意义的得10分；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内容较符合项目实际情况，对于项目的实施和顺利落实具有一些可借鉴意义的得8分；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内容与项目实际情况的符合性一般，针对性一般的得6分；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内容与项目实际情况不符，不具有可实施性的得本项不得分。</w:t>
            </w:r>
          </w:p>
        </w:tc>
        <w:tc>
          <w:tcPr>
            <w:tcW w:w="78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2"/>
                <w:sz w:val="21"/>
                <w:szCs w:val="21"/>
                <w:vertAlign w:val="baseline"/>
                <w:lang w:val="en-US" w:eastAsia="zh-CN" w:bidi="ar-SA"/>
              </w:rPr>
            </w:pPr>
          </w:p>
        </w:tc>
        <w:tc>
          <w:tcPr>
            <w:tcW w:w="122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2"/>
                <w:sz w:val="21"/>
                <w:szCs w:val="21"/>
                <w:vertAlign w:val="baseline"/>
                <w:lang w:val="en-US" w:eastAsia="zh-CN" w:bidi="ar-SA"/>
              </w:rPr>
            </w:pPr>
          </w:p>
        </w:tc>
        <w:tc>
          <w:tcPr>
            <w:tcW w:w="66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6）根据投标人对项目时间进度安排的合理性、计划的可操作性进行综合评议（10分）：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方案内容完整、具有针对性，可操作性强，符合项目采购需求要求的得10分；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方案内容较完整、基本满足项目采购需求要求的得8分；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方案完整性一般，完善性较差的得6分；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方案内容不完整、不具有操作性，不能满足项目采购需求要求的本项不得分。</w:t>
            </w:r>
          </w:p>
        </w:tc>
        <w:tc>
          <w:tcPr>
            <w:tcW w:w="78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vertAlign w:val="baseline"/>
                <w:lang w:val="en-US" w:eastAsia="zh-CN"/>
              </w:rPr>
            </w:pPr>
          </w:p>
        </w:tc>
        <w:tc>
          <w:tcPr>
            <w:tcW w:w="12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t>合理化建议（</w:t>
            </w:r>
            <w:r>
              <w:rPr>
                <w:rFonts w:hint="eastAsia" w:ascii="宋体" w:hAnsi="宋体" w:eastAsia="宋体" w:cs="宋体"/>
                <w:b w:val="0"/>
                <w:bCs w:val="0"/>
                <w:sz w:val="21"/>
                <w:szCs w:val="21"/>
                <w:vertAlign w:val="baseline"/>
                <w:lang w:val="en-US" w:eastAsia="zh-CN"/>
              </w:rPr>
              <w:t>6</w:t>
            </w:r>
            <w:r>
              <w:rPr>
                <w:rFonts w:hint="default" w:ascii="宋体" w:hAnsi="宋体" w:eastAsia="宋体" w:cs="宋体"/>
                <w:b w:val="0"/>
                <w:bCs w:val="0"/>
                <w:sz w:val="21"/>
                <w:szCs w:val="21"/>
                <w:vertAlign w:val="baseline"/>
                <w:lang w:val="en-US" w:eastAsia="zh-CN"/>
              </w:rPr>
              <w:t>分）</w:t>
            </w:r>
          </w:p>
        </w:tc>
        <w:tc>
          <w:tcPr>
            <w:tcW w:w="66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根据投标人对本项目的合理化建议进行综合评议（6分）：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内容符合项目实际情况，针对性强，对于项目的实施和顺利落实具有积极意义的得6分；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内容较符合项目实际情况，对于项目的实施和顺利落实具有一些可借鉴意义的得4分；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内容与项目实际情况的符合性一般，针对性一般的得2分；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Theme="minorEastAsia" w:cstheme="minorBidi"/>
                <w:kern w:val="2"/>
                <w:sz w:val="21"/>
                <w:szCs w:val="24"/>
                <w:lang w:val="en-US" w:eastAsia="zh-CN" w:bidi="ar-SA"/>
              </w:rPr>
            </w:pPr>
            <w:r>
              <w:rPr>
                <w:rFonts w:hint="eastAsia" w:ascii="宋体" w:hAnsi="宋体" w:eastAsia="宋体" w:cs="宋体"/>
                <w:b w:val="0"/>
                <w:bCs w:val="0"/>
                <w:kern w:val="2"/>
                <w:sz w:val="21"/>
                <w:szCs w:val="21"/>
                <w:vertAlign w:val="baseline"/>
                <w:lang w:val="en-US" w:eastAsia="zh-CN" w:bidi="ar-SA"/>
              </w:rPr>
              <w:t>合理化建议内容与项目实际情况不符，不具有可实施性的得本项不得分。</w:t>
            </w:r>
          </w:p>
        </w:tc>
        <w:tc>
          <w:tcPr>
            <w:tcW w:w="78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vertAlign w:val="baseline"/>
                <w:lang w:val="en-US" w:eastAsia="zh-CN"/>
              </w:rPr>
            </w:pPr>
          </w:p>
        </w:tc>
        <w:tc>
          <w:tcPr>
            <w:tcW w:w="12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售后服务承诺与应急措施</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（10分）</w:t>
            </w:r>
          </w:p>
        </w:tc>
        <w:tc>
          <w:tcPr>
            <w:tcW w:w="666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根据投标人对突发事件的应急措施及服务承诺进行综合评议（10分）：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措施内容和承诺符合项目实际情况，针对性强，对于项目的实施和顺利落实具有积极意义的得10分；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措施内容和承诺较符合项目实际情况，对于项目的实施和顺利落实具有一些可借鉴意义的得8分；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措施内容和承诺与项目实际情况的符合性一般，针对性一般的得4分；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措施内容和承诺与项目实际情况不符，不具有可实施性的得本项不得分。</w:t>
            </w:r>
          </w:p>
        </w:tc>
        <w:tc>
          <w:tcPr>
            <w:tcW w:w="78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vertAlign w:val="baseline"/>
                <w:lang w:val="en-US" w:eastAsia="zh-CN"/>
              </w:rPr>
            </w:pPr>
          </w:p>
        </w:tc>
        <w:tc>
          <w:tcPr>
            <w:tcW w:w="122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t>人员配备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t>（7分）</w:t>
            </w:r>
          </w:p>
        </w:tc>
        <w:tc>
          <w:tcPr>
            <w:tcW w:w="6660" w:type="dxa"/>
            <w:tcBorders>
              <w:tl2br w:val="nil"/>
              <w:tr2bl w:val="nil"/>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拟派项目负责人具有环境保护相关专业正高级职称的，得3分；具有副高级职称的，得1分，其他不得分。本项就高计取，最高得3分。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注：提供相关证书及开标截止日前三个月内任意一个月的社保缴纳证明并加盖公章，未提供不得分。</w:t>
            </w:r>
          </w:p>
        </w:tc>
        <w:tc>
          <w:tcPr>
            <w:tcW w:w="78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vertAlign w:val="baseline"/>
                <w:lang w:val="en-US" w:eastAsia="zh-CN"/>
              </w:rPr>
            </w:pPr>
          </w:p>
        </w:tc>
        <w:tc>
          <w:tcPr>
            <w:tcW w:w="122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vertAlign w:val="baseline"/>
                <w:lang w:val="en-US" w:eastAsia="zh-CN"/>
              </w:rPr>
            </w:pPr>
          </w:p>
        </w:tc>
        <w:tc>
          <w:tcPr>
            <w:tcW w:w="66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2）项目组成员（除项目负责人）具有环境保护相关专业副高级及以上职称的，每人得1分，最高得4分。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注：提供相关证书及开标截止日前三个月内任意一个月的社保缴纳证明并加盖公章，未提供不得分。</w:t>
            </w:r>
          </w:p>
        </w:tc>
        <w:tc>
          <w:tcPr>
            <w:tcW w:w="78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vertAlign w:val="baseline"/>
                <w:lang w:val="en-US" w:eastAsia="zh-CN"/>
              </w:rPr>
            </w:pPr>
          </w:p>
        </w:tc>
        <w:tc>
          <w:tcPr>
            <w:tcW w:w="12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业绩（1分）</w:t>
            </w:r>
          </w:p>
        </w:tc>
        <w:tc>
          <w:tcPr>
            <w:tcW w:w="66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t>自2021年</w:t>
            </w:r>
            <w:r>
              <w:rPr>
                <w:rFonts w:hint="eastAsia" w:ascii="宋体" w:hAnsi="宋体" w:eastAsia="宋体" w:cs="宋体"/>
                <w:b w:val="0"/>
                <w:bCs w:val="0"/>
                <w:sz w:val="21"/>
                <w:szCs w:val="21"/>
                <w:vertAlign w:val="baseline"/>
                <w:lang w:val="en-US" w:eastAsia="zh-CN"/>
              </w:rPr>
              <w:t>7</w:t>
            </w:r>
            <w:r>
              <w:rPr>
                <w:rFonts w:hint="default" w:ascii="宋体" w:hAnsi="宋体" w:eastAsia="宋体" w:cs="宋体"/>
                <w:b w:val="0"/>
                <w:bCs w:val="0"/>
                <w:sz w:val="21"/>
                <w:szCs w:val="21"/>
                <w:vertAlign w:val="baseline"/>
                <w:lang w:val="en-US" w:eastAsia="zh-CN"/>
              </w:rPr>
              <w:t>月1日至今，投标人具有“无废城市”建设实施方案编制或“无废城市”</w:t>
            </w:r>
            <w:r>
              <w:rPr>
                <w:rFonts w:hint="eastAsia" w:ascii="宋体" w:hAnsi="宋体" w:eastAsia="宋体" w:cs="宋体"/>
                <w:b w:val="0"/>
                <w:bCs w:val="0"/>
                <w:sz w:val="21"/>
                <w:szCs w:val="21"/>
                <w:vertAlign w:val="baseline"/>
                <w:lang w:val="en-US" w:eastAsia="zh-CN"/>
              </w:rPr>
              <w:t>建设</w:t>
            </w:r>
            <w:r>
              <w:rPr>
                <w:rFonts w:hint="default" w:ascii="宋体" w:hAnsi="宋体" w:eastAsia="宋体" w:cs="宋体"/>
                <w:b w:val="0"/>
                <w:bCs w:val="0"/>
                <w:sz w:val="21"/>
                <w:szCs w:val="21"/>
                <w:vertAlign w:val="baseline"/>
                <w:lang w:val="en-US" w:eastAsia="zh-CN"/>
              </w:rPr>
              <w:t>技术服务等类似业绩的，每提供一个得</w:t>
            </w:r>
            <w:r>
              <w:rPr>
                <w:rFonts w:hint="eastAsia" w:ascii="宋体" w:hAnsi="宋体" w:eastAsia="宋体" w:cs="宋体"/>
                <w:b w:val="0"/>
                <w:bCs w:val="0"/>
                <w:sz w:val="21"/>
                <w:szCs w:val="21"/>
                <w:vertAlign w:val="baseline"/>
                <w:lang w:val="en-US" w:eastAsia="zh-CN"/>
              </w:rPr>
              <w:t>0.5</w:t>
            </w:r>
            <w:r>
              <w:rPr>
                <w:rFonts w:hint="default" w:ascii="宋体" w:hAnsi="宋体" w:eastAsia="宋体" w:cs="宋体"/>
                <w:b w:val="0"/>
                <w:bCs w:val="0"/>
                <w:sz w:val="21"/>
                <w:szCs w:val="21"/>
                <w:vertAlign w:val="baseline"/>
                <w:lang w:val="en-US" w:eastAsia="zh-CN"/>
              </w:rPr>
              <w:t>分，最高得</w:t>
            </w:r>
            <w:r>
              <w:rPr>
                <w:rFonts w:hint="eastAsia" w:ascii="宋体" w:hAnsi="宋体" w:eastAsia="宋体" w:cs="宋体"/>
                <w:b w:val="0"/>
                <w:bCs w:val="0"/>
                <w:sz w:val="21"/>
                <w:szCs w:val="21"/>
                <w:vertAlign w:val="baseline"/>
                <w:lang w:val="en-US" w:eastAsia="zh-CN"/>
              </w:rPr>
              <w:t>1</w:t>
            </w:r>
            <w:r>
              <w:rPr>
                <w:rFonts w:hint="default" w:ascii="宋体" w:hAnsi="宋体" w:eastAsia="宋体" w:cs="宋体"/>
                <w:b w:val="0"/>
                <w:bCs w:val="0"/>
                <w:sz w:val="21"/>
                <w:szCs w:val="21"/>
                <w:vertAlign w:val="baseline"/>
                <w:lang w:val="en-US" w:eastAsia="zh-CN"/>
              </w:rPr>
              <w:t>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注：</w:t>
            </w:r>
            <w:r>
              <w:rPr>
                <w:rFonts w:hint="default" w:ascii="宋体" w:hAnsi="宋体" w:eastAsia="宋体" w:cs="宋体"/>
                <w:b w:val="0"/>
                <w:bCs w:val="0"/>
                <w:sz w:val="21"/>
                <w:szCs w:val="21"/>
                <w:vertAlign w:val="baseline"/>
                <w:lang w:val="en-US" w:eastAsia="zh-CN"/>
              </w:rPr>
              <w:t>提供业绩合同并加盖公章。</w:t>
            </w:r>
          </w:p>
        </w:tc>
        <w:tc>
          <w:tcPr>
            <w:tcW w:w="78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vertAlign w:val="baseline"/>
                <w:lang w:val="en-US" w:eastAsia="zh-CN"/>
              </w:rPr>
            </w:pPr>
          </w:p>
        </w:tc>
        <w:tc>
          <w:tcPr>
            <w:tcW w:w="12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认证证书（6分）</w:t>
            </w:r>
          </w:p>
        </w:tc>
        <w:tc>
          <w:tcPr>
            <w:tcW w:w="66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t>投标人具有有效的ISO9001质量管理体系认证证书、ISO14001环境管理体系认证证书、ISO45001职业健康安全管理体系认证证书的，每个得2分，最高得6分，没有不得分。提供证书相关证明材料复印件并加盖公章。</w:t>
            </w:r>
          </w:p>
        </w:tc>
        <w:tc>
          <w:tcPr>
            <w:tcW w:w="78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vertAlign w:val="baseline"/>
                <w:lang w:val="en-US" w:eastAsia="zh-CN"/>
              </w:rPr>
            </w:pPr>
            <w:r>
              <w:rPr>
                <w:rFonts w:hint="default" w:ascii="宋体" w:hAnsi="宋体" w:eastAsia="宋体" w:cs="宋体"/>
                <w:b w:val="0"/>
                <w:bCs w:val="0"/>
                <w:vertAlign w:val="baseline"/>
                <w:lang w:val="en-US" w:eastAsia="zh-CN"/>
              </w:rPr>
              <w:t>价格分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1</w:t>
            </w:r>
            <w:r>
              <w:rPr>
                <w:rFonts w:hint="default" w:ascii="宋体" w:hAnsi="宋体" w:eastAsia="宋体" w:cs="宋体"/>
                <w:b w:val="0"/>
                <w:bCs w:val="0"/>
                <w:vertAlign w:val="baseline"/>
                <w:lang w:val="en-US" w:eastAsia="zh-CN"/>
              </w:rPr>
              <w:t>0分</w:t>
            </w:r>
          </w:p>
        </w:tc>
        <w:tc>
          <w:tcPr>
            <w:tcW w:w="122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vertAlign w:val="baseline"/>
                <w:lang w:val="en-US" w:eastAsia="zh-CN"/>
              </w:rPr>
            </w:pPr>
            <w:r>
              <w:rPr>
                <w:rFonts w:hint="default" w:ascii="宋体" w:hAnsi="宋体" w:eastAsia="宋体" w:cs="宋体"/>
                <w:b w:val="0"/>
                <w:bCs w:val="0"/>
                <w:vertAlign w:val="baseline"/>
                <w:lang w:val="en-US" w:eastAsia="zh-CN"/>
              </w:rPr>
              <w:t>投标报价</w:t>
            </w:r>
          </w:p>
        </w:tc>
        <w:tc>
          <w:tcPr>
            <w:tcW w:w="666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vertAlign w:val="baseline"/>
                <w:lang w:val="en-US" w:eastAsia="zh-CN"/>
              </w:rPr>
            </w:pPr>
            <w:r>
              <w:rPr>
                <w:rFonts w:hint="default" w:ascii="宋体" w:hAnsi="宋体" w:eastAsia="宋体" w:cs="宋体"/>
                <w:b w:val="0"/>
                <w:bCs w:val="0"/>
                <w:vertAlign w:val="baseline"/>
                <w:lang w:val="en-US" w:eastAsia="zh-CN"/>
              </w:rPr>
              <w:t>参与评审的价格=满足采购文件要求的投标报价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vertAlign w:val="baseline"/>
                <w:lang w:val="en-US" w:eastAsia="zh-CN"/>
              </w:rPr>
            </w:pPr>
            <w:r>
              <w:rPr>
                <w:rFonts w:hint="default" w:ascii="宋体" w:hAnsi="宋体" w:eastAsia="宋体" w:cs="宋体"/>
                <w:b w:val="0"/>
                <w:bCs w:val="0"/>
                <w:vertAlign w:val="baseline"/>
                <w:lang w:val="en-US" w:eastAsia="zh-CN"/>
              </w:rPr>
              <w:t>基准价=参与评审的价格中最低的报价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vertAlign w:val="baseline"/>
                <w:lang w:val="en-US" w:eastAsia="zh-CN"/>
              </w:rPr>
            </w:pPr>
            <w:r>
              <w:rPr>
                <w:rFonts w:hint="default" w:ascii="宋体" w:hAnsi="宋体" w:eastAsia="宋体" w:cs="宋体"/>
                <w:b w:val="0"/>
                <w:bCs w:val="0"/>
                <w:vertAlign w:val="baseline"/>
                <w:lang w:val="en-US" w:eastAsia="zh-CN"/>
              </w:rPr>
              <w:t>基准价10分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vertAlign w:val="baseline"/>
                <w:lang w:val="en-US" w:eastAsia="zh-CN"/>
              </w:rPr>
            </w:pPr>
            <w:r>
              <w:rPr>
                <w:rFonts w:hint="default" w:ascii="宋体" w:hAnsi="宋体" w:eastAsia="宋体" w:cs="宋体"/>
                <w:b w:val="0"/>
                <w:bCs w:val="0"/>
                <w:vertAlign w:val="baseline"/>
                <w:lang w:val="en-US" w:eastAsia="zh-CN"/>
              </w:rPr>
              <w:t>报价得分=（基准价/参与评审的价格）×10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vertAlign w:val="baseline"/>
                <w:lang w:val="en-US" w:eastAsia="zh-CN"/>
              </w:rPr>
            </w:pPr>
            <w:r>
              <w:rPr>
                <w:rFonts w:hint="default" w:ascii="宋体" w:hAnsi="宋体" w:eastAsia="宋体" w:cs="宋体"/>
                <w:b w:val="0"/>
                <w:bCs w:val="0"/>
                <w:vertAlign w:val="baseline"/>
                <w:lang w:val="en-US" w:eastAsia="zh-CN"/>
              </w:rPr>
              <w:t>落实政府采购专门面向中小企业政策要求，不再执行价格优惠（扣除）政策。</w:t>
            </w:r>
          </w:p>
        </w:tc>
        <w:tc>
          <w:tcPr>
            <w:tcW w:w="78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32" w:type="dxa"/>
            <w:gridSpan w:val="3"/>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总分</w:t>
            </w:r>
          </w:p>
        </w:tc>
        <w:tc>
          <w:tcPr>
            <w:tcW w:w="78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pStyle w:val="5"/>
        <w:keepNext/>
        <w:keepLines/>
        <w:pageBreakBefore w:val="0"/>
        <w:widowControl w:val="0"/>
        <w:kinsoku/>
        <w:wordWrap/>
        <w:overflowPunct/>
        <w:topLinePunct w:val="0"/>
        <w:autoSpaceDE/>
        <w:autoSpaceDN/>
        <w:bidi w:val="0"/>
        <w:adjustRightInd/>
        <w:snapToGrid/>
        <w:spacing w:before="0" w:after="0"/>
        <w:jc w:val="center"/>
        <w:textAlignment w:val="auto"/>
        <w:rPr>
          <w:rFonts w:hint="eastAsia"/>
          <w:b/>
        </w:rPr>
      </w:pPr>
      <w:bookmarkStart w:id="8" w:name="_Toc7822"/>
      <w:r>
        <w:rPr>
          <w:rFonts w:hint="eastAsia"/>
          <w:b/>
        </w:rPr>
        <w:t>第</w:t>
      </w:r>
      <w:r>
        <w:rPr>
          <w:rFonts w:hint="eastAsia"/>
          <w:b/>
          <w:lang w:val="en-US" w:eastAsia="zh-CN"/>
        </w:rPr>
        <w:t>五</w:t>
      </w:r>
      <w:r>
        <w:rPr>
          <w:rFonts w:hint="eastAsia"/>
          <w:b/>
        </w:rPr>
        <w:t>部分 采购内容及要求</w:t>
      </w:r>
      <w:bookmarkEnd w:id="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b/>
          <w:bCs/>
          <w:lang w:val="en-US" w:eastAsia="zh-CN"/>
        </w:rPr>
      </w:pPr>
      <w:r>
        <w:rPr>
          <w:rFonts w:hint="eastAsia" w:ascii="Times New Roman" w:hAnsi="Times New Roman" w:eastAsia="宋体"/>
          <w:color w:val="auto"/>
          <w:szCs w:val="21"/>
          <w:highlight w:val="none"/>
        </w:rPr>
        <w:t>★</w:t>
      </w:r>
      <w:r>
        <w:rPr>
          <w:rFonts w:hint="eastAsia"/>
          <w:b/>
          <w:bCs/>
          <w:lang w:val="en-US" w:eastAsia="zh-CN"/>
        </w:rPr>
        <w:t>一、商务条款要求</w:t>
      </w:r>
    </w:p>
    <w:tbl>
      <w:tblPr>
        <w:tblStyle w:val="15"/>
        <w:tblW w:w="922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74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39" w:type="dxa"/>
            <w:noWrap w:val="0"/>
            <w:vAlign w:val="center"/>
          </w:tcPr>
          <w:p>
            <w:pPr>
              <w:adjustRightInd/>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合同履约期限（服务期限）</w:t>
            </w:r>
          </w:p>
        </w:tc>
        <w:tc>
          <w:tcPr>
            <w:tcW w:w="7484" w:type="dxa"/>
            <w:noWrap w:val="0"/>
            <w:vAlign w:val="center"/>
          </w:tcPr>
          <w:p>
            <w:pPr>
              <w:adjustRightInd/>
              <w:spacing w:line="400" w:lineRule="exact"/>
              <w:rPr>
                <w:rFonts w:hint="eastAsia" w:ascii="宋体" w:hAnsi="宋体" w:cs="宋体"/>
                <w:color w:val="auto"/>
                <w:szCs w:val="21"/>
                <w:highlight w:val="none"/>
              </w:rPr>
            </w:pPr>
            <w:r>
              <w:rPr>
                <w:rFonts w:hint="eastAsia" w:ascii="宋体" w:hAnsi="宋体" w:eastAsia="宋体" w:cs="宋体"/>
              </w:rPr>
              <w:t>合同签订后至2026年1月31日前完成。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39" w:type="dxa"/>
            <w:noWrap w:val="0"/>
            <w:vAlign w:val="center"/>
          </w:tcPr>
          <w:p>
            <w:pPr>
              <w:adjustRightInd/>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成果交付地点</w:t>
            </w:r>
          </w:p>
        </w:tc>
        <w:tc>
          <w:tcPr>
            <w:tcW w:w="7484" w:type="dxa"/>
            <w:noWrap w:val="0"/>
            <w:vAlign w:val="center"/>
          </w:tcPr>
          <w:p>
            <w:pPr>
              <w:adjustRightInd/>
              <w:spacing w:line="400" w:lineRule="exact"/>
              <w:rPr>
                <w:rFonts w:hint="eastAsia" w:ascii="宋体" w:hAnsi="宋体" w:eastAsia="宋体" w:cs="宋体"/>
                <w:color w:val="auto"/>
                <w:szCs w:val="21"/>
                <w:highlight w:val="none"/>
                <w:lang w:val="en-GB" w:eastAsia="zh-CN"/>
              </w:rPr>
            </w:pPr>
            <w:r>
              <w:rPr>
                <w:rFonts w:hint="eastAsia" w:ascii="宋体" w:hAnsi="宋体" w:eastAsia="宋体" w:cs="宋体"/>
                <w:color w:val="auto"/>
                <w:szCs w:val="21"/>
                <w:highlight w:val="none"/>
              </w:rPr>
              <w:t>招标人指定地点。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39" w:type="dxa"/>
            <w:noWrap w:val="0"/>
            <w:vAlign w:val="center"/>
          </w:tcPr>
          <w:p>
            <w:pPr>
              <w:adjustRightInd/>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成果交付</w:t>
            </w:r>
            <w:r>
              <w:rPr>
                <w:rFonts w:hint="eastAsia" w:ascii="宋体" w:hAnsi="宋体" w:eastAsia="宋体" w:cs="宋体"/>
                <w:color w:val="auto"/>
                <w:szCs w:val="21"/>
                <w:highlight w:val="none"/>
                <w:lang w:val="en-US" w:eastAsia="zh-CN"/>
              </w:rPr>
              <w:t>时间</w:t>
            </w:r>
          </w:p>
        </w:tc>
        <w:tc>
          <w:tcPr>
            <w:tcW w:w="7484" w:type="dxa"/>
            <w:noWrap w:val="0"/>
            <w:vAlign w:val="center"/>
          </w:tcPr>
          <w:p>
            <w:pPr>
              <w:adjustRightIn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2025年11月底前，按照《浙江省全域“无废城市”建设进展评价实施细则（试行）》等文件要求，完成“无废城市”建设进展评价申报材料（总结报告及支撑台账），协助完成后续申报、修改、现场核查等工作。</w:t>
            </w:r>
          </w:p>
          <w:p>
            <w:pPr>
              <w:adjustRightIn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2025年11月底前，提供“无废城市”建设的全过程技术咨询，协助开展无废系统平台填报、管理维护等工作，协助开展建设日常技术答疑以及其他上级安排的工作；指导开展“无废细胞”建设，2025年“无废细胞”建设达到上级要求，开展入企服务50家次，协助开展现场指导和</w:t>
            </w:r>
            <w:r>
              <w:rPr>
                <w:rFonts w:hint="eastAsia" w:ascii="宋体" w:hAnsi="宋体" w:eastAsia="宋体" w:cs="宋体"/>
                <w:color w:val="auto"/>
                <w:szCs w:val="21"/>
                <w:highlight w:val="none"/>
                <w:lang w:val="en-US" w:eastAsia="zh-CN"/>
              </w:rPr>
              <w:t>建设</w:t>
            </w:r>
            <w:r>
              <w:rPr>
                <w:rFonts w:hint="eastAsia" w:ascii="宋体" w:hAnsi="宋体" w:eastAsia="宋体" w:cs="宋体"/>
                <w:color w:val="auto"/>
                <w:szCs w:val="21"/>
                <w:highlight w:val="none"/>
              </w:rPr>
              <w:t>相关资料的审查。</w:t>
            </w:r>
          </w:p>
          <w:p>
            <w:pPr>
              <w:adjustRightInd/>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3）2026年1月底前，完成2025年度鄞州区全域“无废城市”建设报告</w:t>
            </w:r>
            <w:r>
              <w:rPr>
                <w:rFonts w:hint="eastAsia" w:ascii="宋体" w:hAnsi="宋体" w:eastAsia="宋体" w:cs="宋体"/>
                <w:color w:val="auto"/>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39" w:type="dxa"/>
            <w:noWrap w:val="0"/>
            <w:vAlign w:val="center"/>
          </w:tcPr>
          <w:p>
            <w:pPr>
              <w:adjustRightInd/>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质量标准</w:t>
            </w:r>
          </w:p>
        </w:tc>
        <w:tc>
          <w:tcPr>
            <w:tcW w:w="7484" w:type="dxa"/>
            <w:noWrap w:val="0"/>
            <w:vAlign w:val="center"/>
          </w:tcPr>
          <w:p>
            <w:pPr>
              <w:adjustRightInd/>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成果质量必须执行国家相关标准、行业标准、地方标准或者其它标准、规范（从严）：具有国家标准及规范的，按最新的标准及规范执行；具有行业标准及规范的，按最新的标准及规范执行；具有其他标准及规范的，按照最新的标准及规范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39" w:type="dxa"/>
            <w:noWrap w:val="0"/>
            <w:vAlign w:val="center"/>
          </w:tcPr>
          <w:p>
            <w:pPr>
              <w:adjustRightInd/>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验收</w:t>
            </w:r>
          </w:p>
        </w:tc>
        <w:tc>
          <w:tcPr>
            <w:tcW w:w="7484" w:type="dxa"/>
            <w:noWrap w:val="0"/>
            <w:vAlign w:val="center"/>
          </w:tcPr>
          <w:p>
            <w:pPr>
              <w:adjustRightInd/>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按照招标文件要求、中标人的投标文件（承诺）及签订的合同约定进行验收。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39" w:type="dxa"/>
            <w:noWrap w:val="0"/>
            <w:vAlign w:val="center"/>
          </w:tcPr>
          <w:p>
            <w:pPr>
              <w:adjustRightInd/>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签订合同时间</w:t>
            </w:r>
          </w:p>
        </w:tc>
        <w:tc>
          <w:tcPr>
            <w:tcW w:w="7484" w:type="dxa"/>
            <w:noWrap w:val="0"/>
            <w:vAlign w:val="center"/>
          </w:tcPr>
          <w:p>
            <w:pPr>
              <w:adjustRightInd/>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中标通知书发出之日起30日内签订合同，具体签约时间以招标人通知为准。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39" w:type="dxa"/>
            <w:noWrap w:val="0"/>
            <w:vAlign w:val="center"/>
          </w:tcPr>
          <w:p>
            <w:pPr>
              <w:adjustRightInd/>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合同款项支付条件及方式</w:t>
            </w:r>
          </w:p>
        </w:tc>
        <w:tc>
          <w:tcPr>
            <w:tcW w:w="7484" w:type="dxa"/>
            <w:noWrap w:val="0"/>
            <w:vAlign w:val="center"/>
          </w:tcPr>
          <w:p>
            <w:pPr>
              <w:adjustRightInd/>
              <w:spacing w:line="400" w:lineRule="exact"/>
              <w:rPr>
                <w:rFonts w:hint="eastAsia" w:ascii="宋体" w:hAnsi="宋体" w:eastAsia="宋体" w:cs="宋体"/>
                <w:color w:val="auto"/>
                <w:szCs w:val="21"/>
                <w:highlight w:val="none"/>
              </w:rPr>
            </w:pPr>
            <w:bookmarkStart w:id="9" w:name="OLE_LINK1"/>
            <w:r>
              <w:rPr>
                <w:rFonts w:hint="eastAsia" w:ascii="宋体" w:hAnsi="宋体" w:eastAsia="宋体" w:cs="宋体"/>
                <w:color w:val="auto"/>
                <w:szCs w:val="21"/>
                <w:highlight w:val="none"/>
              </w:rPr>
              <w:t>1）合同生效后7日内，支付合同总金额的</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0%；</w:t>
            </w:r>
          </w:p>
          <w:bookmarkEnd w:id="9"/>
          <w:p>
            <w:pPr>
              <w:adjustRightIn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2）2025年11月底前，完成2024年度鄞州区全域“无废城市”建设进展评价申报、“无废细胞”建设工作及“无废城市”建设宣传等，支付合同总金额的30%。</w:t>
            </w:r>
          </w:p>
          <w:p>
            <w:pPr>
              <w:adjustRightIn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3）2026年1月底前，完成2025年度鄞州区全域“无废城市”建设工作报告，支付合同总金额的20%。</w:t>
            </w:r>
          </w:p>
          <w:p>
            <w:pPr>
              <w:adjustRightInd/>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w:t>
            </w:r>
            <w:r>
              <w:rPr>
                <w:rFonts w:hint="eastAsia" w:ascii="宋体" w:hAnsi="宋体" w:eastAsia="宋体" w:cs="宋体"/>
                <w:color w:val="auto"/>
                <w:szCs w:val="21"/>
                <w:highlight w:val="none"/>
              </w:rPr>
              <w:t>合同款项以银行转账方式支付至合同约定的账户。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noWrap w:val="0"/>
            <w:vAlign w:val="center"/>
          </w:tcPr>
          <w:p>
            <w:pPr>
              <w:adjustRightInd/>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发票要求</w:t>
            </w:r>
          </w:p>
        </w:tc>
        <w:tc>
          <w:tcPr>
            <w:tcW w:w="7484" w:type="dxa"/>
            <w:noWrap w:val="0"/>
            <w:vAlign w:val="center"/>
          </w:tcPr>
          <w:p>
            <w:pPr>
              <w:adjustRightIn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应在招标人支付费用前，依据相应的金额，先行向招标人提供足额且符合税法规定的发票。招标人在收到中标人提供的发票后在合同约定的时间支付相应款项，否则招标人有权延迟支付相应费用而不被视为违约，亦无须承担任何违约责任。</w:t>
            </w:r>
          </w:p>
          <w:p>
            <w:pPr>
              <w:adjustRightInd/>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本项目合同签署的中标人名称与发票开具单位及收款单位一致，中标人不得以其他理由在合同执行过程中要求调整发票开具单位或收款单位（依法变更单位名称除外），否则视为中标人违约并自行承担相关责任，且须承担由此对招标人造成的一切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noWrap w:val="0"/>
            <w:vAlign w:val="center"/>
          </w:tcPr>
          <w:p>
            <w:pPr>
              <w:adjustRightInd/>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履约保证金</w:t>
            </w:r>
          </w:p>
        </w:tc>
        <w:tc>
          <w:tcPr>
            <w:tcW w:w="7484" w:type="dxa"/>
            <w:noWrap w:val="0"/>
            <w:vAlign w:val="center"/>
          </w:tcPr>
          <w:p>
            <w:pPr>
              <w:adjustRightInd/>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noWrap w:val="0"/>
            <w:vAlign w:val="center"/>
          </w:tcPr>
          <w:p>
            <w:pPr>
              <w:adjustRightInd/>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其他</w:t>
            </w:r>
          </w:p>
        </w:tc>
        <w:tc>
          <w:tcPr>
            <w:tcW w:w="7484" w:type="dxa"/>
            <w:noWrap w:val="0"/>
            <w:vAlign w:val="center"/>
          </w:tcPr>
          <w:p>
            <w:pPr>
              <w:adjustRightInd/>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在合同执行过程中，中标人应承担由于其行为所造成的招标人或第三人的人身伤害、财产损失或损坏的责任，无论何种原因所造成，招标人均不负责。</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b/>
          <w:bCs/>
          <w:color w:val="auto"/>
          <w:szCs w:val="21"/>
          <w:highlight w:val="none"/>
          <w:lang w:val="en-US" w:eastAsia="zh-CN"/>
        </w:rPr>
      </w:pPr>
      <w:r>
        <w:rPr>
          <w:rFonts w:hint="eastAsia" w:ascii="Times New Roman" w:hAnsi="Times New Roman" w:eastAsia="宋体"/>
          <w:b/>
          <w:bCs/>
          <w:color w:val="auto"/>
          <w:szCs w:val="21"/>
          <w:highlight w:val="none"/>
          <w:lang w:val="en-US" w:eastAsia="zh-CN"/>
        </w:rPr>
        <w:t>二、服务要求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（一）项目背景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为深入贯彻省、市关于“无废城市”建设的工作部署要求，全面推进鄞州区全域“无废城市”建设，以五大类固体废物减量化、资源化为重点，全面形成“全类型、全覆盖、全过程”的固体废物分类处置和资源化利用体系，实现区域固体废物治理体系和治理能力显著提升，建成“源头管理精细化、贮存转运规范化、过程监控信息化、设施布局科学化、最终处置无害化”的无废城市，同时确保完成省级“无废城市”建设的年度任务与目标要求。根据《浙江省全域“无废城市”建设实施方案（2022-2025年）》、《浙江省全域“无废城市”建设进展评价实施细则（试行）》等文件要求，开展鄞州区2025年度无废城市建设技术服务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（二）采购需求与内容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1.项目内容：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（1）2024年度“无废城市”申报材料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按照《浙江省全域“无废城市”建设进展评价实施细则（试行）》等要求，梳理鄞州区“无废城市”建设四张清单完成情况，对相关证明材料、必要的佐证材料等进行整编归档，完成2024年度鄞州区“无废城市”建设进展评价申报材料（工作总结、支撑台账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（2）2025年度“无废城市”建设技术评估系列报告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按照浙江省、宁波市“无废城市”总体和年度任务部署以及《鄞州区“无废城市”建设实施方案》中的四张清单（目标清单、任务清单、项目清单、责任清单）和“无废细胞”建设工作，分别按照季度、年度进行实施情况分析，编制季度、年度工作报告，提供“无废城市”建设技术支撑，辅助开展相关项目评估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（3）“无废城市细胞”建设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协助解决2025年“无废城市细胞”、“无废集团”、“无废商业街区（商圈）”建设中具体难点痛点，聚焦工厂、集团、社区等细胞，指导开展“无废细胞”建设，协助现场指导和建设报告审查。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（4）其他咨询服务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协助鄞州区无废专班开展浙江省固废治理数字化应用平台以及“浙里无废”平台管理维护等工作，协助无废专班开展系统数据整理分析、指标数据测算、材料总结等日常性技术工作。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（5）“无废城市”宣传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协助无废专班开展“无废城市”相关宣传活动，包括活动策划执行、亮点提炼总结、典型案例包装等。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pStyle w:val="5"/>
        <w:keepNext/>
        <w:keepLines/>
        <w:pageBreakBefore w:val="0"/>
        <w:widowControl w:val="0"/>
        <w:kinsoku/>
        <w:wordWrap/>
        <w:overflowPunct/>
        <w:topLinePunct w:val="0"/>
        <w:autoSpaceDE/>
        <w:autoSpaceDN/>
        <w:bidi w:val="0"/>
        <w:adjustRightInd/>
        <w:snapToGrid/>
        <w:spacing w:before="0" w:after="0"/>
        <w:jc w:val="center"/>
        <w:textAlignment w:val="auto"/>
        <w:rPr>
          <w:rFonts w:hint="eastAsia"/>
          <w:b/>
        </w:rPr>
      </w:pPr>
      <w:bookmarkStart w:id="10" w:name="_Toc31323"/>
      <w:r>
        <w:rPr>
          <w:rFonts w:hint="eastAsia"/>
          <w:b/>
        </w:rPr>
        <w:t>第</w:t>
      </w:r>
      <w:r>
        <w:rPr>
          <w:rFonts w:hint="eastAsia"/>
          <w:b/>
          <w:lang w:val="en-US" w:eastAsia="zh-CN"/>
        </w:rPr>
        <w:t>六</w:t>
      </w:r>
      <w:r>
        <w:rPr>
          <w:rFonts w:hint="eastAsia"/>
          <w:b/>
        </w:rPr>
        <w:t>部分 拟签订的合同文本</w:t>
      </w:r>
      <w:bookmarkEnd w:id="1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u w:val="single"/>
        </w:rPr>
      </w:pPr>
      <w:r>
        <w:rPr>
          <w:rFonts w:hint="eastAsia" w:ascii="宋体" w:hAnsi="宋体" w:eastAsia="宋体" w:cs="宋体"/>
        </w:rPr>
        <w:t>甲方：</w:t>
      </w:r>
      <w:r>
        <w:rPr>
          <w:rFonts w:hint="eastAsia" w:ascii="宋体" w:hAnsi="宋体" w:eastAsia="宋体" w:cs="宋体"/>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u w:val="single"/>
          <w:lang w:val="en-US" w:eastAsia="zh-CN"/>
        </w:rPr>
      </w:pPr>
      <w:r>
        <w:rPr>
          <w:rFonts w:hint="eastAsia" w:ascii="宋体" w:hAnsi="宋体" w:eastAsia="宋体" w:cs="宋体"/>
        </w:rPr>
        <w:t>乙方：</w:t>
      </w:r>
      <w:r>
        <w:rPr>
          <w:rFonts w:hint="eastAsia" w:ascii="宋体" w:hAnsi="宋体" w:eastAsia="宋体" w:cs="宋体"/>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甲、乙双方根据</w:t>
      </w:r>
      <w:r>
        <w:rPr>
          <w:rFonts w:hint="eastAsia" w:ascii="宋体" w:hAnsi="宋体" w:eastAsia="宋体" w:cs="宋体"/>
          <w:u w:val="single"/>
          <w:lang w:val="en-US" w:eastAsia="zh-CN"/>
        </w:rPr>
        <w:t xml:space="preserve">             （项目名称）</w:t>
      </w:r>
      <w:r>
        <w:rPr>
          <w:rFonts w:hint="eastAsia" w:ascii="宋体" w:hAnsi="宋体" w:eastAsia="宋体" w:cs="宋体"/>
        </w:rPr>
        <w:t>公开招标的结果，签署本合同。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rPr>
      </w:pPr>
      <w:r>
        <w:rPr>
          <w:rFonts w:hint="eastAsia" w:ascii="宋体" w:hAnsi="宋体" w:eastAsia="宋体" w:cs="宋体"/>
          <w:b/>
          <w:bCs/>
        </w:rPr>
        <w:t>一、服务内容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rPr>
      </w:pPr>
      <w:r>
        <w:rPr>
          <w:rFonts w:hint="eastAsia" w:ascii="宋体" w:hAnsi="宋体" w:eastAsia="宋体" w:cs="宋体"/>
          <w:b/>
          <w:bCs/>
        </w:rPr>
        <w:t>二、合同金额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本合同总金额为每年</w:t>
      </w:r>
      <w:r>
        <w:rPr>
          <w:rFonts w:hint="eastAsia" w:ascii="宋体" w:hAnsi="宋体" w:eastAsia="宋体" w:cs="宋体"/>
          <w:lang w:eastAsia="zh-CN"/>
        </w:rPr>
        <w:t>（</w:t>
      </w:r>
      <w:r>
        <w:rPr>
          <w:rFonts w:hint="eastAsia" w:ascii="宋体" w:hAnsi="宋体" w:eastAsia="宋体" w:cs="宋体"/>
        </w:rPr>
        <w:t>大写</w:t>
      </w:r>
      <w:r>
        <w:rPr>
          <w:rFonts w:hint="eastAsia" w:ascii="宋体" w:hAnsi="宋体" w:eastAsia="宋体" w:cs="宋体"/>
          <w:lang w:eastAsia="zh-CN"/>
        </w:rPr>
        <w:t>）</w:t>
      </w:r>
      <w:r>
        <w:rPr>
          <w:rFonts w:hint="eastAsia" w:ascii="宋体" w:hAnsi="宋体" w:eastAsia="宋体" w:cs="宋体"/>
        </w:rPr>
        <w:t>: 人民币</w:t>
      </w:r>
      <w:r>
        <w:rPr>
          <w:rFonts w:hint="eastAsia" w:ascii="宋体" w:hAnsi="宋体" w:eastAsia="宋体" w:cs="宋体"/>
          <w:u w:val="single"/>
          <w:lang w:val="en-US" w:eastAsia="zh-CN"/>
        </w:rPr>
        <w:t xml:space="preserve">            </w:t>
      </w:r>
      <w:r>
        <w:rPr>
          <w:rFonts w:hint="eastAsia" w:ascii="宋体" w:hAnsi="宋体" w:eastAsia="宋体" w:cs="宋体"/>
        </w:rPr>
        <w:t>元整</w:t>
      </w:r>
      <w:r>
        <w:rPr>
          <w:rFonts w:hint="eastAsia" w:ascii="宋体" w:hAnsi="宋体" w:eastAsia="宋体" w:cs="宋体"/>
          <w:lang w:eastAsia="zh-CN"/>
        </w:rPr>
        <w:t>（</w:t>
      </w:r>
      <w:r>
        <w:rPr>
          <w:rFonts w:hint="eastAsia" w:ascii="宋体" w:hAnsi="宋体" w:eastAsia="宋体" w:cs="宋体"/>
        </w:rPr>
        <w:t>¥</w:t>
      </w:r>
      <w:r>
        <w:rPr>
          <w:rFonts w:hint="eastAsia" w:ascii="宋体" w:hAnsi="宋体" w:eastAsia="宋体" w:cs="宋体"/>
          <w:u w:val="single"/>
          <w:lang w:val="en-US" w:eastAsia="zh-CN"/>
        </w:rPr>
        <w:t xml:space="preserve">            </w:t>
      </w:r>
      <w:r>
        <w:rPr>
          <w:rFonts w:hint="eastAsia" w:ascii="宋体" w:hAnsi="宋体" w:eastAsia="宋体" w:cs="宋体"/>
        </w:rPr>
        <w:t>元整</w:t>
      </w:r>
      <w:r>
        <w:rPr>
          <w:rFonts w:hint="eastAsia" w:ascii="宋体" w:hAnsi="宋体" w:eastAsia="宋体" w:cs="宋体"/>
          <w:lang w:eastAsia="zh-CN"/>
        </w:rPr>
        <w:t>），</w:t>
      </w:r>
      <w:r>
        <w:rPr>
          <w:rFonts w:hint="eastAsia" w:ascii="宋体" w:hAnsi="宋体" w:eastAsia="宋体" w:cs="宋体"/>
        </w:rPr>
        <w:t>已包含乙方为履行本合同所需的所有费用。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三、履约保证金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lang w:val="en-US" w:eastAsia="zh-CN"/>
        </w:rPr>
      </w:pPr>
      <w:r>
        <w:rPr>
          <w:rFonts w:hint="eastAsia" w:ascii="宋体" w:hAnsi="宋体" w:eastAsia="宋体" w:cs="宋体"/>
          <w:b w:val="0"/>
          <w:bCs w:val="0"/>
          <w:lang w:val="en-US" w:eastAsia="zh-CN"/>
        </w:rPr>
        <w:t>无</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rPr>
      </w:pPr>
      <w:r>
        <w:rPr>
          <w:rFonts w:hint="eastAsia" w:ascii="宋体" w:hAnsi="宋体" w:eastAsia="宋体" w:cs="宋体"/>
          <w:b/>
          <w:bCs/>
        </w:rPr>
        <w:t>四、付款方式</w:t>
      </w:r>
      <w:bookmarkStart w:id="17" w:name="_GoBack"/>
      <w:bookmarkEnd w:id="17"/>
      <w:r>
        <w:rPr>
          <w:rFonts w:hint="eastAsia" w:ascii="宋体" w:hAnsi="宋体" w:eastAsia="宋体" w:cs="宋体"/>
          <w:b/>
          <w:bC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1）合同生效后7日内，支付合同总金额的50%；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2）2025年11月底前，完成2024年度鄞州区全域“无废城市”建设进展评价申报、“无废细胞”建设工作及“无废城市”建设宣传等，支付合同总金额的30%。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3）2026年1月底前，完成2025年度鄞州区全域“无废城市”建设工作报告，支付合同总金额的20%。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eastAsia="zh-CN"/>
        </w:rPr>
      </w:pPr>
      <w:r>
        <w:rPr>
          <w:rFonts w:hint="eastAsia" w:ascii="宋体" w:hAnsi="宋体" w:eastAsia="宋体" w:cs="宋体"/>
        </w:rPr>
        <w:t>发票要求</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中标人应在招标人支付费用前，依据相应的金额，先行向招标人提供足额且符合税法规定的发票。招标人在收到中标人提供的发票后在合同约定的时间支付相应款项，否则招标人有权延迟支付相应费用而不被视为违约，亦无须承担任何违约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本项目合同签署的中标人名称与发票开具单位及收款单位一致，中标人不得以其他理由在合同执行过程中要求调整发票开具单位或收款单位（依法变更单位名称除外），否则视为中标人违约并自行承担相关责任，且须承担由此对招标人造成的一切损失。</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rPr>
      </w:pPr>
      <w:r>
        <w:rPr>
          <w:rFonts w:hint="eastAsia" w:ascii="宋体" w:hAnsi="宋体" w:eastAsia="宋体" w:cs="宋体"/>
          <w:b/>
          <w:bCs/>
        </w:rPr>
        <w:t>五、技术资料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1、乙方应按招标文件规定的时间向甲方提供有关技术资料。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3、甲方应确保项目交接给由乙方开展运营维护服务时，所有设备处于正常稳定运行状态。</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rPr>
      </w:pPr>
      <w:r>
        <w:rPr>
          <w:rFonts w:hint="eastAsia" w:ascii="宋体" w:hAnsi="宋体" w:eastAsia="宋体" w:cs="宋体"/>
          <w:b/>
          <w:bCs/>
        </w:rPr>
        <w:t>六、财产保护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委托运行管理及维修的全部资产</w:t>
      </w:r>
      <w:r>
        <w:rPr>
          <w:rFonts w:hint="eastAsia" w:ascii="宋体" w:hAnsi="宋体" w:eastAsia="宋体" w:cs="宋体"/>
          <w:lang w:eastAsia="zh-CN"/>
        </w:rPr>
        <w:t>（</w:t>
      </w:r>
      <w:r>
        <w:rPr>
          <w:rFonts w:hint="eastAsia" w:ascii="宋体" w:hAnsi="宋体" w:eastAsia="宋体" w:cs="宋体"/>
        </w:rPr>
        <w:t>包括全部产权和建筑物、设备及配套设施</w:t>
      </w:r>
      <w:r>
        <w:rPr>
          <w:rFonts w:hint="eastAsia" w:ascii="宋体" w:hAnsi="宋体" w:eastAsia="宋体" w:cs="宋体"/>
          <w:lang w:eastAsia="zh-CN"/>
        </w:rPr>
        <w:t>）</w:t>
      </w:r>
      <w:r>
        <w:rPr>
          <w:rFonts w:hint="eastAsia" w:ascii="宋体" w:hAnsi="宋体" w:eastAsia="宋体" w:cs="宋体"/>
        </w:rPr>
        <w:t>属甲方所有。未经甲方同意，乙方不得以任何方式对各类财产进行出售、抵押或转移。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rPr>
      </w:pPr>
      <w:r>
        <w:rPr>
          <w:rFonts w:hint="eastAsia" w:ascii="宋体" w:hAnsi="宋体" w:eastAsia="宋体" w:cs="宋体"/>
          <w:b/>
          <w:bCs/>
        </w:rPr>
        <w:t>七、数据信息隐私保密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在委托管理期间，乙方应对系统状况和数据信息严格保密，必须遵循《隐私信息管理体系》认证标准。未经甲方同意，乙方不得利用本项目的所有资料对外开展技术交流、业务联系、数据交换等。</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rPr>
      </w:pPr>
      <w:r>
        <w:rPr>
          <w:rFonts w:hint="eastAsia" w:ascii="宋体" w:hAnsi="宋体" w:eastAsia="宋体" w:cs="宋体"/>
          <w:b/>
          <w:bCs/>
        </w:rPr>
        <w:t>八、知识产权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乙方应保证提供服务过程中不会侵犯任何第三方的知识产权，同时做好知识产权保护工作</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rPr>
      </w:pPr>
      <w:r>
        <w:rPr>
          <w:rFonts w:hint="eastAsia" w:ascii="宋体" w:hAnsi="宋体" w:eastAsia="宋体" w:cs="宋体"/>
          <w:b/>
          <w:bCs/>
        </w:rPr>
        <w:t>九、转包或分包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1、本合同范围的服务，应由乙方直接供应，不得转让他人供应；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2、除非得到甲方的书面同意，乙方不得将本合同范围的服务全部或部分分包给他人供应；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3、如有转让和未经甲方同意的分包行为，甲方有权解除合同，并追究乙方的违约责任。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rPr>
      </w:pPr>
      <w:r>
        <w:rPr>
          <w:rFonts w:hint="eastAsia" w:ascii="宋体" w:hAnsi="宋体" w:eastAsia="宋体" w:cs="宋体"/>
          <w:b/>
          <w:bCs/>
        </w:rPr>
        <w:t>十、服务期限及服务地点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1、服务期限：合同签订后至2026年1月31日前完成。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2、服务地点：甲方指定地点。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rPr>
      </w:pPr>
      <w:r>
        <w:rPr>
          <w:rFonts w:hint="eastAsia" w:ascii="宋体" w:hAnsi="宋体" w:eastAsia="宋体" w:cs="宋体"/>
          <w:b/>
          <w:bCs/>
        </w:rPr>
        <w:t>十一、税费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本合同执行中相关的一切税费均由乙方负担。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rPr>
      </w:pPr>
      <w:r>
        <w:rPr>
          <w:rFonts w:hint="eastAsia" w:ascii="宋体" w:hAnsi="宋体" w:eastAsia="宋体" w:cs="宋体"/>
          <w:b/>
          <w:bCs/>
        </w:rPr>
        <w:t>十二、质量保证及后续服务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1、乙方应按招标文件规定向甲方提供服务。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2、乙方提供的服务成果在服务质量保证期内发生故障及质量问题，乙方应负责免费提供后续服务整改直至达到服务要求。对达不到要求者，根据实际情况，经双方协商，可按以下办法处理：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重做：由乙方承担所发生的全部费用。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贬值处理：由甲乙双方合议定价。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解除合同。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3、如在使用服务过程中发生问题，乙方在接到甲方通知后在24小时内到达甲方现场。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4、在服务质量保证期内，乙方应对10000元以下</w:t>
      </w:r>
      <w:r>
        <w:rPr>
          <w:rFonts w:hint="eastAsia" w:ascii="宋体" w:hAnsi="宋体" w:eastAsia="宋体" w:cs="宋体"/>
          <w:lang w:eastAsia="zh-CN"/>
        </w:rPr>
        <w:t>（</w:t>
      </w:r>
      <w:r>
        <w:rPr>
          <w:rFonts w:hint="eastAsia" w:ascii="宋体" w:hAnsi="宋体" w:eastAsia="宋体" w:cs="宋体"/>
        </w:rPr>
        <w:t>含10000元</w:t>
      </w:r>
      <w:r>
        <w:rPr>
          <w:rFonts w:hint="eastAsia" w:ascii="宋体" w:hAnsi="宋体" w:eastAsia="宋体" w:cs="宋体"/>
          <w:lang w:eastAsia="zh-CN"/>
        </w:rPr>
        <w:t>）</w:t>
      </w:r>
      <w:r>
        <w:rPr>
          <w:rFonts w:hint="eastAsia" w:ascii="宋体" w:hAnsi="宋体" w:eastAsia="宋体" w:cs="宋体"/>
        </w:rPr>
        <w:t>配件及耗材出现的质量及安全问题负责处理解决并承担一切费用，超出10000元零配件及耗材由甲方承担。超过10000元零配件由乙方先行采购，后开具发票由甲方报销。</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rPr>
      </w:pPr>
      <w:r>
        <w:rPr>
          <w:rFonts w:hint="eastAsia" w:ascii="宋体" w:hAnsi="宋体" w:eastAsia="宋体" w:cs="宋体"/>
          <w:b/>
          <w:bCs/>
        </w:rPr>
        <w:t>十三、双方责任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1、甲方无正当理由拒绝接受服务的，甲方向乙方偿付合同款项百分之五作为违约金。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2、甲方无故逾期验收和办理款项支付手续的，甲方应按逾期付款总额每日万分之五向乙方支付违约金。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4、乙方参与本次项目所有人员的安全责任以及服务过程中的安全责任由乙方负责，甲方不承担对应安全责任。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rPr>
      </w:pPr>
      <w:r>
        <w:rPr>
          <w:rFonts w:hint="eastAsia" w:ascii="宋体" w:hAnsi="宋体" w:eastAsia="宋体" w:cs="宋体"/>
          <w:b/>
          <w:bCs/>
        </w:rPr>
        <w:t>十四、不可抗力事件处理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3、不可抗力事件延续120天以上，双方应通过友好协商，确定是否继续履行合同。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rPr>
      </w:pPr>
      <w:r>
        <w:rPr>
          <w:rFonts w:hint="eastAsia" w:ascii="宋体" w:hAnsi="宋体" w:eastAsia="宋体" w:cs="宋体"/>
          <w:b/>
          <w:bCs/>
        </w:rPr>
        <w:t>十五、诉讼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双方在执行合同中所发生的一切争议，应通过协商解决。如协商不成，可向甲方所在地法院起诉。</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rPr>
      </w:pPr>
      <w:r>
        <w:rPr>
          <w:rFonts w:hint="eastAsia" w:ascii="宋体" w:hAnsi="宋体" w:eastAsia="宋体" w:cs="宋体"/>
          <w:b/>
          <w:bCs/>
        </w:rPr>
        <w:t>十六、合同生效及其它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1、合同经双方法定代表人或授权代表签字并加盖单位公章后生效。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2、合同执行中涉及资金和招标内容修改或补充的，须经相关部门审批，并签书面补充协议，方可作为主合同不可分割的一部分。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3、本合同未尽事宜，遵照《中华人民共和国民法典》有关条文执行。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4、本合同正本一式肆份，具有同等法律效力，甲乙双方各执贰份。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 xml:space="preserve">甲方：                                   乙方：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 xml:space="preserve">地址：                                   地址：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法定代表人（或授权代表人）：              法定代表人（或授权代表人）：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lang w:val="en-US" w:eastAsia="zh-CN"/>
        </w:rPr>
      </w:pPr>
      <w:r>
        <w:rPr>
          <w:rFonts w:hint="eastAsia" w:ascii="宋体" w:hAnsi="宋体" w:eastAsia="宋体" w:cs="宋体"/>
        </w:rPr>
        <w:t>签字日期：      年  月  日               签字日期：      年  月  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pStyle w:val="5"/>
        <w:keepNext/>
        <w:keepLines/>
        <w:pageBreakBefore w:val="0"/>
        <w:widowControl w:val="0"/>
        <w:numPr>
          <w:ilvl w:val="0"/>
          <w:numId w:val="3"/>
        </w:numPr>
        <w:kinsoku/>
        <w:wordWrap/>
        <w:overflowPunct/>
        <w:topLinePunct w:val="0"/>
        <w:autoSpaceDE/>
        <w:autoSpaceDN/>
        <w:bidi w:val="0"/>
        <w:adjustRightInd/>
        <w:snapToGrid/>
        <w:spacing w:before="0" w:after="0"/>
        <w:jc w:val="center"/>
        <w:textAlignment w:val="auto"/>
        <w:rPr>
          <w:rFonts w:hint="eastAsia"/>
          <w:b/>
        </w:rPr>
      </w:pPr>
      <w:r>
        <w:rPr>
          <w:rFonts w:hint="eastAsia"/>
          <w:b/>
        </w:rPr>
        <w:t xml:space="preserve">  </w:t>
      </w:r>
      <w:bookmarkStart w:id="11" w:name="_Toc17112"/>
      <w:r>
        <w:rPr>
          <w:rFonts w:hint="eastAsia"/>
          <w:b/>
        </w:rPr>
        <w:t>格式与表格</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rPr>
      </w:pPr>
      <w:r>
        <w:rPr>
          <w:rFonts w:hint="eastAsia" w:ascii="宋体" w:hAnsi="宋体" w:eastAsia="宋体" w:cs="宋体"/>
        </w:rPr>
        <w:t>1、所有投标文件的外包装封面格式：（可选用）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36"/>
        </w:rPr>
      </w:pPr>
      <w:r>
        <w:rPr>
          <w:rFonts w:hint="eastAsia" w:ascii="宋体" w:hAnsi="宋体" w:eastAsia="宋体" w:cs="宋体"/>
          <w:b/>
          <w:bCs/>
          <w:sz w:val="28"/>
          <w:szCs w:val="36"/>
        </w:rPr>
        <w:t>投 标 文 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rPr>
      </w:pPr>
      <w:r>
        <w:rPr>
          <w:rFonts w:hint="eastAsia" w:ascii="宋体" w:hAnsi="宋体" w:eastAsia="宋体" w:cs="宋体"/>
        </w:rPr>
        <w:t>项目名称：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rPr>
      </w:pPr>
      <w:r>
        <w:rPr>
          <w:rFonts w:hint="eastAsia" w:ascii="宋体" w:hAnsi="宋体" w:eastAsia="宋体" w:cs="宋体"/>
        </w:rPr>
        <w:t>项目编号：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b/>
          <w:bCs/>
        </w:rPr>
      </w:pPr>
      <w:r>
        <w:rPr>
          <w:rFonts w:hint="eastAsia" w:ascii="宋体" w:hAnsi="宋体" w:eastAsia="宋体" w:cs="宋体"/>
        </w:rPr>
        <w:t>投标文件名称：资格证明文件/报价文件/技术商务文件/</w:t>
      </w:r>
      <w:r>
        <w:rPr>
          <w:rFonts w:hint="eastAsia" w:ascii="宋体" w:hAnsi="宋体" w:eastAsia="宋体" w:cs="宋体"/>
          <w:b/>
          <w:bCs/>
        </w:rPr>
        <w:t>电子备份投标文件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rPr>
      </w:pPr>
      <w:r>
        <w:rPr>
          <w:rFonts w:hint="eastAsia" w:ascii="宋体" w:hAnsi="宋体" w:eastAsia="宋体" w:cs="宋体"/>
          <w:lang w:val="en-US" w:eastAsia="zh-CN"/>
        </w:rPr>
        <w:t>供应商</w:t>
      </w:r>
      <w:r>
        <w:rPr>
          <w:rFonts w:hint="eastAsia" w:ascii="宋体" w:hAnsi="宋体" w:eastAsia="宋体" w:cs="宋体"/>
        </w:rPr>
        <w:t>名称（盖章）：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rPr>
      </w:pPr>
      <w:r>
        <w:rPr>
          <w:rFonts w:hint="eastAsia" w:ascii="宋体" w:hAnsi="宋体" w:eastAsia="宋体" w:cs="宋体"/>
        </w:rPr>
        <w:t>投标人地址：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lang w:eastAsia="zh-CN"/>
        </w:rPr>
      </w:pPr>
      <w:r>
        <w:rPr>
          <w:rFonts w:hint="eastAsia" w:ascii="宋体" w:hAnsi="宋体" w:eastAsia="宋体" w:cs="宋体"/>
        </w:rPr>
        <w:t>法定代表人或授权代表人（签字或盖章）</w:t>
      </w:r>
      <w:r>
        <w:rPr>
          <w:rFonts w:hint="eastAsia" w:ascii="宋体" w:hAnsi="宋体" w:eastAsia="宋体" w:cs="宋体"/>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r>
        <w:rPr>
          <w:rFonts w:hint="eastAsia" w:ascii="宋体" w:hAnsi="宋体" w:eastAsia="宋体" w:cs="宋体"/>
        </w:rPr>
        <w:t>开标时启封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rPr>
      </w:pPr>
      <w:r>
        <w:rPr>
          <w:rFonts w:hint="eastAsia" w:ascii="宋体" w:hAnsi="宋体" w:eastAsia="宋体" w:cs="宋体"/>
        </w:rPr>
        <w:t>2、封面格式：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36"/>
        </w:rPr>
      </w:pPr>
      <w:r>
        <w:rPr>
          <w:rFonts w:hint="eastAsia" w:ascii="宋体" w:hAnsi="宋体" w:eastAsia="宋体" w:cs="宋体"/>
          <w:b/>
          <w:bCs/>
          <w:sz w:val="28"/>
          <w:szCs w:val="36"/>
        </w:rPr>
        <w:t>投 标 文 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rPr>
      </w:pPr>
      <w:r>
        <w:rPr>
          <w:rFonts w:hint="eastAsia" w:ascii="宋体" w:hAnsi="宋体" w:eastAsia="宋体" w:cs="宋体"/>
        </w:rPr>
        <w:t>项目名称：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rPr>
      </w:pPr>
      <w:r>
        <w:rPr>
          <w:rFonts w:hint="eastAsia" w:ascii="宋体" w:hAnsi="宋体" w:eastAsia="宋体" w:cs="宋体"/>
        </w:rPr>
        <w:t>项目编号：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rPr>
      </w:pPr>
      <w:r>
        <w:rPr>
          <w:rFonts w:hint="eastAsia" w:ascii="宋体" w:hAnsi="宋体" w:eastAsia="宋体" w:cs="宋体"/>
        </w:rPr>
        <w:t>投标文件名称：资格证明文件/报价文件/技术商务文件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rPr>
      </w:pPr>
      <w:r>
        <w:rPr>
          <w:rFonts w:hint="eastAsia" w:ascii="宋体" w:hAnsi="宋体" w:eastAsia="宋体" w:cs="宋体"/>
          <w:lang w:val="en-US" w:eastAsia="zh-CN"/>
        </w:rPr>
        <w:t>供应商</w:t>
      </w:r>
      <w:r>
        <w:rPr>
          <w:rFonts w:hint="eastAsia" w:ascii="宋体" w:hAnsi="宋体" w:eastAsia="宋体" w:cs="宋体"/>
        </w:rPr>
        <w:t>名称（盖章）：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rPr>
      </w:pPr>
      <w:r>
        <w:rPr>
          <w:rFonts w:hint="eastAsia" w:ascii="宋体" w:hAnsi="宋体" w:eastAsia="宋体" w:cs="宋体"/>
        </w:rPr>
        <w:t>投标人地址：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rPr>
      </w:pPr>
      <w:r>
        <w:rPr>
          <w:rFonts w:hint="eastAsia" w:ascii="宋体" w:hAnsi="宋体" w:eastAsia="宋体" w:cs="宋体"/>
        </w:rPr>
        <w:t>法定代表人或授权代表人（签字或盖章）</w:t>
      </w:r>
      <w:r>
        <w:rPr>
          <w:rFonts w:hint="eastAsia" w:ascii="宋体" w:hAnsi="宋体" w:eastAsia="宋体" w:cs="宋体"/>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rPr>
      </w:pPr>
      <w:r>
        <w:rPr>
          <w:rFonts w:hint="eastAsia" w:ascii="宋体" w:hAnsi="宋体" w:eastAsia="宋体" w:cs="宋体"/>
        </w:rPr>
        <w:t xml:space="preserve">格式一 </w:t>
      </w:r>
      <w:r>
        <w:rPr>
          <w:rFonts w:hint="eastAsia" w:ascii="宋体" w:hAnsi="宋体" w:eastAsia="宋体" w:cs="宋体"/>
          <w:lang w:val="en-US" w:eastAsia="zh-CN"/>
        </w:rPr>
        <w:t xml:space="preserve"> </w:t>
      </w:r>
      <w:r>
        <w:rPr>
          <w:rFonts w:hint="eastAsia" w:ascii="宋体" w:hAnsi="宋体" w:eastAsia="宋体" w:cs="宋体"/>
        </w:rPr>
        <w:t>投标函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0"/>
          <w:szCs w:val="48"/>
        </w:rPr>
      </w:pPr>
      <w:r>
        <w:rPr>
          <w:rFonts w:hint="eastAsia" w:ascii="宋体" w:hAnsi="宋体" w:eastAsia="宋体" w:cs="宋体"/>
          <w:b/>
          <w:bCs/>
          <w:sz w:val="40"/>
          <w:szCs w:val="48"/>
        </w:rPr>
        <w:t>投标函</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jc w:val="left"/>
        <w:textAlignment w:val="auto"/>
        <w:rPr>
          <w:rFonts w:hint="eastAsia" w:ascii="宋体" w:hAnsi="宋体" w:eastAsia="宋体" w:cs="宋体"/>
          <w:b/>
          <w:bCs/>
          <w:lang w:eastAsia="zh-CN"/>
        </w:rPr>
      </w:pPr>
      <w:r>
        <w:rPr>
          <w:rFonts w:hint="eastAsia" w:ascii="宋体" w:hAnsi="宋体" w:eastAsia="宋体" w:cs="宋体"/>
          <w:b/>
          <w:bCs/>
        </w:rPr>
        <w:t>致宁波市生态环境局鄞州分局：</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u w:val="single"/>
          <w:lang w:val="en-US" w:eastAsia="zh-CN"/>
        </w:rPr>
        <w:t xml:space="preserve">   </w:t>
      </w:r>
      <w:r>
        <w:rPr>
          <w:rFonts w:hint="eastAsia" w:ascii="宋体" w:hAnsi="宋体" w:eastAsia="宋体" w:cs="宋体"/>
          <w:u w:val="single"/>
        </w:rPr>
        <w:t>（投标人全称）</w:t>
      </w:r>
      <w:r>
        <w:rPr>
          <w:rFonts w:hint="eastAsia" w:ascii="宋体" w:hAnsi="宋体" w:eastAsia="宋体" w:cs="宋体"/>
          <w:u w:val="single"/>
          <w:lang w:val="en-US" w:eastAsia="zh-CN"/>
        </w:rPr>
        <w:t xml:space="preserve">   </w:t>
      </w:r>
      <w:r>
        <w:rPr>
          <w:rFonts w:hint="eastAsia" w:ascii="宋体" w:hAnsi="宋体" w:eastAsia="宋体" w:cs="宋体"/>
        </w:rPr>
        <w:t>授权</w:t>
      </w:r>
      <w:r>
        <w:rPr>
          <w:rFonts w:hint="eastAsia" w:ascii="宋体" w:hAnsi="宋体" w:eastAsia="宋体" w:cs="宋体"/>
          <w:u w:val="single"/>
          <w:lang w:val="en-US" w:eastAsia="zh-CN"/>
        </w:rPr>
        <w:t xml:space="preserve">   </w:t>
      </w:r>
      <w:r>
        <w:rPr>
          <w:rFonts w:hint="eastAsia" w:ascii="宋体" w:hAnsi="宋体" w:eastAsia="宋体" w:cs="宋体"/>
          <w:kern w:val="2"/>
          <w:sz w:val="21"/>
          <w:szCs w:val="24"/>
          <w:u w:val="single"/>
          <w:lang w:val="en-US" w:eastAsia="zh-CN" w:bidi="ar-SA"/>
        </w:rPr>
        <w:t>（全权代表姓名、职务）</w:t>
      </w:r>
      <w:r>
        <w:rPr>
          <w:rFonts w:hint="eastAsia" w:ascii="宋体" w:hAnsi="宋体" w:eastAsia="宋体" w:cs="宋体"/>
          <w:u w:val="single"/>
          <w:lang w:val="en-US" w:eastAsia="zh-CN"/>
        </w:rPr>
        <w:t xml:space="preserve">   </w:t>
      </w:r>
      <w:r>
        <w:rPr>
          <w:rFonts w:hint="eastAsia" w:ascii="宋体" w:hAnsi="宋体" w:eastAsia="宋体" w:cs="宋体"/>
        </w:rPr>
        <w:t>为本公司合法代理人，参加贵方组织的</w:t>
      </w:r>
      <w:r>
        <w:rPr>
          <w:rFonts w:hint="eastAsia" w:ascii="宋体" w:hAnsi="宋体" w:eastAsia="宋体" w:cs="宋体"/>
          <w:u w:val="single"/>
          <w:lang w:val="en-US" w:eastAsia="zh-CN"/>
        </w:rPr>
        <w:t xml:space="preserve">   </w:t>
      </w:r>
      <w:r>
        <w:rPr>
          <w:rFonts w:hint="eastAsia" w:ascii="宋体" w:hAnsi="宋体" w:eastAsia="宋体" w:cs="宋体"/>
          <w:kern w:val="2"/>
          <w:sz w:val="21"/>
          <w:szCs w:val="24"/>
          <w:u w:val="single"/>
          <w:lang w:val="en-US" w:eastAsia="zh-CN" w:bidi="ar-SA"/>
        </w:rPr>
        <w:t>（项目编号、项目名称）</w:t>
      </w:r>
      <w:r>
        <w:rPr>
          <w:rFonts w:hint="eastAsia" w:ascii="宋体" w:hAnsi="宋体" w:eastAsia="宋体" w:cs="宋体"/>
          <w:u w:val="single"/>
          <w:lang w:val="en-US" w:eastAsia="zh-CN"/>
        </w:rPr>
        <w:t xml:space="preserve">   </w:t>
      </w:r>
      <w:r>
        <w:rPr>
          <w:rFonts w:hint="eastAsia" w:ascii="宋体" w:hAnsi="宋体" w:eastAsia="宋体" w:cs="宋体"/>
        </w:rPr>
        <w:t>招投标活动，代表本公司处理招投标活动中的一切事宜。在此：</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1、提供采购文件中“投标须知”规定的全部投标文件资料。</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2、据此函，签字代表宣布并承诺如下：</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1）我们已详细审查全部“采购文件”，包括修改文件（如有）以及全部参考资料和有关附件，我们完全理解并同意放弃对这方面提出任何异议的权利。已经了解对于采购文件、采购过程、采购结果有依法进行询问、质疑、投诉的权利及相关渠道和要求。</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（2）本投标自开标之日起</w:t>
      </w:r>
      <w:r>
        <w:rPr>
          <w:rFonts w:hint="eastAsia" w:ascii="宋体" w:hAnsi="宋体" w:eastAsia="宋体" w:cs="宋体"/>
          <w:kern w:val="2"/>
          <w:sz w:val="21"/>
          <w:szCs w:val="24"/>
          <w:u w:val="single"/>
          <w:lang w:val="en-US" w:eastAsia="zh-CN" w:bidi="ar-SA"/>
        </w:rPr>
        <w:t xml:space="preserve">     </w:t>
      </w:r>
      <w:r>
        <w:rPr>
          <w:rFonts w:hint="eastAsia" w:ascii="宋体" w:hAnsi="宋体" w:eastAsia="宋体" w:cs="宋体"/>
        </w:rPr>
        <w:t>天内有效。</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（3）保证遵守采购文件有关条款规定。</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（4）保证在中标后忠实地执行与采购人所签署的合同，并承担合同规定的责任义务。保证在中标后按照采购文件的规定支付招标代理服务费。</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（5）承诺应贵方要求提供任何与该项目投标有关的数据、情况和技术资料。</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3、与本项目有关的澄清、补充文件请发送至：</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电子邮箱：</w:t>
      </w:r>
      <w:r>
        <w:rPr>
          <w:rFonts w:hint="eastAsia" w:ascii="宋体" w:hAnsi="宋体" w:eastAsia="宋体" w:cs="宋体"/>
          <w:kern w:val="2"/>
          <w:sz w:val="21"/>
          <w:szCs w:val="24"/>
          <w:u w:val="single"/>
          <w:lang w:val="en-US" w:eastAsia="zh-CN" w:bidi="ar-SA"/>
        </w:rPr>
        <w:t xml:space="preserve">                </w:t>
      </w:r>
      <w:r>
        <w:rPr>
          <w:rFonts w:hint="eastAsia" w:ascii="宋体" w:hAnsi="宋体" w:eastAsia="宋体" w:cs="宋体"/>
        </w:rPr>
        <w:t xml:space="preserve">   传真：</w:t>
      </w:r>
      <w:r>
        <w:rPr>
          <w:rFonts w:hint="eastAsia" w:ascii="宋体" w:hAnsi="宋体" w:eastAsia="宋体" w:cs="宋体"/>
          <w:kern w:val="2"/>
          <w:sz w:val="21"/>
          <w:szCs w:val="24"/>
          <w:u w:val="singl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4、与本投标有关的一切往来通讯请寄：</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地址：</w:t>
      </w:r>
      <w:r>
        <w:rPr>
          <w:rFonts w:hint="eastAsia" w:ascii="宋体" w:hAnsi="宋体" w:eastAsia="宋体" w:cs="宋体"/>
          <w:kern w:val="2"/>
          <w:sz w:val="21"/>
          <w:szCs w:val="24"/>
          <w:u w:val="singl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邮编：</w:t>
      </w:r>
      <w:r>
        <w:rPr>
          <w:rFonts w:hint="eastAsia" w:ascii="宋体" w:hAnsi="宋体" w:eastAsia="宋体" w:cs="宋体"/>
          <w:kern w:val="2"/>
          <w:sz w:val="21"/>
          <w:szCs w:val="24"/>
          <w:u w:val="single"/>
          <w:lang w:val="en-US" w:eastAsia="zh-CN" w:bidi="ar-SA"/>
        </w:rPr>
        <w:t xml:space="preserve">         </w:t>
      </w:r>
      <w:r>
        <w:rPr>
          <w:rFonts w:hint="eastAsia" w:ascii="宋体" w:hAnsi="宋体" w:eastAsia="宋体" w:cs="宋体"/>
        </w:rPr>
        <w:t xml:space="preserve">  电话： </w:t>
      </w:r>
      <w:r>
        <w:rPr>
          <w:rFonts w:hint="eastAsia" w:ascii="宋体" w:hAnsi="宋体" w:eastAsia="宋体" w:cs="宋体"/>
          <w:kern w:val="2"/>
          <w:sz w:val="21"/>
          <w:szCs w:val="24"/>
          <w:u w:val="single"/>
          <w:lang w:val="en-US" w:eastAsia="zh-CN" w:bidi="ar-SA"/>
        </w:rPr>
        <w:t xml:space="preserve">         </w:t>
      </w:r>
      <w:r>
        <w:rPr>
          <w:rFonts w:hint="eastAsia" w:ascii="宋体" w:hAnsi="宋体" w:eastAsia="宋体" w:cs="宋体"/>
        </w:rPr>
        <w:t xml:space="preserve"> 传真：</w:t>
      </w:r>
      <w:r>
        <w:rPr>
          <w:rFonts w:hint="eastAsia" w:ascii="宋体" w:hAnsi="宋体" w:eastAsia="宋体" w:cs="宋体"/>
          <w:kern w:val="2"/>
          <w:sz w:val="21"/>
          <w:szCs w:val="24"/>
          <w:u w:val="singl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lang w:eastAsia="zh-CN"/>
        </w:rPr>
      </w:pPr>
      <w:r>
        <w:rPr>
          <w:rFonts w:hint="eastAsia" w:ascii="宋体" w:hAnsi="宋体" w:eastAsia="宋体" w:cs="宋体"/>
          <w:lang w:eastAsia="zh-CN"/>
        </w:rPr>
        <w:t>供应商（盖章）：</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法定代表人或授权代表人（签字或盖章）：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日期：</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jc w:val="left"/>
        <w:textAlignment w:val="auto"/>
        <w:rPr>
          <w:rFonts w:hint="eastAsia" w:ascii="宋体" w:hAnsi="宋体" w:eastAsia="宋体" w:cs="宋体"/>
          <w:b/>
          <w:bCs/>
        </w:rPr>
      </w:pPr>
      <w:r>
        <w:rPr>
          <w:rFonts w:hint="eastAsia" w:ascii="宋体" w:hAnsi="宋体" w:eastAsia="宋体" w:cs="宋体"/>
          <w:b/>
          <w:bCs/>
        </w:rPr>
        <w:t>附：招标服务费支付承诺书</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jc w:val="center"/>
        <w:textAlignment w:val="auto"/>
        <w:rPr>
          <w:rFonts w:hint="eastAsia" w:ascii="宋体" w:hAnsi="宋体" w:eastAsia="宋体" w:cs="宋体"/>
          <w:b/>
          <w:bCs/>
          <w:kern w:val="2"/>
          <w:sz w:val="40"/>
          <w:szCs w:val="48"/>
          <w:lang w:val="en-US" w:eastAsia="zh-CN" w:bidi="ar-SA"/>
        </w:rPr>
      </w:pPr>
      <w:r>
        <w:rPr>
          <w:rFonts w:hint="eastAsia" w:ascii="宋体" w:hAnsi="宋体" w:eastAsia="宋体" w:cs="宋体"/>
          <w:b/>
          <w:bCs/>
          <w:kern w:val="2"/>
          <w:sz w:val="40"/>
          <w:szCs w:val="48"/>
          <w:lang w:val="en-US" w:eastAsia="zh-CN" w:bidi="ar-SA"/>
        </w:rPr>
        <w:t>招标服务费支付承诺书</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jc w:val="left"/>
        <w:textAlignment w:val="auto"/>
        <w:rPr>
          <w:rFonts w:hint="default" w:ascii="宋体" w:hAnsi="宋体" w:eastAsia="宋体" w:cs="宋体"/>
          <w:b/>
          <w:bCs/>
          <w:lang w:val="en-US" w:eastAsia="zh-CN"/>
        </w:rPr>
      </w:pPr>
      <w:r>
        <w:rPr>
          <w:rFonts w:hint="eastAsia" w:ascii="宋体" w:hAnsi="宋体" w:eastAsia="宋体" w:cs="宋体"/>
          <w:b/>
          <w:bCs/>
        </w:rPr>
        <w:t>致：</w:t>
      </w:r>
      <w:r>
        <w:rPr>
          <w:rFonts w:hint="eastAsia" w:ascii="宋体" w:hAnsi="宋体" w:eastAsia="宋体" w:cs="宋体"/>
          <w:b/>
          <w:bCs/>
          <w:lang w:val="en-US" w:eastAsia="zh-CN"/>
        </w:rPr>
        <w:t>宁波正源工程造价咨询有限公司</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我公司已认真阅读了</w:t>
      </w:r>
      <w:r>
        <w:rPr>
          <w:rFonts w:hint="eastAsia" w:ascii="宋体" w:hAnsi="宋体" w:eastAsia="宋体" w:cs="宋体"/>
          <w:u w:val="single"/>
          <w:lang w:val="en-US" w:eastAsia="zh-CN"/>
        </w:rPr>
        <w:t xml:space="preserve">   </w:t>
      </w:r>
      <w:r>
        <w:rPr>
          <w:rFonts w:hint="eastAsia" w:ascii="宋体" w:hAnsi="宋体" w:eastAsia="宋体" w:cs="宋体"/>
          <w:kern w:val="2"/>
          <w:sz w:val="21"/>
          <w:szCs w:val="24"/>
          <w:u w:val="single"/>
          <w:lang w:val="en-US" w:eastAsia="zh-CN" w:bidi="ar-SA"/>
        </w:rPr>
        <w:t>（项目编号、项目名称）</w:t>
      </w:r>
      <w:r>
        <w:rPr>
          <w:rFonts w:hint="eastAsia" w:ascii="宋体" w:hAnsi="宋体" w:eastAsia="宋体" w:cs="宋体"/>
          <w:u w:val="single"/>
          <w:lang w:val="en-US" w:eastAsia="zh-CN"/>
        </w:rPr>
        <w:t xml:space="preserve">   </w:t>
      </w:r>
      <w:r>
        <w:rPr>
          <w:rFonts w:hint="eastAsia" w:ascii="宋体" w:hAnsi="宋体" w:eastAsia="宋体" w:cs="宋体"/>
        </w:rPr>
        <w:t>项目招标文件并在此承诺：</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如在本项目</w:t>
      </w:r>
      <w:r>
        <w:rPr>
          <w:rFonts w:hint="eastAsia" w:ascii="宋体" w:hAnsi="宋体" w:eastAsia="宋体" w:cs="宋体"/>
          <w:lang w:val="en-US" w:eastAsia="zh-CN"/>
        </w:rPr>
        <w:t>中</w:t>
      </w:r>
      <w:r>
        <w:rPr>
          <w:rFonts w:hint="eastAsia" w:ascii="宋体" w:hAnsi="宋体" w:eastAsia="宋体" w:cs="宋体"/>
        </w:rPr>
        <w:t>中标，我公司将在结果公示发布之日起5个工作日之内按招标文件规定的标准（金额）一次性向贵公司支付招标服务费。</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若我司未按上述承诺内容执行，我司自愿承担本项目招标服务费200%的违约金，且在中标通知书领取后5个工作日内支付上述违约金，否则由此引起的一切法律责任和经济责任由我公司承担。</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lang w:eastAsia="zh-CN"/>
        </w:rPr>
      </w:pPr>
      <w:r>
        <w:rPr>
          <w:rFonts w:hint="eastAsia" w:ascii="宋体" w:hAnsi="宋体" w:eastAsia="宋体" w:cs="宋体"/>
          <w:lang w:eastAsia="zh-CN"/>
        </w:rPr>
        <w:t>供应商（盖章）：</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法定代表人或授权代表人（签字或盖章）：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日期：</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宁波正源工程造价咨询有限公司招标服务费收取账号信息：</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lang w:eastAsia="zh-CN"/>
        </w:rPr>
      </w:pPr>
      <w:r>
        <w:rPr>
          <w:rFonts w:hint="eastAsia" w:ascii="宋体" w:hAnsi="宋体" w:eastAsia="宋体" w:cs="宋体"/>
        </w:rPr>
        <w:t>开户银行：</w:t>
      </w:r>
      <w:r>
        <w:rPr>
          <w:rFonts w:hint="eastAsia" w:ascii="宋体" w:hAnsi="宋体" w:eastAsia="宋体" w:cs="宋体"/>
          <w:lang w:val="en-US" w:eastAsia="zh-CN"/>
        </w:rPr>
        <w:t>宁波银行鄞州支行</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户名：宁波正源工程造价咨询有限公司</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账号：53010122000003772</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格式二 开标一览表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0"/>
          <w:szCs w:val="48"/>
          <w:lang w:val="en-US" w:eastAsia="zh-CN"/>
        </w:rPr>
      </w:pPr>
      <w:r>
        <w:rPr>
          <w:rFonts w:hint="eastAsia" w:ascii="宋体" w:hAnsi="宋体" w:eastAsia="宋体" w:cs="宋体"/>
          <w:b/>
          <w:bCs/>
          <w:sz w:val="40"/>
          <w:szCs w:val="48"/>
          <w:lang w:val="en-US" w:eastAsia="zh-CN"/>
        </w:rPr>
        <w:t>开标一览表</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jc w:val="left"/>
        <w:textAlignment w:val="auto"/>
        <w:rPr>
          <w:rFonts w:hint="eastAsia" w:ascii="宋体" w:hAnsi="宋体" w:eastAsia="宋体" w:cs="宋体"/>
          <w:u w:val="single"/>
          <w:lang w:val="en-US" w:eastAsia="zh-CN"/>
        </w:rPr>
      </w:pPr>
      <w:r>
        <w:rPr>
          <w:rFonts w:hint="eastAsia" w:ascii="宋体" w:hAnsi="宋体" w:eastAsia="宋体" w:cs="宋体"/>
          <w:lang w:val="en-US" w:eastAsia="zh-CN"/>
        </w:rPr>
        <w:t>项目名称：</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 xml:space="preserve">         项目编号：</w:t>
      </w:r>
      <w:r>
        <w:rPr>
          <w:rFonts w:hint="eastAsia" w:ascii="宋体" w:hAnsi="宋体" w:eastAsia="宋体" w:cs="宋体"/>
          <w:u w:val="single"/>
          <w:lang w:val="en-US" w:eastAsia="zh-CN"/>
        </w:rPr>
        <w:t xml:space="preserve">                         </w:t>
      </w: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2115"/>
        <w:gridCol w:w="3225"/>
        <w:gridCol w:w="2280"/>
        <w:gridCol w:w="10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66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32" w:lineRule="auto"/>
              <w:jc w:val="center"/>
              <w:textAlignment w:val="auto"/>
              <w:rPr>
                <w:rFonts w:hint="default" w:ascii="宋体" w:hAnsi="宋体" w:eastAsia="宋体" w:cs="宋体"/>
                <w:u w:val="none"/>
                <w:vertAlign w:val="baseline"/>
                <w:lang w:val="en-US" w:eastAsia="zh-CN"/>
              </w:rPr>
            </w:pPr>
            <w:r>
              <w:rPr>
                <w:rFonts w:hint="eastAsia" w:ascii="宋体" w:hAnsi="宋体" w:eastAsia="宋体" w:cs="宋体"/>
                <w:u w:val="none"/>
                <w:vertAlign w:val="baseline"/>
                <w:lang w:val="en-US" w:eastAsia="zh-CN"/>
              </w:rPr>
              <w:t>序号</w:t>
            </w:r>
          </w:p>
        </w:tc>
        <w:tc>
          <w:tcPr>
            <w:tcW w:w="211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32" w:lineRule="auto"/>
              <w:jc w:val="center"/>
              <w:textAlignment w:val="auto"/>
              <w:rPr>
                <w:rFonts w:hint="default" w:ascii="宋体" w:hAnsi="宋体" w:eastAsia="宋体" w:cs="宋体"/>
                <w:u w:val="none"/>
                <w:vertAlign w:val="baseline"/>
                <w:lang w:val="en-US" w:eastAsia="zh-CN"/>
              </w:rPr>
            </w:pPr>
            <w:r>
              <w:rPr>
                <w:rFonts w:hint="eastAsia" w:ascii="宋体" w:hAnsi="宋体" w:eastAsia="宋体" w:cs="宋体"/>
                <w:u w:val="none"/>
                <w:vertAlign w:val="baseline"/>
                <w:lang w:val="en-US" w:eastAsia="zh-CN"/>
              </w:rPr>
              <w:t>项目名称</w:t>
            </w:r>
          </w:p>
        </w:tc>
        <w:tc>
          <w:tcPr>
            <w:tcW w:w="322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32" w:lineRule="auto"/>
              <w:jc w:val="center"/>
              <w:textAlignment w:val="auto"/>
              <w:rPr>
                <w:rFonts w:hint="default" w:ascii="宋体" w:hAnsi="宋体" w:eastAsia="宋体" w:cs="宋体"/>
                <w:u w:val="none"/>
                <w:vertAlign w:val="baseline"/>
                <w:lang w:val="en-US" w:eastAsia="zh-CN"/>
              </w:rPr>
            </w:pPr>
            <w:r>
              <w:rPr>
                <w:rFonts w:hint="eastAsia" w:ascii="宋体" w:hAnsi="宋体" w:eastAsia="宋体" w:cs="宋体"/>
                <w:u w:val="none"/>
                <w:vertAlign w:val="baseline"/>
                <w:lang w:val="en-US" w:eastAsia="zh-CN"/>
              </w:rPr>
              <w:t>投标报价（元）</w:t>
            </w:r>
          </w:p>
        </w:tc>
        <w:tc>
          <w:tcPr>
            <w:tcW w:w="228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32" w:lineRule="auto"/>
              <w:jc w:val="center"/>
              <w:textAlignment w:val="auto"/>
              <w:rPr>
                <w:rFonts w:hint="default" w:ascii="宋体" w:hAnsi="宋体" w:eastAsia="宋体" w:cs="宋体"/>
                <w:u w:val="none"/>
                <w:vertAlign w:val="baseline"/>
                <w:lang w:val="en-US" w:eastAsia="zh-CN"/>
              </w:rPr>
            </w:pPr>
            <w:r>
              <w:rPr>
                <w:rFonts w:hint="eastAsia" w:ascii="宋体" w:hAnsi="宋体" w:eastAsia="宋体" w:cs="宋体"/>
                <w:u w:val="none"/>
                <w:vertAlign w:val="baseline"/>
                <w:lang w:val="en-US" w:eastAsia="zh-CN"/>
              </w:rPr>
              <w:t>服务期限</w:t>
            </w:r>
          </w:p>
        </w:tc>
        <w:tc>
          <w:tcPr>
            <w:tcW w:w="100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32" w:lineRule="auto"/>
              <w:jc w:val="center"/>
              <w:textAlignment w:val="auto"/>
              <w:rPr>
                <w:rFonts w:hint="default" w:ascii="宋体" w:hAnsi="宋体" w:eastAsia="宋体" w:cs="宋体"/>
                <w:u w:val="none"/>
                <w:vertAlign w:val="baseline"/>
                <w:lang w:val="en-US" w:eastAsia="zh-CN"/>
              </w:rPr>
            </w:pPr>
            <w:r>
              <w:rPr>
                <w:rFonts w:hint="eastAsia" w:ascii="宋体" w:hAnsi="宋体" w:eastAsia="宋体" w:cs="宋体"/>
                <w:u w:val="none"/>
                <w:vertAlign w:val="baseli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66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32" w:lineRule="auto"/>
              <w:jc w:val="center"/>
              <w:textAlignment w:val="auto"/>
              <w:rPr>
                <w:rFonts w:hint="default" w:ascii="宋体" w:hAnsi="宋体" w:eastAsia="宋体" w:cs="宋体"/>
                <w:u w:val="none"/>
                <w:vertAlign w:val="baseline"/>
                <w:lang w:val="en-US" w:eastAsia="zh-CN"/>
              </w:rPr>
            </w:pPr>
            <w:r>
              <w:rPr>
                <w:rFonts w:hint="eastAsia" w:ascii="宋体" w:hAnsi="宋体" w:eastAsia="宋体" w:cs="宋体"/>
                <w:u w:val="none"/>
                <w:vertAlign w:val="baseline"/>
                <w:lang w:val="en-US" w:eastAsia="zh-CN"/>
              </w:rPr>
              <w:t>1</w:t>
            </w:r>
          </w:p>
        </w:tc>
        <w:tc>
          <w:tcPr>
            <w:tcW w:w="211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32" w:lineRule="auto"/>
              <w:jc w:val="center"/>
              <w:textAlignment w:val="auto"/>
              <w:rPr>
                <w:rFonts w:hint="eastAsia" w:ascii="宋体" w:hAnsi="宋体" w:eastAsia="宋体" w:cs="宋体"/>
                <w:u w:val="none"/>
                <w:vertAlign w:val="baseline"/>
                <w:lang w:val="en-US" w:eastAsia="zh-CN"/>
              </w:rPr>
            </w:pPr>
            <w:r>
              <w:rPr>
                <w:rFonts w:hint="eastAsia" w:ascii="宋体" w:hAnsi="宋体" w:eastAsia="宋体" w:cs="宋体"/>
                <w:u w:val="none"/>
                <w:vertAlign w:val="baseline"/>
                <w:lang w:val="en-US" w:eastAsia="zh-CN"/>
              </w:rPr>
              <w:t>鄞州区省级“无废城市”建设技术服务项目</w:t>
            </w:r>
          </w:p>
        </w:tc>
        <w:tc>
          <w:tcPr>
            <w:tcW w:w="322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32" w:lineRule="auto"/>
              <w:jc w:val="left"/>
              <w:textAlignment w:val="auto"/>
              <w:rPr>
                <w:rFonts w:hint="eastAsia" w:ascii="宋体" w:hAnsi="宋体" w:eastAsia="宋体" w:cs="宋体"/>
                <w:u w:val="none"/>
                <w:vertAlign w:val="baseline"/>
                <w:lang w:val="en-US" w:eastAsia="zh-CN"/>
              </w:rPr>
            </w:pPr>
            <w:r>
              <w:rPr>
                <w:rFonts w:hint="eastAsia" w:ascii="宋体" w:hAnsi="宋体" w:eastAsia="宋体" w:cs="宋体"/>
                <w:u w:val="none"/>
                <w:vertAlign w:val="baseline"/>
                <w:lang w:val="en-US" w:eastAsia="zh-CN"/>
              </w:rPr>
              <w:t>大写：</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jc w:val="left"/>
              <w:textAlignment w:val="auto"/>
              <w:rPr>
                <w:rFonts w:hint="default" w:ascii="宋体" w:hAnsi="宋体" w:eastAsia="宋体" w:cs="宋体"/>
                <w:u w:val="none"/>
                <w:vertAlign w:val="baseline"/>
                <w:lang w:val="en-US" w:eastAsia="zh-CN"/>
              </w:rPr>
            </w:pPr>
            <w:r>
              <w:rPr>
                <w:rFonts w:hint="eastAsia" w:ascii="宋体" w:hAnsi="宋体" w:eastAsia="宋体" w:cs="宋体"/>
                <w:u w:val="none"/>
                <w:vertAlign w:val="baseline"/>
                <w:lang w:val="en-US" w:eastAsia="zh-CN"/>
              </w:rPr>
              <w:t>小写：</w:t>
            </w:r>
          </w:p>
        </w:tc>
        <w:tc>
          <w:tcPr>
            <w:tcW w:w="228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32" w:lineRule="auto"/>
              <w:jc w:val="center"/>
              <w:textAlignment w:val="auto"/>
              <w:rPr>
                <w:rFonts w:hint="eastAsia" w:ascii="宋体" w:hAnsi="宋体" w:eastAsia="宋体" w:cs="宋体"/>
                <w:u w:val="none"/>
                <w:vertAlign w:val="baseline"/>
                <w:lang w:val="en-US" w:eastAsia="zh-CN"/>
              </w:rPr>
            </w:pPr>
          </w:p>
        </w:tc>
        <w:tc>
          <w:tcPr>
            <w:tcW w:w="100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32" w:lineRule="auto"/>
              <w:jc w:val="center"/>
              <w:textAlignment w:val="auto"/>
              <w:rPr>
                <w:rFonts w:hint="eastAsia" w:ascii="宋体" w:hAnsi="宋体" w:eastAsia="宋体" w:cs="宋体"/>
                <w:u w:val="none"/>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2778" w:type="dxa"/>
            <w:gridSpan w:val="2"/>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32" w:lineRule="auto"/>
              <w:jc w:val="center"/>
              <w:textAlignment w:val="auto"/>
              <w:rPr>
                <w:rFonts w:hint="eastAsia" w:ascii="宋体" w:hAnsi="宋体" w:eastAsia="宋体" w:cs="宋体"/>
                <w:u w:val="none"/>
                <w:vertAlign w:val="baseline"/>
                <w:lang w:val="en-US" w:eastAsia="zh-CN"/>
              </w:rPr>
            </w:pPr>
            <w:r>
              <w:rPr>
                <w:rFonts w:hint="eastAsia" w:ascii="宋体" w:hAnsi="宋体" w:eastAsia="宋体" w:cs="宋体"/>
                <w:u w:val="none"/>
                <w:vertAlign w:val="baseline"/>
                <w:lang w:val="en-US" w:eastAsia="zh-CN"/>
              </w:rPr>
              <w:t>投标声明</w:t>
            </w:r>
          </w:p>
        </w:tc>
        <w:tc>
          <w:tcPr>
            <w:tcW w:w="6510" w:type="dxa"/>
            <w:gridSpan w:val="3"/>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32" w:lineRule="auto"/>
              <w:jc w:val="center"/>
              <w:textAlignment w:val="auto"/>
              <w:rPr>
                <w:rFonts w:hint="eastAsia" w:ascii="宋体" w:hAnsi="宋体" w:eastAsia="宋体" w:cs="宋体"/>
                <w:u w:val="none"/>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lang w:eastAsia="zh-CN"/>
        </w:rPr>
      </w:pPr>
      <w:r>
        <w:rPr>
          <w:rFonts w:hint="eastAsia" w:ascii="宋体" w:hAnsi="宋体" w:eastAsia="宋体" w:cs="宋体"/>
          <w:lang w:eastAsia="zh-CN"/>
        </w:rPr>
        <w:t>供应商（盖章）：</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法定代表人或授权代表人（签字或盖章）：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pPr>
      <w:r>
        <w:rPr>
          <w:rFonts w:hint="eastAsia" w:ascii="宋体" w:hAnsi="宋体" w:eastAsia="宋体" w:cs="宋体"/>
        </w:rPr>
        <w:t>日期：</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20" w:firstLineChars="200"/>
        <w:jc w:val="left"/>
        <w:textAlignment w:val="auto"/>
        <w:rPr>
          <w:rFonts w:hint="eastAsia" w:ascii="宋体" w:hAnsi="宋体" w:eastAsia="宋体" w:cs="宋体"/>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格式三 拟派项目负责人情况表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0"/>
          <w:szCs w:val="48"/>
          <w:lang w:val="en-US" w:eastAsia="zh-CN"/>
        </w:rPr>
      </w:pPr>
      <w:r>
        <w:rPr>
          <w:rFonts w:hint="eastAsia" w:ascii="宋体" w:hAnsi="宋体" w:eastAsia="宋体" w:cs="宋体"/>
          <w:b/>
          <w:bCs/>
          <w:sz w:val="40"/>
          <w:szCs w:val="48"/>
          <w:lang w:val="en-US" w:eastAsia="zh-CN"/>
        </w:rPr>
        <w:t>拟派项目负责人情况表</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jc w:val="left"/>
        <w:textAlignment w:val="auto"/>
        <w:rPr>
          <w:rFonts w:hint="eastAsia" w:ascii="宋体" w:hAnsi="宋体" w:eastAsia="宋体" w:cs="宋体"/>
          <w:u w:val="single"/>
          <w:lang w:val="en-US" w:eastAsia="zh-CN"/>
        </w:rPr>
      </w:pPr>
      <w:r>
        <w:rPr>
          <w:rFonts w:hint="eastAsia" w:ascii="宋体" w:hAnsi="宋体" w:eastAsia="宋体" w:cs="宋体"/>
          <w:lang w:val="en-US" w:eastAsia="zh-CN"/>
        </w:rPr>
        <w:t>项目名称：</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 xml:space="preserve">         项目编号：</w:t>
      </w:r>
      <w:r>
        <w:rPr>
          <w:rFonts w:hint="eastAsia" w:ascii="宋体" w:hAnsi="宋体" w:eastAsia="宋体" w:cs="宋体"/>
          <w:u w:val="single"/>
          <w:lang w:val="en-US" w:eastAsia="zh-CN"/>
        </w:rPr>
        <w:t xml:space="preserve">                         </w:t>
      </w: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47"/>
        <w:gridCol w:w="1920"/>
        <w:gridCol w:w="975"/>
        <w:gridCol w:w="1425"/>
        <w:gridCol w:w="1173"/>
        <w:gridCol w:w="15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4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姓名</w:t>
            </w:r>
          </w:p>
        </w:tc>
        <w:tc>
          <w:tcPr>
            <w:tcW w:w="1920"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c>
          <w:tcPr>
            <w:tcW w:w="97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性别</w:t>
            </w:r>
          </w:p>
        </w:tc>
        <w:tc>
          <w:tcPr>
            <w:tcW w:w="142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c>
          <w:tcPr>
            <w:tcW w:w="117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出生年月</w:t>
            </w:r>
          </w:p>
        </w:tc>
        <w:tc>
          <w:tcPr>
            <w:tcW w:w="1548"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4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职称</w:t>
            </w:r>
          </w:p>
        </w:tc>
        <w:tc>
          <w:tcPr>
            <w:tcW w:w="7041" w:type="dxa"/>
            <w:gridSpan w:val="5"/>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4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毕业时间</w:t>
            </w:r>
          </w:p>
        </w:tc>
        <w:tc>
          <w:tcPr>
            <w:tcW w:w="7041" w:type="dxa"/>
            <w:gridSpan w:val="5"/>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4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专业</w:t>
            </w:r>
          </w:p>
        </w:tc>
        <w:tc>
          <w:tcPr>
            <w:tcW w:w="7041" w:type="dxa"/>
            <w:gridSpan w:val="5"/>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4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学历</w:t>
            </w:r>
          </w:p>
        </w:tc>
        <w:tc>
          <w:tcPr>
            <w:tcW w:w="7041" w:type="dxa"/>
            <w:gridSpan w:val="5"/>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4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相关专业资格证书</w:t>
            </w:r>
          </w:p>
        </w:tc>
        <w:tc>
          <w:tcPr>
            <w:tcW w:w="7041" w:type="dxa"/>
            <w:gridSpan w:val="5"/>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224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其他资格情况</w:t>
            </w:r>
          </w:p>
        </w:tc>
        <w:tc>
          <w:tcPr>
            <w:tcW w:w="7041" w:type="dxa"/>
            <w:gridSpan w:val="5"/>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4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联系方式</w:t>
            </w:r>
          </w:p>
        </w:tc>
        <w:tc>
          <w:tcPr>
            <w:tcW w:w="7041" w:type="dxa"/>
            <w:gridSpan w:val="5"/>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224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以往工作经验</w:t>
            </w:r>
          </w:p>
        </w:tc>
        <w:tc>
          <w:tcPr>
            <w:tcW w:w="7041" w:type="dxa"/>
            <w:gridSpan w:val="5"/>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224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获得过的奖励/处罚</w:t>
            </w:r>
          </w:p>
        </w:tc>
        <w:tc>
          <w:tcPr>
            <w:tcW w:w="7041" w:type="dxa"/>
            <w:gridSpan w:val="5"/>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供应商（盖章）：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法定代表人或授权代表人（签字或盖章）：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日期：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lang w:val="en-US" w:eastAsia="zh-CN"/>
        </w:rPr>
      </w:pPr>
      <w:r>
        <w:rPr>
          <w:rFonts w:hint="eastAsia" w:ascii="宋体" w:hAnsi="宋体" w:eastAsia="宋体" w:cs="宋体"/>
          <w:lang w:val="en-US" w:eastAsia="zh-CN"/>
        </w:rPr>
        <w:t>格式四 关于资格的承诺函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0"/>
          <w:szCs w:val="48"/>
          <w:lang w:val="en-US" w:eastAsia="zh-CN"/>
        </w:rPr>
      </w:pPr>
      <w:r>
        <w:rPr>
          <w:rFonts w:hint="eastAsia" w:ascii="宋体" w:hAnsi="宋体" w:eastAsia="宋体" w:cs="宋体"/>
          <w:b/>
          <w:bCs/>
          <w:sz w:val="40"/>
          <w:szCs w:val="48"/>
          <w:lang w:val="en-US" w:eastAsia="zh-CN"/>
        </w:rPr>
        <w:t>关于资格的承诺函</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jc w:val="left"/>
        <w:textAlignment w:val="auto"/>
        <w:rPr>
          <w:rFonts w:hint="default" w:ascii="宋体" w:hAnsi="宋体" w:eastAsia="宋体" w:cs="宋体"/>
          <w:b/>
          <w:bCs/>
          <w:lang w:val="en-US" w:eastAsia="zh-CN"/>
        </w:rPr>
      </w:pPr>
      <w:r>
        <w:rPr>
          <w:rFonts w:hint="eastAsia" w:ascii="宋体" w:hAnsi="宋体" w:eastAsia="宋体" w:cs="宋体"/>
          <w:b/>
          <w:bCs/>
        </w:rPr>
        <w:t>致宁波市生态环境局鄞州分局</w:t>
      </w:r>
      <w:r>
        <w:rPr>
          <w:rFonts w:hint="eastAsia" w:ascii="宋体" w:hAnsi="宋体" w:eastAsia="宋体" w:cs="宋体"/>
          <w:b/>
          <w:bCs/>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关于</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项目（项目编号：</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），我方愿意参加投标，并声明：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1、我方具备《中华人民共和国政府采购法》第二十二条规定资格条件：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2、我方的单位负责人与所参投的本采购项目的其他投标人的单位负责人不为同一人且与其他投标人之间不存在直接控股、管理关系。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3、我方不是本采购项目提供整体设计、规范编制或者项目管理、监理、检测等服务的供应商。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4、我方未被“信用中国”（www.creditchina.gov.cn）、中国政府采购网（www.ccgp.gov.cn）列入失信被执行人、重大税收违法失信主体、政府采购严重违法失信行为记录名单。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我方对上述声明的真实性负责。本次招标采购活动中，如有违法、违规、弄虚作假行为，所造成的损失、不良后果及法律责任，一律由我我方承担。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lang w:val="en-US" w:eastAsia="zh-CN"/>
        </w:rPr>
      </w:pPr>
      <w:r>
        <w:rPr>
          <w:rFonts w:hint="eastAsia" w:ascii="宋体" w:hAnsi="宋体" w:eastAsia="宋体" w:cs="宋体"/>
          <w:b/>
          <w:bCs/>
          <w:lang w:val="en-US" w:eastAsia="zh-CN"/>
        </w:rPr>
        <w:t>特此声明！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供应商（盖章）：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法定代表人或授权代表人（签字或盖章）：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格式五 技术条款偏离表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0"/>
          <w:szCs w:val="48"/>
          <w:lang w:val="en-US" w:eastAsia="zh-CN"/>
        </w:rPr>
      </w:pPr>
      <w:r>
        <w:rPr>
          <w:rFonts w:hint="eastAsia" w:ascii="宋体" w:hAnsi="宋体" w:eastAsia="宋体" w:cs="宋体"/>
          <w:b/>
          <w:bCs/>
          <w:sz w:val="40"/>
          <w:szCs w:val="48"/>
          <w:lang w:val="en-US" w:eastAsia="zh-CN"/>
        </w:rPr>
        <w:t>技术条款偏离表</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jc w:val="left"/>
        <w:textAlignment w:val="auto"/>
        <w:rPr>
          <w:rFonts w:hint="eastAsia" w:ascii="宋体" w:hAnsi="宋体" w:eastAsia="宋体" w:cs="宋体"/>
          <w:u w:val="single"/>
          <w:lang w:val="en-US" w:eastAsia="zh-CN"/>
        </w:rPr>
      </w:pPr>
      <w:r>
        <w:rPr>
          <w:rFonts w:hint="eastAsia" w:ascii="宋体" w:hAnsi="宋体" w:eastAsia="宋体" w:cs="宋体"/>
          <w:lang w:val="en-US" w:eastAsia="zh-CN"/>
        </w:rPr>
        <w:t>项目名称：</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 xml:space="preserve">         项目编号：</w:t>
      </w:r>
      <w:r>
        <w:rPr>
          <w:rFonts w:hint="eastAsia" w:ascii="宋体" w:hAnsi="宋体" w:eastAsia="宋体" w:cs="宋体"/>
          <w:u w:val="single"/>
          <w:lang w:val="en-US" w:eastAsia="zh-CN"/>
        </w:rPr>
        <w:t xml:space="preserve">                         </w:t>
      </w: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3787"/>
        <w:gridCol w:w="3383"/>
        <w:gridCol w:w="12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1"/>
                <w:szCs w:val="24"/>
                <w:vertAlign w:val="baseline"/>
                <w:lang w:val="en-US" w:eastAsia="zh-CN"/>
              </w:rPr>
            </w:pPr>
            <w:r>
              <w:rPr>
                <w:rFonts w:hint="eastAsia" w:ascii="宋体" w:hAnsi="宋体" w:eastAsia="宋体" w:cs="宋体"/>
                <w:b/>
                <w:bCs/>
                <w:sz w:val="21"/>
                <w:szCs w:val="24"/>
                <w:vertAlign w:val="baseline"/>
                <w:lang w:val="en-US" w:eastAsia="zh-CN"/>
              </w:rPr>
              <w:t>序号</w:t>
            </w:r>
          </w:p>
        </w:tc>
        <w:tc>
          <w:tcPr>
            <w:tcW w:w="378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1"/>
                <w:szCs w:val="24"/>
                <w:vertAlign w:val="baseline"/>
                <w:lang w:val="en-US" w:eastAsia="zh-CN"/>
              </w:rPr>
            </w:pPr>
            <w:r>
              <w:rPr>
                <w:rFonts w:hint="eastAsia" w:ascii="宋体" w:hAnsi="宋体" w:eastAsia="宋体" w:cs="宋体"/>
                <w:b/>
                <w:bCs/>
                <w:sz w:val="21"/>
                <w:szCs w:val="24"/>
                <w:vertAlign w:val="baseline"/>
                <w:lang w:val="en-US" w:eastAsia="zh-CN"/>
              </w:rPr>
              <w:t>《采购文件》中的技术要求</w:t>
            </w:r>
          </w:p>
        </w:tc>
        <w:tc>
          <w:tcPr>
            <w:tcW w:w="338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1"/>
                <w:szCs w:val="24"/>
                <w:vertAlign w:val="baseline"/>
                <w:lang w:val="en-US" w:eastAsia="zh-CN"/>
              </w:rPr>
            </w:pPr>
            <w:r>
              <w:rPr>
                <w:rFonts w:hint="eastAsia" w:ascii="宋体" w:hAnsi="宋体" w:eastAsia="宋体" w:cs="宋体"/>
                <w:b/>
                <w:bCs/>
                <w:sz w:val="21"/>
                <w:szCs w:val="24"/>
                <w:vertAlign w:val="baseline"/>
                <w:lang w:val="en-US" w:eastAsia="zh-CN"/>
              </w:rPr>
              <w:t>《投标文件》技术条款响应</w:t>
            </w:r>
          </w:p>
        </w:tc>
        <w:tc>
          <w:tcPr>
            <w:tcW w:w="126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1"/>
                <w:szCs w:val="24"/>
                <w:vertAlign w:val="baseline"/>
                <w:lang w:val="en-US" w:eastAsia="zh-CN"/>
              </w:rPr>
            </w:pPr>
            <w:r>
              <w:rPr>
                <w:rFonts w:hint="eastAsia" w:ascii="宋体" w:hAnsi="宋体" w:eastAsia="宋体" w:cs="宋体"/>
                <w:b/>
                <w:bCs/>
                <w:sz w:val="21"/>
                <w:szCs w:val="24"/>
                <w:vertAlign w:val="baseline"/>
                <w:lang w:val="en-US" w:eastAsia="zh-CN"/>
              </w:rPr>
              <w:t>偏离情况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78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38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126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78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38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126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78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38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126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78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38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126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78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38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126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78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38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126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78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38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126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78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38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126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78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38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126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备注：1、投标人须认真阅读招标文件中的相应条款，如在投标响应中有偏离，须在“《投标文件》技术条款响应”一栏中对应填写偏离内容，并在“偏离情况”中注明“正偏离”或“负偏离”或“无偏离”。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2、如投标人完全响应招标文件的所有技术（服务）条款，则在“《投标文件》技术条款响应”栏中第一行填写“完全响应招标文件技术（服务）条款”。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3、如投标人未填写本表，亦视作完全响应招标文件所有技术（服务）条款。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4、投标人技术规格响应若优于招标文件需求，合同签订及履约执行过程将按投标人技术（服务）条款响应为准。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5、如招标文件“第四部分 采购内容及要求”中要求提供检测报告、证书等证明材料，须在投标文件中另附。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sz w:val="21"/>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供应商（盖章）：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法定代表人或授权代表人（签字或盖章）：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日期：</w:t>
      </w:r>
    </w:p>
    <w:p>
      <w:pPr>
        <w:pStyle w:val="6"/>
        <w:outlineLvl w:val="9"/>
        <w:rPr>
          <w:rFonts w:hint="default"/>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格式六 商务条款偏离表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0"/>
          <w:szCs w:val="48"/>
          <w:lang w:val="en-US" w:eastAsia="zh-CN"/>
        </w:rPr>
      </w:pPr>
      <w:r>
        <w:rPr>
          <w:rFonts w:hint="eastAsia" w:ascii="宋体" w:hAnsi="宋体" w:eastAsia="宋体" w:cs="宋体"/>
          <w:b/>
          <w:bCs/>
          <w:sz w:val="40"/>
          <w:szCs w:val="48"/>
          <w:lang w:val="en-US" w:eastAsia="zh-CN"/>
        </w:rPr>
        <w:t>商务条款偏离表</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jc w:val="left"/>
        <w:textAlignment w:val="auto"/>
        <w:rPr>
          <w:rFonts w:hint="eastAsia" w:ascii="宋体" w:hAnsi="宋体" w:eastAsia="宋体" w:cs="宋体"/>
          <w:u w:val="single"/>
          <w:lang w:val="en-US" w:eastAsia="zh-CN"/>
        </w:rPr>
      </w:pPr>
      <w:r>
        <w:rPr>
          <w:rFonts w:hint="eastAsia" w:ascii="宋体" w:hAnsi="宋体" w:eastAsia="宋体" w:cs="宋体"/>
          <w:lang w:val="en-US" w:eastAsia="zh-CN"/>
        </w:rPr>
        <w:t>项目名称：</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 xml:space="preserve">         项目编号：</w:t>
      </w:r>
      <w:r>
        <w:rPr>
          <w:rFonts w:hint="eastAsia" w:ascii="宋体" w:hAnsi="宋体" w:eastAsia="宋体" w:cs="宋体"/>
          <w:u w:val="single"/>
          <w:lang w:val="en-US" w:eastAsia="zh-CN"/>
        </w:rPr>
        <w:t xml:space="preserve">                         </w:t>
      </w: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3787"/>
        <w:gridCol w:w="3383"/>
        <w:gridCol w:w="12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1"/>
                <w:szCs w:val="24"/>
                <w:vertAlign w:val="baseline"/>
                <w:lang w:val="en-US" w:eastAsia="zh-CN"/>
              </w:rPr>
            </w:pPr>
            <w:r>
              <w:rPr>
                <w:rFonts w:hint="eastAsia" w:ascii="宋体" w:hAnsi="宋体" w:eastAsia="宋体" w:cs="宋体"/>
                <w:b/>
                <w:bCs/>
                <w:sz w:val="21"/>
                <w:szCs w:val="24"/>
                <w:vertAlign w:val="baseline"/>
                <w:lang w:val="en-US" w:eastAsia="zh-CN"/>
              </w:rPr>
              <w:t>序号</w:t>
            </w:r>
          </w:p>
        </w:tc>
        <w:tc>
          <w:tcPr>
            <w:tcW w:w="378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1"/>
                <w:szCs w:val="24"/>
                <w:vertAlign w:val="baseline"/>
                <w:lang w:val="en-US" w:eastAsia="zh-CN"/>
              </w:rPr>
            </w:pPr>
            <w:r>
              <w:rPr>
                <w:rFonts w:hint="eastAsia" w:ascii="宋体" w:hAnsi="宋体" w:eastAsia="宋体" w:cs="宋体"/>
                <w:b/>
                <w:bCs/>
                <w:sz w:val="21"/>
                <w:szCs w:val="24"/>
                <w:vertAlign w:val="baseline"/>
                <w:lang w:val="en-US" w:eastAsia="zh-CN"/>
              </w:rPr>
              <w:t>《采购文件》商务条款要求</w:t>
            </w:r>
          </w:p>
        </w:tc>
        <w:tc>
          <w:tcPr>
            <w:tcW w:w="338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1"/>
                <w:szCs w:val="24"/>
                <w:vertAlign w:val="baseline"/>
                <w:lang w:val="en-US" w:eastAsia="zh-CN"/>
              </w:rPr>
            </w:pPr>
            <w:r>
              <w:rPr>
                <w:rFonts w:hint="eastAsia" w:ascii="宋体" w:hAnsi="宋体" w:eastAsia="宋体" w:cs="宋体"/>
                <w:b/>
                <w:bCs/>
                <w:sz w:val="21"/>
                <w:szCs w:val="24"/>
                <w:vertAlign w:val="baseline"/>
                <w:lang w:val="en-US" w:eastAsia="zh-CN"/>
              </w:rPr>
              <w:t>《投标文件》商务条款响应</w:t>
            </w:r>
          </w:p>
        </w:tc>
        <w:tc>
          <w:tcPr>
            <w:tcW w:w="126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1"/>
                <w:szCs w:val="24"/>
                <w:vertAlign w:val="baseline"/>
                <w:lang w:val="en-US" w:eastAsia="zh-CN"/>
              </w:rPr>
            </w:pPr>
            <w:r>
              <w:rPr>
                <w:rFonts w:hint="eastAsia" w:ascii="宋体" w:hAnsi="宋体" w:eastAsia="宋体" w:cs="宋体"/>
                <w:b/>
                <w:bCs/>
                <w:sz w:val="21"/>
                <w:szCs w:val="24"/>
                <w:vertAlign w:val="baseline"/>
                <w:lang w:val="en-US" w:eastAsia="zh-CN"/>
              </w:rPr>
              <w:t>偏离情况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78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38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126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78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38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126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78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38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126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78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38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126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78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38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126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78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38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126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78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38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126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78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38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126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787"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3383"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c>
          <w:tcPr>
            <w:tcW w:w="126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1"/>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备注：1、投标人须认真阅读招标文件中的相应条款，如在投标响应中有偏离，须在“《投标文件》商务条款响应”一栏中对应填写偏离内容，并在“偏离情况”中注明“正偏离”或“负偏离”或“无偏离”。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2、如投标人完全响应招标文件的所有商务条款，则在“《投标文件》商务条款响应”栏中第一行填写“完全响应招标文件商务条款”即可。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3、如投标人未填写本表，亦视作完全响应招标文件所有商务条款。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供应商（盖章）：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法定代表人或授权代表人（签字或盖章）：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日期：</w:t>
      </w:r>
    </w:p>
    <w:p>
      <w:pPr>
        <w:pStyle w:val="6"/>
        <w:outlineLvl w:val="9"/>
        <w:rPr>
          <w:rFonts w:hint="default"/>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格式七 类似项目业绩一览表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0"/>
          <w:szCs w:val="48"/>
          <w:lang w:val="en-US" w:eastAsia="zh-CN"/>
        </w:rPr>
      </w:pPr>
      <w:r>
        <w:rPr>
          <w:rFonts w:hint="eastAsia" w:ascii="宋体" w:hAnsi="宋体" w:eastAsia="宋体" w:cs="宋体"/>
          <w:b/>
          <w:bCs/>
          <w:sz w:val="40"/>
          <w:szCs w:val="48"/>
          <w:lang w:val="en-US" w:eastAsia="zh-CN"/>
        </w:rPr>
        <w:t>类似项目业绩一览表</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jc w:val="left"/>
        <w:textAlignment w:val="auto"/>
        <w:rPr>
          <w:rFonts w:hint="eastAsia" w:ascii="宋体" w:hAnsi="宋体" w:eastAsia="宋体" w:cs="宋体"/>
          <w:u w:val="single"/>
          <w:lang w:val="en-US" w:eastAsia="zh-CN"/>
        </w:rPr>
      </w:pPr>
      <w:r>
        <w:rPr>
          <w:rFonts w:hint="eastAsia" w:ascii="宋体" w:hAnsi="宋体" w:eastAsia="宋体" w:cs="宋体"/>
          <w:lang w:val="en-US" w:eastAsia="zh-CN"/>
        </w:rPr>
        <w:t>项目名称：</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 xml:space="preserve">         项目编号：</w:t>
      </w:r>
      <w:r>
        <w:rPr>
          <w:rFonts w:hint="eastAsia" w:ascii="宋体" w:hAnsi="宋体" w:eastAsia="宋体" w:cs="宋体"/>
          <w:u w:val="single"/>
          <w:lang w:val="en-US" w:eastAsia="zh-CN"/>
        </w:rPr>
        <w:t xml:space="preserve">                         </w:t>
      </w:r>
    </w:p>
    <w:tbl>
      <w:tblPr>
        <w:tblStyle w:val="16"/>
        <w:tblW w:w="952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404"/>
        <w:gridCol w:w="1271"/>
        <w:gridCol w:w="1395"/>
        <w:gridCol w:w="1515"/>
        <w:gridCol w:w="22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l2br w:val="nil"/>
              <w:tr2bl w:val="nil"/>
            </w:tcBorders>
            <w:vAlign w:val="center"/>
          </w:tcPr>
          <w:p>
            <w:pPr>
              <w:bidi w:val="0"/>
              <w:jc w:val="center"/>
              <w:rPr>
                <w:rFonts w:hint="default"/>
                <w:vertAlign w:val="baseline"/>
                <w:lang w:val="en-US" w:eastAsia="zh-CN"/>
              </w:rPr>
            </w:pPr>
            <w:r>
              <w:rPr>
                <w:rFonts w:hint="eastAsia"/>
                <w:vertAlign w:val="baseline"/>
                <w:lang w:val="en-US" w:eastAsia="zh-CN"/>
              </w:rPr>
              <w:t>序号</w:t>
            </w:r>
          </w:p>
        </w:tc>
        <w:tc>
          <w:tcPr>
            <w:tcW w:w="2404" w:type="dxa"/>
            <w:tcBorders>
              <w:tl2br w:val="nil"/>
              <w:tr2bl w:val="nil"/>
            </w:tcBorders>
            <w:vAlign w:val="center"/>
          </w:tcPr>
          <w:p>
            <w:pPr>
              <w:bidi w:val="0"/>
              <w:jc w:val="center"/>
              <w:rPr>
                <w:rFonts w:hint="default"/>
                <w:vertAlign w:val="baseline"/>
                <w:lang w:val="en-US" w:eastAsia="zh-CN"/>
              </w:rPr>
            </w:pPr>
            <w:r>
              <w:rPr>
                <w:rFonts w:hint="eastAsia"/>
                <w:vertAlign w:val="baseline"/>
                <w:lang w:val="en-US" w:eastAsia="zh-CN"/>
              </w:rPr>
              <w:t>项目名称</w:t>
            </w:r>
          </w:p>
        </w:tc>
        <w:tc>
          <w:tcPr>
            <w:tcW w:w="1271" w:type="dxa"/>
            <w:tcBorders>
              <w:tl2br w:val="nil"/>
              <w:tr2bl w:val="nil"/>
            </w:tcBorders>
            <w:vAlign w:val="center"/>
          </w:tcPr>
          <w:p>
            <w:pPr>
              <w:bidi w:val="0"/>
              <w:jc w:val="center"/>
              <w:rPr>
                <w:rFonts w:hint="default"/>
                <w:vertAlign w:val="baseline"/>
                <w:lang w:val="en-US" w:eastAsia="zh-CN"/>
              </w:rPr>
            </w:pPr>
            <w:r>
              <w:rPr>
                <w:rFonts w:hint="eastAsia"/>
                <w:vertAlign w:val="baseline"/>
                <w:lang w:val="en-US" w:eastAsia="zh-CN"/>
              </w:rPr>
              <w:t>委托单位</w:t>
            </w:r>
          </w:p>
        </w:tc>
        <w:tc>
          <w:tcPr>
            <w:tcW w:w="1395" w:type="dxa"/>
            <w:tcBorders>
              <w:tl2br w:val="nil"/>
              <w:tr2bl w:val="nil"/>
            </w:tcBorders>
            <w:vAlign w:val="center"/>
          </w:tcPr>
          <w:p>
            <w:pPr>
              <w:bidi w:val="0"/>
              <w:jc w:val="center"/>
              <w:rPr>
                <w:rFonts w:hint="default"/>
                <w:vertAlign w:val="baseline"/>
                <w:lang w:val="en-US" w:eastAsia="zh-CN"/>
              </w:rPr>
            </w:pPr>
            <w:r>
              <w:rPr>
                <w:rFonts w:hint="eastAsia"/>
                <w:vertAlign w:val="baseline"/>
                <w:lang w:val="en-US" w:eastAsia="zh-CN"/>
              </w:rPr>
              <w:t>合同金额</w:t>
            </w:r>
          </w:p>
        </w:tc>
        <w:tc>
          <w:tcPr>
            <w:tcW w:w="1515" w:type="dxa"/>
            <w:tcBorders>
              <w:tl2br w:val="nil"/>
              <w:tr2bl w:val="nil"/>
            </w:tcBorders>
            <w:vAlign w:val="center"/>
          </w:tcPr>
          <w:p>
            <w:pPr>
              <w:bidi w:val="0"/>
              <w:jc w:val="center"/>
              <w:rPr>
                <w:rFonts w:hint="default"/>
                <w:vertAlign w:val="baseline"/>
                <w:lang w:val="en-US" w:eastAsia="zh-CN"/>
              </w:rPr>
            </w:pPr>
            <w:r>
              <w:rPr>
                <w:rFonts w:hint="eastAsia"/>
                <w:vertAlign w:val="baseline"/>
                <w:lang w:val="en-US" w:eastAsia="zh-CN"/>
              </w:rPr>
              <w:t>合同签订时间</w:t>
            </w:r>
          </w:p>
        </w:tc>
        <w:tc>
          <w:tcPr>
            <w:tcW w:w="2250" w:type="dxa"/>
            <w:tcBorders>
              <w:tl2br w:val="nil"/>
              <w:tr2bl w:val="nil"/>
            </w:tcBorders>
            <w:vAlign w:val="center"/>
          </w:tcPr>
          <w:p>
            <w:pPr>
              <w:bidi w:val="0"/>
              <w:jc w:val="center"/>
              <w:rPr>
                <w:rFonts w:hint="default"/>
                <w:vertAlign w:val="baseline"/>
                <w:lang w:val="en-US" w:eastAsia="zh-CN"/>
              </w:rPr>
            </w:pPr>
            <w:r>
              <w:rPr>
                <w:rFonts w:hint="eastAsia"/>
                <w:vertAlign w:val="baseline"/>
                <w:lang w:val="en-US" w:eastAsia="zh-CN"/>
              </w:rPr>
              <w:t>联系人及联系方式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l2br w:val="nil"/>
              <w:tr2bl w:val="nil"/>
            </w:tcBorders>
            <w:vAlign w:val="center"/>
          </w:tcPr>
          <w:p>
            <w:pPr>
              <w:bidi w:val="0"/>
              <w:rPr>
                <w:rFonts w:hint="default"/>
                <w:vertAlign w:val="baseline"/>
                <w:lang w:val="en-US" w:eastAsia="zh-CN"/>
              </w:rPr>
            </w:pPr>
          </w:p>
        </w:tc>
        <w:tc>
          <w:tcPr>
            <w:tcW w:w="2404" w:type="dxa"/>
            <w:tcBorders>
              <w:tl2br w:val="nil"/>
              <w:tr2bl w:val="nil"/>
            </w:tcBorders>
            <w:vAlign w:val="center"/>
          </w:tcPr>
          <w:p>
            <w:pPr>
              <w:bidi w:val="0"/>
              <w:rPr>
                <w:rFonts w:hint="default"/>
                <w:vertAlign w:val="baseline"/>
                <w:lang w:val="en-US" w:eastAsia="zh-CN"/>
              </w:rPr>
            </w:pPr>
          </w:p>
        </w:tc>
        <w:tc>
          <w:tcPr>
            <w:tcW w:w="1271" w:type="dxa"/>
            <w:tcBorders>
              <w:tl2br w:val="nil"/>
              <w:tr2bl w:val="nil"/>
            </w:tcBorders>
            <w:vAlign w:val="center"/>
          </w:tcPr>
          <w:p>
            <w:pPr>
              <w:bidi w:val="0"/>
              <w:rPr>
                <w:rFonts w:hint="default"/>
                <w:vertAlign w:val="baseline"/>
                <w:lang w:val="en-US" w:eastAsia="zh-CN"/>
              </w:rPr>
            </w:pPr>
          </w:p>
        </w:tc>
        <w:tc>
          <w:tcPr>
            <w:tcW w:w="1395" w:type="dxa"/>
            <w:tcBorders>
              <w:tl2br w:val="nil"/>
              <w:tr2bl w:val="nil"/>
            </w:tcBorders>
            <w:vAlign w:val="center"/>
          </w:tcPr>
          <w:p>
            <w:pPr>
              <w:bidi w:val="0"/>
              <w:rPr>
                <w:rFonts w:hint="default"/>
                <w:vertAlign w:val="baseline"/>
                <w:lang w:val="en-US" w:eastAsia="zh-CN"/>
              </w:rPr>
            </w:pPr>
          </w:p>
        </w:tc>
        <w:tc>
          <w:tcPr>
            <w:tcW w:w="1515" w:type="dxa"/>
            <w:tcBorders>
              <w:tl2br w:val="nil"/>
              <w:tr2bl w:val="nil"/>
            </w:tcBorders>
            <w:vAlign w:val="center"/>
          </w:tcPr>
          <w:p>
            <w:pPr>
              <w:bidi w:val="0"/>
              <w:rPr>
                <w:rFonts w:hint="default"/>
                <w:vertAlign w:val="baseline"/>
                <w:lang w:val="en-US" w:eastAsia="zh-CN"/>
              </w:rPr>
            </w:pPr>
          </w:p>
        </w:tc>
        <w:tc>
          <w:tcPr>
            <w:tcW w:w="2250" w:type="dxa"/>
            <w:tcBorders>
              <w:tl2br w:val="nil"/>
              <w:tr2bl w:val="nil"/>
            </w:tcBorders>
            <w:vAlign w:val="center"/>
          </w:tcPr>
          <w:p>
            <w:pPr>
              <w:bidi w:val="0"/>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l2br w:val="nil"/>
              <w:tr2bl w:val="nil"/>
            </w:tcBorders>
            <w:vAlign w:val="center"/>
          </w:tcPr>
          <w:p>
            <w:pPr>
              <w:bidi w:val="0"/>
              <w:rPr>
                <w:rFonts w:hint="default"/>
                <w:vertAlign w:val="baseline"/>
                <w:lang w:val="en-US" w:eastAsia="zh-CN"/>
              </w:rPr>
            </w:pPr>
          </w:p>
        </w:tc>
        <w:tc>
          <w:tcPr>
            <w:tcW w:w="2404" w:type="dxa"/>
            <w:tcBorders>
              <w:tl2br w:val="nil"/>
              <w:tr2bl w:val="nil"/>
            </w:tcBorders>
            <w:vAlign w:val="center"/>
          </w:tcPr>
          <w:p>
            <w:pPr>
              <w:bidi w:val="0"/>
              <w:rPr>
                <w:rFonts w:hint="default"/>
                <w:vertAlign w:val="baseline"/>
                <w:lang w:val="en-US" w:eastAsia="zh-CN"/>
              </w:rPr>
            </w:pPr>
          </w:p>
        </w:tc>
        <w:tc>
          <w:tcPr>
            <w:tcW w:w="1271" w:type="dxa"/>
            <w:tcBorders>
              <w:tl2br w:val="nil"/>
              <w:tr2bl w:val="nil"/>
            </w:tcBorders>
            <w:vAlign w:val="center"/>
          </w:tcPr>
          <w:p>
            <w:pPr>
              <w:bidi w:val="0"/>
              <w:rPr>
                <w:rFonts w:hint="default"/>
                <w:vertAlign w:val="baseline"/>
                <w:lang w:val="en-US" w:eastAsia="zh-CN"/>
              </w:rPr>
            </w:pPr>
          </w:p>
        </w:tc>
        <w:tc>
          <w:tcPr>
            <w:tcW w:w="1395" w:type="dxa"/>
            <w:tcBorders>
              <w:tl2br w:val="nil"/>
              <w:tr2bl w:val="nil"/>
            </w:tcBorders>
            <w:vAlign w:val="center"/>
          </w:tcPr>
          <w:p>
            <w:pPr>
              <w:bidi w:val="0"/>
              <w:rPr>
                <w:rFonts w:hint="default"/>
                <w:vertAlign w:val="baseline"/>
                <w:lang w:val="en-US" w:eastAsia="zh-CN"/>
              </w:rPr>
            </w:pPr>
          </w:p>
        </w:tc>
        <w:tc>
          <w:tcPr>
            <w:tcW w:w="1515" w:type="dxa"/>
            <w:tcBorders>
              <w:tl2br w:val="nil"/>
              <w:tr2bl w:val="nil"/>
            </w:tcBorders>
            <w:vAlign w:val="center"/>
          </w:tcPr>
          <w:p>
            <w:pPr>
              <w:bidi w:val="0"/>
              <w:rPr>
                <w:rFonts w:hint="default"/>
                <w:vertAlign w:val="baseline"/>
                <w:lang w:val="en-US" w:eastAsia="zh-CN"/>
              </w:rPr>
            </w:pPr>
          </w:p>
        </w:tc>
        <w:tc>
          <w:tcPr>
            <w:tcW w:w="2250" w:type="dxa"/>
            <w:tcBorders>
              <w:tl2br w:val="nil"/>
              <w:tr2bl w:val="nil"/>
            </w:tcBorders>
            <w:vAlign w:val="center"/>
          </w:tcPr>
          <w:p>
            <w:pPr>
              <w:bidi w:val="0"/>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l2br w:val="nil"/>
              <w:tr2bl w:val="nil"/>
            </w:tcBorders>
            <w:vAlign w:val="center"/>
          </w:tcPr>
          <w:p>
            <w:pPr>
              <w:bidi w:val="0"/>
              <w:rPr>
                <w:rFonts w:hint="default"/>
                <w:vertAlign w:val="baseline"/>
                <w:lang w:val="en-US" w:eastAsia="zh-CN"/>
              </w:rPr>
            </w:pPr>
          </w:p>
        </w:tc>
        <w:tc>
          <w:tcPr>
            <w:tcW w:w="2404" w:type="dxa"/>
            <w:tcBorders>
              <w:tl2br w:val="nil"/>
              <w:tr2bl w:val="nil"/>
            </w:tcBorders>
            <w:vAlign w:val="center"/>
          </w:tcPr>
          <w:p>
            <w:pPr>
              <w:bidi w:val="0"/>
              <w:rPr>
                <w:rFonts w:hint="default"/>
                <w:vertAlign w:val="baseline"/>
                <w:lang w:val="en-US" w:eastAsia="zh-CN"/>
              </w:rPr>
            </w:pPr>
          </w:p>
        </w:tc>
        <w:tc>
          <w:tcPr>
            <w:tcW w:w="1271" w:type="dxa"/>
            <w:tcBorders>
              <w:tl2br w:val="nil"/>
              <w:tr2bl w:val="nil"/>
            </w:tcBorders>
            <w:vAlign w:val="center"/>
          </w:tcPr>
          <w:p>
            <w:pPr>
              <w:bidi w:val="0"/>
              <w:rPr>
                <w:rFonts w:hint="default"/>
                <w:vertAlign w:val="baseline"/>
                <w:lang w:val="en-US" w:eastAsia="zh-CN"/>
              </w:rPr>
            </w:pPr>
          </w:p>
        </w:tc>
        <w:tc>
          <w:tcPr>
            <w:tcW w:w="1395" w:type="dxa"/>
            <w:tcBorders>
              <w:tl2br w:val="nil"/>
              <w:tr2bl w:val="nil"/>
            </w:tcBorders>
            <w:vAlign w:val="center"/>
          </w:tcPr>
          <w:p>
            <w:pPr>
              <w:bidi w:val="0"/>
              <w:rPr>
                <w:rFonts w:hint="default"/>
                <w:vertAlign w:val="baseline"/>
                <w:lang w:val="en-US" w:eastAsia="zh-CN"/>
              </w:rPr>
            </w:pPr>
          </w:p>
        </w:tc>
        <w:tc>
          <w:tcPr>
            <w:tcW w:w="1515" w:type="dxa"/>
            <w:tcBorders>
              <w:tl2br w:val="nil"/>
              <w:tr2bl w:val="nil"/>
            </w:tcBorders>
            <w:vAlign w:val="center"/>
          </w:tcPr>
          <w:p>
            <w:pPr>
              <w:bidi w:val="0"/>
              <w:rPr>
                <w:rFonts w:hint="default"/>
                <w:vertAlign w:val="baseline"/>
                <w:lang w:val="en-US" w:eastAsia="zh-CN"/>
              </w:rPr>
            </w:pPr>
          </w:p>
        </w:tc>
        <w:tc>
          <w:tcPr>
            <w:tcW w:w="2250" w:type="dxa"/>
            <w:tcBorders>
              <w:tl2br w:val="nil"/>
              <w:tr2bl w:val="nil"/>
            </w:tcBorders>
            <w:vAlign w:val="center"/>
          </w:tcPr>
          <w:p>
            <w:pPr>
              <w:bidi w:val="0"/>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l2br w:val="nil"/>
              <w:tr2bl w:val="nil"/>
            </w:tcBorders>
            <w:vAlign w:val="center"/>
          </w:tcPr>
          <w:p>
            <w:pPr>
              <w:bidi w:val="0"/>
              <w:rPr>
                <w:rFonts w:hint="default"/>
                <w:vertAlign w:val="baseline"/>
                <w:lang w:val="en-US" w:eastAsia="zh-CN"/>
              </w:rPr>
            </w:pPr>
          </w:p>
        </w:tc>
        <w:tc>
          <w:tcPr>
            <w:tcW w:w="2404" w:type="dxa"/>
            <w:tcBorders>
              <w:tl2br w:val="nil"/>
              <w:tr2bl w:val="nil"/>
            </w:tcBorders>
            <w:vAlign w:val="center"/>
          </w:tcPr>
          <w:p>
            <w:pPr>
              <w:bidi w:val="0"/>
              <w:rPr>
                <w:rFonts w:hint="default"/>
                <w:vertAlign w:val="baseline"/>
                <w:lang w:val="en-US" w:eastAsia="zh-CN"/>
              </w:rPr>
            </w:pPr>
          </w:p>
        </w:tc>
        <w:tc>
          <w:tcPr>
            <w:tcW w:w="1271" w:type="dxa"/>
            <w:tcBorders>
              <w:tl2br w:val="nil"/>
              <w:tr2bl w:val="nil"/>
            </w:tcBorders>
            <w:vAlign w:val="center"/>
          </w:tcPr>
          <w:p>
            <w:pPr>
              <w:bidi w:val="0"/>
              <w:rPr>
                <w:rFonts w:hint="default"/>
                <w:vertAlign w:val="baseline"/>
                <w:lang w:val="en-US" w:eastAsia="zh-CN"/>
              </w:rPr>
            </w:pPr>
          </w:p>
        </w:tc>
        <w:tc>
          <w:tcPr>
            <w:tcW w:w="1395" w:type="dxa"/>
            <w:tcBorders>
              <w:tl2br w:val="nil"/>
              <w:tr2bl w:val="nil"/>
            </w:tcBorders>
            <w:vAlign w:val="center"/>
          </w:tcPr>
          <w:p>
            <w:pPr>
              <w:bidi w:val="0"/>
              <w:rPr>
                <w:rFonts w:hint="default"/>
                <w:vertAlign w:val="baseline"/>
                <w:lang w:val="en-US" w:eastAsia="zh-CN"/>
              </w:rPr>
            </w:pPr>
          </w:p>
        </w:tc>
        <w:tc>
          <w:tcPr>
            <w:tcW w:w="1515" w:type="dxa"/>
            <w:tcBorders>
              <w:tl2br w:val="nil"/>
              <w:tr2bl w:val="nil"/>
            </w:tcBorders>
            <w:vAlign w:val="center"/>
          </w:tcPr>
          <w:p>
            <w:pPr>
              <w:bidi w:val="0"/>
              <w:rPr>
                <w:rFonts w:hint="default"/>
                <w:vertAlign w:val="baseline"/>
                <w:lang w:val="en-US" w:eastAsia="zh-CN"/>
              </w:rPr>
            </w:pPr>
          </w:p>
        </w:tc>
        <w:tc>
          <w:tcPr>
            <w:tcW w:w="2250" w:type="dxa"/>
            <w:tcBorders>
              <w:tl2br w:val="nil"/>
              <w:tr2bl w:val="nil"/>
            </w:tcBorders>
            <w:vAlign w:val="center"/>
          </w:tcPr>
          <w:p>
            <w:pPr>
              <w:bidi w:val="0"/>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l2br w:val="nil"/>
              <w:tr2bl w:val="nil"/>
            </w:tcBorders>
            <w:vAlign w:val="center"/>
          </w:tcPr>
          <w:p>
            <w:pPr>
              <w:bidi w:val="0"/>
              <w:rPr>
                <w:rFonts w:hint="default"/>
                <w:vertAlign w:val="baseline"/>
                <w:lang w:val="en-US" w:eastAsia="zh-CN"/>
              </w:rPr>
            </w:pPr>
          </w:p>
        </w:tc>
        <w:tc>
          <w:tcPr>
            <w:tcW w:w="2404" w:type="dxa"/>
            <w:tcBorders>
              <w:tl2br w:val="nil"/>
              <w:tr2bl w:val="nil"/>
            </w:tcBorders>
            <w:vAlign w:val="center"/>
          </w:tcPr>
          <w:p>
            <w:pPr>
              <w:bidi w:val="0"/>
              <w:rPr>
                <w:rFonts w:hint="default"/>
                <w:vertAlign w:val="baseline"/>
                <w:lang w:val="en-US" w:eastAsia="zh-CN"/>
              </w:rPr>
            </w:pPr>
          </w:p>
        </w:tc>
        <w:tc>
          <w:tcPr>
            <w:tcW w:w="1271" w:type="dxa"/>
            <w:tcBorders>
              <w:tl2br w:val="nil"/>
              <w:tr2bl w:val="nil"/>
            </w:tcBorders>
            <w:vAlign w:val="center"/>
          </w:tcPr>
          <w:p>
            <w:pPr>
              <w:bidi w:val="0"/>
              <w:rPr>
                <w:rFonts w:hint="default"/>
                <w:vertAlign w:val="baseline"/>
                <w:lang w:val="en-US" w:eastAsia="zh-CN"/>
              </w:rPr>
            </w:pPr>
          </w:p>
        </w:tc>
        <w:tc>
          <w:tcPr>
            <w:tcW w:w="1395" w:type="dxa"/>
            <w:tcBorders>
              <w:tl2br w:val="nil"/>
              <w:tr2bl w:val="nil"/>
            </w:tcBorders>
            <w:vAlign w:val="center"/>
          </w:tcPr>
          <w:p>
            <w:pPr>
              <w:bidi w:val="0"/>
              <w:rPr>
                <w:rFonts w:hint="default"/>
                <w:vertAlign w:val="baseline"/>
                <w:lang w:val="en-US" w:eastAsia="zh-CN"/>
              </w:rPr>
            </w:pPr>
          </w:p>
        </w:tc>
        <w:tc>
          <w:tcPr>
            <w:tcW w:w="1515" w:type="dxa"/>
            <w:tcBorders>
              <w:tl2br w:val="nil"/>
              <w:tr2bl w:val="nil"/>
            </w:tcBorders>
            <w:vAlign w:val="center"/>
          </w:tcPr>
          <w:p>
            <w:pPr>
              <w:bidi w:val="0"/>
              <w:rPr>
                <w:rFonts w:hint="default"/>
                <w:vertAlign w:val="baseline"/>
                <w:lang w:val="en-US" w:eastAsia="zh-CN"/>
              </w:rPr>
            </w:pPr>
          </w:p>
        </w:tc>
        <w:tc>
          <w:tcPr>
            <w:tcW w:w="2250" w:type="dxa"/>
            <w:tcBorders>
              <w:tl2br w:val="nil"/>
              <w:tr2bl w:val="nil"/>
            </w:tcBorders>
            <w:vAlign w:val="center"/>
          </w:tcPr>
          <w:p>
            <w:pPr>
              <w:bidi w:val="0"/>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l2br w:val="nil"/>
              <w:tr2bl w:val="nil"/>
            </w:tcBorders>
            <w:vAlign w:val="center"/>
          </w:tcPr>
          <w:p>
            <w:pPr>
              <w:bidi w:val="0"/>
              <w:rPr>
                <w:rFonts w:hint="default"/>
                <w:vertAlign w:val="baseline"/>
                <w:lang w:val="en-US" w:eastAsia="zh-CN"/>
              </w:rPr>
            </w:pPr>
          </w:p>
        </w:tc>
        <w:tc>
          <w:tcPr>
            <w:tcW w:w="2404" w:type="dxa"/>
            <w:tcBorders>
              <w:tl2br w:val="nil"/>
              <w:tr2bl w:val="nil"/>
            </w:tcBorders>
            <w:vAlign w:val="center"/>
          </w:tcPr>
          <w:p>
            <w:pPr>
              <w:bidi w:val="0"/>
              <w:rPr>
                <w:rFonts w:hint="default"/>
                <w:vertAlign w:val="baseline"/>
                <w:lang w:val="en-US" w:eastAsia="zh-CN"/>
              </w:rPr>
            </w:pPr>
          </w:p>
        </w:tc>
        <w:tc>
          <w:tcPr>
            <w:tcW w:w="1271" w:type="dxa"/>
            <w:tcBorders>
              <w:tl2br w:val="nil"/>
              <w:tr2bl w:val="nil"/>
            </w:tcBorders>
            <w:vAlign w:val="center"/>
          </w:tcPr>
          <w:p>
            <w:pPr>
              <w:bidi w:val="0"/>
              <w:rPr>
                <w:rFonts w:hint="default"/>
                <w:vertAlign w:val="baseline"/>
                <w:lang w:val="en-US" w:eastAsia="zh-CN"/>
              </w:rPr>
            </w:pPr>
          </w:p>
        </w:tc>
        <w:tc>
          <w:tcPr>
            <w:tcW w:w="1395" w:type="dxa"/>
            <w:tcBorders>
              <w:tl2br w:val="nil"/>
              <w:tr2bl w:val="nil"/>
            </w:tcBorders>
            <w:vAlign w:val="center"/>
          </w:tcPr>
          <w:p>
            <w:pPr>
              <w:bidi w:val="0"/>
              <w:rPr>
                <w:rFonts w:hint="default"/>
                <w:vertAlign w:val="baseline"/>
                <w:lang w:val="en-US" w:eastAsia="zh-CN"/>
              </w:rPr>
            </w:pPr>
          </w:p>
        </w:tc>
        <w:tc>
          <w:tcPr>
            <w:tcW w:w="1515" w:type="dxa"/>
            <w:tcBorders>
              <w:tl2br w:val="nil"/>
              <w:tr2bl w:val="nil"/>
            </w:tcBorders>
            <w:vAlign w:val="center"/>
          </w:tcPr>
          <w:p>
            <w:pPr>
              <w:bidi w:val="0"/>
              <w:rPr>
                <w:rFonts w:hint="default"/>
                <w:vertAlign w:val="baseline"/>
                <w:lang w:val="en-US" w:eastAsia="zh-CN"/>
              </w:rPr>
            </w:pPr>
          </w:p>
        </w:tc>
        <w:tc>
          <w:tcPr>
            <w:tcW w:w="2250" w:type="dxa"/>
            <w:tcBorders>
              <w:tl2br w:val="nil"/>
              <w:tr2bl w:val="nil"/>
            </w:tcBorders>
            <w:vAlign w:val="center"/>
          </w:tcPr>
          <w:p>
            <w:pPr>
              <w:bidi w:val="0"/>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l2br w:val="nil"/>
              <w:tr2bl w:val="nil"/>
            </w:tcBorders>
            <w:vAlign w:val="center"/>
          </w:tcPr>
          <w:p>
            <w:pPr>
              <w:bidi w:val="0"/>
              <w:rPr>
                <w:rFonts w:hint="default"/>
                <w:vertAlign w:val="baseline"/>
                <w:lang w:val="en-US" w:eastAsia="zh-CN"/>
              </w:rPr>
            </w:pPr>
          </w:p>
        </w:tc>
        <w:tc>
          <w:tcPr>
            <w:tcW w:w="2404" w:type="dxa"/>
            <w:tcBorders>
              <w:tl2br w:val="nil"/>
              <w:tr2bl w:val="nil"/>
            </w:tcBorders>
            <w:vAlign w:val="center"/>
          </w:tcPr>
          <w:p>
            <w:pPr>
              <w:bidi w:val="0"/>
              <w:rPr>
                <w:rFonts w:hint="default"/>
                <w:vertAlign w:val="baseline"/>
                <w:lang w:val="en-US" w:eastAsia="zh-CN"/>
              </w:rPr>
            </w:pPr>
          </w:p>
        </w:tc>
        <w:tc>
          <w:tcPr>
            <w:tcW w:w="1271" w:type="dxa"/>
            <w:tcBorders>
              <w:tl2br w:val="nil"/>
              <w:tr2bl w:val="nil"/>
            </w:tcBorders>
            <w:vAlign w:val="center"/>
          </w:tcPr>
          <w:p>
            <w:pPr>
              <w:bidi w:val="0"/>
              <w:rPr>
                <w:rFonts w:hint="default"/>
                <w:vertAlign w:val="baseline"/>
                <w:lang w:val="en-US" w:eastAsia="zh-CN"/>
              </w:rPr>
            </w:pPr>
          </w:p>
        </w:tc>
        <w:tc>
          <w:tcPr>
            <w:tcW w:w="1395" w:type="dxa"/>
            <w:tcBorders>
              <w:tl2br w:val="nil"/>
              <w:tr2bl w:val="nil"/>
            </w:tcBorders>
            <w:vAlign w:val="center"/>
          </w:tcPr>
          <w:p>
            <w:pPr>
              <w:bidi w:val="0"/>
              <w:rPr>
                <w:rFonts w:hint="default"/>
                <w:vertAlign w:val="baseline"/>
                <w:lang w:val="en-US" w:eastAsia="zh-CN"/>
              </w:rPr>
            </w:pPr>
          </w:p>
        </w:tc>
        <w:tc>
          <w:tcPr>
            <w:tcW w:w="1515" w:type="dxa"/>
            <w:tcBorders>
              <w:tl2br w:val="nil"/>
              <w:tr2bl w:val="nil"/>
            </w:tcBorders>
            <w:vAlign w:val="center"/>
          </w:tcPr>
          <w:p>
            <w:pPr>
              <w:bidi w:val="0"/>
              <w:rPr>
                <w:rFonts w:hint="default"/>
                <w:vertAlign w:val="baseline"/>
                <w:lang w:val="en-US" w:eastAsia="zh-CN"/>
              </w:rPr>
            </w:pPr>
          </w:p>
        </w:tc>
        <w:tc>
          <w:tcPr>
            <w:tcW w:w="2250" w:type="dxa"/>
            <w:tcBorders>
              <w:tl2br w:val="nil"/>
              <w:tr2bl w:val="nil"/>
            </w:tcBorders>
            <w:vAlign w:val="center"/>
          </w:tcPr>
          <w:p>
            <w:pPr>
              <w:bidi w:val="0"/>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l2br w:val="nil"/>
              <w:tr2bl w:val="nil"/>
            </w:tcBorders>
            <w:vAlign w:val="center"/>
          </w:tcPr>
          <w:p>
            <w:pPr>
              <w:bidi w:val="0"/>
              <w:rPr>
                <w:rFonts w:hint="default"/>
                <w:vertAlign w:val="baseline"/>
                <w:lang w:val="en-US" w:eastAsia="zh-CN"/>
              </w:rPr>
            </w:pPr>
          </w:p>
        </w:tc>
        <w:tc>
          <w:tcPr>
            <w:tcW w:w="2404" w:type="dxa"/>
            <w:tcBorders>
              <w:tl2br w:val="nil"/>
              <w:tr2bl w:val="nil"/>
            </w:tcBorders>
            <w:vAlign w:val="center"/>
          </w:tcPr>
          <w:p>
            <w:pPr>
              <w:bidi w:val="0"/>
              <w:rPr>
                <w:rFonts w:hint="default"/>
                <w:vertAlign w:val="baseline"/>
                <w:lang w:val="en-US" w:eastAsia="zh-CN"/>
              </w:rPr>
            </w:pPr>
          </w:p>
        </w:tc>
        <w:tc>
          <w:tcPr>
            <w:tcW w:w="1271" w:type="dxa"/>
            <w:tcBorders>
              <w:tl2br w:val="nil"/>
              <w:tr2bl w:val="nil"/>
            </w:tcBorders>
            <w:vAlign w:val="center"/>
          </w:tcPr>
          <w:p>
            <w:pPr>
              <w:bidi w:val="0"/>
              <w:rPr>
                <w:rFonts w:hint="default"/>
                <w:vertAlign w:val="baseline"/>
                <w:lang w:val="en-US" w:eastAsia="zh-CN"/>
              </w:rPr>
            </w:pPr>
          </w:p>
        </w:tc>
        <w:tc>
          <w:tcPr>
            <w:tcW w:w="1395" w:type="dxa"/>
            <w:tcBorders>
              <w:tl2br w:val="nil"/>
              <w:tr2bl w:val="nil"/>
            </w:tcBorders>
            <w:vAlign w:val="center"/>
          </w:tcPr>
          <w:p>
            <w:pPr>
              <w:bidi w:val="0"/>
              <w:rPr>
                <w:rFonts w:hint="default"/>
                <w:vertAlign w:val="baseline"/>
                <w:lang w:val="en-US" w:eastAsia="zh-CN"/>
              </w:rPr>
            </w:pPr>
          </w:p>
        </w:tc>
        <w:tc>
          <w:tcPr>
            <w:tcW w:w="1515" w:type="dxa"/>
            <w:tcBorders>
              <w:tl2br w:val="nil"/>
              <w:tr2bl w:val="nil"/>
            </w:tcBorders>
            <w:vAlign w:val="center"/>
          </w:tcPr>
          <w:p>
            <w:pPr>
              <w:bidi w:val="0"/>
              <w:rPr>
                <w:rFonts w:hint="default"/>
                <w:vertAlign w:val="baseline"/>
                <w:lang w:val="en-US" w:eastAsia="zh-CN"/>
              </w:rPr>
            </w:pPr>
          </w:p>
        </w:tc>
        <w:tc>
          <w:tcPr>
            <w:tcW w:w="2250" w:type="dxa"/>
            <w:tcBorders>
              <w:tl2br w:val="nil"/>
              <w:tr2bl w:val="nil"/>
            </w:tcBorders>
            <w:vAlign w:val="center"/>
          </w:tcPr>
          <w:p>
            <w:pPr>
              <w:bidi w:val="0"/>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l2br w:val="nil"/>
              <w:tr2bl w:val="nil"/>
            </w:tcBorders>
            <w:vAlign w:val="center"/>
          </w:tcPr>
          <w:p>
            <w:pPr>
              <w:bidi w:val="0"/>
              <w:rPr>
                <w:rFonts w:hint="default"/>
                <w:vertAlign w:val="baseline"/>
                <w:lang w:val="en-US" w:eastAsia="zh-CN"/>
              </w:rPr>
            </w:pPr>
          </w:p>
        </w:tc>
        <w:tc>
          <w:tcPr>
            <w:tcW w:w="2404" w:type="dxa"/>
            <w:tcBorders>
              <w:tl2br w:val="nil"/>
              <w:tr2bl w:val="nil"/>
            </w:tcBorders>
            <w:vAlign w:val="center"/>
          </w:tcPr>
          <w:p>
            <w:pPr>
              <w:bidi w:val="0"/>
              <w:rPr>
                <w:rFonts w:hint="default"/>
                <w:vertAlign w:val="baseline"/>
                <w:lang w:val="en-US" w:eastAsia="zh-CN"/>
              </w:rPr>
            </w:pPr>
          </w:p>
        </w:tc>
        <w:tc>
          <w:tcPr>
            <w:tcW w:w="1271" w:type="dxa"/>
            <w:tcBorders>
              <w:tl2br w:val="nil"/>
              <w:tr2bl w:val="nil"/>
            </w:tcBorders>
            <w:vAlign w:val="center"/>
          </w:tcPr>
          <w:p>
            <w:pPr>
              <w:bidi w:val="0"/>
              <w:rPr>
                <w:rFonts w:hint="default"/>
                <w:vertAlign w:val="baseline"/>
                <w:lang w:val="en-US" w:eastAsia="zh-CN"/>
              </w:rPr>
            </w:pPr>
          </w:p>
        </w:tc>
        <w:tc>
          <w:tcPr>
            <w:tcW w:w="1395" w:type="dxa"/>
            <w:tcBorders>
              <w:tl2br w:val="nil"/>
              <w:tr2bl w:val="nil"/>
            </w:tcBorders>
            <w:vAlign w:val="center"/>
          </w:tcPr>
          <w:p>
            <w:pPr>
              <w:bidi w:val="0"/>
              <w:rPr>
                <w:rFonts w:hint="default"/>
                <w:vertAlign w:val="baseline"/>
                <w:lang w:val="en-US" w:eastAsia="zh-CN"/>
              </w:rPr>
            </w:pPr>
          </w:p>
        </w:tc>
        <w:tc>
          <w:tcPr>
            <w:tcW w:w="1515" w:type="dxa"/>
            <w:tcBorders>
              <w:tl2br w:val="nil"/>
              <w:tr2bl w:val="nil"/>
            </w:tcBorders>
            <w:vAlign w:val="center"/>
          </w:tcPr>
          <w:p>
            <w:pPr>
              <w:bidi w:val="0"/>
              <w:rPr>
                <w:rFonts w:hint="default"/>
                <w:vertAlign w:val="baseline"/>
                <w:lang w:val="en-US" w:eastAsia="zh-CN"/>
              </w:rPr>
            </w:pPr>
          </w:p>
        </w:tc>
        <w:tc>
          <w:tcPr>
            <w:tcW w:w="2250" w:type="dxa"/>
            <w:tcBorders>
              <w:tl2br w:val="nil"/>
              <w:tr2bl w:val="nil"/>
            </w:tcBorders>
            <w:vAlign w:val="center"/>
          </w:tcPr>
          <w:p>
            <w:pPr>
              <w:bidi w:val="0"/>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l2br w:val="nil"/>
              <w:tr2bl w:val="nil"/>
            </w:tcBorders>
            <w:vAlign w:val="center"/>
          </w:tcPr>
          <w:p>
            <w:pPr>
              <w:bidi w:val="0"/>
              <w:rPr>
                <w:rFonts w:hint="default"/>
                <w:vertAlign w:val="baseline"/>
                <w:lang w:val="en-US" w:eastAsia="zh-CN"/>
              </w:rPr>
            </w:pPr>
          </w:p>
        </w:tc>
        <w:tc>
          <w:tcPr>
            <w:tcW w:w="2404" w:type="dxa"/>
            <w:tcBorders>
              <w:tl2br w:val="nil"/>
              <w:tr2bl w:val="nil"/>
            </w:tcBorders>
            <w:vAlign w:val="center"/>
          </w:tcPr>
          <w:p>
            <w:pPr>
              <w:bidi w:val="0"/>
              <w:rPr>
                <w:rFonts w:hint="default"/>
                <w:vertAlign w:val="baseline"/>
                <w:lang w:val="en-US" w:eastAsia="zh-CN"/>
              </w:rPr>
            </w:pPr>
          </w:p>
        </w:tc>
        <w:tc>
          <w:tcPr>
            <w:tcW w:w="1271" w:type="dxa"/>
            <w:tcBorders>
              <w:tl2br w:val="nil"/>
              <w:tr2bl w:val="nil"/>
            </w:tcBorders>
            <w:vAlign w:val="center"/>
          </w:tcPr>
          <w:p>
            <w:pPr>
              <w:bidi w:val="0"/>
              <w:rPr>
                <w:rFonts w:hint="default"/>
                <w:vertAlign w:val="baseline"/>
                <w:lang w:val="en-US" w:eastAsia="zh-CN"/>
              </w:rPr>
            </w:pPr>
          </w:p>
        </w:tc>
        <w:tc>
          <w:tcPr>
            <w:tcW w:w="1395" w:type="dxa"/>
            <w:tcBorders>
              <w:tl2br w:val="nil"/>
              <w:tr2bl w:val="nil"/>
            </w:tcBorders>
            <w:vAlign w:val="center"/>
          </w:tcPr>
          <w:p>
            <w:pPr>
              <w:bidi w:val="0"/>
              <w:rPr>
                <w:rFonts w:hint="default"/>
                <w:vertAlign w:val="baseline"/>
                <w:lang w:val="en-US" w:eastAsia="zh-CN"/>
              </w:rPr>
            </w:pPr>
          </w:p>
        </w:tc>
        <w:tc>
          <w:tcPr>
            <w:tcW w:w="1515" w:type="dxa"/>
            <w:tcBorders>
              <w:tl2br w:val="nil"/>
              <w:tr2bl w:val="nil"/>
            </w:tcBorders>
            <w:vAlign w:val="center"/>
          </w:tcPr>
          <w:p>
            <w:pPr>
              <w:bidi w:val="0"/>
              <w:rPr>
                <w:rFonts w:hint="default"/>
                <w:vertAlign w:val="baseline"/>
                <w:lang w:val="en-US" w:eastAsia="zh-CN"/>
              </w:rPr>
            </w:pPr>
          </w:p>
        </w:tc>
        <w:tc>
          <w:tcPr>
            <w:tcW w:w="2250" w:type="dxa"/>
            <w:tcBorders>
              <w:tl2br w:val="nil"/>
              <w:tr2bl w:val="nil"/>
            </w:tcBorders>
            <w:vAlign w:val="center"/>
          </w:tcPr>
          <w:p>
            <w:pPr>
              <w:bidi w:val="0"/>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l2br w:val="nil"/>
              <w:tr2bl w:val="nil"/>
            </w:tcBorders>
            <w:vAlign w:val="center"/>
          </w:tcPr>
          <w:p>
            <w:pPr>
              <w:bidi w:val="0"/>
              <w:rPr>
                <w:rFonts w:hint="default"/>
                <w:vertAlign w:val="baseline"/>
                <w:lang w:val="en-US" w:eastAsia="zh-CN"/>
              </w:rPr>
            </w:pPr>
          </w:p>
        </w:tc>
        <w:tc>
          <w:tcPr>
            <w:tcW w:w="2404" w:type="dxa"/>
            <w:tcBorders>
              <w:tl2br w:val="nil"/>
              <w:tr2bl w:val="nil"/>
            </w:tcBorders>
            <w:vAlign w:val="center"/>
          </w:tcPr>
          <w:p>
            <w:pPr>
              <w:bidi w:val="0"/>
              <w:rPr>
                <w:rFonts w:hint="default"/>
                <w:vertAlign w:val="baseline"/>
                <w:lang w:val="en-US" w:eastAsia="zh-CN"/>
              </w:rPr>
            </w:pPr>
          </w:p>
        </w:tc>
        <w:tc>
          <w:tcPr>
            <w:tcW w:w="1271" w:type="dxa"/>
            <w:tcBorders>
              <w:tl2br w:val="nil"/>
              <w:tr2bl w:val="nil"/>
            </w:tcBorders>
            <w:vAlign w:val="center"/>
          </w:tcPr>
          <w:p>
            <w:pPr>
              <w:bidi w:val="0"/>
              <w:rPr>
                <w:rFonts w:hint="default"/>
                <w:vertAlign w:val="baseline"/>
                <w:lang w:val="en-US" w:eastAsia="zh-CN"/>
              </w:rPr>
            </w:pPr>
          </w:p>
        </w:tc>
        <w:tc>
          <w:tcPr>
            <w:tcW w:w="1395" w:type="dxa"/>
            <w:tcBorders>
              <w:tl2br w:val="nil"/>
              <w:tr2bl w:val="nil"/>
            </w:tcBorders>
            <w:vAlign w:val="center"/>
          </w:tcPr>
          <w:p>
            <w:pPr>
              <w:bidi w:val="0"/>
              <w:rPr>
                <w:rFonts w:hint="default"/>
                <w:vertAlign w:val="baseline"/>
                <w:lang w:val="en-US" w:eastAsia="zh-CN"/>
              </w:rPr>
            </w:pPr>
          </w:p>
        </w:tc>
        <w:tc>
          <w:tcPr>
            <w:tcW w:w="1515" w:type="dxa"/>
            <w:tcBorders>
              <w:tl2br w:val="nil"/>
              <w:tr2bl w:val="nil"/>
            </w:tcBorders>
            <w:vAlign w:val="center"/>
          </w:tcPr>
          <w:p>
            <w:pPr>
              <w:bidi w:val="0"/>
              <w:rPr>
                <w:rFonts w:hint="default"/>
                <w:vertAlign w:val="baseline"/>
                <w:lang w:val="en-US" w:eastAsia="zh-CN"/>
              </w:rPr>
            </w:pPr>
          </w:p>
        </w:tc>
        <w:tc>
          <w:tcPr>
            <w:tcW w:w="2250" w:type="dxa"/>
            <w:tcBorders>
              <w:tl2br w:val="nil"/>
              <w:tr2bl w:val="nil"/>
            </w:tcBorders>
            <w:vAlign w:val="center"/>
          </w:tcPr>
          <w:p>
            <w:pPr>
              <w:bidi w:val="0"/>
              <w:rPr>
                <w:rFonts w:hint="default"/>
                <w:vertAlign w:val="baseline"/>
                <w:lang w:val="en-US" w:eastAsia="zh-CN"/>
              </w:rPr>
            </w:pPr>
          </w:p>
        </w:tc>
      </w:tr>
    </w:tbl>
    <w:p>
      <w:pPr>
        <w:bidi w:val="0"/>
        <w:rPr>
          <w:rFonts w:hint="eastAsia" w:ascii="宋体" w:hAnsi="宋体" w:eastAsia="宋体" w:cs="宋体"/>
          <w:b w:val="0"/>
          <w:bCs w:val="0"/>
          <w:sz w:val="21"/>
          <w:szCs w:val="21"/>
          <w:vertAlign w:val="baseline"/>
          <w:lang w:val="en-US" w:eastAsia="zh-CN"/>
        </w:rPr>
      </w:pPr>
      <w:r>
        <w:rPr>
          <w:rFonts w:hint="eastAsia"/>
          <w:lang w:val="en-US" w:eastAsia="zh-CN"/>
        </w:rPr>
        <w:t>注：附</w:t>
      </w:r>
      <w:r>
        <w:rPr>
          <w:rFonts w:hint="eastAsia" w:ascii="宋体" w:hAnsi="宋体" w:eastAsia="宋体" w:cs="宋体"/>
          <w:b w:val="0"/>
          <w:bCs w:val="0"/>
          <w:sz w:val="21"/>
          <w:szCs w:val="21"/>
          <w:vertAlign w:val="baseline"/>
          <w:lang w:val="en-US" w:eastAsia="zh-CN"/>
        </w:rPr>
        <w:t>合同复印件加盖公章。</w:t>
      </w:r>
    </w:p>
    <w:p>
      <w:pPr>
        <w:bidi w:val="0"/>
        <w:rPr>
          <w:rFonts w:hint="eastAsia" w:ascii="宋体" w:hAnsi="宋体" w:eastAsia="宋体" w:cs="宋体"/>
          <w:b w:val="0"/>
          <w:bCs w:val="0"/>
          <w:sz w:val="21"/>
          <w:szCs w:val="21"/>
          <w:vertAlign w:val="baseline"/>
          <w:lang w:val="en-US" w:eastAsia="zh-CN"/>
        </w:rPr>
      </w:pPr>
    </w:p>
    <w:p>
      <w:pPr>
        <w:bidi w:val="0"/>
        <w:rPr>
          <w:rFonts w:hint="eastAsia" w:ascii="宋体" w:hAnsi="宋体" w:eastAsia="宋体" w:cs="宋体"/>
          <w:b w:val="0"/>
          <w:bCs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供应商（盖章）：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法定代表人或授权代表人（签字或盖章）：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1"/>
          <w:szCs w:val="24"/>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1"/>
          <w:szCs w:val="24"/>
          <w:lang w:val="en-US" w:eastAsia="zh-CN"/>
        </w:rPr>
      </w:pPr>
      <w:bookmarkStart w:id="12" w:name="_Toc20939"/>
      <w:bookmarkStart w:id="13" w:name="_Toc27924"/>
      <w:r>
        <w:rPr>
          <w:rFonts w:hint="eastAsia" w:ascii="宋体" w:hAnsi="宋体" w:eastAsia="宋体" w:cs="宋体"/>
          <w:b w:val="0"/>
          <w:bCs w:val="0"/>
          <w:sz w:val="21"/>
          <w:szCs w:val="24"/>
          <w:lang w:val="en-US" w:eastAsia="zh-CN"/>
        </w:rPr>
        <w:t>格式八 项目人员配备表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0"/>
          <w:szCs w:val="48"/>
          <w:lang w:val="en-US" w:eastAsia="zh-CN"/>
        </w:rPr>
      </w:pPr>
      <w:r>
        <w:rPr>
          <w:rFonts w:hint="eastAsia" w:ascii="宋体" w:hAnsi="宋体" w:eastAsia="宋体" w:cs="宋体"/>
          <w:b/>
          <w:bCs/>
          <w:sz w:val="40"/>
          <w:szCs w:val="48"/>
          <w:lang w:val="en-US" w:eastAsia="zh-CN"/>
        </w:rPr>
        <w:t>项目人员配备表</w:t>
      </w:r>
    </w:p>
    <w:tbl>
      <w:tblPr>
        <w:tblStyle w:val="16"/>
        <w:tblW w:w="93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135"/>
        <w:gridCol w:w="1845"/>
        <w:gridCol w:w="1260"/>
        <w:gridCol w:w="1785"/>
        <w:gridCol w:w="1710"/>
        <w:gridCol w:w="8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tcBorders>
              <w:tl2br w:val="nil"/>
              <w:tr2bl w:val="nil"/>
            </w:tcBorders>
            <w:vAlign w:val="center"/>
          </w:tcPr>
          <w:p>
            <w:pPr>
              <w:bidi w:val="0"/>
              <w:jc w:val="center"/>
              <w:rPr>
                <w:rFonts w:hint="default"/>
                <w:vertAlign w:val="baseline"/>
                <w:lang w:val="en-US" w:eastAsia="zh-CN"/>
              </w:rPr>
            </w:pPr>
            <w:r>
              <w:rPr>
                <w:rFonts w:hint="eastAsia"/>
                <w:vertAlign w:val="baseline"/>
                <w:lang w:val="en-US" w:eastAsia="zh-CN"/>
              </w:rPr>
              <w:t>序号</w:t>
            </w:r>
          </w:p>
        </w:tc>
        <w:tc>
          <w:tcPr>
            <w:tcW w:w="1135" w:type="dxa"/>
            <w:tcBorders>
              <w:tl2br w:val="nil"/>
              <w:tr2bl w:val="nil"/>
            </w:tcBorders>
            <w:vAlign w:val="center"/>
          </w:tcPr>
          <w:p>
            <w:pPr>
              <w:bidi w:val="0"/>
              <w:jc w:val="center"/>
              <w:rPr>
                <w:rFonts w:hint="default"/>
                <w:vertAlign w:val="baseline"/>
                <w:lang w:val="en-US" w:eastAsia="zh-CN"/>
              </w:rPr>
            </w:pPr>
            <w:r>
              <w:rPr>
                <w:rFonts w:hint="eastAsia"/>
                <w:vertAlign w:val="baseline"/>
                <w:lang w:val="en-US" w:eastAsia="zh-CN"/>
              </w:rPr>
              <w:t>姓名</w:t>
            </w:r>
          </w:p>
        </w:tc>
        <w:tc>
          <w:tcPr>
            <w:tcW w:w="1845" w:type="dxa"/>
            <w:tcBorders>
              <w:tl2br w:val="nil"/>
              <w:tr2bl w:val="nil"/>
            </w:tcBorders>
            <w:vAlign w:val="center"/>
          </w:tcPr>
          <w:p>
            <w:pPr>
              <w:bidi w:val="0"/>
              <w:jc w:val="center"/>
              <w:rPr>
                <w:rFonts w:hint="default"/>
                <w:vertAlign w:val="baseline"/>
                <w:lang w:val="en-US" w:eastAsia="zh-CN"/>
              </w:rPr>
            </w:pPr>
            <w:r>
              <w:rPr>
                <w:rFonts w:hint="eastAsia"/>
                <w:vertAlign w:val="baseline"/>
                <w:lang w:val="en-US" w:eastAsia="zh-CN"/>
              </w:rPr>
              <w:t>拟担任岗位</w:t>
            </w:r>
          </w:p>
        </w:tc>
        <w:tc>
          <w:tcPr>
            <w:tcW w:w="1260" w:type="dxa"/>
            <w:tcBorders>
              <w:tl2br w:val="nil"/>
              <w:tr2bl w:val="nil"/>
            </w:tcBorders>
            <w:vAlign w:val="center"/>
          </w:tcPr>
          <w:p>
            <w:pPr>
              <w:bidi w:val="0"/>
              <w:jc w:val="center"/>
              <w:rPr>
                <w:rFonts w:hint="default"/>
                <w:vertAlign w:val="baseline"/>
                <w:lang w:val="en-US" w:eastAsia="zh-CN"/>
              </w:rPr>
            </w:pPr>
            <w:r>
              <w:rPr>
                <w:rFonts w:hint="eastAsia"/>
                <w:vertAlign w:val="baseline"/>
                <w:lang w:val="en-US" w:eastAsia="zh-CN"/>
              </w:rPr>
              <w:t>职称</w:t>
            </w:r>
          </w:p>
        </w:tc>
        <w:tc>
          <w:tcPr>
            <w:tcW w:w="1785" w:type="dxa"/>
            <w:tcBorders>
              <w:tl2br w:val="nil"/>
              <w:tr2bl w:val="nil"/>
            </w:tcBorders>
            <w:vAlign w:val="center"/>
          </w:tcPr>
          <w:p>
            <w:pPr>
              <w:bidi w:val="0"/>
              <w:jc w:val="center"/>
              <w:rPr>
                <w:rFonts w:hint="default"/>
                <w:vertAlign w:val="baseline"/>
                <w:lang w:val="en-US" w:eastAsia="zh-CN"/>
              </w:rPr>
            </w:pPr>
            <w:r>
              <w:rPr>
                <w:rFonts w:hint="eastAsia"/>
                <w:vertAlign w:val="baseline"/>
                <w:lang w:val="en-US" w:eastAsia="zh-CN"/>
              </w:rPr>
              <w:t>证书编号</w:t>
            </w:r>
          </w:p>
        </w:tc>
        <w:tc>
          <w:tcPr>
            <w:tcW w:w="1710" w:type="dxa"/>
            <w:tcBorders>
              <w:tl2br w:val="nil"/>
              <w:tr2bl w:val="nil"/>
            </w:tcBorders>
            <w:vAlign w:val="center"/>
          </w:tcPr>
          <w:p>
            <w:pPr>
              <w:bidi w:val="0"/>
              <w:jc w:val="center"/>
              <w:rPr>
                <w:rFonts w:hint="default"/>
                <w:vertAlign w:val="baseline"/>
                <w:lang w:val="en-US" w:eastAsia="zh-CN"/>
              </w:rPr>
            </w:pPr>
            <w:r>
              <w:rPr>
                <w:rFonts w:hint="eastAsia"/>
                <w:vertAlign w:val="baseline"/>
                <w:lang w:val="en-US" w:eastAsia="zh-CN"/>
              </w:rPr>
              <w:t>联系方式</w:t>
            </w:r>
          </w:p>
        </w:tc>
        <w:tc>
          <w:tcPr>
            <w:tcW w:w="890" w:type="dxa"/>
            <w:tcBorders>
              <w:tl2br w:val="nil"/>
              <w:tr2bl w:val="nil"/>
            </w:tcBorders>
            <w:vAlign w:val="center"/>
          </w:tcPr>
          <w:p>
            <w:pPr>
              <w:bidi w:val="0"/>
              <w:jc w:val="center"/>
              <w:rPr>
                <w:rFonts w:hint="eastAsia"/>
                <w:vertAlign w:val="baseline"/>
                <w:lang w:val="en-US" w:eastAsia="zh-CN"/>
              </w:rPr>
            </w:pPr>
            <w:r>
              <w:rPr>
                <w:rFonts w:hint="eastAsia"/>
                <w:vertAlign w:val="baseli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tcBorders>
              <w:tl2br w:val="nil"/>
              <w:tr2bl w:val="nil"/>
            </w:tcBorders>
            <w:vAlign w:val="center"/>
          </w:tcPr>
          <w:p>
            <w:pPr>
              <w:bidi w:val="0"/>
              <w:rPr>
                <w:rFonts w:hint="default"/>
                <w:vertAlign w:val="baseline"/>
                <w:lang w:val="en-US" w:eastAsia="zh-CN"/>
              </w:rPr>
            </w:pPr>
          </w:p>
        </w:tc>
        <w:tc>
          <w:tcPr>
            <w:tcW w:w="1135" w:type="dxa"/>
            <w:tcBorders>
              <w:tl2br w:val="nil"/>
              <w:tr2bl w:val="nil"/>
            </w:tcBorders>
            <w:vAlign w:val="center"/>
          </w:tcPr>
          <w:p>
            <w:pPr>
              <w:bidi w:val="0"/>
              <w:rPr>
                <w:rFonts w:hint="default"/>
                <w:vertAlign w:val="baseline"/>
                <w:lang w:val="en-US" w:eastAsia="zh-CN"/>
              </w:rPr>
            </w:pPr>
          </w:p>
        </w:tc>
        <w:tc>
          <w:tcPr>
            <w:tcW w:w="1845" w:type="dxa"/>
            <w:tcBorders>
              <w:tl2br w:val="nil"/>
              <w:tr2bl w:val="nil"/>
            </w:tcBorders>
            <w:vAlign w:val="center"/>
          </w:tcPr>
          <w:p>
            <w:pPr>
              <w:bidi w:val="0"/>
              <w:rPr>
                <w:rFonts w:hint="default"/>
                <w:vertAlign w:val="baseline"/>
                <w:lang w:val="en-US" w:eastAsia="zh-CN"/>
              </w:rPr>
            </w:pPr>
          </w:p>
        </w:tc>
        <w:tc>
          <w:tcPr>
            <w:tcW w:w="1260" w:type="dxa"/>
            <w:tcBorders>
              <w:tl2br w:val="nil"/>
              <w:tr2bl w:val="nil"/>
            </w:tcBorders>
            <w:vAlign w:val="center"/>
          </w:tcPr>
          <w:p>
            <w:pPr>
              <w:bidi w:val="0"/>
              <w:rPr>
                <w:rFonts w:hint="default"/>
                <w:vertAlign w:val="baseline"/>
                <w:lang w:val="en-US" w:eastAsia="zh-CN"/>
              </w:rPr>
            </w:pPr>
          </w:p>
        </w:tc>
        <w:tc>
          <w:tcPr>
            <w:tcW w:w="1785" w:type="dxa"/>
            <w:tcBorders>
              <w:tl2br w:val="nil"/>
              <w:tr2bl w:val="nil"/>
            </w:tcBorders>
            <w:vAlign w:val="center"/>
          </w:tcPr>
          <w:p>
            <w:pPr>
              <w:bidi w:val="0"/>
              <w:rPr>
                <w:rFonts w:hint="default"/>
                <w:vertAlign w:val="baseline"/>
                <w:lang w:val="en-US" w:eastAsia="zh-CN"/>
              </w:rPr>
            </w:pPr>
          </w:p>
        </w:tc>
        <w:tc>
          <w:tcPr>
            <w:tcW w:w="1710" w:type="dxa"/>
            <w:tcBorders>
              <w:tl2br w:val="nil"/>
              <w:tr2bl w:val="nil"/>
            </w:tcBorders>
            <w:vAlign w:val="center"/>
          </w:tcPr>
          <w:p>
            <w:pPr>
              <w:bidi w:val="0"/>
              <w:rPr>
                <w:rFonts w:hint="default"/>
                <w:vertAlign w:val="baseline"/>
                <w:lang w:val="en-US" w:eastAsia="zh-CN"/>
              </w:rPr>
            </w:pPr>
          </w:p>
        </w:tc>
        <w:tc>
          <w:tcPr>
            <w:tcW w:w="890" w:type="dxa"/>
            <w:tcBorders>
              <w:tl2br w:val="nil"/>
              <w:tr2bl w:val="nil"/>
            </w:tcBorders>
            <w:vAlign w:val="center"/>
          </w:tcPr>
          <w:p>
            <w:pPr>
              <w:bidi w:val="0"/>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tcBorders>
              <w:tl2br w:val="nil"/>
              <w:tr2bl w:val="nil"/>
            </w:tcBorders>
            <w:vAlign w:val="center"/>
          </w:tcPr>
          <w:p>
            <w:pPr>
              <w:bidi w:val="0"/>
              <w:rPr>
                <w:rFonts w:hint="default"/>
                <w:vertAlign w:val="baseline"/>
                <w:lang w:val="en-US" w:eastAsia="zh-CN"/>
              </w:rPr>
            </w:pPr>
          </w:p>
        </w:tc>
        <w:tc>
          <w:tcPr>
            <w:tcW w:w="1135" w:type="dxa"/>
            <w:tcBorders>
              <w:tl2br w:val="nil"/>
              <w:tr2bl w:val="nil"/>
            </w:tcBorders>
            <w:vAlign w:val="center"/>
          </w:tcPr>
          <w:p>
            <w:pPr>
              <w:bidi w:val="0"/>
              <w:rPr>
                <w:rFonts w:hint="default"/>
                <w:vertAlign w:val="baseline"/>
                <w:lang w:val="en-US" w:eastAsia="zh-CN"/>
              </w:rPr>
            </w:pPr>
          </w:p>
        </w:tc>
        <w:tc>
          <w:tcPr>
            <w:tcW w:w="1845" w:type="dxa"/>
            <w:tcBorders>
              <w:tl2br w:val="nil"/>
              <w:tr2bl w:val="nil"/>
            </w:tcBorders>
            <w:vAlign w:val="center"/>
          </w:tcPr>
          <w:p>
            <w:pPr>
              <w:bidi w:val="0"/>
              <w:rPr>
                <w:rFonts w:hint="default"/>
                <w:vertAlign w:val="baseline"/>
                <w:lang w:val="en-US" w:eastAsia="zh-CN"/>
              </w:rPr>
            </w:pPr>
          </w:p>
        </w:tc>
        <w:tc>
          <w:tcPr>
            <w:tcW w:w="1260" w:type="dxa"/>
            <w:tcBorders>
              <w:tl2br w:val="nil"/>
              <w:tr2bl w:val="nil"/>
            </w:tcBorders>
            <w:vAlign w:val="center"/>
          </w:tcPr>
          <w:p>
            <w:pPr>
              <w:bidi w:val="0"/>
              <w:rPr>
                <w:rFonts w:hint="default"/>
                <w:vertAlign w:val="baseline"/>
                <w:lang w:val="en-US" w:eastAsia="zh-CN"/>
              </w:rPr>
            </w:pPr>
          </w:p>
        </w:tc>
        <w:tc>
          <w:tcPr>
            <w:tcW w:w="1785" w:type="dxa"/>
            <w:tcBorders>
              <w:tl2br w:val="nil"/>
              <w:tr2bl w:val="nil"/>
            </w:tcBorders>
            <w:vAlign w:val="center"/>
          </w:tcPr>
          <w:p>
            <w:pPr>
              <w:bidi w:val="0"/>
              <w:rPr>
                <w:rFonts w:hint="default"/>
                <w:vertAlign w:val="baseline"/>
                <w:lang w:val="en-US" w:eastAsia="zh-CN"/>
              </w:rPr>
            </w:pPr>
          </w:p>
        </w:tc>
        <w:tc>
          <w:tcPr>
            <w:tcW w:w="1710" w:type="dxa"/>
            <w:tcBorders>
              <w:tl2br w:val="nil"/>
              <w:tr2bl w:val="nil"/>
            </w:tcBorders>
            <w:vAlign w:val="center"/>
          </w:tcPr>
          <w:p>
            <w:pPr>
              <w:bidi w:val="0"/>
              <w:rPr>
                <w:rFonts w:hint="default"/>
                <w:vertAlign w:val="baseline"/>
                <w:lang w:val="en-US" w:eastAsia="zh-CN"/>
              </w:rPr>
            </w:pPr>
          </w:p>
        </w:tc>
        <w:tc>
          <w:tcPr>
            <w:tcW w:w="890" w:type="dxa"/>
            <w:tcBorders>
              <w:tl2br w:val="nil"/>
              <w:tr2bl w:val="nil"/>
            </w:tcBorders>
            <w:vAlign w:val="center"/>
          </w:tcPr>
          <w:p>
            <w:pPr>
              <w:bidi w:val="0"/>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tcBorders>
              <w:tl2br w:val="nil"/>
              <w:tr2bl w:val="nil"/>
            </w:tcBorders>
            <w:vAlign w:val="center"/>
          </w:tcPr>
          <w:p>
            <w:pPr>
              <w:bidi w:val="0"/>
              <w:rPr>
                <w:rFonts w:hint="default"/>
                <w:vertAlign w:val="baseline"/>
                <w:lang w:val="en-US" w:eastAsia="zh-CN"/>
              </w:rPr>
            </w:pPr>
          </w:p>
        </w:tc>
        <w:tc>
          <w:tcPr>
            <w:tcW w:w="1135" w:type="dxa"/>
            <w:tcBorders>
              <w:tl2br w:val="nil"/>
              <w:tr2bl w:val="nil"/>
            </w:tcBorders>
            <w:vAlign w:val="center"/>
          </w:tcPr>
          <w:p>
            <w:pPr>
              <w:bidi w:val="0"/>
              <w:rPr>
                <w:rFonts w:hint="default"/>
                <w:vertAlign w:val="baseline"/>
                <w:lang w:val="en-US" w:eastAsia="zh-CN"/>
              </w:rPr>
            </w:pPr>
          </w:p>
        </w:tc>
        <w:tc>
          <w:tcPr>
            <w:tcW w:w="1845" w:type="dxa"/>
            <w:tcBorders>
              <w:tl2br w:val="nil"/>
              <w:tr2bl w:val="nil"/>
            </w:tcBorders>
            <w:vAlign w:val="center"/>
          </w:tcPr>
          <w:p>
            <w:pPr>
              <w:bidi w:val="0"/>
              <w:rPr>
                <w:rFonts w:hint="default"/>
                <w:vertAlign w:val="baseline"/>
                <w:lang w:val="en-US" w:eastAsia="zh-CN"/>
              </w:rPr>
            </w:pPr>
          </w:p>
        </w:tc>
        <w:tc>
          <w:tcPr>
            <w:tcW w:w="1260" w:type="dxa"/>
            <w:tcBorders>
              <w:tl2br w:val="nil"/>
              <w:tr2bl w:val="nil"/>
            </w:tcBorders>
            <w:vAlign w:val="center"/>
          </w:tcPr>
          <w:p>
            <w:pPr>
              <w:bidi w:val="0"/>
              <w:rPr>
                <w:rFonts w:hint="default"/>
                <w:vertAlign w:val="baseline"/>
                <w:lang w:val="en-US" w:eastAsia="zh-CN"/>
              </w:rPr>
            </w:pPr>
          </w:p>
        </w:tc>
        <w:tc>
          <w:tcPr>
            <w:tcW w:w="1785" w:type="dxa"/>
            <w:tcBorders>
              <w:tl2br w:val="nil"/>
              <w:tr2bl w:val="nil"/>
            </w:tcBorders>
            <w:vAlign w:val="center"/>
          </w:tcPr>
          <w:p>
            <w:pPr>
              <w:bidi w:val="0"/>
              <w:rPr>
                <w:rFonts w:hint="default"/>
                <w:vertAlign w:val="baseline"/>
                <w:lang w:val="en-US" w:eastAsia="zh-CN"/>
              </w:rPr>
            </w:pPr>
          </w:p>
        </w:tc>
        <w:tc>
          <w:tcPr>
            <w:tcW w:w="1710" w:type="dxa"/>
            <w:tcBorders>
              <w:tl2br w:val="nil"/>
              <w:tr2bl w:val="nil"/>
            </w:tcBorders>
            <w:vAlign w:val="center"/>
          </w:tcPr>
          <w:p>
            <w:pPr>
              <w:bidi w:val="0"/>
              <w:rPr>
                <w:rFonts w:hint="default"/>
                <w:vertAlign w:val="baseline"/>
                <w:lang w:val="en-US" w:eastAsia="zh-CN"/>
              </w:rPr>
            </w:pPr>
          </w:p>
        </w:tc>
        <w:tc>
          <w:tcPr>
            <w:tcW w:w="890" w:type="dxa"/>
            <w:tcBorders>
              <w:tl2br w:val="nil"/>
              <w:tr2bl w:val="nil"/>
            </w:tcBorders>
            <w:vAlign w:val="center"/>
          </w:tcPr>
          <w:p>
            <w:pPr>
              <w:bidi w:val="0"/>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tcBorders>
              <w:tl2br w:val="nil"/>
              <w:tr2bl w:val="nil"/>
            </w:tcBorders>
            <w:vAlign w:val="center"/>
          </w:tcPr>
          <w:p>
            <w:pPr>
              <w:bidi w:val="0"/>
              <w:rPr>
                <w:rFonts w:hint="default"/>
                <w:vertAlign w:val="baseline"/>
                <w:lang w:val="en-US" w:eastAsia="zh-CN"/>
              </w:rPr>
            </w:pPr>
          </w:p>
        </w:tc>
        <w:tc>
          <w:tcPr>
            <w:tcW w:w="1135" w:type="dxa"/>
            <w:tcBorders>
              <w:tl2br w:val="nil"/>
              <w:tr2bl w:val="nil"/>
            </w:tcBorders>
            <w:vAlign w:val="center"/>
          </w:tcPr>
          <w:p>
            <w:pPr>
              <w:bidi w:val="0"/>
              <w:rPr>
                <w:rFonts w:hint="default"/>
                <w:vertAlign w:val="baseline"/>
                <w:lang w:val="en-US" w:eastAsia="zh-CN"/>
              </w:rPr>
            </w:pPr>
          </w:p>
        </w:tc>
        <w:tc>
          <w:tcPr>
            <w:tcW w:w="1845" w:type="dxa"/>
            <w:tcBorders>
              <w:tl2br w:val="nil"/>
              <w:tr2bl w:val="nil"/>
            </w:tcBorders>
            <w:vAlign w:val="center"/>
          </w:tcPr>
          <w:p>
            <w:pPr>
              <w:bidi w:val="0"/>
              <w:rPr>
                <w:rFonts w:hint="default"/>
                <w:vertAlign w:val="baseline"/>
                <w:lang w:val="en-US" w:eastAsia="zh-CN"/>
              </w:rPr>
            </w:pPr>
          </w:p>
        </w:tc>
        <w:tc>
          <w:tcPr>
            <w:tcW w:w="1260" w:type="dxa"/>
            <w:tcBorders>
              <w:tl2br w:val="nil"/>
              <w:tr2bl w:val="nil"/>
            </w:tcBorders>
            <w:vAlign w:val="center"/>
          </w:tcPr>
          <w:p>
            <w:pPr>
              <w:bidi w:val="0"/>
              <w:rPr>
                <w:rFonts w:hint="default"/>
                <w:vertAlign w:val="baseline"/>
                <w:lang w:val="en-US" w:eastAsia="zh-CN"/>
              </w:rPr>
            </w:pPr>
          </w:p>
        </w:tc>
        <w:tc>
          <w:tcPr>
            <w:tcW w:w="1785" w:type="dxa"/>
            <w:tcBorders>
              <w:tl2br w:val="nil"/>
              <w:tr2bl w:val="nil"/>
            </w:tcBorders>
            <w:vAlign w:val="center"/>
          </w:tcPr>
          <w:p>
            <w:pPr>
              <w:bidi w:val="0"/>
              <w:rPr>
                <w:rFonts w:hint="default"/>
                <w:vertAlign w:val="baseline"/>
                <w:lang w:val="en-US" w:eastAsia="zh-CN"/>
              </w:rPr>
            </w:pPr>
          </w:p>
        </w:tc>
        <w:tc>
          <w:tcPr>
            <w:tcW w:w="1710" w:type="dxa"/>
            <w:tcBorders>
              <w:tl2br w:val="nil"/>
              <w:tr2bl w:val="nil"/>
            </w:tcBorders>
            <w:vAlign w:val="center"/>
          </w:tcPr>
          <w:p>
            <w:pPr>
              <w:bidi w:val="0"/>
              <w:rPr>
                <w:rFonts w:hint="default"/>
                <w:vertAlign w:val="baseline"/>
                <w:lang w:val="en-US" w:eastAsia="zh-CN"/>
              </w:rPr>
            </w:pPr>
          </w:p>
        </w:tc>
        <w:tc>
          <w:tcPr>
            <w:tcW w:w="890" w:type="dxa"/>
            <w:tcBorders>
              <w:tl2br w:val="nil"/>
              <w:tr2bl w:val="nil"/>
            </w:tcBorders>
            <w:vAlign w:val="center"/>
          </w:tcPr>
          <w:p>
            <w:pPr>
              <w:bidi w:val="0"/>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tcBorders>
              <w:tl2br w:val="nil"/>
              <w:tr2bl w:val="nil"/>
            </w:tcBorders>
            <w:vAlign w:val="center"/>
          </w:tcPr>
          <w:p>
            <w:pPr>
              <w:bidi w:val="0"/>
              <w:rPr>
                <w:rFonts w:hint="default"/>
                <w:vertAlign w:val="baseline"/>
                <w:lang w:val="en-US" w:eastAsia="zh-CN"/>
              </w:rPr>
            </w:pPr>
          </w:p>
        </w:tc>
        <w:tc>
          <w:tcPr>
            <w:tcW w:w="1135" w:type="dxa"/>
            <w:tcBorders>
              <w:tl2br w:val="nil"/>
              <w:tr2bl w:val="nil"/>
            </w:tcBorders>
            <w:vAlign w:val="center"/>
          </w:tcPr>
          <w:p>
            <w:pPr>
              <w:bidi w:val="0"/>
              <w:rPr>
                <w:rFonts w:hint="default"/>
                <w:vertAlign w:val="baseline"/>
                <w:lang w:val="en-US" w:eastAsia="zh-CN"/>
              </w:rPr>
            </w:pPr>
          </w:p>
        </w:tc>
        <w:tc>
          <w:tcPr>
            <w:tcW w:w="1845" w:type="dxa"/>
            <w:tcBorders>
              <w:tl2br w:val="nil"/>
              <w:tr2bl w:val="nil"/>
            </w:tcBorders>
            <w:vAlign w:val="center"/>
          </w:tcPr>
          <w:p>
            <w:pPr>
              <w:bidi w:val="0"/>
              <w:rPr>
                <w:rFonts w:hint="default"/>
                <w:vertAlign w:val="baseline"/>
                <w:lang w:val="en-US" w:eastAsia="zh-CN"/>
              </w:rPr>
            </w:pPr>
          </w:p>
        </w:tc>
        <w:tc>
          <w:tcPr>
            <w:tcW w:w="1260" w:type="dxa"/>
            <w:tcBorders>
              <w:tl2br w:val="nil"/>
              <w:tr2bl w:val="nil"/>
            </w:tcBorders>
            <w:vAlign w:val="center"/>
          </w:tcPr>
          <w:p>
            <w:pPr>
              <w:bidi w:val="0"/>
              <w:rPr>
                <w:rFonts w:hint="default"/>
                <w:vertAlign w:val="baseline"/>
                <w:lang w:val="en-US" w:eastAsia="zh-CN"/>
              </w:rPr>
            </w:pPr>
          </w:p>
        </w:tc>
        <w:tc>
          <w:tcPr>
            <w:tcW w:w="1785" w:type="dxa"/>
            <w:tcBorders>
              <w:tl2br w:val="nil"/>
              <w:tr2bl w:val="nil"/>
            </w:tcBorders>
            <w:vAlign w:val="center"/>
          </w:tcPr>
          <w:p>
            <w:pPr>
              <w:bidi w:val="0"/>
              <w:rPr>
                <w:rFonts w:hint="default"/>
                <w:vertAlign w:val="baseline"/>
                <w:lang w:val="en-US" w:eastAsia="zh-CN"/>
              </w:rPr>
            </w:pPr>
          </w:p>
        </w:tc>
        <w:tc>
          <w:tcPr>
            <w:tcW w:w="1710" w:type="dxa"/>
            <w:tcBorders>
              <w:tl2br w:val="nil"/>
              <w:tr2bl w:val="nil"/>
            </w:tcBorders>
            <w:vAlign w:val="center"/>
          </w:tcPr>
          <w:p>
            <w:pPr>
              <w:bidi w:val="0"/>
              <w:rPr>
                <w:rFonts w:hint="default"/>
                <w:vertAlign w:val="baseline"/>
                <w:lang w:val="en-US" w:eastAsia="zh-CN"/>
              </w:rPr>
            </w:pPr>
          </w:p>
        </w:tc>
        <w:tc>
          <w:tcPr>
            <w:tcW w:w="890" w:type="dxa"/>
            <w:tcBorders>
              <w:tl2br w:val="nil"/>
              <w:tr2bl w:val="nil"/>
            </w:tcBorders>
            <w:vAlign w:val="center"/>
          </w:tcPr>
          <w:p>
            <w:pPr>
              <w:bidi w:val="0"/>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tcBorders>
              <w:tl2br w:val="nil"/>
              <w:tr2bl w:val="nil"/>
            </w:tcBorders>
            <w:vAlign w:val="center"/>
          </w:tcPr>
          <w:p>
            <w:pPr>
              <w:bidi w:val="0"/>
              <w:rPr>
                <w:rFonts w:hint="default"/>
                <w:vertAlign w:val="baseline"/>
                <w:lang w:val="en-US" w:eastAsia="zh-CN"/>
              </w:rPr>
            </w:pPr>
          </w:p>
        </w:tc>
        <w:tc>
          <w:tcPr>
            <w:tcW w:w="1135" w:type="dxa"/>
            <w:tcBorders>
              <w:tl2br w:val="nil"/>
              <w:tr2bl w:val="nil"/>
            </w:tcBorders>
            <w:vAlign w:val="center"/>
          </w:tcPr>
          <w:p>
            <w:pPr>
              <w:bidi w:val="0"/>
              <w:rPr>
                <w:rFonts w:hint="default"/>
                <w:vertAlign w:val="baseline"/>
                <w:lang w:val="en-US" w:eastAsia="zh-CN"/>
              </w:rPr>
            </w:pPr>
          </w:p>
        </w:tc>
        <w:tc>
          <w:tcPr>
            <w:tcW w:w="1845" w:type="dxa"/>
            <w:tcBorders>
              <w:tl2br w:val="nil"/>
              <w:tr2bl w:val="nil"/>
            </w:tcBorders>
            <w:vAlign w:val="center"/>
          </w:tcPr>
          <w:p>
            <w:pPr>
              <w:bidi w:val="0"/>
              <w:rPr>
                <w:rFonts w:hint="default"/>
                <w:vertAlign w:val="baseline"/>
                <w:lang w:val="en-US" w:eastAsia="zh-CN"/>
              </w:rPr>
            </w:pPr>
          </w:p>
        </w:tc>
        <w:tc>
          <w:tcPr>
            <w:tcW w:w="1260" w:type="dxa"/>
            <w:tcBorders>
              <w:tl2br w:val="nil"/>
              <w:tr2bl w:val="nil"/>
            </w:tcBorders>
            <w:vAlign w:val="center"/>
          </w:tcPr>
          <w:p>
            <w:pPr>
              <w:bidi w:val="0"/>
              <w:rPr>
                <w:rFonts w:hint="default"/>
                <w:vertAlign w:val="baseline"/>
                <w:lang w:val="en-US" w:eastAsia="zh-CN"/>
              </w:rPr>
            </w:pPr>
          </w:p>
        </w:tc>
        <w:tc>
          <w:tcPr>
            <w:tcW w:w="1785" w:type="dxa"/>
            <w:tcBorders>
              <w:tl2br w:val="nil"/>
              <w:tr2bl w:val="nil"/>
            </w:tcBorders>
            <w:vAlign w:val="center"/>
          </w:tcPr>
          <w:p>
            <w:pPr>
              <w:bidi w:val="0"/>
              <w:rPr>
                <w:rFonts w:hint="default"/>
                <w:vertAlign w:val="baseline"/>
                <w:lang w:val="en-US" w:eastAsia="zh-CN"/>
              </w:rPr>
            </w:pPr>
          </w:p>
        </w:tc>
        <w:tc>
          <w:tcPr>
            <w:tcW w:w="1710" w:type="dxa"/>
            <w:tcBorders>
              <w:tl2br w:val="nil"/>
              <w:tr2bl w:val="nil"/>
            </w:tcBorders>
            <w:vAlign w:val="center"/>
          </w:tcPr>
          <w:p>
            <w:pPr>
              <w:bidi w:val="0"/>
              <w:rPr>
                <w:rFonts w:hint="default"/>
                <w:vertAlign w:val="baseline"/>
                <w:lang w:val="en-US" w:eastAsia="zh-CN"/>
              </w:rPr>
            </w:pPr>
          </w:p>
        </w:tc>
        <w:tc>
          <w:tcPr>
            <w:tcW w:w="890" w:type="dxa"/>
            <w:tcBorders>
              <w:tl2br w:val="nil"/>
              <w:tr2bl w:val="nil"/>
            </w:tcBorders>
            <w:vAlign w:val="center"/>
          </w:tcPr>
          <w:p>
            <w:pPr>
              <w:bidi w:val="0"/>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tcBorders>
              <w:tl2br w:val="nil"/>
              <w:tr2bl w:val="nil"/>
            </w:tcBorders>
            <w:vAlign w:val="center"/>
          </w:tcPr>
          <w:p>
            <w:pPr>
              <w:bidi w:val="0"/>
              <w:rPr>
                <w:rFonts w:hint="default"/>
                <w:vertAlign w:val="baseline"/>
                <w:lang w:val="en-US" w:eastAsia="zh-CN"/>
              </w:rPr>
            </w:pPr>
          </w:p>
        </w:tc>
        <w:tc>
          <w:tcPr>
            <w:tcW w:w="1135" w:type="dxa"/>
            <w:tcBorders>
              <w:tl2br w:val="nil"/>
              <w:tr2bl w:val="nil"/>
            </w:tcBorders>
            <w:vAlign w:val="center"/>
          </w:tcPr>
          <w:p>
            <w:pPr>
              <w:bidi w:val="0"/>
              <w:rPr>
                <w:rFonts w:hint="default"/>
                <w:vertAlign w:val="baseline"/>
                <w:lang w:val="en-US" w:eastAsia="zh-CN"/>
              </w:rPr>
            </w:pPr>
          </w:p>
        </w:tc>
        <w:tc>
          <w:tcPr>
            <w:tcW w:w="1845" w:type="dxa"/>
            <w:tcBorders>
              <w:tl2br w:val="nil"/>
              <w:tr2bl w:val="nil"/>
            </w:tcBorders>
            <w:vAlign w:val="center"/>
          </w:tcPr>
          <w:p>
            <w:pPr>
              <w:bidi w:val="0"/>
              <w:rPr>
                <w:rFonts w:hint="default"/>
                <w:vertAlign w:val="baseline"/>
                <w:lang w:val="en-US" w:eastAsia="zh-CN"/>
              </w:rPr>
            </w:pPr>
          </w:p>
        </w:tc>
        <w:tc>
          <w:tcPr>
            <w:tcW w:w="1260" w:type="dxa"/>
            <w:tcBorders>
              <w:tl2br w:val="nil"/>
              <w:tr2bl w:val="nil"/>
            </w:tcBorders>
            <w:vAlign w:val="center"/>
          </w:tcPr>
          <w:p>
            <w:pPr>
              <w:bidi w:val="0"/>
              <w:rPr>
                <w:rFonts w:hint="default"/>
                <w:vertAlign w:val="baseline"/>
                <w:lang w:val="en-US" w:eastAsia="zh-CN"/>
              </w:rPr>
            </w:pPr>
          </w:p>
        </w:tc>
        <w:tc>
          <w:tcPr>
            <w:tcW w:w="1785" w:type="dxa"/>
            <w:tcBorders>
              <w:tl2br w:val="nil"/>
              <w:tr2bl w:val="nil"/>
            </w:tcBorders>
            <w:vAlign w:val="center"/>
          </w:tcPr>
          <w:p>
            <w:pPr>
              <w:bidi w:val="0"/>
              <w:rPr>
                <w:rFonts w:hint="default"/>
                <w:vertAlign w:val="baseline"/>
                <w:lang w:val="en-US" w:eastAsia="zh-CN"/>
              </w:rPr>
            </w:pPr>
          </w:p>
        </w:tc>
        <w:tc>
          <w:tcPr>
            <w:tcW w:w="1710" w:type="dxa"/>
            <w:tcBorders>
              <w:tl2br w:val="nil"/>
              <w:tr2bl w:val="nil"/>
            </w:tcBorders>
            <w:vAlign w:val="center"/>
          </w:tcPr>
          <w:p>
            <w:pPr>
              <w:bidi w:val="0"/>
              <w:rPr>
                <w:rFonts w:hint="default"/>
                <w:vertAlign w:val="baseline"/>
                <w:lang w:val="en-US" w:eastAsia="zh-CN"/>
              </w:rPr>
            </w:pPr>
          </w:p>
        </w:tc>
        <w:tc>
          <w:tcPr>
            <w:tcW w:w="890" w:type="dxa"/>
            <w:tcBorders>
              <w:tl2br w:val="nil"/>
              <w:tr2bl w:val="nil"/>
            </w:tcBorders>
            <w:vAlign w:val="center"/>
          </w:tcPr>
          <w:p>
            <w:pPr>
              <w:bidi w:val="0"/>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tcBorders>
              <w:tl2br w:val="nil"/>
              <w:tr2bl w:val="nil"/>
            </w:tcBorders>
            <w:vAlign w:val="center"/>
          </w:tcPr>
          <w:p>
            <w:pPr>
              <w:bidi w:val="0"/>
              <w:rPr>
                <w:rFonts w:hint="default"/>
                <w:vertAlign w:val="baseline"/>
                <w:lang w:val="en-US" w:eastAsia="zh-CN"/>
              </w:rPr>
            </w:pPr>
          </w:p>
        </w:tc>
        <w:tc>
          <w:tcPr>
            <w:tcW w:w="1135" w:type="dxa"/>
            <w:tcBorders>
              <w:tl2br w:val="nil"/>
              <w:tr2bl w:val="nil"/>
            </w:tcBorders>
            <w:vAlign w:val="center"/>
          </w:tcPr>
          <w:p>
            <w:pPr>
              <w:bidi w:val="0"/>
              <w:rPr>
                <w:rFonts w:hint="default"/>
                <w:vertAlign w:val="baseline"/>
                <w:lang w:val="en-US" w:eastAsia="zh-CN"/>
              </w:rPr>
            </w:pPr>
          </w:p>
        </w:tc>
        <w:tc>
          <w:tcPr>
            <w:tcW w:w="1845" w:type="dxa"/>
            <w:tcBorders>
              <w:tl2br w:val="nil"/>
              <w:tr2bl w:val="nil"/>
            </w:tcBorders>
            <w:vAlign w:val="center"/>
          </w:tcPr>
          <w:p>
            <w:pPr>
              <w:bidi w:val="0"/>
              <w:rPr>
                <w:rFonts w:hint="default"/>
                <w:vertAlign w:val="baseline"/>
                <w:lang w:val="en-US" w:eastAsia="zh-CN"/>
              </w:rPr>
            </w:pPr>
          </w:p>
        </w:tc>
        <w:tc>
          <w:tcPr>
            <w:tcW w:w="1260" w:type="dxa"/>
            <w:tcBorders>
              <w:tl2br w:val="nil"/>
              <w:tr2bl w:val="nil"/>
            </w:tcBorders>
            <w:vAlign w:val="center"/>
          </w:tcPr>
          <w:p>
            <w:pPr>
              <w:bidi w:val="0"/>
              <w:rPr>
                <w:rFonts w:hint="default"/>
                <w:vertAlign w:val="baseline"/>
                <w:lang w:val="en-US" w:eastAsia="zh-CN"/>
              </w:rPr>
            </w:pPr>
          </w:p>
        </w:tc>
        <w:tc>
          <w:tcPr>
            <w:tcW w:w="1785" w:type="dxa"/>
            <w:tcBorders>
              <w:tl2br w:val="nil"/>
              <w:tr2bl w:val="nil"/>
            </w:tcBorders>
            <w:vAlign w:val="center"/>
          </w:tcPr>
          <w:p>
            <w:pPr>
              <w:bidi w:val="0"/>
              <w:rPr>
                <w:rFonts w:hint="default"/>
                <w:vertAlign w:val="baseline"/>
                <w:lang w:val="en-US" w:eastAsia="zh-CN"/>
              </w:rPr>
            </w:pPr>
          </w:p>
        </w:tc>
        <w:tc>
          <w:tcPr>
            <w:tcW w:w="1710" w:type="dxa"/>
            <w:tcBorders>
              <w:tl2br w:val="nil"/>
              <w:tr2bl w:val="nil"/>
            </w:tcBorders>
            <w:vAlign w:val="center"/>
          </w:tcPr>
          <w:p>
            <w:pPr>
              <w:bidi w:val="0"/>
              <w:rPr>
                <w:rFonts w:hint="default"/>
                <w:vertAlign w:val="baseline"/>
                <w:lang w:val="en-US" w:eastAsia="zh-CN"/>
              </w:rPr>
            </w:pPr>
          </w:p>
        </w:tc>
        <w:tc>
          <w:tcPr>
            <w:tcW w:w="890" w:type="dxa"/>
            <w:tcBorders>
              <w:tl2br w:val="nil"/>
              <w:tr2bl w:val="nil"/>
            </w:tcBorders>
            <w:vAlign w:val="center"/>
          </w:tcPr>
          <w:p>
            <w:pPr>
              <w:bidi w:val="0"/>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tcBorders>
              <w:tl2br w:val="nil"/>
              <w:tr2bl w:val="nil"/>
            </w:tcBorders>
            <w:vAlign w:val="center"/>
          </w:tcPr>
          <w:p>
            <w:pPr>
              <w:bidi w:val="0"/>
              <w:rPr>
                <w:rFonts w:hint="default"/>
                <w:vertAlign w:val="baseline"/>
                <w:lang w:val="en-US" w:eastAsia="zh-CN"/>
              </w:rPr>
            </w:pPr>
          </w:p>
        </w:tc>
        <w:tc>
          <w:tcPr>
            <w:tcW w:w="1135" w:type="dxa"/>
            <w:tcBorders>
              <w:tl2br w:val="nil"/>
              <w:tr2bl w:val="nil"/>
            </w:tcBorders>
            <w:vAlign w:val="center"/>
          </w:tcPr>
          <w:p>
            <w:pPr>
              <w:bidi w:val="0"/>
              <w:rPr>
                <w:rFonts w:hint="default"/>
                <w:vertAlign w:val="baseline"/>
                <w:lang w:val="en-US" w:eastAsia="zh-CN"/>
              </w:rPr>
            </w:pPr>
          </w:p>
        </w:tc>
        <w:tc>
          <w:tcPr>
            <w:tcW w:w="1845" w:type="dxa"/>
            <w:tcBorders>
              <w:tl2br w:val="nil"/>
              <w:tr2bl w:val="nil"/>
            </w:tcBorders>
            <w:vAlign w:val="center"/>
          </w:tcPr>
          <w:p>
            <w:pPr>
              <w:bidi w:val="0"/>
              <w:rPr>
                <w:rFonts w:hint="default"/>
                <w:vertAlign w:val="baseline"/>
                <w:lang w:val="en-US" w:eastAsia="zh-CN"/>
              </w:rPr>
            </w:pPr>
          </w:p>
        </w:tc>
        <w:tc>
          <w:tcPr>
            <w:tcW w:w="1260" w:type="dxa"/>
            <w:tcBorders>
              <w:tl2br w:val="nil"/>
              <w:tr2bl w:val="nil"/>
            </w:tcBorders>
            <w:vAlign w:val="center"/>
          </w:tcPr>
          <w:p>
            <w:pPr>
              <w:bidi w:val="0"/>
              <w:rPr>
                <w:rFonts w:hint="default"/>
                <w:vertAlign w:val="baseline"/>
                <w:lang w:val="en-US" w:eastAsia="zh-CN"/>
              </w:rPr>
            </w:pPr>
          </w:p>
        </w:tc>
        <w:tc>
          <w:tcPr>
            <w:tcW w:w="1785" w:type="dxa"/>
            <w:tcBorders>
              <w:tl2br w:val="nil"/>
              <w:tr2bl w:val="nil"/>
            </w:tcBorders>
            <w:vAlign w:val="center"/>
          </w:tcPr>
          <w:p>
            <w:pPr>
              <w:bidi w:val="0"/>
              <w:rPr>
                <w:rFonts w:hint="default"/>
                <w:vertAlign w:val="baseline"/>
                <w:lang w:val="en-US" w:eastAsia="zh-CN"/>
              </w:rPr>
            </w:pPr>
          </w:p>
        </w:tc>
        <w:tc>
          <w:tcPr>
            <w:tcW w:w="1710" w:type="dxa"/>
            <w:tcBorders>
              <w:tl2br w:val="nil"/>
              <w:tr2bl w:val="nil"/>
            </w:tcBorders>
            <w:vAlign w:val="center"/>
          </w:tcPr>
          <w:p>
            <w:pPr>
              <w:bidi w:val="0"/>
              <w:rPr>
                <w:rFonts w:hint="default"/>
                <w:vertAlign w:val="baseline"/>
                <w:lang w:val="en-US" w:eastAsia="zh-CN"/>
              </w:rPr>
            </w:pPr>
          </w:p>
        </w:tc>
        <w:tc>
          <w:tcPr>
            <w:tcW w:w="890" w:type="dxa"/>
            <w:tcBorders>
              <w:tl2br w:val="nil"/>
              <w:tr2bl w:val="nil"/>
            </w:tcBorders>
            <w:vAlign w:val="center"/>
          </w:tcPr>
          <w:p>
            <w:pPr>
              <w:bidi w:val="0"/>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tcBorders>
              <w:tl2br w:val="nil"/>
              <w:tr2bl w:val="nil"/>
            </w:tcBorders>
            <w:vAlign w:val="center"/>
          </w:tcPr>
          <w:p>
            <w:pPr>
              <w:bidi w:val="0"/>
              <w:rPr>
                <w:rFonts w:hint="default"/>
                <w:vertAlign w:val="baseline"/>
                <w:lang w:val="en-US" w:eastAsia="zh-CN"/>
              </w:rPr>
            </w:pPr>
          </w:p>
        </w:tc>
        <w:tc>
          <w:tcPr>
            <w:tcW w:w="1135" w:type="dxa"/>
            <w:tcBorders>
              <w:tl2br w:val="nil"/>
              <w:tr2bl w:val="nil"/>
            </w:tcBorders>
            <w:vAlign w:val="center"/>
          </w:tcPr>
          <w:p>
            <w:pPr>
              <w:bidi w:val="0"/>
              <w:rPr>
                <w:rFonts w:hint="default"/>
                <w:vertAlign w:val="baseline"/>
                <w:lang w:val="en-US" w:eastAsia="zh-CN"/>
              </w:rPr>
            </w:pPr>
          </w:p>
        </w:tc>
        <w:tc>
          <w:tcPr>
            <w:tcW w:w="1845" w:type="dxa"/>
            <w:tcBorders>
              <w:tl2br w:val="nil"/>
              <w:tr2bl w:val="nil"/>
            </w:tcBorders>
            <w:vAlign w:val="center"/>
          </w:tcPr>
          <w:p>
            <w:pPr>
              <w:bidi w:val="0"/>
              <w:rPr>
                <w:rFonts w:hint="default"/>
                <w:vertAlign w:val="baseline"/>
                <w:lang w:val="en-US" w:eastAsia="zh-CN"/>
              </w:rPr>
            </w:pPr>
          </w:p>
        </w:tc>
        <w:tc>
          <w:tcPr>
            <w:tcW w:w="1260" w:type="dxa"/>
            <w:tcBorders>
              <w:tl2br w:val="nil"/>
              <w:tr2bl w:val="nil"/>
            </w:tcBorders>
            <w:vAlign w:val="center"/>
          </w:tcPr>
          <w:p>
            <w:pPr>
              <w:bidi w:val="0"/>
              <w:rPr>
                <w:rFonts w:hint="default"/>
                <w:vertAlign w:val="baseline"/>
                <w:lang w:val="en-US" w:eastAsia="zh-CN"/>
              </w:rPr>
            </w:pPr>
          </w:p>
        </w:tc>
        <w:tc>
          <w:tcPr>
            <w:tcW w:w="1785" w:type="dxa"/>
            <w:tcBorders>
              <w:tl2br w:val="nil"/>
              <w:tr2bl w:val="nil"/>
            </w:tcBorders>
            <w:vAlign w:val="center"/>
          </w:tcPr>
          <w:p>
            <w:pPr>
              <w:bidi w:val="0"/>
              <w:rPr>
                <w:rFonts w:hint="default"/>
                <w:vertAlign w:val="baseline"/>
                <w:lang w:val="en-US" w:eastAsia="zh-CN"/>
              </w:rPr>
            </w:pPr>
          </w:p>
        </w:tc>
        <w:tc>
          <w:tcPr>
            <w:tcW w:w="1710" w:type="dxa"/>
            <w:tcBorders>
              <w:tl2br w:val="nil"/>
              <w:tr2bl w:val="nil"/>
            </w:tcBorders>
            <w:vAlign w:val="center"/>
          </w:tcPr>
          <w:p>
            <w:pPr>
              <w:bidi w:val="0"/>
              <w:rPr>
                <w:rFonts w:hint="default"/>
                <w:vertAlign w:val="baseline"/>
                <w:lang w:val="en-US" w:eastAsia="zh-CN"/>
              </w:rPr>
            </w:pPr>
          </w:p>
        </w:tc>
        <w:tc>
          <w:tcPr>
            <w:tcW w:w="890" w:type="dxa"/>
            <w:tcBorders>
              <w:tl2br w:val="nil"/>
              <w:tr2bl w:val="nil"/>
            </w:tcBorders>
            <w:vAlign w:val="center"/>
          </w:tcPr>
          <w:p>
            <w:pPr>
              <w:bidi w:val="0"/>
              <w:rPr>
                <w:rFonts w:hint="default"/>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tcBorders>
              <w:tl2br w:val="nil"/>
              <w:tr2bl w:val="nil"/>
            </w:tcBorders>
            <w:vAlign w:val="center"/>
          </w:tcPr>
          <w:p>
            <w:pPr>
              <w:bidi w:val="0"/>
              <w:rPr>
                <w:rFonts w:hint="default"/>
                <w:vertAlign w:val="baseline"/>
                <w:lang w:val="en-US" w:eastAsia="zh-CN"/>
              </w:rPr>
            </w:pPr>
          </w:p>
        </w:tc>
        <w:tc>
          <w:tcPr>
            <w:tcW w:w="1135" w:type="dxa"/>
            <w:tcBorders>
              <w:tl2br w:val="nil"/>
              <w:tr2bl w:val="nil"/>
            </w:tcBorders>
            <w:vAlign w:val="center"/>
          </w:tcPr>
          <w:p>
            <w:pPr>
              <w:bidi w:val="0"/>
              <w:rPr>
                <w:rFonts w:hint="default"/>
                <w:vertAlign w:val="baseline"/>
                <w:lang w:val="en-US" w:eastAsia="zh-CN"/>
              </w:rPr>
            </w:pPr>
          </w:p>
        </w:tc>
        <w:tc>
          <w:tcPr>
            <w:tcW w:w="1845" w:type="dxa"/>
            <w:tcBorders>
              <w:tl2br w:val="nil"/>
              <w:tr2bl w:val="nil"/>
            </w:tcBorders>
            <w:vAlign w:val="center"/>
          </w:tcPr>
          <w:p>
            <w:pPr>
              <w:bidi w:val="0"/>
              <w:rPr>
                <w:rFonts w:hint="default"/>
                <w:vertAlign w:val="baseline"/>
                <w:lang w:val="en-US" w:eastAsia="zh-CN"/>
              </w:rPr>
            </w:pPr>
          </w:p>
        </w:tc>
        <w:tc>
          <w:tcPr>
            <w:tcW w:w="1260" w:type="dxa"/>
            <w:tcBorders>
              <w:tl2br w:val="nil"/>
              <w:tr2bl w:val="nil"/>
            </w:tcBorders>
            <w:vAlign w:val="center"/>
          </w:tcPr>
          <w:p>
            <w:pPr>
              <w:bidi w:val="0"/>
              <w:rPr>
                <w:rFonts w:hint="default"/>
                <w:vertAlign w:val="baseline"/>
                <w:lang w:val="en-US" w:eastAsia="zh-CN"/>
              </w:rPr>
            </w:pPr>
          </w:p>
        </w:tc>
        <w:tc>
          <w:tcPr>
            <w:tcW w:w="1785" w:type="dxa"/>
            <w:tcBorders>
              <w:tl2br w:val="nil"/>
              <w:tr2bl w:val="nil"/>
            </w:tcBorders>
            <w:vAlign w:val="center"/>
          </w:tcPr>
          <w:p>
            <w:pPr>
              <w:bidi w:val="0"/>
              <w:rPr>
                <w:rFonts w:hint="default"/>
                <w:vertAlign w:val="baseline"/>
                <w:lang w:val="en-US" w:eastAsia="zh-CN"/>
              </w:rPr>
            </w:pPr>
          </w:p>
        </w:tc>
        <w:tc>
          <w:tcPr>
            <w:tcW w:w="1710" w:type="dxa"/>
            <w:tcBorders>
              <w:tl2br w:val="nil"/>
              <w:tr2bl w:val="nil"/>
            </w:tcBorders>
            <w:vAlign w:val="center"/>
          </w:tcPr>
          <w:p>
            <w:pPr>
              <w:bidi w:val="0"/>
              <w:rPr>
                <w:rFonts w:hint="default"/>
                <w:vertAlign w:val="baseline"/>
                <w:lang w:val="en-US" w:eastAsia="zh-CN"/>
              </w:rPr>
            </w:pPr>
          </w:p>
        </w:tc>
        <w:tc>
          <w:tcPr>
            <w:tcW w:w="890" w:type="dxa"/>
            <w:tcBorders>
              <w:tl2br w:val="nil"/>
              <w:tr2bl w:val="nil"/>
            </w:tcBorders>
            <w:vAlign w:val="center"/>
          </w:tcPr>
          <w:p>
            <w:pPr>
              <w:bidi w:val="0"/>
              <w:rPr>
                <w:rFonts w:hint="default"/>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vertAlign w:val="baseline"/>
          <w:lang w:val="en-US" w:eastAsia="zh-CN"/>
        </w:rPr>
      </w:pPr>
      <w:r>
        <w:rPr>
          <w:rFonts w:hint="eastAsia"/>
          <w:lang w:val="en-US" w:eastAsia="zh-CN"/>
        </w:rPr>
        <w:t>注：附</w:t>
      </w:r>
      <w:r>
        <w:rPr>
          <w:rFonts w:hint="eastAsia" w:ascii="宋体" w:hAnsi="宋体" w:eastAsia="宋体" w:cs="宋体"/>
          <w:b w:val="0"/>
          <w:bCs w:val="0"/>
          <w:sz w:val="21"/>
          <w:szCs w:val="21"/>
          <w:vertAlign w:val="baseline"/>
          <w:lang w:val="en-US" w:eastAsia="zh-CN"/>
        </w:rPr>
        <w:t>相关证书及近3个月任意1个月的社保部门出具的社保证明复印件加盖公章。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供应商（盖章）：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法定代表人或授权代表人（签字或盖章）：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格式九 供应商基本情况表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0"/>
          <w:szCs w:val="48"/>
          <w:lang w:val="en-US" w:eastAsia="zh-CN"/>
        </w:rPr>
      </w:pPr>
      <w:r>
        <w:rPr>
          <w:rFonts w:hint="eastAsia" w:ascii="宋体" w:hAnsi="宋体" w:eastAsia="宋体" w:cs="宋体"/>
          <w:b/>
          <w:bCs/>
          <w:sz w:val="40"/>
          <w:szCs w:val="48"/>
          <w:lang w:val="en-US" w:eastAsia="zh-CN"/>
        </w:rPr>
        <w:t>供应商基本情况表</w:t>
      </w:r>
      <w:bookmarkEnd w:id="12"/>
      <w:bookmarkEnd w:id="13"/>
    </w:p>
    <w:tbl>
      <w:tblPr>
        <w:tblStyle w:val="15"/>
        <w:tblW w:w="0" w:type="auto"/>
        <w:tblInd w:w="2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915"/>
        <w:gridCol w:w="1062"/>
        <w:gridCol w:w="762"/>
        <w:gridCol w:w="2347"/>
        <w:gridCol w:w="23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1"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单位名称</w:t>
            </w:r>
          </w:p>
        </w:tc>
        <w:tc>
          <w:tcPr>
            <w:tcW w:w="2739" w:type="dxa"/>
            <w:gridSpan w:val="3"/>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p>
        </w:tc>
        <w:tc>
          <w:tcPr>
            <w:tcW w:w="2347"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统一社会信用代码</w:t>
            </w:r>
          </w:p>
        </w:tc>
        <w:tc>
          <w:tcPr>
            <w:tcW w:w="2303"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1"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注册地址</w:t>
            </w:r>
          </w:p>
        </w:tc>
        <w:tc>
          <w:tcPr>
            <w:tcW w:w="7389" w:type="dxa"/>
            <w:gridSpan w:val="5"/>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1"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经营地址</w:t>
            </w:r>
          </w:p>
        </w:tc>
        <w:tc>
          <w:tcPr>
            <w:tcW w:w="7389" w:type="dxa"/>
            <w:gridSpan w:val="5"/>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1"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单位性质</w:t>
            </w:r>
          </w:p>
        </w:tc>
        <w:tc>
          <w:tcPr>
            <w:tcW w:w="2739" w:type="dxa"/>
            <w:gridSpan w:val="3"/>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p>
        </w:tc>
        <w:tc>
          <w:tcPr>
            <w:tcW w:w="2347"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注册资本</w:t>
            </w:r>
          </w:p>
        </w:tc>
        <w:tc>
          <w:tcPr>
            <w:tcW w:w="2303"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1"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经营范围</w:t>
            </w:r>
          </w:p>
        </w:tc>
        <w:tc>
          <w:tcPr>
            <w:tcW w:w="2739" w:type="dxa"/>
            <w:gridSpan w:val="3"/>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p>
        </w:tc>
        <w:tc>
          <w:tcPr>
            <w:tcW w:w="2347"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营业期限</w:t>
            </w:r>
          </w:p>
        </w:tc>
        <w:tc>
          <w:tcPr>
            <w:tcW w:w="2303"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年 月-  年 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1"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资质情况</w:t>
            </w:r>
          </w:p>
        </w:tc>
        <w:tc>
          <w:tcPr>
            <w:tcW w:w="7389" w:type="dxa"/>
            <w:gridSpan w:val="5"/>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1"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员工数量</w:t>
            </w:r>
          </w:p>
        </w:tc>
        <w:tc>
          <w:tcPr>
            <w:tcW w:w="7389" w:type="dxa"/>
            <w:gridSpan w:val="5"/>
            <w:tcBorders>
              <w:tl2br w:val="nil"/>
              <w:tr2bl w:val="nil"/>
            </w:tcBorders>
            <w:noWrap w:val="0"/>
            <w:vAlign w:val="center"/>
          </w:tcPr>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共</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人，其中，高级职称</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人，中级职称</w:t>
            </w:r>
            <w:r>
              <w:rPr>
                <w:rFonts w:hint="eastAsia" w:ascii="Times New Roman" w:hAnsi="Times New Roman" w:cs="宋体"/>
                <w:color w:val="auto"/>
                <w:szCs w:val="21"/>
                <w:highlight w:val="none"/>
                <w:u w:val="single"/>
              </w:rPr>
              <w:t xml:space="preserve">  </w:t>
            </w:r>
            <w:r>
              <w:rPr>
                <w:rFonts w:hint="eastAsia" w:ascii="Times New Roman" w:hAnsi="Times New Roman" w:cs="宋体"/>
                <w:color w:val="auto"/>
                <w:szCs w:val="21"/>
                <w:highlight w:val="none"/>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1"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联系电话</w:t>
            </w:r>
          </w:p>
        </w:tc>
        <w:tc>
          <w:tcPr>
            <w:tcW w:w="2739" w:type="dxa"/>
            <w:gridSpan w:val="3"/>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p>
        </w:tc>
        <w:tc>
          <w:tcPr>
            <w:tcW w:w="2347"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传真</w:t>
            </w:r>
          </w:p>
        </w:tc>
        <w:tc>
          <w:tcPr>
            <w:tcW w:w="2303"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1"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主要业绩</w:t>
            </w:r>
          </w:p>
        </w:tc>
        <w:tc>
          <w:tcPr>
            <w:tcW w:w="7389" w:type="dxa"/>
            <w:gridSpan w:val="5"/>
            <w:tcBorders>
              <w:tl2br w:val="nil"/>
              <w:tr2bl w:val="nil"/>
            </w:tcBorders>
            <w:noWrap w:val="0"/>
            <w:vAlign w:val="center"/>
          </w:tcPr>
          <w:p>
            <w:pPr>
              <w:spacing w:line="360" w:lineRule="auto"/>
              <w:rPr>
                <w:rFonts w:hint="eastAsia" w:ascii="Times New Roman" w:hAnsi="Times New Roman" w:cs="宋体"/>
                <w:color w:val="auto"/>
                <w:szCs w:val="21"/>
                <w:highlight w:val="none"/>
              </w:rPr>
            </w:pPr>
          </w:p>
          <w:p>
            <w:pPr>
              <w:spacing w:line="360" w:lineRule="auto"/>
              <w:rPr>
                <w:rFonts w:hint="eastAsia" w:ascii="Times New Roman" w:hAnsi="Times New Roman"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00" w:type="dxa"/>
            <w:gridSpan w:val="6"/>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法 定 代 表 人 基 本 情 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1"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姓  名</w:t>
            </w:r>
          </w:p>
        </w:tc>
        <w:tc>
          <w:tcPr>
            <w:tcW w:w="2739" w:type="dxa"/>
            <w:gridSpan w:val="3"/>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p>
        </w:tc>
        <w:tc>
          <w:tcPr>
            <w:tcW w:w="2347"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身份证号码</w:t>
            </w:r>
          </w:p>
        </w:tc>
        <w:tc>
          <w:tcPr>
            <w:tcW w:w="2303"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1"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职  务</w:t>
            </w:r>
          </w:p>
        </w:tc>
        <w:tc>
          <w:tcPr>
            <w:tcW w:w="915"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p>
        </w:tc>
        <w:tc>
          <w:tcPr>
            <w:tcW w:w="1062"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职   称</w:t>
            </w:r>
          </w:p>
        </w:tc>
        <w:tc>
          <w:tcPr>
            <w:tcW w:w="762"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p>
        </w:tc>
        <w:tc>
          <w:tcPr>
            <w:tcW w:w="2347"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学    历</w:t>
            </w:r>
          </w:p>
        </w:tc>
        <w:tc>
          <w:tcPr>
            <w:tcW w:w="2303" w:type="dxa"/>
            <w:tcBorders>
              <w:tl2br w:val="nil"/>
              <w:tr2bl w:val="nil"/>
            </w:tcBorders>
            <w:noWrap w:val="0"/>
            <w:vAlign w:val="center"/>
          </w:tcPr>
          <w:p>
            <w:pPr>
              <w:spacing w:line="360" w:lineRule="auto"/>
              <w:jc w:val="center"/>
              <w:rPr>
                <w:rFonts w:hint="eastAsia" w:ascii="Times New Roman" w:hAnsi="Times New Roman"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00" w:type="dxa"/>
            <w:gridSpan w:val="6"/>
            <w:tcBorders>
              <w:tl2br w:val="nil"/>
              <w:tr2bl w:val="nil"/>
            </w:tcBorders>
            <w:noWrap w:val="0"/>
            <w:vAlign w:val="center"/>
          </w:tcPr>
          <w:p>
            <w:pPr>
              <w:spacing w:line="360" w:lineRule="auto"/>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备注:</w:t>
            </w:r>
          </w:p>
        </w:tc>
      </w:tr>
    </w:tbl>
    <w:p>
      <w:pPr>
        <w:spacing w:line="360" w:lineRule="auto"/>
        <w:rPr>
          <w:rFonts w:hint="eastAsia" w:cs="宋体"/>
          <w:b/>
          <w:color w:val="auto"/>
          <w:szCs w:val="21"/>
          <w:highlight w:val="none"/>
        </w:rPr>
      </w:pPr>
      <w:r>
        <w:rPr>
          <w:rFonts w:hint="eastAsia" w:cs="宋体"/>
          <w:b/>
          <w:color w:val="auto"/>
          <w:szCs w:val="21"/>
          <w:highlight w:val="none"/>
        </w:rPr>
        <w:t>兹证明上述声明是真实、正确的，并提供了全部能提供的资料和数据，我们同意遵照贵方要求出示有关证明文件。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color w:val="auto"/>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供应商（盖章）：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法定代表人或授权代表人（签字或盖章）：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b/>
          <w:color w:val="auto"/>
          <w:szCs w:val="21"/>
          <w:highlight w:val="none"/>
        </w:rPr>
      </w:pPr>
      <w:r>
        <w:rPr>
          <w:rFonts w:hint="default" w:ascii="宋体" w:hAnsi="宋体" w:eastAsia="宋体" w:cs="宋体"/>
          <w:b w:val="0"/>
          <w:bCs w:val="0"/>
          <w:sz w:val="21"/>
          <w:szCs w:val="24"/>
          <w:lang w:val="en-US" w:eastAsia="zh-CN"/>
        </w:rPr>
        <w:t>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格式十 法定代表人身份证明书</w:t>
      </w:r>
      <w:r>
        <w:rPr>
          <w:rFonts w:hint="eastAsia" w:ascii="宋体" w:hAnsi="宋体" w:eastAsia="宋体" w:cs="宋体"/>
          <w:b w:val="0"/>
          <w:bCs w:val="0"/>
          <w:sz w:val="21"/>
          <w:szCs w:val="24"/>
          <w:lang w:val="en-US" w:eastAsia="zh-CN"/>
        </w:rPr>
        <w:t>及</w:t>
      </w:r>
      <w:r>
        <w:rPr>
          <w:rFonts w:hint="default" w:ascii="宋体" w:hAnsi="宋体" w:eastAsia="宋体" w:cs="宋体"/>
          <w:b w:val="0"/>
          <w:bCs w:val="0"/>
          <w:sz w:val="21"/>
          <w:szCs w:val="24"/>
          <w:lang w:val="en-US" w:eastAsia="zh-CN"/>
        </w:rPr>
        <w:t>法定代表人授权书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default" w:ascii="宋体" w:hAnsi="宋体" w:eastAsia="宋体" w:cs="宋体"/>
          <w:b/>
          <w:bCs/>
          <w:sz w:val="40"/>
          <w:szCs w:val="48"/>
          <w:lang w:val="en-US" w:eastAsia="zh-CN"/>
        </w:rPr>
      </w:pPr>
      <w:bookmarkStart w:id="14" w:name="_Toc11303"/>
      <w:r>
        <w:rPr>
          <w:rFonts w:hint="default" w:ascii="宋体" w:hAnsi="宋体" w:eastAsia="宋体" w:cs="宋体"/>
          <w:b/>
          <w:bCs/>
          <w:sz w:val="40"/>
          <w:szCs w:val="48"/>
          <w:lang w:val="en-US" w:eastAsia="zh-CN"/>
        </w:rPr>
        <w:t>法定代表人身份证明书</w:t>
      </w:r>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单位名称：</w:t>
      </w:r>
      <w:r>
        <w:rPr>
          <w:rFonts w:hint="default" w:ascii="宋体" w:hAnsi="宋体" w:eastAsia="宋体" w:cs="宋体"/>
          <w:b w:val="0"/>
          <w:bCs w:val="0"/>
          <w:sz w:val="21"/>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地    址：</w:t>
      </w:r>
      <w:r>
        <w:rPr>
          <w:rFonts w:hint="default" w:ascii="宋体" w:hAnsi="宋体" w:eastAsia="宋体" w:cs="宋体"/>
          <w:b w:val="0"/>
          <w:bCs w:val="0"/>
          <w:sz w:val="21"/>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姓    名：</w:t>
      </w:r>
      <w:r>
        <w:rPr>
          <w:rFonts w:hint="default" w:ascii="宋体" w:hAnsi="宋体" w:eastAsia="宋体" w:cs="宋体"/>
          <w:b w:val="0"/>
          <w:bCs w:val="0"/>
          <w:sz w:val="21"/>
          <w:szCs w:val="24"/>
          <w:u w:val="single"/>
          <w:lang w:val="en-US" w:eastAsia="zh-CN"/>
        </w:rPr>
        <w:t xml:space="preserve">                          </w:t>
      </w:r>
      <w:r>
        <w:rPr>
          <w:rFonts w:hint="default" w:ascii="宋体" w:hAnsi="宋体" w:eastAsia="宋体" w:cs="宋体"/>
          <w:b w:val="0"/>
          <w:bCs w:val="0"/>
          <w:sz w:val="21"/>
          <w:szCs w:val="24"/>
          <w:lang w:val="en-US" w:eastAsia="zh-CN"/>
        </w:rPr>
        <w:t xml:space="preserve">   性    别：</w:t>
      </w:r>
      <w:r>
        <w:rPr>
          <w:rFonts w:hint="default" w:ascii="宋体" w:hAnsi="宋体" w:eastAsia="宋体" w:cs="宋体"/>
          <w:b w:val="0"/>
          <w:bCs w:val="0"/>
          <w:sz w:val="21"/>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u w:val="single"/>
          <w:lang w:val="en-US" w:eastAsia="zh-CN"/>
        </w:rPr>
      </w:pPr>
      <w:r>
        <w:rPr>
          <w:rFonts w:hint="default" w:ascii="宋体" w:hAnsi="宋体" w:eastAsia="宋体" w:cs="宋体"/>
          <w:b w:val="0"/>
          <w:bCs w:val="0"/>
          <w:sz w:val="21"/>
          <w:szCs w:val="24"/>
          <w:lang w:val="en-US" w:eastAsia="zh-CN"/>
        </w:rPr>
        <w:t>年    龄：</w:t>
      </w:r>
      <w:r>
        <w:rPr>
          <w:rFonts w:hint="default" w:ascii="宋体" w:hAnsi="宋体" w:eastAsia="宋体" w:cs="宋体"/>
          <w:b w:val="0"/>
          <w:bCs w:val="0"/>
          <w:sz w:val="21"/>
          <w:szCs w:val="24"/>
          <w:u w:val="single"/>
          <w:lang w:val="en-US" w:eastAsia="zh-CN"/>
        </w:rPr>
        <w:t xml:space="preserve">                          </w:t>
      </w:r>
      <w:r>
        <w:rPr>
          <w:rFonts w:hint="default" w:ascii="宋体" w:hAnsi="宋体" w:eastAsia="宋体" w:cs="宋体"/>
          <w:b w:val="0"/>
          <w:bCs w:val="0"/>
          <w:sz w:val="21"/>
          <w:szCs w:val="24"/>
          <w:lang w:val="en-US" w:eastAsia="zh-CN"/>
        </w:rPr>
        <w:t xml:space="preserve">   职    务：</w:t>
      </w:r>
      <w:r>
        <w:rPr>
          <w:rFonts w:hint="default" w:ascii="宋体" w:hAnsi="宋体" w:eastAsia="宋体" w:cs="宋体"/>
          <w:b w:val="0"/>
          <w:bCs w:val="0"/>
          <w:sz w:val="21"/>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u w:val="single"/>
          <w:lang w:val="en-US" w:eastAsia="zh-CN"/>
        </w:rPr>
      </w:pPr>
      <w:r>
        <w:rPr>
          <w:rFonts w:hint="default" w:ascii="宋体" w:hAnsi="宋体" w:eastAsia="宋体" w:cs="宋体"/>
          <w:b w:val="0"/>
          <w:bCs w:val="0"/>
          <w:sz w:val="21"/>
          <w:szCs w:val="24"/>
          <w:lang w:val="en-US" w:eastAsia="zh-CN"/>
        </w:rPr>
        <w:t>身份证号码：</w:t>
      </w:r>
      <w:r>
        <w:rPr>
          <w:rFonts w:hint="default" w:ascii="宋体" w:hAnsi="宋体" w:eastAsia="宋体" w:cs="宋体"/>
          <w:b w:val="0"/>
          <w:bCs w:val="0"/>
          <w:sz w:val="21"/>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系</w:t>
      </w:r>
      <w:r>
        <w:rPr>
          <w:rFonts w:hint="default" w:ascii="宋体" w:hAnsi="宋体" w:eastAsia="宋体" w:cs="宋体"/>
          <w:b w:val="0"/>
          <w:bCs w:val="0"/>
          <w:sz w:val="21"/>
          <w:szCs w:val="24"/>
          <w:u w:val="single"/>
          <w:lang w:val="en-US" w:eastAsia="zh-CN"/>
        </w:rPr>
        <w:t xml:space="preserve">                         （</w:t>
      </w:r>
      <w:r>
        <w:rPr>
          <w:rFonts w:hint="eastAsia" w:ascii="宋体" w:hAnsi="宋体" w:eastAsia="宋体" w:cs="宋体"/>
          <w:b w:val="0"/>
          <w:bCs w:val="0"/>
          <w:sz w:val="21"/>
          <w:szCs w:val="24"/>
          <w:u w:val="single"/>
          <w:lang w:val="en-US" w:eastAsia="zh-CN"/>
        </w:rPr>
        <w:t>供应商</w:t>
      </w:r>
      <w:r>
        <w:rPr>
          <w:rFonts w:hint="default" w:ascii="宋体" w:hAnsi="宋体" w:eastAsia="宋体" w:cs="宋体"/>
          <w:b w:val="0"/>
          <w:bCs w:val="0"/>
          <w:sz w:val="21"/>
          <w:szCs w:val="24"/>
          <w:u w:val="single"/>
          <w:lang w:val="en-US" w:eastAsia="zh-CN"/>
        </w:rPr>
        <w:t>全称）</w:t>
      </w:r>
      <w:r>
        <w:rPr>
          <w:rFonts w:hint="default" w:ascii="宋体" w:hAnsi="宋体" w:eastAsia="宋体" w:cs="宋体"/>
          <w:b w:val="0"/>
          <w:bCs w:val="0"/>
          <w:sz w:val="21"/>
          <w:szCs w:val="24"/>
          <w:lang w:val="en-US" w:eastAsia="zh-CN"/>
        </w:rPr>
        <w:t>的法定代表人。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特此证明。</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（后附法定代表人身份证正反面复印件）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供应商</w:t>
      </w:r>
      <w:r>
        <w:rPr>
          <w:rFonts w:hint="default" w:ascii="宋体" w:hAnsi="宋体" w:eastAsia="宋体" w:cs="宋体"/>
          <w:b w:val="0"/>
          <w:bCs w:val="0"/>
          <w:sz w:val="21"/>
          <w:szCs w:val="24"/>
          <w:lang w:val="en-US" w:eastAsia="zh-CN"/>
        </w:rPr>
        <w:t>（盖章）：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法定代表人（签字或盖章）：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40"/>
          <w:szCs w:val="48"/>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40"/>
          <w:szCs w:val="48"/>
          <w:lang w:val="en-US" w:eastAsia="zh-CN"/>
        </w:rPr>
      </w:pPr>
      <w:r>
        <w:rPr>
          <w:rFonts w:hint="default" w:ascii="宋体" w:hAnsi="宋体" w:eastAsia="宋体" w:cs="宋体"/>
          <w:b/>
          <w:bCs/>
          <w:sz w:val="40"/>
          <w:szCs w:val="48"/>
          <w:lang w:val="en-US" w:eastAsia="zh-CN"/>
        </w:rPr>
        <w:t>法定代表人授权书</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val="0"/>
          <w:sz w:val="21"/>
          <w:szCs w:val="24"/>
          <w:lang w:val="en-US" w:eastAsia="zh-CN"/>
        </w:rPr>
      </w:pPr>
      <w:r>
        <w:rPr>
          <w:rFonts w:hint="default" w:ascii="宋体" w:hAnsi="宋体" w:eastAsia="宋体" w:cs="宋体"/>
          <w:b w:val="0"/>
          <w:bCs w:val="0"/>
          <w:sz w:val="21"/>
          <w:szCs w:val="24"/>
          <w:u w:val="single"/>
          <w:lang w:val="en-US" w:eastAsia="zh-CN"/>
        </w:rPr>
        <w:t>致宁波市生态环境局鄞州分局</w:t>
      </w:r>
      <w:r>
        <w:rPr>
          <w:rFonts w:hint="default" w:ascii="宋体" w:hAnsi="宋体" w:eastAsia="宋体" w:cs="宋体"/>
          <w:b w:val="0"/>
          <w:bCs w:val="0"/>
          <w:sz w:val="21"/>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jc w:val="left"/>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u w:val="single"/>
          <w:lang w:val="en-US" w:eastAsia="zh-CN"/>
        </w:rPr>
        <w:t xml:space="preserve">   </w:t>
      </w:r>
      <w:r>
        <w:rPr>
          <w:rFonts w:hint="default" w:ascii="宋体" w:hAnsi="宋体" w:eastAsia="宋体" w:cs="宋体"/>
          <w:b w:val="0"/>
          <w:bCs w:val="0"/>
          <w:sz w:val="21"/>
          <w:szCs w:val="24"/>
          <w:u w:val="single"/>
          <w:lang w:val="en-US" w:eastAsia="zh-CN"/>
        </w:rPr>
        <w:t>（投标人全称）</w:t>
      </w:r>
      <w:r>
        <w:rPr>
          <w:rFonts w:hint="eastAsia" w:ascii="宋体" w:hAnsi="宋体" w:eastAsia="宋体" w:cs="宋体"/>
          <w:b w:val="0"/>
          <w:bCs w:val="0"/>
          <w:sz w:val="21"/>
          <w:szCs w:val="24"/>
          <w:u w:val="single"/>
          <w:lang w:val="en-US" w:eastAsia="zh-CN"/>
        </w:rPr>
        <w:t xml:space="preserve">   </w:t>
      </w:r>
      <w:r>
        <w:rPr>
          <w:rFonts w:hint="default" w:ascii="宋体" w:hAnsi="宋体" w:eastAsia="宋体" w:cs="宋体"/>
          <w:b w:val="0"/>
          <w:bCs w:val="0"/>
          <w:sz w:val="21"/>
          <w:szCs w:val="24"/>
          <w:u w:val="none"/>
          <w:lang w:val="en-US" w:eastAsia="zh-CN"/>
        </w:rPr>
        <w:t>法</w:t>
      </w:r>
      <w:r>
        <w:rPr>
          <w:rFonts w:hint="default" w:ascii="宋体" w:hAnsi="宋体" w:eastAsia="宋体" w:cs="宋体"/>
          <w:b w:val="0"/>
          <w:bCs w:val="0"/>
          <w:sz w:val="21"/>
          <w:szCs w:val="24"/>
          <w:lang w:val="en-US" w:eastAsia="zh-CN"/>
        </w:rPr>
        <w:t>定代表人（姓名、职务）授权（被授权代表姓名、职务）为本公司合法代理人，参加贵采购代理机构组织的</w:t>
      </w:r>
      <w:r>
        <w:rPr>
          <w:rFonts w:hint="default" w:ascii="宋体" w:hAnsi="宋体" w:eastAsia="宋体" w:cs="宋体"/>
          <w:b w:val="0"/>
          <w:bCs w:val="0"/>
          <w:sz w:val="21"/>
          <w:szCs w:val="24"/>
          <w:u w:val="single"/>
          <w:lang w:val="en-US" w:eastAsia="zh-CN"/>
        </w:rPr>
        <w:t xml:space="preserve">   （项目编号）</w:t>
      </w:r>
      <w:r>
        <w:rPr>
          <w:rFonts w:hint="eastAsia" w:ascii="宋体" w:hAnsi="宋体" w:eastAsia="宋体" w:cs="宋体"/>
          <w:b w:val="0"/>
          <w:bCs w:val="0"/>
          <w:sz w:val="21"/>
          <w:szCs w:val="24"/>
          <w:u w:val="single"/>
          <w:lang w:val="en-US" w:eastAsia="zh-CN"/>
        </w:rPr>
        <w:t>、</w:t>
      </w:r>
      <w:r>
        <w:rPr>
          <w:rFonts w:hint="default" w:ascii="宋体" w:hAnsi="宋体" w:eastAsia="宋体" w:cs="宋体"/>
          <w:b w:val="0"/>
          <w:bCs w:val="0"/>
          <w:sz w:val="21"/>
          <w:szCs w:val="24"/>
          <w:u w:val="single"/>
          <w:lang w:val="en-US" w:eastAsia="zh-CN"/>
        </w:rPr>
        <w:t xml:space="preserve">（项目名称）      </w:t>
      </w:r>
      <w:r>
        <w:rPr>
          <w:rFonts w:hint="default" w:ascii="宋体" w:hAnsi="宋体" w:eastAsia="宋体" w:cs="宋体"/>
          <w:b w:val="0"/>
          <w:bCs w:val="0"/>
          <w:sz w:val="21"/>
          <w:szCs w:val="24"/>
          <w:lang w:val="en-US" w:eastAsia="zh-CN"/>
        </w:rPr>
        <w:t>项目的招标投标活动，全权代表本公司处理招标投标活动中的一切事宜。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本授权书于</w:t>
      </w:r>
      <w:r>
        <w:rPr>
          <w:rFonts w:hint="default" w:ascii="宋体" w:hAnsi="宋体" w:eastAsia="宋体" w:cs="宋体"/>
          <w:b w:val="0"/>
          <w:bCs w:val="0"/>
          <w:sz w:val="21"/>
          <w:szCs w:val="24"/>
          <w:u w:val="single"/>
          <w:lang w:val="en-US" w:eastAsia="zh-CN"/>
        </w:rPr>
        <w:t xml:space="preserve">     </w:t>
      </w:r>
      <w:r>
        <w:rPr>
          <w:rFonts w:hint="default" w:ascii="宋体" w:hAnsi="宋体" w:eastAsia="宋体" w:cs="宋体"/>
          <w:b w:val="0"/>
          <w:bCs w:val="0"/>
          <w:sz w:val="21"/>
          <w:szCs w:val="24"/>
          <w:lang w:val="en-US" w:eastAsia="zh-CN"/>
        </w:rPr>
        <w:t>年</w:t>
      </w:r>
      <w:r>
        <w:rPr>
          <w:rFonts w:hint="default" w:ascii="宋体" w:hAnsi="宋体" w:eastAsia="宋体" w:cs="宋体"/>
          <w:b w:val="0"/>
          <w:bCs w:val="0"/>
          <w:sz w:val="21"/>
          <w:szCs w:val="24"/>
          <w:u w:val="single"/>
          <w:lang w:val="en-US" w:eastAsia="zh-CN"/>
        </w:rPr>
        <w:t xml:space="preserve">     </w:t>
      </w:r>
      <w:r>
        <w:rPr>
          <w:rFonts w:hint="default" w:ascii="宋体" w:hAnsi="宋体" w:eastAsia="宋体" w:cs="宋体"/>
          <w:b w:val="0"/>
          <w:bCs w:val="0"/>
          <w:sz w:val="21"/>
          <w:szCs w:val="24"/>
          <w:lang w:val="en-US" w:eastAsia="zh-CN"/>
        </w:rPr>
        <w:t>月</w:t>
      </w:r>
      <w:r>
        <w:rPr>
          <w:rFonts w:hint="default" w:ascii="宋体" w:hAnsi="宋体" w:eastAsia="宋体" w:cs="宋体"/>
          <w:b w:val="0"/>
          <w:bCs w:val="0"/>
          <w:sz w:val="21"/>
          <w:szCs w:val="24"/>
          <w:u w:val="single"/>
          <w:lang w:val="en-US" w:eastAsia="zh-CN"/>
        </w:rPr>
        <w:t xml:space="preserve">     </w:t>
      </w:r>
      <w:r>
        <w:rPr>
          <w:rFonts w:hint="default" w:ascii="宋体" w:hAnsi="宋体" w:eastAsia="宋体" w:cs="宋体"/>
          <w:b w:val="0"/>
          <w:bCs w:val="0"/>
          <w:sz w:val="21"/>
          <w:szCs w:val="24"/>
          <w:lang w:val="en-US" w:eastAsia="zh-CN"/>
        </w:rPr>
        <w:t>日签字（或盖章）生效，特此声明。</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（后附被授权人身份证正反面复印件）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法定代表人（签字或盖章）：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供应商</w:t>
      </w:r>
      <w:r>
        <w:rPr>
          <w:rFonts w:hint="default" w:ascii="宋体" w:hAnsi="宋体" w:eastAsia="宋体" w:cs="宋体"/>
          <w:b w:val="0"/>
          <w:bCs w:val="0"/>
          <w:sz w:val="21"/>
          <w:szCs w:val="24"/>
          <w:lang w:val="en-US" w:eastAsia="zh-CN"/>
        </w:rPr>
        <w:t>（盖章）：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日期：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被授权人姓名（印刷体）：</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职务：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被授权人（签字或盖章）：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详细通讯地址：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传真：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1"/>
          <w:szCs w:val="24"/>
          <w:lang w:val="en-US" w:eastAsia="zh-CN"/>
        </w:rPr>
      </w:pPr>
      <w:r>
        <w:rPr>
          <w:rFonts w:hint="default" w:ascii="宋体" w:hAnsi="宋体" w:eastAsia="宋体" w:cs="宋体"/>
          <w:b w:val="0"/>
          <w:bCs w:val="0"/>
          <w:sz w:val="21"/>
          <w:szCs w:val="24"/>
          <w:lang w:val="en-US" w:eastAsia="zh-CN"/>
        </w:rPr>
        <w:t>格式十</w:t>
      </w:r>
      <w:r>
        <w:rPr>
          <w:rFonts w:hint="eastAsia" w:ascii="宋体" w:hAnsi="宋体" w:eastAsia="宋体" w:cs="宋体"/>
          <w:b w:val="0"/>
          <w:bCs w:val="0"/>
          <w:sz w:val="21"/>
          <w:szCs w:val="24"/>
          <w:lang w:val="en-US" w:eastAsia="zh-CN"/>
        </w:rPr>
        <w:t>一</w:t>
      </w:r>
      <w:r>
        <w:rPr>
          <w:rFonts w:hint="default" w:ascii="宋体" w:hAnsi="宋体" w:eastAsia="宋体" w:cs="宋体"/>
          <w:b w:val="0"/>
          <w:bCs w:val="0"/>
          <w:sz w:val="21"/>
          <w:szCs w:val="24"/>
          <w:lang w:val="en-US" w:eastAsia="zh-CN"/>
        </w:rPr>
        <w:t xml:space="preserve"> 中小企业声明函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40"/>
          <w:szCs w:val="48"/>
          <w:lang w:val="en-US" w:eastAsia="zh-CN"/>
        </w:rPr>
      </w:pPr>
      <w:r>
        <w:rPr>
          <w:rFonts w:hint="default" w:ascii="宋体" w:hAnsi="宋体" w:eastAsia="宋体" w:cs="宋体"/>
          <w:b/>
          <w:bCs/>
          <w:sz w:val="40"/>
          <w:szCs w:val="48"/>
          <w:lang w:val="en-US" w:eastAsia="zh-CN"/>
        </w:rPr>
        <w:t>中小企业声明函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本公司郑重声明，根据《政府采购促进中小企业发展管理办法》（财库﹝2020﹞46 号）的规定，本公司参加（单位名称）的（项目名称）采购活动，服务全部由符合政策要求的中小企业承接。相关企业的具体情况如下：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eastAsia="宋体" w:cs="宋体"/>
          <w:b/>
          <w:bCs/>
          <w:u w:val="single"/>
          <w:lang w:val="en-US" w:eastAsia="zh-CN"/>
        </w:rPr>
        <w:t xml:space="preserve">           （标的名称）</w:t>
      </w:r>
      <w:r>
        <w:rPr>
          <w:rFonts w:hint="eastAsia" w:ascii="宋体" w:hAnsi="宋体" w:eastAsia="宋体" w:cs="宋体"/>
          <w:lang w:val="en-US" w:eastAsia="zh-CN"/>
        </w:rPr>
        <w:t>，属于</w:t>
      </w:r>
      <w:r>
        <w:rPr>
          <w:rFonts w:hint="eastAsia" w:ascii="宋体" w:hAnsi="宋体" w:eastAsia="宋体" w:cs="宋体"/>
          <w:b/>
          <w:bCs/>
          <w:u w:val="single"/>
          <w:lang w:val="en-US" w:eastAsia="zh-CN"/>
        </w:rPr>
        <w:t>其他未列明行业</w:t>
      </w:r>
      <w:r>
        <w:rPr>
          <w:rFonts w:hint="eastAsia" w:ascii="宋体" w:hAnsi="宋体" w:eastAsia="宋体" w:cs="宋体"/>
          <w:lang w:val="en-US" w:eastAsia="zh-CN"/>
        </w:rPr>
        <w:t>；承接企业为</w:t>
      </w:r>
      <w:r>
        <w:rPr>
          <w:rFonts w:hint="eastAsia" w:ascii="宋体" w:hAnsi="宋体" w:eastAsia="宋体" w:cs="宋体"/>
          <w:b/>
          <w:bCs/>
          <w:u w:val="single"/>
          <w:lang w:val="en-US" w:eastAsia="zh-CN"/>
        </w:rPr>
        <w:t xml:space="preserve">       （企业名称）</w:t>
      </w:r>
      <w:r>
        <w:rPr>
          <w:rFonts w:hint="eastAsia" w:ascii="宋体" w:hAnsi="宋体" w:eastAsia="宋体" w:cs="宋体"/>
          <w:lang w:val="en-US" w:eastAsia="zh-CN"/>
        </w:rPr>
        <w:t>，从业人员</w:t>
      </w:r>
      <w:r>
        <w:rPr>
          <w:rFonts w:hint="eastAsia" w:ascii="宋体" w:hAnsi="宋体" w:eastAsia="宋体" w:cs="宋体"/>
          <w:b/>
          <w:bCs/>
          <w:u w:val="single"/>
          <w:lang w:val="en-US" w:eastAsia="zh-CN"/>
        </w:rPr>
        <w:t xml:space="preserve">   （本项为必填项）</w:t>
      </w:r>
      <w:r>
        <w:rPr>
          <w:rFonts w:hint="eastAsia" w:ascii="宋体" w:hAnsi="宋体" w:eastAsia="宋体" w:cs="宋体"/>
          <w:lang w:val="en-US" w:eastAsia="zh-CN"/>
        </w:rPr>
        <w:t>人，营业收入为</w:t>
      </w:r>
      <w:r>
        <w:rPr>
          <w:rFonts w:hint="eastAsia" w:ascii="宋体" w:hAnsi="宋体" w:eastAsia="宋体" w:cs="宋体"/>
          <w:b/>
          <w:bCs/>
          <w:u w:val="single"/>
          <w:lang w:val="en-US" w:eastAsia="zh-CN"/>
        </w:rPr>
        <w:t xml:space="preserve">   （本项为必填项）</w:t>
      </w:r>
      <w:r>
        <w:rPr>
          <w:rFonts w:hint="eastAsia" w:ascii="宋体" w:hAnsi="宋体" w:eastAsia="宋体" w:cs="宋体"/>
          <w:lang w:val="en-US" w:eastAsia="zh-CN"/>
        </w:rPr>
        <w:t>万元，资产总额为</w:t>
      </w:r>
      <w:r>
        <w:rPr>
          <w:rFonts w:hint="eastAsia" w:ascii="宋体" w:hAnsi="宋体" w:eastAsia="宋体" w:cs="宋体"/>
          <w:b/>
          <w:bCs/>
          <w:u w:val="single"/>
          <w:lang w:val="en-US" w:eastAsia="zh-CN"/>
        </w:rPr>
        <w:t xml:space="preserve">   （本项为必填项）</w:t>
      </w:r>
      <w:r>
        <w:rPr>
          <w:rFonts w:hint="eastAsia" w:ascii="宋体" w:hAnsi="宋体" w:eastAsia="宋体" w:cs="宋体"/>
          <w:lang w:val="en-US" w:eastAsia="zh-CN"/>
        </w:rPr>
        <w:t>万元</w:t>
      </w:r>
      <w:r>
        <w:rPr>
          <w:rFonts w:hint="eastAsia" w:ascii="宋体" w:hAnsi="宋体" w:eastAsia="宋体" w:cs="宋体"/>
          <w:vertAlign w:val="superscript"/>
          <w:lang w:val="en-US" w:eastAsia="zh-CN"/>
        </w:rPr>
        <w:t>1</w:t>
      </w:r>
      <w:r>
        <w:rPr>
          <w:rFonts w:hint="eastAsia" w:ascii="宋体" w:hAnsi="宋体" w:eastAsia="宋体" w:cs="宋体"/>
          <w:lang w:val="en-US" w:eastAsia="zh-CN"/>
        </w:rPr>
        <w:t>，属于</w:t>
      </w:r>
      <w:r>
        <w:rPr>
          <w:rFonts w:hint="eastAsia" w:ascii="宋体" w:hAnsi="宋体" w:eastAsia="宋体" w:cs="宋体"/>
          <w:b/>
          <w:bCs/>
          <w:u w:val="single"/>
          <w:lang w:val="en-US" w:eastAsia="zh-CN"/>
        </w:rPr>
        <w:t>（中型企业、小型企业、微型企业）（本项为必填项）</w:t>
      </w:r>
      <w:r>
        <w:rPr>
          <w:rFonts w:hint="eastAsia" w:ascii="宋体" w:hAnsi="宋体" w:eastAsia="宋体" w:cs="宋体"/>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600"/>
        <w:textAlignment w:val="auto"/>
        <w:rPr>
          <w:rFonts w:hint="eastAsia" w:ascii="宋体" w:hAnsi="宋体" w:eastAsia="宋体" w:cs="宋体"/>
          <w:lang w:val="en-US" w:eastAsia="zh-CN"/>
        </w:rPr>
      </w:pPr>
      <w:r>
        <w:rPr>
          <w:rFonts w:hint="eastAsia" w:ascii="宋体" w:hAnsi="宋体" w:eastAsia="宋体" w:cs="宋体"/>
          <w:lang w:val="en-US" w:eastAsia="zh-CN"/>
        </w:rPr>
        <w:t>企业名称（盖章）：</w:t>
      </w:r>
    </w:p>
    <w:p>
      <w:pPr>
        <w:keepNext w:val="0"/>
        <w:keepLines w:val="0"/>
        <w:pageBreakBefore w:val="0"/>
        <w:widowControl w:val="0"/>
        <w:kinsoku/>
        <w:wordWrap/>
        <w:overflowPunct/>
        <w:topLinePunct w:val="0"/>
        <w:autoSpaceDE/>
        <w:autoSpaceDN/>
        <w:bidi w:val="0"/>
        <w:adjustRightInd/>
        <w:snapToGrid/>
        <w:spacing w:line="360" w:lineRule="auto"/>
        <w:ind w:firstLine="3990" w:firstLineChars="1900"/>
        <w:textAlignment w:val="auto"/>
        <w:rPr>
          <w:rFonts w:hint="eastAsia" w:ascii="宋体" w:hAnsi="宋体" w:eastAsia="宋体" w:cs="宋体"/>
          <w:lang w:val="en-US" w:eastAsia="zh-CN"/>
        </w:rPr>
      </w:pPr>
      <w:r>
        <w:rPr>
          <w:rFonts w:hint="eastAsia" w:ascii="宋体" w:hAnsi="宋体" w:eastAsia="宋体" w:cs="宋体"/>
          <w:lang w:val="en-US" w:eastAsia="zh-CN"/>
        </w:rPr>
        <w:t>日期：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u w:val="single"/>
          <w:lang w:val="en-US" w:eastAsia="zh-CN"/>
        </w:rPr>
      </w:pPr>
      <w:r>
        <w:rPr>
          <w:rFonts w:hint="eastAsia" w:ascii="宋体" w:hAnsi="宋体" w:eastAsia="宋体" w:cs="宋体"/>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vertAlign w:val="superscript"/>
          <w:lang w:val="en-US" w:eastAsia="zh-CN"/>
        </w:rPr>
        <w:t>1</w:t>
      </w:r>
      <w:r>
        <w:rPr>
          <w:rFonts w:hint="eastAsia" w:ascii="宋体" w:hAnsi="宋体" w:eastAsia="宋体" w:cs="宋体"/>
          <w:lang w:val="en-US" w:eastAsia="zh-CN"/>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其他未列明行业。从业人员300人以下的为中小微型企业。其中，从业人员100人及以上的为中型企业；从业人员10人及以上的为小型企业；从业人员10人以下的为微型企业。</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风险提示：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1、《中小企业声明函》格式中所属行业不允许修改，并明确各标的对应所属企业类型。</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b/>
          <w:bCs/>
          <w:lang w:val="en-US" w:eastAsia="zh-CN"/>
        </w:rPr>
        <w:t>2、供应商应当对其出具的《中小企业声明函》真实性负责，供应商出具的《中小企业声明函》内容不实的，属于提供虚假材料谋取中标。</w:t>
      </w:r>
    </w:p>
    <w:tbl>
      <w:tblPr>
        <w:tblStyle w:val="15"/>
        <w:tblW w:w="15140" w:type="dxa"/>
        <w:jc w:val="center"/>
        <w:tblLayout w:type="fixed"/>
        <w:tblCellMar>
          <w:top w:w="0" w:type="dxa"/>
          <w:left w:w="108" w:type="dxa"/>
          <w:bottom w:w="0" w:type="dxa"/>
          <w:right w:w="108" w:type="dxa"/>
        </w:tblCellMar>
      </w:tblPr>
      <w:tblGrid>
        <w:gridCol w:w="2140"/>
        <w:gridCol w:w="1494"/>
        <w:gridCol w:w="1761"/>
        <w:gridCol w:w="1655"/>
        <w:gridCol w:w="1259"/>
        <w:gridCol w:w="1479"/>
        <w:gridCol w:w="1532"/>
        <w:gridCol w:w="1283"/>
        <w:gridCol w:w="1274"/>
        <w:gridCol w:w="1231"/>
        <w:gridCol w:w="32"/>
      </w:tblGrid>
      <w:tr>
        <w:tblPrEx>
          <w:tblCellMar>
            <w:top w:w="0" w:type="dxa"/>
            <w:left w:w="108" w:type="dxa"/>
            <w:bottom w:w="0" w:type="dxa"/>
            <w:right w:w="108" w:type="dxa"/>
          </w:tblCellMar>
        </w:tblPrEx>
        <w:trPr>
          <w:trHeight w:val="557" w:hRule="atLeast"/>
          <w:jc w:val="center"/>
        </w:trPr>
        <w:tc>
          <w:tcPr>
            <w:tcW w:w="15140" w:type="dxa"/>
            <w:gridSpan w:val="11"/>
            <w:tcBorders>
              <w:top w:val="nil"/>
              <w:left w:val="nil"/>
              <w:bottom w:val="nil"/>
              <w:right w:val="nil"/>
            </w:tcBorders>
            <w:noWrap w:val="0"/>
            <w:vAlign w:val="center"/>
          </w:tcPr>
          <w:p>
            <w:pPr>
              <w:widowControl/>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2"/>
                <w:szCs w:val="18"/>
                <w:highlight w:val="none"/>
              </w:rPr>
              <w:t>中小微行业划型标准规定（根据工信部联企业〔2011〕300号制定）</w:t>
            </w:r>
          </w:p>
        </w:tc>
      </w:tr>
      <w:tr>
        <w:tblPrEx>
          <w:tblCellMar>
            <w:top w:w="0" w:type="dxa"/>
            <w:left w:w="108" w:type="dxa"/>
            <w:bottom w:w="0" w:type="dxa"/>
            <w:right w:w="108" w:type="dxa"/>
          </w:tblCellMar>
        </w:tblPrEx>
        <w:trPr>
          <w:gridAfter w:val="1"/>
          <w:wAfter w:w="32" w:type="dxa"/>
          <w:trHeight w:val="343" w:hRule="atLeast"/>
          <w:jc w:val="center"/>
        </w:trPr>
        <w:tc>
          <w:tcPr>
            <w:tcW w:w="2140" w:type="dxa"/>
            <w:vMerge w:val="restart"/>
            <w:tcBorders>
              <w:top w:val="single" w:color="auto" w:sz="8" w:space="0"/>
              <w:left w:val="single" w:color="auto" w:sz="8" w:space="0"/>
              <w:bottom w:val="single" w:color="000000" w:sz="4" w:space="0"/>
              <w:right w:val="single" w:color="auto" w:sz="8" w:space="0"/>
            </w:tcBorders>
            <w:noWrap w:val="0"/>
            <w:vAlign w:val="center"/>
          </w:tcPr>
          <w:p>
            <w:pPr>
              <w:widowControl/>
              <w:jc w:val="center"/>
              <w:rPr>
                <w:rFonts w:hint="eastAsia" w:ascii="宋体" w:hAnsi="宋体" w:eastAsia="宋体" w:cs="宋体"/>
                <w:b/>
                <w:bCs/>
                <w:color w:val="auto"/>
                <w:kern w:val="0"/>
                <w:sz w:val="22"/>
                <w:szCs w:val="18"/>
                <w:highlight w:val="none"/>
              </w:rPr>
            </w:pPr>
            <w:r>
              <w:rPr>
                <w:rFonts w:hint="eastAsia" w:ascii="宋体" w:hAnsi="宋体" w:eastAsia="宋体" w:cs="宋体"/>
                <w:b/>
                <w:bCs/>
                <w:color w:val="auto"/>
                <w:kern w:val="0"/>
                <w:sz w:val="22"/>
                <w:szCs w:val="18"/>
                <w:highlight w:val="none"/>
              </w:rPr>
              <w:t>行业</w:t>
            </w:r>
          </w:p>
        </w:tc>
        <w:tc>
          <w:tcPr>
            <w:tcW w:w="4910" w:type="dxa"/>
            <w:gridSpan w:val="3"/>
            <w:tcBorders>
              <w:top w:val="single" w:color="auto" w:sz="8" w:space="0"/>
              <w:left w:val="nil"/>
              <w:bottom w:val="single" w:color="auto" w:sz="4" w:space="0"/>
              <w:right w:val="single" w:color="000000" w:sz="8" w:space="0"/>
            </w:tcBorders>
            <w:noWrap w:val="0"/>
            <w:vAlign w:val="center"/>
          </w:tcPr>
          <w:p>
            <w:pPr>
              <w:widowControl/>
              <w:jc w:val="center"/>
              <w:rPr>
                <w:rFonts w:hint="eastAsia" w:ascii="宋体" w:hAnsi="宋体" w:eastAsia="宋体" w:cs="宋体"/>
                <w:b/>
                <w:bCs/>
                <w:color w:val="auto"/>
                <w:kern w:val="0"/>
                <w:sz w:val="22"/>
                <w:szCs w:val="18"/>
                <w:highlight w:val="none"/>
              </w:rPr>
            </w:pPr>
            <w:r>
              <w:rPr>
                <w:rFonts w:hint="eastAsia" w:ascii="宋体" w:hAnsi="宋体" w:eastAsia="宋体" w:cs="宋体"/>
                <w:b/>
                <w:bCs/>
                <w:color w:val="auto"/>
                <w:kern w:val="0"/>
                <w:sz w:val="22"/>
                <w:szCs w:val="18"/>
                <w:highlight w:val="none"/>
              </w:rPr>
              <w:t>中型企业</w:t>
            </w:r>
          </w:p>
        </w:tc>
        <w:tc>
          <w:tcPr>
            <w:tcW w:w="4270" w:type="dxa"/>
            <w:gridSpan w:val="3"/>
            <w:tcBorders>
              <w:top w:val="single" w:color="auto" w:sz="8" w:space="0"/>
              <w:left w:val="nil"/>
              <w:bottom w:val="single" w:color="auto" w:sz="4" w:space="0"/>
              <w:right w:val="single" w:color="000000" w:sz="8" w:space="0"/>
            </w:tcBorders>
            <w:noWrap w:val="0"/>
            <w:vAlign w:val="center"/>
          </w:tcPr>
          <w:p>
            <w:pPr>
              <w:widowControl/>
              <w:jc w:val="center"/>
              <w:rPr>
                <w:rFonts w:hint="eastAsia" w:ascii="宋体" w:hAnsi="宋体" w:eastAsia="宋体" w:cs="宋体"/>
                <w:b/>
                <w:bCs/>
                <w:color w:val="auto"/>
                <w:kern w:val="0"/>
                <w:sz w:val="22"/>
                <w:szCs w:val="18"/>
                <w:highlight w:val="none"/>
              </w:rPr>
            </w:pPr>
            <w:r>
              <w:rPr>
                <w:rFonts w:hint="eastAsia" w:ascii="宋体" w:hAnsi="宋体" w:eastAsia="宋体" w:cs="宋体"/>
                <w:b/>
                <w:bCs/>
                <w:color w:val="auto"/>
                <w:kern w:val="0"/>
                <w:sz w:val="22"/>
                <w:szCs w:val="18"/>
                <w:highlight w:val="none"/>
              </w:rPr>
              <w:t>小型企业</w:t>
            </w:r>
          </w:p>
        </w:tc>
        <w:tc>
          <w:tcPr>
            <w:tcW w:w="3788" w:type="dxa"/>
            <w:gridSpan w:val="3"/>
            <w:tcBorders>
              <w:top w:val="single" w:color="auto" w:sz="8" w:space="0"/>
              <w:left w:val="nil"/>
              <w:bottom w:val="single" w:color="auto" w:sz="4" w:space="0"/>
              <w:right w:val="single" w:color="000000" w:sz="8" w:space="0"/>
            </w:tcBorders>
            <w:noWrap w:val="0"/>
            <w:vAlign w:val="center"/>
          </w:tcPr>
          <w:p>
            <w:pPr>
              <w:widowControl/>
              <w:jc w:val="center"/>
              <w:rPr>
                <w:rFonts w:hint="eastAsia" w:ascii="宋体" w:hAnsi="宋体" w:eastAsia="宋体" w:cs="宋体"/>
                <w:b/>
                <w:bCs/>
                <w:color w:val="auto"/>
                <w:kern w:val="0"/>
                <w:sz w:val="22"/>
                <w:szCs w:val="18"/>
                <w:highlight w:val="none"/>
              </w:rPr>
            </w:pPr>
            <w:r>
              <w:rPr>
                <w:rFonts w:hint="eastAsia" w:ascii="宋体" w:hAnsi="宋体" w:eastAsia="宋体" w:cs="宋体"/>
                <w:b/>
                <w:bCs/>
                <w:color w:val="auto"/>
                <w:kern w:val="0"/>
                <w:sz w:val="22"/>
                <w:szCs w:val="18"/>
                <w:highlight w:val="none"/>
              </w:rPr>
              <w:t>微型企业</w:t>
            </w:r>
          </w:p>
        </w:tc>
      </w:tr>
      <w:tr>
        <w:tblPrEx>
          <w:tblCellMar>
            <w:top w:w="0" w:type="dxa"/>
            <w:left w:w="108" w:type="dxa"/>
            <w:bottom w:w="0" w:type="dxa"/>
            <w:right w:w="108" w:type="dxa"/>
          </w:tblCellMar>
        </w:tblPrEx>
        <w:trPr>
          <w:gridAfter w:val="1"/>
          <w:wAfter w:w="32" w:type="dxa"/>
          <w:trHeight w:val="598" w:hRule="atLeast"/>
          <w:jc w:val="center"/>
        </w:trPr>
        <w:tc>
          <w:tcPr>
            <w:tcW w:w="2140"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jc w:val="left"/>
              <w:rPr>
                <w:rFonts w:hint="eastAsia" w:ascii="宋体" w:hAnsi="宋体" w:eastAsia="宋体" w:cs="宋体"/>
                <w:b/>
                <w:bCs/>
                <w:color w:val="auto"/>
                <w:kern w:val="0"/>
                <w:sz w:val="22"/>
                <w:szCs w:val="18"/>
                <w:highlight w:val="none"/>
              </w:rPr>
            </w:pPr>
          </w:p>
        </w:tc>
        <w:tc>
          <w:tcPr>
            <w:tcW w:w="149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从业人员X（人）</w:t>
            </w:r>
          </w:p>
        </w:tc>
        <w:tc>
          <w:tcPr>
            <w:tcW w:w="17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655" w:type="dxa"/>
            <w:tcBorders>
              <w:top w:val="nil"/>
              <w:left w:val="nil"/>
              <w:bottom w:val="single" w:color="auto" w:sz="4" w:space="0"/>
              <w:right w:val="single" w:color="auto" w:sz="8" w:space="0"/>
            </w:tcBorders>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25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从业人员X（人）</w:t>
            </w:r>
          </w:p>
        </w:tc>
        <w:tc>
          <w:tcPr>
            <w:tcW w:w="147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532" w:type="dxa"/>
            <w:tcBorders>
              <w:top w:val="nil"/>
              <w:left w:val="nil"/>
              <w:bottom w:val="single" w:color="auto" w:sz="4" w:space="0"/>
              <w:right w:val="single" w:color="auto" w:sz="8" w:space="0"/>
            </w:tcBorders>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28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从业人员X（人）</w:t>
            </w:r>
          </w:p>
        </w:tc>
        <w:tc>
          <w:tcPr>
            <w:tcW w:w="127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营业收入Y（万元）</w:t>
            </w:r>
          </w:p>
        </w:tc>
        <w:tc>
          <w:tcPr>
            <w:tcW w:w="1231" w:type="dxa"/>
            <w:tcBorders>
              <w:top w:val="nil"/>
              <w:left w:val="nil"/>
              <w:bottom w:val="single" w:color="auto" w:sz="4" w:space="0"/>
              <w:right w:val="single" w:color="auto" w:sz="8" w:space="0"/>
            </w:tcBorders>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资产总额Z（万元）</w:t>
            </w:r>
          </w:p>
        </w:tc>
      </w:tr>
      <w:tr>
        <w:tblPrEx>
          <w:tblCellMar>
            <w:top w:w="0" w:type="dxa"/>
            <w:left w:w="108" w:type="dxa"/>
            <w:bottom w:w="0" w:type="dxa"/>
            <w:right w:w="108" w:type="dxa"/>
          </w:tblCellMar>
        </w:tblPrEx>
        <w:trPr>
          <w:gridAfter w:val="1"/>
          <w:wAfter w:w="32" w:type="dxa"/>
          <w:trHeight w:val="299" w:hRule="atLeast"/>
          <w:jc w:val="center"/>
        </w:trPr>
        <w:tc>
          <w:tcPr>
            <w:tcW w:w="2140" w:type="dxa"/>
            <w:tcBorders>
              <w:top w:val="nil"/>
              <w:left w:val="single" w:color="auto" w:sz="8" w:space="0"/>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1、农林牧渔业</w:t>
            </w:r>
          </w:p>
        </w:tc>
        <w:tc>
          <w:tcPr>
            <w:tcW w:w="149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61"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655"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7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532"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3"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c>
          <w:tcPr>
            <w:tcW w:w="1231"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gridAfter w:val="1"/>
          <w:wAfter w:w="32" w:type="dxa"/>
          <w:trHeight w:val="299" w:hRule="atLeast"/>
          <w:jc w:val="center"/>
        </w:trPr>
        <w:tc>
          <w:tcPr>
            <w:tcW w:w="2140" w:type="dxa"/>
            <w:tcBorders>
              <w:top w:val="nil"/>
              <w:left w:val="single" w:color="auto" w:sz="8" w:space="0"/>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2、工业</w:t>
            </w:r>
          </w:p>
        </w:tc>
        <w:tc>
          <w:tcPr>
            <w:tcW w:w="149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61"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655"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47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532"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3"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c>
          <w:tcPr>
            <w:tcW w:w="127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c>
          <w:tcPr>
            <w:tcW w:w="1231"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gridAfter w:val="1"/>
          <w:wAfter w:w="32" w:type="dxa"/>
          <w:trHeight w:val="299" w:hRule="atLeast"/>
          <w:jc w:val="center"/>
        </w:trPr>
        <w:tc>
          <w:tcPr>
            <w:tcW w:w="2140" w:type="dxa"/>
            <w:tcBorders>
              <w:top w:val="nil"/>
              <w:left w:val="single" w:color="auto" w:sz="8" w:space="0"/>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3、建筑业</w:t>
            </w:r>
          </w:p>
        </w:tc>
        <w:tc>
          <w:tcPr>
            <w:tcW w:w="149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761"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655"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25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7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532"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283"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c>
          <w:tcPr>
            <w:tcW w:w="1231"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tblPrEx>
          <w:tblCellMar>
            <w:top w:w="0" w:type="dxa"/>
            <w:left w:w="108" w:type="dxa"/>
            <w:bottom w:w="0" w:type="dxa"/>
            <w:right w:w="108" w:type="dxa"/>
          </w:tblCellMar>
        </w:tblPrEx>
        <w:trPr>
          <w:gridAfter w:val="1"/>
          <w:wAfter w:w="32" w:type="dxa"/>
          <w:trHeight w:val="534" w:hRule="atLeast"/>
          <w:jc w:val="center"/>
        </w:trPr>
        <w:tc>
          <w:tcPr>
            <w:tcW w:w="2140" w:type="dxa"/>
            <w:tcBorders>
              <w:top w:val="nil"/>
              <w:left w:val="single" w:color="auto" w:sz="8" w:space="0"/>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4、批发业</w:t>
            </w:r>
          </w:p>
        </w:tc>
        <w:tc>
          <w:tcPr>
            <w:tcW w:w="149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761"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655"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47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532"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3"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c>
          <w:tcPr>
            <w:tcW w:w="127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c>
          <w:tcPr>
            <w:tcW w:w="1231"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gridAfter w:val="1"/>
          <w:wAfter w:w="32" w:type="dxa"/>
          <w:trHeight w:val="299" w:hRule="atLeast"/>
          <w:jc w:val="center"/>
        </w:trPr>
        <w:tc>
          <w:tcPr>
            <w:tcW w:w="2140" w:type="dxa"/>
            <w:tcBorders>
              <w:top w:val="nil"/>
              <w:left w:val="single" w:color="auto" w:sz="8" w:space="0"/>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5、零售业</w:t>
            </w:r>
          </w:p>
        </w:tc>
        <w:tc>
          <w:tcPr>
            <w:tcW w:w="149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761"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655"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47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532"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3"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31"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gridAfter w:val="1"/>
          <w:wAfter w:w="32" w:type="dxa"/>
          <w:trHeight w:val="299" w:hRule="atLeast"/>
          <w:jc w:val="center"/>
        </w:trPr>
        <w:tc>
          <w:tcPr>
            <w:tcW w:w="2140" w:type="dxa"/>
            <w:tcBorders>
              <w:top w:val="nil"/>
              <w:left w:val="single" w:color="auto" w:sz="8" w:space="0"/>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6、交通运输业</w:t>
            </w:r>
          </w:p>
        </w:tc>
        <w:tc>
          <w:tcPr>
            <w:tcW w:w="149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61"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655"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47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532"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3"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c>
          <w:tcPr>
            <w:tcW w:w="127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V＜200</w:t>
            </w:r>
          </w:p>
        </w:tc>
        <w:tc>
          <w:tcPr>
            <w:tcW w:w="1231"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gridAfter w:val="1"/>
          <w:wAfter w:w="32" w:type="dxa"/>
          <w:trHeight w:val="299" w:hRule="atLeast"/>
          <w:jc w:val="center"/>
        </w:trPr>
        <w:tc>
          <w:tcPr>
            <w:tcW w:w="2140" w:type="dxa"/>
            <w:tcBorders>
              <w:top w:val="nil"/>
              <w:left w:val="single" w:color="auto" w:sz="8" w:space="0"/>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7、仓储业</w:t>
            </w:r>
          </w:p>
        </w:tc>
        <w:tc>
          <w:tcPr>
            <w:tcW w:w="149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761"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655"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47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532"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3"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c>
          <w:tcPr>
            <w:tcW w:w="127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31"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gridAfter w:val="1"/>
          <w:wAfter w:w="32" w:type="dxa"/>
          <w:trHeight w:val="299" w:hRule="atLeast"/>
          <w:jc w:val="center"/>
        </w:trPr>
        <w:tc>
          <w:tcPr>
            <w:tcW w:w="2140" w:type="dxa"/>
            <w:tcBorders>
              <w:top w:val="nil"/>
              <w:left w:val="single" w:color="auto" w:sz="8" w:space="0"/>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8、邮政业</w:t>
            </w:r>
          </w:p>
        </w:tc>
        <w:tc>
          <w:tcPr>
            <w:tcW w:w="149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61"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655"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47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532"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3"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c>
          <w:tcPr>
            <w:tcW w:w="127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31"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gridAfter w:val="1"/>
          <w:wAfter w:w="32" w:type="dxa"/>
          <w:trHeight w:val="299" w:hRule="atLeast"/>
          <w:jc w:val="center"/>
        </w:trPr>
        <w:tc>
          <w:tcPr>
            <w:tcW w:w="2140" w:type="dxa"/>
            <w:tcBorders>
              <w:top w:val="nil"/>
              <w:left w:val="single" w:color="auto" w:sz="8" w:space="0"/>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9、住宿业</w:t>
            </w:r>
          </w:p>
        </w:tc>
        <w:tc>
          <w:tcPr>
            <w:tcW w:w="149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61"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655"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7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532"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3"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31"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gridAfter w:val="1"/>
          <w:wAfter w:w="32" w:type="dxa"/>
          <w:trHeight w:val="367" w:hRule="atLeast"/>
          <w:jc w:val="center"/>
        </w:trPr>
        <w:tc>
          <w:tcPr>
            <w:tcW w:w="2140" w:type="dxa"/>
            <w:tcBorders>
              <w:top w:val="nil"/>
              <w:left w:val="single" w:color="auto" w:sz="8" w:space="0"/>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w:t>
            </w:r>
            <w:r>
              <w:rPr>
                <w:rFonts w:hint="eastAsia" w:ascii="宋体" w:hAnsi="宋体" w:eastAsia="宋体" w:cs="宋体"/>
                <w:color w:val="auto"/>
                <w:kern w:val="0"/>
                <w:sz w:val="18"/>
                <w:szCs w:val="18"/>
                <w:highlight w:val="none"/>
                <w:lang w:val="en-US" w:eastAsia="zh-CN"/>
              </w:rPr>
              <w:t>餐饮</w:t>
            </w:r>
            <w:r>
              <w:rPr>
                <w:rFonts w:hint="eastAsia" w:ascii="宋体" w:hAnsi="宋体" w:eastAsia="宋体" w:cs="宋体"/>
                <w:color w:val="auto"/>
                <w:kern w:val="0"/>
                <w:sz w:val="18"/>
                <w:szCs w:val="18"/>
                <w:highlight w:val="none"/>
              </w:rPr>
              <w:t>业</w:t>
            </w:r>
          </w:p>
        </w:tc>
        <w:tc>
          <w:tcPr>
            <w:tcW w:w="149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61"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655"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7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532"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3"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V＜100</w:t>
            </w:r>
          </w:p>
        </w:tc>
        <w:tc>
          <w:tcPr>
            <w:tcW w:w="1231"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gridAfter w:val="1"/>
          <w:wAfter w:w="32" w:type="dxa"/>
          <w:trHeight w:val="299" w:hRule="atLeast"/>
          <w:jc w:val="center"/>
        </w:trPr>
        <w:tc>
          <w:tcPr>
            <w:tcW w:w="2140" w:type="dxa"/>
            <w:tcBorders>
              <w:top w:val="nil"/>
              <w:left w:val="single" w:color="auto" w:sz="8" w:space="0"/>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11、信息传输业</w:t>
            </w:r>
          </w:p>
        </w:tc>
        <w:tc>
          <w:tcPr>
            <w:tcW w:w="149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761"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655"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7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532"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3"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31"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gridAfter w:val="1"/>
          <w:wAfter w:w="32" w:type="dxa"/>
          <w:trHeight w:val="589" w:hRule="atLeast"/>
          <w:jc w:val="center"/>
        </w:trPr>
        <w:tc>
          <w:tcPr>
            <w:tcW w:w="2140" w:type="dxa"/>
            <w:tcBorders>
              <w:top w:val="nil"/>
              <w:left w:val="single" w:color="auto" w:sz="8" w:space="0"/>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12、软件和信息技术服务业</w:t>
            </w:r>
          </w:p>
        </w:tc>
        <w:tc>
          <w:tcPr>
            <w:tcW w:w="149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61"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655"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7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532"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3"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c>
          <w:tcPr>
            <w:tcW w:w="1231"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gridAfter w:val="1"/>
          <w:wAfter w:w="32" w:type="dxa"/>
          <w:trHeight w:val="299" w:hRule="atLeast"/>
          <w:jc w:val="center"/>
        </w:trPr>
        <w:tc>
          <w:tcPr>
            <w:tcW w:w="2140" w:type="dxa"/>
            <w:tcBorders>
              <w:top w:val="nil"/>
              <w:left w:val="single" w:color="auto" w:sz="8" w:space="0"/>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13、房地产开发经营</w:t>
            </w:r>
          </w:p>
        </w:tc>
        <w:tc>
          <w:tcPr>
            <w:tcW w:w="149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p>
        </w:tc>
        <w:tc>
          <w:tcPr>
            <w:tcW w:w="1761"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655"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25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47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532"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2000≤Z＜5000</w:t>
            </w:r>
          </w:p>
        </w:tc>
        <w:tc>
          <w:tcPr>
            <w:tcW w:w="1283"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7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c>
          <w:tcPr>
            <w:tcW w:w="1231"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Z＜2000</w:t>
            </w:r>
          </w:p>
        </w:tc>
      </w:tr>
      <w:tr>
        <w:tblPrEx>
          <w:tblCellMar>
            <w:top w:w="0" w:type="dxa"/>
            <w:left w:w="108" w:type="dxa"/>
            <w:bottom w:w="0" w:type="dxa"/>
            <w:right w:w="108" w:type="dxa"/>
          </w:tblCellMar>
        </w:tblPrEx>
        <w:trPr>
          <w:gridAfter w:val="1"/>
          <w:wAfter w:w="32" w:type="dxa"/>
          <w:trHeight w:val="534" w:hRule="atLeast"/>
          <w:jc w:val="center"/>
        </w:trPr>
        <w:tc>
          <w:tcPr>
            <w:tcW w:w="2140" w:type="dxa"/>
            <w:tcBorders>
              <w:top w:val="nil"/>
              <w:left w:val="single" w:color="auto" w:sz="8" w:space="0"/>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14、物业管理</w:t>
            </w:r>
          </w:p>
        </w:tc>
        <w:tc>
          <w:tcPr>
            <w:tcW w:w="149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61"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655"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7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532"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3"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c>
          <w:tcPr>
            <w:tcW w:w="127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c>
          <w:tcPr>
            <w:tcW w:w="1231"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gridAfter w:val="1"/>
          <w:wAfter w:w="32" w:type="dxa"/>
          <w:trHeight w:val="534" w:hRule="atLeast"/>
          <w:jc w:val="center"/>
        </w:trPr>
        <w:tc>
          <w:tcPr>
            <w:tcW w:w="2140" w:type="dxa"/>
            <w:tcBorders>
              <w:top w:val="nil"/>
              <w:left w:val="single" w:color="auto" w:sz="8" w:space="0"/>
              <w:bottom w:val="single" w:color="auto" w:sz="4" w:space="0"/>
              <w:right w:val="single" w:color="auto" w:sz="8"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15、租赁和商务服务业</w:t>
            </w:r>
          </w:p>
        </w:tc>
        <w:tc>
          <w:tcPr>
            <w:tcW w:w="149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61"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655"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25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79"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32"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1283"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31" w:type="dxa"/>
            <w:tcBorders>
              <w:top w:val="nil"/>
              <w:left w:val="nil"/>
              <w:bottom w:val="single" w:color="auto" w:sz="4"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w:t>
            </w:r>
          </w:p>
        </w:tc>
      </w:tr>
      <w:tr>
        <w:tblPrEx>
          <w:tblCellMar>
            <w:top w:w="0" w:type="dxa"/>
            <w:left w:w="108" w:type="dxa"/>
            <w:bottom w:w="0" w:type="dxa"/>
            <w:right w:w="108" w:type="dxa"/>
          </w:tblCellMar>
        </w:tblPrEx>
        <w:trPr>
          <w:gridAfter w:val="1"/>
          <w:wAfter w:w="32" w:type="dxa"/>
          <w:trHeight w:val="299" w:hRule="atLeast"/>
          <w:jc w:val="center"/>
        </w:trPr>
        <w:tc>
          <w:tcPr>
            <w:tcW w:w="2140" w:type="dxa"/>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16、其他未列明行业</w:t>
            </w:r>
          </w:p>
        </w:tc>
        <w:tc>
          <w:tcPr>
            <w:tcW w:w="1494" w:type="dxa"/>
            <w:tcBorders>
              <w:top w:val="nil"/>
              <w:left w:val="nil"/>
              <w:bottom w:val="single" w:color="auto" w:sz="8"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61" w:type="dxa"/>
            <w:tcBorders>
              <w:top w:val="nil"/>
              <w:left w:val="nil"/>
              <w:bottom w:val="single" w:color="auto" w:sz="8"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655"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59" w:type="dxa"/>
            <w:tcBorders>
              <w:top w:val="nil"/>
              <w:left w:val="nil"/>
              <w:bottom w:val="single" w:color="auto" w:sz="8"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479" w:type="dxa"/>
            <w:tcBorders>
              <w:top w:val="nil"/>
              <w:left w:val="nil"/>
              <w:bottom w:val="single" w:color="auto" w:sz="8"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532"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83" w:type="dxa"/>
            <w:tcBorders>
              <w:top w:val="nil"/>
              <w:left w:val="nil"/>
              <w:bottom w:val="single" w:color="auto" w:sz="8"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c>
          <w:tcPr>
            <w:tcW w:w="1274" w:type="dxa"/>
            <w:tcBorders>
              <w:top w:val="nil"/>
              <w:left w:val="nil"/>
              <w:bottom w:val="single" w:color="auto" w:sz="8" w:space="0"/>
              <w:right w:val="single" w:color="auto" w:sz="4"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c>
          <w:tcPr>
            <w:tcW w:w="1231" w:type="dxa"/>
            <w:tcBorders>
              <w:top w:val="nil"/>
              <w:left w:val="nil"/>
              <w:bottom w:val="single" w:color="auto" w:sz="8" w:space="0"/>
              <w:right w:val="single" w:color="auto" w:sz="8" w:space="0"/>
            </w:tcBorders>
            <w:noWrap w:val="0"/>
            <w:vAlign w:val="center"/>
          </w:tcPr>
          <w:p>
            <w:pPr>
              <w:widowControl/>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w:t>
            </w:r>
          </w:p>
        </w:tc>
      </w:tr>
      <w:tr>
        <w:tblPrEx>
          <w:tblCellMar>
            <w:top w:w="0" w:type="dxa"/>
            <w:left w:w="108" w:type="dxa"/>
            <w:bottom w:w="0" w:type="dxa"/>
            <w:right w:w="108" w:type="dxa"/>
          </w:tblCellMar>
        </w:tblPrEx>
        <w:trPr>
          <w:trHeight w:val="888" w:hRule="atLeast"/>
          <w:jc w:val="center"/>
        </w:trPr>
        <w:tc>
          <w:tcPr>
            <w:tcW w:w="15140" w:type="dxa"/>
            <w:gridSpan w:val="11"/>
            <w:tcBorders>
              <w:top w:val="nil"/>
              <w:left w:val="nil"/>
              <w:bottom w:val="nil"/>
              <w:right w:val="nil"/>
            </w:tcBorders>
            <w:noWrap w:val="0"/>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说明　1、企业类型的划分以统计部门的统计数据为依据。</w:t>
            </w:r>
          </w:p>
          <w:p>
            <w:pPr>
              <w:widowControl/>
              <w:ind w:firstLine="540" w:firstLineChars="3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2、个体工商户和本规定以外的行业，参照本规定进行划型。</w:t>
            </w:r>
          </w:p>
          <w:p>
            <w:pPr>
              <w:widowControl/>
              <w:ind w:firstLine="540" w:firstLineChars="30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3、本规定的中型企业标准上限即为大型企业标准的下限。</w:t>
            </w:r>
          </w:p>
        </w:tc>
      </w:tr>
    </w:tbl>
    <w:p>
      <w:pPr>
        <w:bidi w:val="0"/>
        <w:rPr>
          <w:rFonts w:hint="eastAsia"/>
          <w:lang w:val="en-US" w:eastAsia="zh-CN"/>
        </w:rPr>
        <w:sectPr>
          <w:pgSz w:w="16838" w:h="11906" w:orient="landscape"/>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1"/>
          <w:szCs w:val="24"/>
          <w:lang w:val="en-US" w:eastAsia="zh-CN"/>
        </w:rPr>
      </w:pPr>
      <w:r>
        <w:rPr>
          <w:rFonts w:hint="eastAsia" w:ascii="宋体" w:hAnsi="宋体" w:eastAsia="宋体" w:cs="宋体"/>
          <w:b w:val="0"/>
          <w:bCs w:val="0"/>
          <w:sz w:val="21"/>
          <w:szCs w:val="24"/>
          <w:lang w:val="en-US" w:eastAsia="zh-CN"/>
        </w:rPr>
        <w:t>格式十二 残疾人福利性单位声明函（选用，如制造商为残疾人福利性单位，须提供）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z w:val="40"/>
          <w:szCs w:val="48"/>
          <w:lang w:val="en-US" w:eastAsia="zh-CN"/>
        </w:rPr>
      </w:pPr>
      <w:bookmarkStart w:id="15" w:name="_Toc25747"/>
      <w:r>
        <w:rPr>
          <w:rFonts w:hint="eastAsia" w:ascii="宋体" w:hAnsi="宋体" w:eastAsia="宋体" w:cs="宋体"/>
          <w:b/>
          <w:bCs/>
          <w:sz w:val="40"/>
          <w:szCs w:val="48"/>
          <w:lang w:val="en-US" w:eastAsia="zh-CN"/>
        </w:rPr>
        <w:t>残疾人福利性单位声明函</w:t>
      </w:r>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0"/>
          <w:szCs w:val="48"/>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本单位郑重声明，根据《财政部 民政部 中国残疾人联合会关于促进残疾人就业政府采购政策的通知》（财库〔2018〕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 xml:space="preserve">                                   企业名称（盖章）：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 xml:space="preserve">                                            日  期：</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享受政府采购支持政策的残疾人福利性单位应当同时满足以下条件：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（一）安置的残疾人占本单位在职职工人数的比例不低于25%（含25%），并且安置的残疾人人数不少于10人（含10人）；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（二）依法与安置的每位残疾人签订了一年以上（含一年）的劳动合同或服务协议；</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（三）为安置的每位残疾人按月足额缴纳了基本养老保险、基本医疗保险、失业保险、工伤保险和生育保险等社会保险费；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（四）通过银行等金融机构向安置的每位残疾人，按月支付了不低于单位所在区县适用的经省级人民政府批准的月最低工资标准的工资；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（五）提供本单位制造的货物、承担的工程或者服务（以下简称产品），或者提供其他残疾人福利性单位制造的货物（不包括使用非残疾人福利性单位注册商标的货物）。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z w:val="40"/>
          <w:szCs w:val="48"/>
          <w:lang w:val="en-US" w:eastAsia="zh-CN"/>
        </w:rPr>
      </w:pPr>
      <w:bookmarkStart w:id="16" w:name="_Toc26675"/>
      <w:r>
        <w:rPr>
          <w:rFonts w:hint="eastAsia" w:ascii="宋体" w:hAnsi="宋体" w:eastAsia="宋体" w:cs="宋体"/>
          <w:b/>
          <w:bCs/>
          <w:sz w:val="40"/>
          <w:szCs w:val="48"/>
          <w:lang w:val="en-US" w:eastAsia="zh-CN"/>
        </w:rPr>
        <w:t>技术商务自评表</w:t>
      </w:r>
      <w:bookmarkEnd w:id="1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投标单位（盖章）：</w:t>
      </w: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5355"/>
        <w:gridCol w:w="1725"/>
        <w:gridCol w:w="13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序号</w:t>
            </w:r>
          </w:p>
        </w:tc>
        <w:tc>
          <w:tcPr>
            <w:tcW w:w="5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评审内容</w:t>
            </w:r>
          </w:p>
        </w:tc>
        <w:tc>
          <w:tcPr>
            <w:tcW w:w="17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自评分</w:t>
            </w:r>
          </w:p>
        </w:tc>
        <w:tc>
          <w:tcPr>
            <w:tcW w:w="13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页码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c>
          <w:tcPr>
            <w:tcW w:w="5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c>
          <w:tcPr>
            <w:tcW w:w="17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c>
          <w:tcPr>
            <w:tcW w:w="13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c>
          <w:tcPr>
            <w:tcW w:w="5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c>
          <w:tcPr>
            <w:tcW w:w="17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c>
          <w:tcPr>
            <w:tcW w:w="13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c>
          <w:tcPr>
            <w:tcW w:w="5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c>
          <w:tcPr>
            <w:tcW w:w="17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c>
          <w:tcPr>
            <w:tcW w:w="13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c>
          <w:tcPr>
            <w:tcW w:w="5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c>
          <w:tcPr>
            <w:tcW w:w="17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c>
          <w:tcPr>
            <w:tcW w:w="13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c>
          <w:tcPr>
            <w:tcW w:w="5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c>
          <w:tcPr>
            <w:tcW w:w="17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c>
          <w:tcPr>
            <w:tcW w:w="13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c>
          <w:tcPr>
            <w:tcW w:w="5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c>
          <w:tcPr>
            <w:tcW w:w="17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c>
          <w:tcPr>
            <w:tcW w:w="13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c>
          <w:tcPr>
            <w:tcW w:w="5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c>
          <w:tcPr>
            <w:tcW w:w="17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c>
          <w:tcPr>
            <w:tcW w:w="13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1"/>
                              <w:szCs w:val="32"/>
                            </w:rPr>
                          </w:pPr>
                          <w:r>
                            <w:rPr>
                              <w:rFonts w:hint="eastAsia" w:ascii="宋体" w:hAnsi="宋体" w:eastAsia="宋体" w:cs="宋体"/>
                              <w:sz w:val="21"/>
                              <w:szCs w:val="32"/>
                            </w:rPr>
                            <w:fldChar w:fldCharType="begin"/>
                          </w:r>
                          <w:r>
                            <w:rPr>
                              <w:rFonts w:hint="eastAsia" w:ascii="宋体" w:hAnsi="宋体" w:eastAsia="宋体" w:cs="宋体"/>
                              <w:sz w:val="21"/>
                              <w:szCs w:val="32"/>
                            </w:rPr>
                            <w:instrText xml:space="preserve"> PAGE  \* MERGEFORMAT </w:instrText>
                          </w:r>
                          <w:r>
                            <w:rPr>
                              <w:rFonts w:hint="eastAsia" w:ascii="宋体" w:hAnsi="宋体" w:eastAsia="宋体" w:cs="宋体"/>
                              <w:sz w:val="21"/>
                              <w:szCs w:val="32"/>
                            </w:rPr>
                            <w:fldChar w:fldCharType="separate"/>
                          </w:r>
                          <w:r>
                            <w:rPr>
                              <w:rFonts w:hint="eastAsia" w:ascii="宋体" w:hAnsi="宋体" w:eastAsia="宋体" w:cs="宋体"/>
                              <w:sz w:val="21"/>
                              <w:szCs w:val="32"/>
                            </w:rPr>
                            <w:t>1</w:t>
                          </w:r>
                          <w:r>
                            <w:rPr>
                              <w:rFonts w:hint="eastAsia" w:ascii="宋体" w:hAnsi="宋体" w:eastAsia="宋体" w:cs="宋体"/>
                              <w:sz w:val="21"/>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ascii="宋体" w:hAnsi="宋体" w:eastAsia="宋体" w:cs="宋体"/>
                        <w:sz w:val="21"/>
                        <w:szCs w:val="32"/>
                      </w:rPr>
                    </w:pPr>
                    <w:r>
                      <w:rPr>
                        <w:rFonts w:hint="eastAsia" w:ascii="宋体" w:hAnsi="宋体" w:eastAsia="宋体" w:cs="宋体"/>
                        <w:sz w:val="21"/>
                        <w:szCs w:val="32"/>
                      </w:rPr>
                      <w:fldChar w:fldCharType="begin"/>
                    </w:r>
                    <w:r>
                      <w:rPr>
                        <w:rFonts w:hint="eastAsia" w:ascii="宋体" w:hAnsi="宋体" w:eastAsia="宋体" w:cs="宋体"/>
                        <w:sz w:val="21"/>
                        <w:szCs w:val="32"/>
                      </w:rPr>
                      <w:instrText xml:space="preserve"> PAGE  \* MERGEFORMAT </w:instrText>
                    </w:r>
                    <w:r>
                      <w:rPr>
                        <w:rFonts w:hint="eastAsia" w:ascii="宋体" w:hAnsi="宋体" w:eastAsia="宋体" w:cs="宋体"/>
                        <w:sz w:val="21"/>
                        <w:szCs w:val="32"/>
                      </w:rPr>
                      <w:fldChar w:fldCharType="separate"/>
                    </w:r>
                    <w:r>
                      <w:rPr>
                        <w:rFonts w:hint="eastAsia" w:ascii="宋体" w:hAnsi="宋体" w:eastAsia="宋体" w:cs="宋体"/>
                        <w:sz w:val="21"/>
                        <w:szCs w:val="32"/>
                      </w:rPr>
                      <w:t>1</w:t>
                    </w:r>
                    <w:r>
                      <w:rPr>
                        <w:rFonts w:hint="eastAsia" w:ascii="宋体" w:hAnsi="宋体" w:eastAsia="宋体" w:cs="宋体"/>
                        <w:sz w:val="21"/>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88B3A7"/>
    <w:multiLevelType w:val="singleLevel"/>
    <w:tmpl w:val="CB88B3A7"/>
    <w:lvl w:ilvl="0" w:tentative="0">
      <w:start w:val="7"/>
      <w:numFmt w:val="chineseCounting"/>
      <w:suff w:val="space"/>
      <w:lvlText w:val="第%1部分"/>
      <w:lvlJc w:val="left"/>
      <w:rPr>
        <w:rFonts w:hint="eastAsia"/>
      </w:rPr>
    </w:lvl>
  </w:abstractNum>
  <w:abstractNum w:abstractNumId="1">
    <w:nsid w:val="F3CB4BB0"/>
    <w:multiLevelType w:val="singleLevel"/>
    <w:tmpl w:val="F3CB4BB0"/>
    <w:lvl w:ilvl="0" w:tentative="0">
      <w:start w:val="1"/>
      <w:numFmt w:val="decimal"/>
      <w:suff w:val="nothing"/>
      <w:lvlText w:val="%1）"/>
      <w:lvlJc w:val="left"/>
    </w:lvl>
  </w:abstractNum>
  <w:abstractNum w:abstractNumId="2">
    <w:nsid w:val="133AF8AA"/>
    <w:multiLevelType w:val="singleLevel"/>
    <w:tmpl w:val="133AF8AA"/>
    <w:lvl w:ilvl="0" w:tentative="0">
      <w:start w:val="4"/>
      <w:numFmt w:val="chineseCounting"/>
      <w:suff w:val="space"/>
      <w:lvlText w:val="第%1部分"/>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hY2Q0YzcyMjdlZTFkZTA2YjMyMDk1YzZjNWMzZjAifQ=="/>
    <w:docVar w:name="KSO_WPS_MARK_KEY" w:val="fb20c1c5-28bd-4d4c-8399-ffdb1f3ed1d8"/>
  </w:docVars>
  <w:rsids>
    <w:rsidRoot w:val="592D3C13"/>
    <w:rsid w:val="0B606B67"/>
    <w:rsid w:val="0DEA792B"/>
    <w:rsid w:val="0ED04122"/>
    <w:rsid w:val="15CF4891"/>
    <w:rsid w:val="1A7153DF"/>
    <w:rsid w:val="206C5A9D"/>
    <w:rsid w:val="29745F05"/>
    <w:rsid w:val="318B50A1"/>
    <w:rsid w:val="3A495E41"/>
    <w:rsid w:val="3C4E7080"/>
    <w:rsid w:val="40670621"/>
    <w:rsid w:val="455F1D02"/>
    <w:rsid w:val="4AAD151C"/>
    <w:rsid w:val="4E5C6303"/>
    <w:rsid w:val="54F6216D"/>
    <w:rsid w:val="592D3C13"/>
    <w:rsid w:val="615F31F2"/>
    <w:rsid w:val="61F002EC"/>
    <w:rsid w:val="66BF68D1"/>
    <w:rsid w:val="66E478A7"/>
    <w:rsid w:val="6B1E4044"/>
    <w:rsid w:val="6C247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7">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next w:val="4"/>
    <w:qFormat/>
    <w:uiPriority w:val="99"/>
    <w:pPr>
      <w:spacing w:line="360" w:lineRule="exact"/>
    </w:pPr>
    <w:rPr>
      <w:sz w:val="24"/>
    </w:rPr>
  </w:style>
  <w:style w:type="paragraph" w:styleId="4">
    <w:name w:val="toc 4"/>
    <w:basedOn w:val="1"/>
    <w:next w:val="1"/>
    <w:qFormat/>
    <w:uiPriority w:val="0"/>
    <w:pPr>
      <w:ind w:left="1260" w:leftChars="600"/>
    </w:pPr>
  </w:style>
  <w:style w:type="paragraph" w:styleId="7">
    <w:name w:val="Normal Indent"/>
    <w:basedOn w:val="1"/>
    <w:next w:val="1"/>
    <w:qFormat/>
    <w:uiPriority w:val="0"/>
    <w:pPr>
      <w:widowControl w:val="0"/>
      <w:ind w:firstLine="420" w:firstLineChars="200"/>
      <w:jc w:val="both"/>
    </w:pPr>
    <w:rPr>
      <w:kern w:val="2"/>
      <w:sz w:val="24"/>
      <w:szCs w:val="24"/>
    </w:rPr>
  </w:style>
  <w:style w:type="paragraph" w:styleId="8">
    <w:name w:val="Body Text Indent"/>
    <w:basedOn w:val="1"/>
    <w:next w:val="1"/>
    <w:qFormat/>
    <w:uiPriority w:val="99"/>
    <w:pPr>
      <w:spacing w:line="380" w:lineRule="exact"/>
      <w:ind w:firstLine="480"/>
    </w:pPr>
    <w:rPr>
      <w:rFonts w:eastAsia="方正书宋简体"/>
      <w:sz w:val="24"/>
    </w:rPr>
  </w:style>
  <w:style w:type="paragraph" w:styleId="9">
    <w:name w:val="Plain Text"/>
    <w:basedOn w:val="1"/>
    <w:qFormat/>
    <w:uiPriority w:val="0"/>
    <w:pPr>
      <w:spacing w:beforeLines="50" w:afterLines="50" w:line="400" w:lineRule="exact"/>
    </w:pPr>
    <w:rPr>
      <w:rFonts w:ascii="宋体" w:hAnsi="Courier New"/>
      <w:kern w:val="0"/>
      <w:sz w:val="24"/>
    </w:rPr>
  </w:style>
  <w:style w:type="paragraph" w:styleId="10">
    <w:name w:val="Body Text Indent 2"/>
    <w:basedOn w:val="1"/>
    <w:qFormat/>
    <w:uiPriority w:val="0"/>
    <w:pPr>
      <w:snapToGrid w:val="0"/>
      <w:ind w:firstLine="542" w:firstLineChars="225"/>
    </w:pPr>
    <w:rPr>
      <w:rFonts w:ascii="仿宋_GB2312" w:hAnsi="宋体"/>
      <w:b/>
      <w:bCs/>
      <w:color w:val="000000"/>
      <w:sz w:val="24"/>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6"/>
    <w:basedOn w:val="1"/>
    <w:next w:val="1"/>
    <w:qFormat/>
    <w:uiPriority w:val="39"/>
    <w:pPr>
      <w:widowControl/>
      <w:ind w:left="1000"/>
      <w:jc w:val="left"/>
    </w:pPr>
    <w:rPr>
      <w:kern w:val="0"/>
      <w:sz w:val="18"/>
      <w:szCs w:val="20"/>
    </w:rPr>
  </w:style>
  <w:style w:type="paragraph" w:styleId="14">
    <w:name w:val="Body Text First Indent 2"/>
    <w:basedOn w:val="8"/>
    <w:next w:val="1"/>
    <w:unhideWhenUsed/>
    <w:qFormat/>
    <w:uiPriority w:val="0"/>
    <w:pPr>
      <w:spacing w:after="120" w:line="240" w:lineRule="auto"/>
      <w:ind w:left="420" w:leftChars="200" w:firstLine="420" w:firstLineChars="200"/>
    </w:pPr>
    <w:rPr>
      <w:sz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26887</Words>
  <Characters>28508</Characters>
  <Lines>0</Lines>
  <Paragraphs>0</Paragraphs>
  <TotalTime>2</TotalTime>
  <ScaleCrop>false</ScaleCrop>
  <LinksUpToDate>false</LinksUpToDate>
  <CharactersWithSpaces>30083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2025-03-18T08:18:00Z</dcterms:created>
  <dc:creator>爱党爱国家</dc:creator>
  <cp:lastModifiedBy>爱党爱国家</cp:lastModifiedBy>
  <dcterms:modified xsi:type="dcterms:W3CDTF">2025-07-21T07:37:58Z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E7EC206D8C7C4E9AB2B6AD1B969C52C1_11</vt:lpwstr>
  </property>
</Properties>
</file>